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8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Plotkin Chad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04/15/2020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20"/>
        <w:spacing w:after="0"/>
        <w:rPr>
          <w:sz w:val="20"/>
          <w:szCs w:val="20"/>
          <w:color w:val="auto"/>
        </w:rPr>
      </w:pPr>
      <w:r>
        <w:rPr>
          <w:rFonts w:ascii="Arial" w:cs="Arial" w:eastAsia="Arial" w:hAnsi="Arial"/>
          <w:sz w:val="17"/>
          <w:szCs w:val="17"/>
          <w:color w:val="0000FF"/>
        </w:rPr>
        <w:t>SVP and CFO</w:t>
      </w:r>
    </w:p>
    <w:p>
      <w:pPr>
        <w:spacing w:after="0" w:line="384" w:lineRule="exact"/>
        <w:rPr>
          <w:sz w:val="24"/>
          <w:szCs w:val="24"/>
          <w:color w:val="auto"/>
        </w:rPr>
      </w:pPr>
    </w:p>
    <w:p>
      <w:pPr>
        <w:sectPr>
          <w:pgSz w:w="11900" w:h="16838" w:orient="portrait"/>
          <w:cols w:equalWidth="0" w:num="3">
            <w:col w:w="3180" w:space="720"/>
            <w:col w:w="3100" w:space="720"/>
            <w:col w:w="3360"/>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74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1"/>
          </w:tcPr>
          <w:p>
            <w:pPr>
              <w:ind w:left="240"/>
              <w:spacing w:after="0" w:line="13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0" w:type="dxa"/>
            <w:vAlign w:val="bottom"/>
            <w:gridSpan w:val="11"/>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PRINCETON</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NJ</w:t>
            </w:r>
          </w:p>
        </w:tc>
        <w:tc>
          <w:tcPr>
            <w:tcW w:w="90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08540</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160" w:type="dxa"/>
            <w:vAlign w:val="bottom"/>
            <w:tcBorders>
              <w:top w:val="single" w:sz="8" w:color="2C2C2C"/>
            </w:tcBorders>
            <w:gridSpan w:val="16"/>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00" w:type="dxa"/>
            <w:vAlign w:val="bottom"/>
            <w:gridSpan w:val="3"/>
          </w:tcPr>
          <w:p>
            <w:pPr>
              <w:ind w:left="20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0"/>
              <w:spacing w:after="0" w:line="125"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3"/>
          </w:tcPr>
          <w:p>
            <w:pPr>
              <w:ind w:left="2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2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200" w:type="dxa"/>
            <w:vAlign w:val="bottom"/>
            <w:gridSpan w:val="3"/>
            <w:vMerge w:val="restart"/>
          </w:tcPr>
          <w:p>
            <w:pPr>
              <w:ind w:left="300"/>
              <w:spacing w:after="0"/>
              <w:rPr>
                <w:sz w:val="20"/>
                <w:szCs w:val="20"/>
                <w:color w:val="auto"/>
              </w:rPr>
            </w:pPr>
            <w:r>
              <w:rPr>
                <w:rFonts w:ascii="Arial" w:cs="Arial" w:eastAsia="Arial" w:hAnsi="Arial"/>
                <w:sz w:val="17"/>
                <w:szCs w:val="17"/>
                <w:color w:val="0000FF"/>
              </w:rPr>
              <w:t>04/15/2020</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200"/>
              <w:spacing w:after="0"/>
              <w:rPr>
                <w:sz w:val="20"/>
                <w:szCs w:val="20"/>
                <w:color w:val="auto"/>
              </w:rPr>
            </w:pPr>
            <w:r>
              <w:rPr>
                <w:rFonts w:ascii="Arial" w:cs="Arial" w:eastAsia="Arial" w:hAnsi="Arial"/>
                <w:sz w:val="17"/>
                <w:szCs w:val="17"/>
                <w:color w:val="0000FF"/>
                <w:w w:val="83"/>
              </w:rPr>
              <w:t>8,250</w:t>
            </w:r>
            <w:r>
              <w:rPr>
                <w:rFonts w:ascii="Arial" w:cs="Arial" w:eastAsia="Arial" w:hAnsi="Arial"/>
                <w:sz w:val="21"/>
                <w:szCs w:val="21"/>
                <w:color w:val="008000"/>
                <w:w w:val="83"/>
                <w:vertAlign w:val="superscript"/>
              </w:rPr>
              <w:t>(1)</w:t>
            </w:r>
          </w:p>
        </w:tc>
        <w:tc>
          <w:tcPr>
            <w:tcW w:w="62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1"/>
                <w:szCs w:val="21"/>
                <w:color w:val="auto"/>
              </w:rPr>
            </w:pPr>
          </w:p>
        </w:tc>
        <w:tc>
          <w:tcPr>
            <w:tcW w:w="1280" w:type="dxa"/>
            <w:vAlign w:val="bottom"/>
            <w:gridSpan w:val="3"/>
            <w:vMerge w:val="restart"/>
          </w:tcPr>
          <w:p>
            <w:pPr>
              <w:ind w:left="360"/>
              <w:spacing w:after="0"/>
              <w:rPr>
                <w:sz w:val="20"/>
                <w:szCs w:val="20"/>
                <w:color w:val="auto"/>
              </w:rPr>
            </w:pPr>
            <w:r>
              <w:rPr>
                <w:rFonts w:ascii="Arial" w:cs="Arial" w:eastAsia="Arial" w:hAnsi="Arial"/>
                <w:sz w:val="17"/>
                <w:szCs w:val="17"/>
                <w:color w:val="0000FF"/>
              </w:rPr>
              <w:t>47,082</w:t>
            </w:r>
            <w:r>
              <w:rPr>
                <w:rFonts w:ascii="Arial" w:cs="Arial" w:eastAsia="Arial" w:hAnsi="Arial"/>
                <w:sz w:val="21"/>
                <w:szCs w:val="21"/>
                <w:color w:val="008000"/>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gridSpan w:val="12"/>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3"/>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3"/>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w w:val="96"/>
              </w:rPr>
              <w:t>Security</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center"/>
              <w:ind w:right="80"/>
              <w:spacing w:after="0"/>
              <w:rPr>
                <w:sz w:val="20"/>
                <w:szCs w:val="20"/>
                <w:color w:val="auto"/>
              </w:rPr>
            </w:pPr>
            <w:r>
              <w:rPr>
                <w:rFonts w:ascii="Arial" w:cs="Arial" w:eastAsia="Arial" w:hAnsi="Arial"/>
                <w:sz w:val="13"/>
                <w:szCs w:val="13"/>
                <w:color w:val="0000FF"/>
                <w:w w:val="87"/>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Relative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restart"/>
          </w:tcPr>
          <w:p>
            <w:pPr>
              <w:jc w:val="center"/>
              <w:ind w:right="80"/>
              <w:spacing w:after="0" w:line="141"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25,086</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80"/>
              <w:spacing w:after="0" w:line="215" w:lineRule="exact"/>
              <w:rPr>
                <w:sz w:val="20"/>
                <w:szCs w:val="20"/>
                <w:color w:val="auto"/>
              </w:rPr>
            </w:pPr>
            <w:r>
              <w:rPr>
                <w:rFonts w:ascii="Arial" w:cs="Arial" w:eastAsia="Arial" w:hAnsi="Arial"/>
                <w:sz w:val="13"/>
                <w:szCs w:val="13"/>
                <w:color w:val="0000FF"/>
              </w:rPr>
              <w:t>16,724</w:t>
            </w:r>
            <w:r>
              <w:rPr>
                <w:rFonts w:ascii="Arial" w:cs="Arial" w:eastAsia="Arial" w:hAnsi="Arial"/>
                <w:sz w:val="21"/>
                <w:szCs w:val="21"/>
                <w:color w:val="008000"/>
                <w:vertAlign w:val="superscript"/>
              </w:rPr>
              <w:t>(5)</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w w:val="94"/>
              </w:rPr>
              <w:t>Performance</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ind w:left="240"/>
              <w:spacing w:after="0"/>
              <w:rPr>
                <w:sz w:val="20"/>
                <w:szCs w:val="20"/>
                <w:color w:val="auto"/>
              </w:rPr>
            </w:pPr>
            <w:r>
              <w:rPr>
                <w:rFonts w:ascii="Arial" w:cs="Arial" w:eastAsia="Arial" w:hAnsi="Arial"/>
                <w:sz w:val="13"/>
                <w:szCs w:val="13"/>
                <w:color w:val="0000FF"/>
                <w:w w:val="98"/>
              </w:rPr>
              <w:t>04/15/2020</w:t>
            </w: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0000FF"/>
              </w:rPr>
              <w:t>16,724</w:t>
            </w:r>
          </w:p>
        </w:tc>
        <w:tc>
          <w:tcPr>
            <w:tcW w:w="28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color w:val="0000FF"/>
              </w:rPr>
              <w:t>04/15/2023</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04/15/2023</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tcPr>
          <w:p>
            <w:pPr>
              <w:ind w:left="20"/>
              <w:spacing w:after="0" w:line="74" w:lineRule="exact"/>
              <w:rPr>
                <w:sz w:val="20"/>
                <w:szCs w:val="20"/>
                <w:color w:val="auto"/>
              </w:rPr>
            </w:pPr>
            <w:r>
              <w:rPr>
                <w:rFonts w:ascii="Arial" w:cs="Arial" w:eastAsia="Arial" w:hAnsi="Arial"/>
                <w:sz w:val="7"/>
                <w:szCs w:val="7"/>
                <w:color w:val="0000FF"/>
              </w:rPr>
              <w:t>par value</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Stock Units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vMerge w:val="restart"/>
          </w:tcPr>
          <w:p>
            <w:pPr>
              <w:jc w:val="center"/>
              <w:ind w:right="60"/>
              <w:spacing w:after="0"/>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-3326765</wp:posOffset>
            </wp:positionV>
            <wp:extent cx="7034530" cy="3464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46456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3"/>
          <w:szCs w:val="13"/>
          <w:color w:val="0000FF"/>
        </w:rPr>
        <w:t>share</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 issued to Mr. Plotkin under Clearway Energy Inc.'s Amended and Restated 2013 Equity Incentive Plan (the "LTIP").</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is equivalent in value to one share of Clearway Energy, Inc.'s Class C Common Stock, par value $.01 per share.</w:t>
      </w:r>
    </w:p>
    <w:p>
      <w:pPr>
        <w:spacing w:after="0" w:line="42" w:lineRule="exact"/>
        <w:rPr>
          <w:rFonts w:ascii="Arial" w:cs="Arial" w:eastAsia="Arial" w:hAnsi="Arial"/>
          <w:sz w:val="13"/>
          <w:szCs w:val="13"/>
          <w:color w:val="008000"/>
        </w:rPr>
      </w:pPr>
    </w:p>
    <w:p>
      <w:pPr>
        <w:ind w:left="40" w:right="18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will receive from Clearway Energy, Inc. one such share of Class C Common Stock for each RSU that will vest ratably over a three-year period beginning on the first anniversaryof the date of the grant.</w:t>
      </w:r>
    </w:p>
    <w:p>
      <w:pPr>
        <w:spacing w:after="0" w:line="26" w:lineRule="exact"/>
        <w:rPr>
          <w:rFonts w:ascii="Arial" w:cs="Arial" w:eastAsia="Arial" w:hAnsi="Arial"/>
          <w:sz w:val="13"/>
          <w:szCs w:val="13"/>
          <w:color w:val="008000"/>
        </w:rPr>
      </w:pPr>
    </w:p>
    <w:p>
      <w:pPr>
        <w:ind w:left="40" w:right="240" w:firstLine="1"/>
        <w:spacing w:after="0" w:line="299"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was issued 16,724 Relative Performance Stock Units ("RPSUs") by Clearway Energy, Inc. under the LTIP on April 15, 2020. The RPSUs will convert to shares of Clearway Energy, Inc. Class C Common Stock on April 15, 2023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ind w:left="40" w:right="280" w:firstLine="1"/>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will receive (i) a maximum of 25,086 shares of Class C Common Stock if Company's TSR is ranked at or above the 75th percentile relative to a peer group of companies approved by the Company's Compensation Committee (the "Peer Group") for the performance period ("Maximum"); (ii) 16,724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4,181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Arial" w:cs="Arial" w:eastAsia="Arial" w:hAnsi="Arial"/>
                <w:sz w:val="17"/>
                <w:szCs w:val="17"/>
                <w:color w:val="0000FF"/>
              </w:rPr>
              <w:t>/s/ Michael A. Brown, by</w:t>
            </w:r>
          </w:p>
        </w:tc>
        <w:tc>
          <w:tcPr>
            <w:tcW w:w="92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4"/>
              </w:rPr>
              <w:t>04/17/2020</w:t>
            </w:r>
          </w:p>
        </w:tc>
        <w:tc>
          <w:tcPr>
            <w:tcW w:w="0" w:type="dxa"/>
            <w:vAlign w:val="bottom"/>
          </w:tcPr>
          <w:p>
            <w:pPr>
              <w:spacing w:after="0"/>
              <w:rPr>
                <w:sz w:val="1"/>
                <w:szCs w:val="1"/>
                <w:color w:val="auto"/>
              </w:rPr>
            </w:pPr>
          </w:p>
        </w:tc>
      </w:tr>
      <w:tr>
        <w:trPr>
          <w:trHeight w:val="82"/>
        </w:trPr>
        <w:tc>
          <w:tcPr>
            <w:tcW w:w="124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90"/>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4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64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2020-04-17T15:52:05Z</dcterms:created>
  <dcterms:modified xsi:type="dcterms:W3CDTF">2020-04-17T15:52:05Z</dcterms:modified>
</cp:coreProperties>
</file>