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907" w:orient="portrait"/>
          <w:cols w:equalWidth="0" w:num="1">
            <w:col w:w="11420"/>
          </w:cols>
          <w:pgMar w:left="240" w:top="220"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Times New Roman" w:cs="Times New Roman" w:eastAsia="Times New Roman" w:hAnsi="Times New Roman"/>
          <w:sz w:val="22"/>
          <w:szCs w:val="22"/>
          <w:u w:val="single" w:color="auto"/>
          <w:color w:val="0000EE"/>
        </w:rPr>
      </w:pPr>
      <w:hyperlink r:id="rId11">
        <w:r>
          <w:rPr>
            <w:rFonts w:ascii="Times New Roman" w:cs="Times New Roman" w:eastAsia="Times New Roman" w:hAnsi="Times New Roman"/>
            <w:sz w:val="22"/>
            <w:szCs w:val="22"/>
            <w:u w:val="single" w:color="auto"/>
            <w:color w:val="0000EE"/>
          </w:rPr>
          <w:t>Global Infrastructure Investors III,</w:t>
        </w:r>
      </w:hyperlink>
      <w:r>
        <w:rPr>
          <w:rFonts w:ascii="Times New Roman" w:cs="Times New Roman" w:eastAsia="Times New Roman" w:hAnsi="Times New Roman"/>
          <w:sz w:val="22"/>
          <w:szCs w:val="22"/>
          <w:u w:val="single" w:color="auto"/>
          <w:color w:val="0000EE"/>
        </w:rPr>
        <w:t xml:space="preserve"> </w:t>
      </w:r>
      <w:hyperlink r:id="rId11">
        <w:r>
          <w:rPr>
            <w:rFonts w:ascii="Times New Roman" w:cs="Times New Roman" w:eastAsia="Times New Roman" w:hAnsi="Times New Roman"/>
            <w:sz w:val="22"/>
            <w:szCs w:val="22"/>
            <w:u w:val="single" w:color="auto"/>
            <w:color w:val="0000EE"/>
          </w:rPr>
          <w:t>LLC</w:t>
        </w:r>
      </w:hyperlink>
    </w:p>
    <w:p>
      <w:pPr>
        <w:spacing w:after="0" w:line="297"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240"/>
        <w:spacing w:after="0" w:line="275" w:lineRule="auto"/>
        <w:rPr>
          <w:sz w:val="20"/>
          <w:szCs w:val="20"/>
          <w:color w:val="auto"/>
        </w:rPr>
      </w:pPr>
      <w:r>
        <w:rPr>
          <w:rFonts w:ascii="Times New Roman" w:cs="Times New Roman" w:eastAsia="Times New Roman" w:hAnsi="Times New Roman"/>
          <w:sz w:val="18"/>
          <w:szCs w:val="18"/>
          <w:color w:val="0000FF"/>
        </w:rPr>
        <w:t>1345 AVENUE OF THE AMERICAS, 30TH FLOOR</w:t>
      </w:r>
    </w:p>
    <w:p>
      <w:pPr>
        <w:spacing w:after="0" w:line="293"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r>
      <w:tr>
        <w:trPr>
          <w:trHeight w:val="240"/>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NEW YORK  NY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10105</w:t>
            </w: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8" w:hanging="8"/>
        <w:spacing w:after="0" w:line="271"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0000FF"/>
        </w:rPr>
        <w:t>08/31/2018</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Clearway Energy,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NYLD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0"/>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16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6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ind w:left="240"/>
              <w:spacing w:after="0" w:line="187" w:lineRule="exact"/>
              <w:rPr>
                <w:sz w:val="20"/>
                <w:szCs w:val="20"/>
                <w:color w:val="auto"/>
              </w:rPr>
            </w:pPr>
            <w:r>
              <w:rPr>
                <w:rFonts w:ascii="Times New Roman" w:cs="Times New Roman" w:eastAsia="Times New Roman" w:hAnsi="Times New Roman"/>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5" w:lineRule="exact"/>
        <w:rPr>
          <w:sz w:val="20"/>
          <w:szCs w:val="20"/>
          <w:color w:val="auto"/>
        </w:rPr>
      </w:pPr>
    </w:p>
    <w:p>
      <w:pPr>
        <w:sectPr>
          <w:pgSz w:w="11900" w:h="16907" w:orient="portrait"/>
          <w:cols w:equalWidth="0" w:num="3">
            <w:col w:w="3120" w:space="372"/>
            <w:col w:w="1228" w:space="480"/>
            <w:col w:w="6220"/>
          </w:cols>
          <w:pgMar w:left="240" w:top="220" w:right="239" w:bottom="0" w:gutter="0" w:footer="0" w:header="0"/>
          <w:type w:val="continuous"/>
        </w:sectPr>
      </w:pPr>
    </w:p>
    <w:p>
      <w:pPr>
        <w:spacing w:after="0" w:line="109"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4"/>
                <w:szCs w:val="14"/>
                <w:color w:val="auto"/>
              </w:rPr>
            </w:pPr>
          </w:p>
        </w:tc>
        <w:tc>
          <w:tcPr>
            <w:tcW w:w="1680" w:type="dxa"/>
            <w:vAlign w:val="bottom"/>
            <w:gridSpan w:val="7"/>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9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Class B Units of Clearway Energy LLC</w:t>
            </w:r>
          </w:p>
        </w:tc>
        <w:tc>
          <w:tcPr>
            <w:tcW w:w="126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19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Class A Common Stock</w:t>
            </w:r>
          </w:p>
        </w:tc>
        <w:tc>
          <w:tcPr>
            <w:tcW w:w="9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42,738,750</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See footnotes</w:t>
            </w:r>
            <w:r>
              <w:rPr>
                <w:rFonts w:ascii="Times New Roman" w:cs="Times New Roman" w:eastAsia="Times New Roman" w:hAnsi="Times New Roman"/>
                <w:sz w:val="22"/>
                <w:szCs w:val="22"/>
                <w:color w:val="008000"/>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Class D Units of Clearway Energy LLC</w:t>
            </w:r>
          </w:p>
        </w:tc>
        <w:tc>
          <w:tcPr>
            <w:tcW w:w="1260" w:type="dxa"/>
            <w:vAlign w:val="bottom"/>
            <w:tcBorders>
              <w:bottom w:val="single" w:sz="8" w:color="2C2C2C"/>
            </w:tcBorders>
            <w:gridSpan w:val="4"/>
          </w:tcPr>
          <w:p>
            <w:pPr>
              <w:ind w:left="76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9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Class C Common Stock</w:t>
            </w:r>
          </w:p>
        </w:tc>
        <w:tc>
          <w:tcPr>
            <w:tcW w:w="9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42,738,750</w:t>
            </w:r>
          </w:p>
        </w:tc>
        <w:tc>
          <w:tcPr>
            <w:tcW w:w="8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0000FF"/>
              </w:rPr>
              <w:t>See 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000" w:type="dxa"/>
            <w:vAlign w:val="bottom"/>
            <w:tcBorders>
              <w:top w:val="single" w:sz="8" w:color="2C2C2C"/>
            </w:tcBorders>
            <w:gridSpan w:val="4"/>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7"/>
          </w:tcPr>
          <w:p>
            <w:pPr>
              <w:spacing w:after="0" w:line="230" w:lineRule="exact"/>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Global Infrastructure Investors III, LLC</w:t>
              </w:r>
            </w:hyperlink>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0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1345 AVENUE OF THE AMERICAS, 30TH FLOOR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10105</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70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3"/>
          </w:tcPr>
          <w:p>
            <w:pPr>
              <w:spacing w:after="0" w:line="230" w:lineRule="exact"/>
              <w:rPr>
                <w:rFonts w:ascii="Times New Roman" w:cs="Times New Roman" w:eastAsia="Times New Roman" w:hAnsi="Times New Roman"/>
                <w:sz w:val="22"/>
                <w:szCs w:val="22"/>
                <w:color w:val="0000EE"/>
                <w:w w:val="97"/>
              </w:rPr>
            </w:pPr>
            <w:hyperlink r:id="rId13">
              <w:r>
                <w:rPr>
                  <w:rFonts w:ascii="Times New Roman" w:cs="Times New Roman" w:eastAsia="Times New Roman" w:hAnsi="Times New Roman"/>
                  <w:sz w:val="22"/>
                  <w:szCs w:val="22"/>
                  <w:color w:val="0000EE"/>
                  <w:w w:val="97"/>
                </w:rPr>
                <w:t>Global Infrastructure GP III, L.P.</w:t>
              </w:r>
            </w:hyperlink>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0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1345 AVENUE OF THE AMERICAS, 30TH FLOOR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10105</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70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7"/>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GIP III Zephyr Acquisition Partners L.P.</w:t>
              </w:r>
            </w:hyperlink>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0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2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1345 AVENUE OF THE AMERICAS, 30TH FLOOR</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10105</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7" w:orient="portrait"/>
          <w:cols w:equalWidth="0" w:num="1">
            <w:col w:w="11420"/>
          </w:cols>
          <w:pgMar w:left="240" w:top="220" w:right="239" w:bottom="0" w:gutter="0" w:footer="0" w:header="0"/>
          <w:type w:val="continuous"/>
        </w:sectPr>
      </w:pPr>
    </w:p>
    <w:p>
      <w:pPr>
        <w:spacing w:after="0" w:line="109"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907" w:orient="portrait"/>
          <w:cols w:equalWidth="0" w:num="1">
            <w:col w:w="11420"/>
          </w:cols>
          <w:pgMar w:left="240" w:top="220" w:right="2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762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76212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2"/>
          <w:szCs w:val="22"/>
          <w:u w:val="single" w:color="auto"/>
          <w:color w:val="0000EE"/>
        </w:rPr>
      </w:pPr>
      <w:hyperlink r:id="rId16">
        <w:r>
          <w:rPr>
            <w:rFonts w:ascii="Times New Roman" w:cs="Times New Roman" w:eastAsia="Times New Roman" w:hAnsi="Times New Roman"/>
            <w:sz w:val="22"/>
            <w:szCs w:val="22"/>
            <w:u w:val="single" w:color="auto"/>
            <w:color w:val="0000EE"/>
          </w:rPr>
          <w:t>Clearway Energy Group LLC</w:t>
        </w:r>
      </w:hyperlink>
    </w:p>
    <w:p>
      <w:pPr>
        <w:spacing w:after="0" w:line="301"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1345 AVENUE OF THE AMERICAS, 30TH FLOOR</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10105</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right="40" w:firstLine="9"/>
        <w:spacing w:after="0" w:line="279"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an Amended and Restated Exchange Agreement, dated as of May 14, 2015, among Clearway Energy, Inc. (formerly known as NRG Yield, Inc.) (the "Issuer"), Clearway Energy LLC (formerly known as NRG Yield LLC) ("Clearway LLC") and other parties thereto (the "Exchange Agreement"), the Class B Units of Clearway LLC are exchangeable at any time for shares of Class A common stock of the Issuer ("Class A Common Stock") on a one-for-one basis, subject to equitable adjustments for stock splits, stock dividends and reclassifications. As the holder exchanges the Class B Units for shares of Class A Common Stock pursuant to the Exchange Agreement, an equivalent number of shares of Class B Common Stock issued to the holder will automatically be canceled.</w:t>
      </w:r>
    </w:p>
    <w:p>
      <w:pPr>
        <w:spacing w:after="0" w:line="6" w:lineRule="exact"/>
        <w:rPr>
          <w:rFonts w:ascii="Times New Roman" w:cs="Times New Roman" w:eastAsia="Times New Roman" w:hAnsi="Times New Roman"/>
          <w:sz w:val="12"/>
          <w:szCs w:val="12"/>
          <w:color w:val="008000"/>
        </w:rPr>
      </w:pPr>
    </w:p>
    <w:p>
      <w:pPr>
        <w:jc w:val="both"/>
        <w:ind w:firstLine="9"/>
        <w:spacing w:after="0" w:line="234" w:lineRule="auto"/>
        <w:tabs>
          <w:tab w:leader="none" w:pos="13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Exchange Agreement, the Class D Units of Clearway LLC are exchangeable at any time for shares of Class C common stock of the Issuer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28" w:lineRule="exact"/>
        <w:rPr>
          <w:rFonts w:ascii="Times New Roman" w:cs="Times New Roman" w:eastAsia="Times New Roman" w:hAnsi="Times New Roman"/>
          <w:sz w:val="14"/>
          <w:szCs w:val="14"/>
          <w:color w:val="008000"/>
        </w:rPr>
      </w:pPr>
    </w:p>
    <w:p>
      <w:pPr>
        <w:ind w:right="40" w:firstLine="9"/>
        <w:spacing w:after="0" w:line="274" w:lineRule="auto"/>
        <w:tabs>
          <w:tab w:leader="none" w:pos="13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held directly by Clearway Energy Group LLC (formerly known as Zephyr Renewables LLC)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9" w:lineRule="exact"/>
        <w:rPr>
          <w:rFonts w:ascii="Times New Roman" w:cs="Times New Roman" w:eastAsia="Times New Roman" w:hAnsi="Times New Roman"/>
          <w:sz w:val="12"/>
          <w:szCs w:val="12"/>
          <w:color w:val="008000"/>
        </w:rPr>
      </w:pPr>
    </w:p>
    <w:p>
      <w:pPr>
        <w:jc w:val="both"/>
        <w:ind w:right="140" w:firstLine="9"/>
        <w:spacing w:after="0" w:line="234" w:lineRule="auto"/>
        <w:tabs>
          <w:tab w:leader="none" w:pos="13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1260"/>
          </w:cols>
          <w:pgMar w:left="280" w:top="288" w:right="359" w:bottom="1440" w:gutter="0" w:footer="0" w:header="0"/>
        </w:sectPr>
      </w:pPr>
    </w:p>
    <w:p>
      <w:pPr>
        <w:spacing w:after="0" w:line="5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452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84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9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6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9695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87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452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227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2705"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309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2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219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780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7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71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84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64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30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623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219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3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0826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141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1412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3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3378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4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974725"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8"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2140"/>
          </w:cols>
          <w:pgMar w:left="280" w:top="288" w:right="35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28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11" Type="http://schemas.openxmlformats.org/officeDocument/2006/relationships/hyperlink" Target="http://www.sec.gov/cgi-bin/browse-edgar?action=getcompany&amp;CIK=0001747194" TargetMode="External"/><Relationship Id="rId12" Type="http://schemas.openxmlformats.org/officeDocument/2006/relationships/hyperlink" Target="http://www.sec.gov/cgi-bin/browse-edgar?action=getcompany&amp;CIK=0001567683" TargetMode="External"/><Relationship Id="rId13" Type="http://schemas.openxmlformats.org/officeDocument/2006/relationships/hyperlink" Target="http://www.sec.gov/cgi-bin/browse-edgar?action=getcompany&amp;CIK=0001747185" TargetMode="External"/><Relationship Id="rId14" Type="http://schemas.openxmlformats.org/officeDocument/2006/relationships/hyperlink" Target="http://www.sec.gov/cgi-bin/browse-edgar?action=getcompany&amp;CIK=0001752556" TargetMode="External"/><Relationship Id="rId16"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2019-12-23T20:25:01Z</dcterms:created>
  <dcterms:modified xsi:type="dcterms:W3CDTF">2019-12-23T20:25:01Z</dcterms:modified>
</cp:coreProperties>
</file>