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TotalEnergies SE</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 PLACE JEAN MILLIER LA DEFENSE 6</w:t>
      </w:r>
    </w:p>
    <w:p>
      <w:pPr>
        <w:spacing w:after="0" w:line="34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w w:val="96"/>
              </w:rPr>
              <w:t>COURBEVOIE</w:t>
            </w:r>
          </w:p>
        </w:tc>
        <w:tc>
          <w:tcPr>
            <w:tcW w:w="860" w:type="dxa"/>
            <w:vAlign w:val="bottom"/>
          </w:tcPr>
          <w:p>
            <w:pPr>
              <w:ind w:left="60"/>
              <w:spacing w:after="0"/>
              <w:rPr>
                <w:sz w:val="20"/>
                <w:szCs w:val="20"/>
                <w:color w:val="auto"/>
              </w:rPr>
            </w:pPr>
            <w:r>
              <w:rPr>
                <w:rFonts w:ascii="Arial" w:cs="Arial" w:eastAsia="Arial" w:hAnsi="Arial"/>
                <w:sz w:val="18"/>
                <w:szCs w:val="18"/>
                <w:color w:val="0000FF"/>
              </w:rPr>
              <w:t>I0</w:t>
            </w:r>
          </w:p>
        </w:tc>
        <w:tc>
          <w:tcPr>
            <w:tcW w:w="1600" w:type="dxa"/>
            <w:vAlign w:val="bottom"/>
          </w:tcPr>
          <w:p>
            <w:pPr>
              <w:ind w:left="420"/>
              <w:spacing w:after="0"/>
              <w:rPr>
                <w:sz w:val="20"/>
                <w:szCs w:val="20"/>
                <w:color w:val="auto"/>
              </w:rPr>
            </w:pPr>
            <w:r>
              <w:rPr>
                <w:rFonts w:ascii="Arial" w:cs="Arial" w:eastAsia="Arial" w:hAnsi="Arial"/>
                <w:sz w:val="18"/>
                <w:szCs w:val="18"/>
                <w:color w:val="0000FF"/>
              </w:rPr>
              <w:t>92400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60" w:type="dxa"/>
            <w:vAlign w:val="bottom"/>
          </w:tcPr>
          <w:p>
            <w:pPr>
              <w:ind w:left="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07/14/2023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ind w:left="60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3"/>
            <w:vMerge w:val="restart"/>
          </w:tcPr>
          <w:p>
            <w:pPr>
              <w:ind w:left="440"/>
              <w:spacing w:after="0"/>
              <w:rPr>
                <w:sz w:val="20"/>
                <w:szCs w:val="20"/>
                <w:color w:val="auto"/>
              </w:rPr>
            </w:pPr>
            <w:r>
              <w:rPr>
                <w:rFonts w:ascii="Arial" w:cs="Arial" w:eastAsia="Arial" w:hAnsi="Arial"/>
                <w:sz w:val="18"/>
                <w:szCs w:val="18"/>
                <w:color w:val="0000FF"/>
              </w:rPr>
              <w:t>07/14/2023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vMerge w:val="restart"/>
          </w:tcPr>
          <w:p>
            <w:pPr>
              <w:jc w:val="right"/>
              <w:ind w:right="126"/>
              <w:spacing w:after="0"/>
              <w:rPr>
                <w:sz w:val="20"/>
                <w:szCs w:val="20"/>
                <w:color w:val="auto"/>
              </w:rPr>
            </w:pPr>
            <w:r>
              <w:rPr>
                <w:rFonts w:ascii="Arial" w:cs="Arial" w:eastAsia="Arial" w:hAnsi="Arial"/>
                <w:sz w:val="18"/>
                <w:szCs w:val="18"/>
                <w:color w:val="0000FF"/>
              </w:rPr>
              <w:t>1,065</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600" w:type="dxa"/>
            <w:vAlign w:val="bottom"/>
            <w:vMerge w:val="restart"/>
          </w:tcPr>
          <w:p>
            <w:pPr>
              <w:jc w:val="right"/>
              <w:ind w:right="56"/>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18"/>
                <w:szCs w:val="18"/>
                <w:color w:val="auto"/>
              </w:rPr>
            </w:pPr>
          </w:p>
        </w:tc>
        <w:tc>
          <w:tcPr>
            <w:tcW w:w="16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75,079</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4"/>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3"/>
            <w:vMerge w:val="restart"/>
          </w:tcPr>
          <w:p>
            <w:pPr>
              <w:ind w:left="440"/>
              <w:spacing w:after="0"/>
              <w:rPr>
                <w:sz w:val="20"/>
                <w:szCs w:val="20"/>
                <w:color w:val="auto"/>
              </w:rPr>
            </w:pPr>
            <w:r>
              <w:rPr>
                <w:rFonts w:ascii="Arial" w:cs="Arial" w:eastAsia="Arial" w:hAnsi="Arial"/>
                <w:sz w:val="18"/>
                <w:szCs w:val="18"/>
                <w:color w:val="0000FF"/>
              </w:rPr>
              <w:t>07/15/2023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40" w:type="dxa"/>
            <w:vAlign w:val="bottom"/>
            <w:vMerge w:val="restart"/>
          </w:tcPr>
          <w:p>
            <w:pPr>
              <w:jc w:val="right"/>
              <w:ind w:right="186"/>
              <w:spacing w:after="0"/>
              <w:rPr>
                <w:sz w:val="20"/>
                <w:szCs w:val="20"/>
                <w:color w:val="auto"/>
              </w:rPr>
            </w:pPr>
            <w:r>
              <w:rPr>
                <w:rFonts w:ascii="Arial" w:cs="Arial" w:eastAsia="Arial" w:hAnsi="Arial"/>
                <w:sz w:val="18"/>
                <w:szCs w:val="18"/>
                <w:color w:val="0000FF"/>
              </w:rPr>
              <w:t>124</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27.24</w:t>
            </w:r>
          </w:p>
        </w:tc>
        <w:tc>
          <w:tcPr>
            <w:tcW w:w="16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75,203</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4"/>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4"/>
          </w:tcPr>
          <w:p>
            <w:pPr>
              <w:ind w:left="7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80" w:type="dxa"/>
            <w:vAlign w:val="bottom"/>
            <w:gridSpan w:val="12"/>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TotalEnergies SE</w:t>
              </w:r>
            </w:hyperlink>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2, PLACE JEAN MILLIER LA DEFENSE 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TotalEnergies Gestion USA SARL</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2, PLACE JEAN MILLIER LA DEFENSE 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-4904105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ectPr>
          <w:pgSz w:w="11900" w:h="16838" w:orient="portrait"/>
          <w:cols w:equalWidth="0" w:num="1">
            <w:col w:w="11080"/>
          </w:cols>
          <w:pgMar w:left="460" w:top="226" w:right="359" w:bottom="0" w:gutter="0" w:footer="0" w:header="0"/>
          <w:type w:val="continuous"/>
        </w:sectPr>
      </w:pPr>
    </w:p>
    <w:p>
      <w:pPr>
        <w:spacing w:after="0" w:line="31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26"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5052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505206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TotalEnergies Holdings USA, Inc.</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28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0000FF"/>
                <w:w w:val="95"/>
              </w:rPr>
              <w:t>1201 LOUISIANA ST. SUITE 1800,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600" w:type="dxa"/>
            <w:vAlign w:val="bottom"/>
            <w:gridSpan w:val="2"/>
          </w:tcPr>
          <w:p>
            <w:pPr>
              <w:ind w:left="280"/>
              <w:spacing w:after="0"/>
              <w:rPr>
                <w:sz w:val="20"/>
                <w:szCs w:val="20"/>
                <w:color w:val="auto"/>
              </w:rPr>
            </w:pPr>
            <w:r>
              <w:rPr>
                <w:rFonts w:ascii="Arial" w:cs="Arial" w:eastAsia="Arial" w:hAnsi="Arial"/>
                <w:sz w:val="18"/>
                <w:szCs w:val="18"/>
                <w:color w:val="0000FF"/>
              </w:rPr>
              <w:t>TX</w:t>
            </w:r>
          </w:p>
        </w:tc>
        <w:tc>
          <w:tcPr>
            <w:tcW w:w="1440" w:type="dxa"/>
            <w:vAlign w:val="bottom"/>
          </w:tcPr>
          <w:p>
            <w:pPr>
              <w:ind w:left="8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28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8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100" w:type="dxa"/>
            <w:vAlign w:val="bottom"/>
          </w:tcPr>
          <w:p>
            <w:pPr>
              <w:spacing w:after="0"/>
              <w:rPr>
                <w:sz w:val="19"/>
                <w:szCs w:val="19"/>
                <w:color w:val="auto"/>
              </w:rPr>
            </w:pPr>
          </w:p>
        </w:tc>
        <w:tc>
          <w:tcPr>
            <w:tcW w:w="2720" w:type="dxa"/>
            <w:vAlign w:val="bottom"/>
            <w:gridSpan w:val="3"/>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TotalEnergies Delaware, Inc.</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28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0000FF"/>
                <w:w w:val="95"/>
              </w:rPr>
              <w:t>1201 LOUISIANA ST. SUITE 1800,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600" w:type="dxa"/>
            <w:vAlign w:val="bottom"/>
            <w:gridSpan w:val="2"/>
          </w:tcPr>
          <w:p>
            <w:pPr>
              <w:ind w:left="280"/>
              <w:spacing w:after="0"/>
              <w:rPr>
                <w:sz w:val="20"/>
                <w:szCs w:val="20"/>
                <w:color w:val="auto"/>
              </w:rPr>
            </w:pPr>
            <w:r>
              <w:rPr>
                <w:rFonts w:ascii="Arial" w:cs="Arial" w:eastAsia="Arial" w:hAnsi="Arial"/>
                <w:sz w:val="18"/>
                <w:szCs w:val="18"/>
                <w:color w:val="0000FF"/>
              </w:rPr>
              <w:t>TX</w:t>
            </w:r>
          </w:p>
        </w:tc>
        <w:tc>
          <w:tcPr>
            <w:tcW w:w="1440" w:type="dxa"/>
            <w:vAlign w:val="bottom"/>
          </w:tcPr>
          <w:p>
            <w:pPr>
              <w:ind w:left="8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28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TotalEnergies Renewables USA, LLC</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280"/>
              <w:spacing w:after="0"/>
              <w:rPr>
                <w:sz w:val="20"/>
                <w:szCs w:val="20"/>
                <w:color w:val="auto"/>
              </w:rPr>
            </w:pPr>
            <w:r>
              <w:rPr>
                <w:rFonts w:ascii="Arial" w:cs="Arial" w:eastAsia="Arial" w:hAnsi="Arial"/>
                <w:sz w:val="14"/>
                <w:szCs w:val="14"/>
                <w:color w:val="auto"/>
              </w:rPr>
              <w:t>(First)</w:t>
            </w:r>
          </w:p>
        </w:tc>
        <w:tc>
          <w:tcPr>
            <w:tcW w:w="144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0000FF"/>
                <w:w w:val="95"/>
              </w:rPr>
              <w:t>1201 LOUISIANA ST. SUITE 1800,</w:t>
            </w:r>
          </w:p>
        </w:tc>
        <w:tc>
          <w:tcPr>
            <w:tcW w:w="14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600" w:type="dxa"/>
            <w:vAlign w:val="bottom"/>
          </w:tcPr>
          <w:p>
            <w:pPr>
              <w:ind w:left="280"/>
              <w:spacing w:after="0"/>
              <w:rPr>
                <w:sz w:val="20"/>
                <w:szCs w:val="20"/>
                <w:color w:val="auto"/>
              </w:rPr>
            </w:pPr>
            <w:r>
              <w:rPr>
                <w:rFonts w:ascii="Arial" w:cs="Arial" w:eastAsia="Arial" w:hAnsi="Arial"/>
                <w:sz w:val="18"/>
                <w:szCs w:val="18"/>
                <w:color w:val="0000FF"/>
              </w:rPr>
              <w:t>TX</w:t>
            </w:r>
          </w:p>
        </w:tc>
        <w:tc>
          <w:tcPr>
            <w:tcW w:w="1440" w:type="dxa"/>
            <w:vAlign w:val="bottom"/>
          </w:tcPr>
          <w:p>
            <w:pPr>
              <w:ind w:left="8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280"/>
              <w:spacing w:after="0"/>
              <w:rPr>
                <w:sz w:val="20"/>
                <w:szCs w:val="20"/>
                <w:color w:val="auto"/>
              </w:rPr>
            </w:pPr>
            <w:r>
              <w:rPr>
                <w:rFonts w:ascii="Arial" w:cs="Arial" w:eastAsia="Arial" w:hAnsi="Arial"/>
                <w:sz w:val="14"/>
                <w:szCs w:val="14"/>
                <w:color w:val="auto"/>
              </w:rPr>
              <w:t>(State)</w:t>
            </w:r>
          </w:p>
        </w:tc>
        <w:tc>
          <w:tcPr>
            <w:tcW w:w="144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14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or more of its employees.</w:t>
      </w:r>
    </w:p>
    <w:p>
      <w:pPr>
        <w:spacing w:after="0" w:line="30" w:lineRule="exact"/>
        <w:rPr>
          <w:rFonts w:ascii="Arial" w:cs="Arial" w:eastAsia="Arial" w:hAnsi="Arial"/>
          <w:sz w:val="14"/>
          <w:szCs w:val="14"/>
          <w:color w:val="008000"/>
        </w:rPr>
      </w:pPr>
    </w:p>
    <w:p>
      <w:pPr>
        <w:ind w:left="20" w:right="20" w:firstLine="9"/>
        <w:spacing w:after="0" w:line="27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9" w:lineRule="exact"/>
        <w:rPr>
          <w:rFonts w:ascii="Arial" w:cs="Arial" w:eastAsia="Arial" w:hAnsi="Arial"/>
          <w:sz w:val="12"/>
          <w:szCs w:val="12"/>
          <w:color w:val="008000"/>
        </w:rPr>
      </w:pPr>
    </w:p>
    <w:p>
      <w:pPr>
        <w:jc w:val="both"/>
        <w:ind w:left="20" w:right="4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31" w:lineRule="exact"/>
        <w:rPr>
          <w:rFonts w:ascii="Arial" w:cs="Arial" w:eastAsia="Arial" w:hAnsi="Arial"/>
          <w:sz w:val="14"/>
          <w:szCs w:val="14"/>
          <w:color w:val="008000"/>
        </w:rPr>
      </w:pPr>
    </w:p>
    <w:p>
      <w:pPr>
        <w:ind w:left="20" w:firstLine="9"/>
        <w:spacing w:after="0" w:line="31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withholding of shares to satisfy tax withholding obligations in connection with the vesting of restricted stock of the Issuer previously granted by Clearway Energy Group under its Long Term Equity Incentive Program to certain of its employees. The Reporting Persons have agreed to voluntarily disgorge any profits deemed realized from such transactions to the Issuer.</w:t>
      </w:r>
    </w:p>
    <w:p>
      <w:pPr>
        <w:sectPr>
          <w:pgSz w:w="11900" w:h="16838" w:orient="portrait"/>
          <w:cols w:equalWidth="0" w:num="1">
            <w:col w:w="10820"/>
          </w:cols>
          <w:pgMar w:left="480" w:top="180" w:right="599" w:bottom="0" w:gutter="0" w:footer="0" w:header="0"/>
        </w:sectPr>
      </w:pP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124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 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3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63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53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382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43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865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2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Frazier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109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1092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21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03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18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28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553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By: /s/ Simon Hayes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465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Simon Hayes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9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21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060"/>
          </w:cols>
          <w:pgMar w:left="480" w:top="180" w:right="59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29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80" w:right="5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2023-07-18T15:36:25Z</dcterms:created>
  <dcterms:modified xsi:type="dcterms:W3CDTF">2023-07-18T15:36:25Z</dcterms:modified>
</cp:coreProperties>
</file>