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59690</wp:posOffset>
            </wp:positionH>
            <wp:positionV relativeFrom="page">
              <wp:posOffset>14605</wp:posOffset>
            </wp:positionV>
            <wp:extent cx="7650480" cy="615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61595"/>
                    </a:xfrm>
                    <a:prstGeom prst="rect">
                      <a:avLst/>
                    </a:prstGeom>
                    <a:noFill/>
                  </pic:spPr>
                </pic:pic>
              </a:graphicData>
            </a:graphic>
          </wp:anchor>
        </w:drawing>
        <w:t>UNITED STATES</w:t>
      </w:r>
    </w:p>
    <w:p>
      <w:pPr>
        <w:spacing w:after="0" w:line="28"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59"/>
        <w:spacing w:after="0"/>
        <w:rPr>
          <w:sz w:val="20"/>
          <w:szCs w:val="20"/>
          <w:color w:val="auto"/>
        </w:rPr>
      </w:pPr>
      <w:r>
        <w:rPr>
          <w:rFonts w:ascii="Arial" w:cs="Arial" w:eastAsia="Arial" w:hAnsi="Arial"/>
          <w:sz w:val="23"/>
          <w:szCs w:val="23"/>
          <w:b w:val="1"/>
          <w:bCs w:val="1"/>
          <w:color w:val="auto"/>
        </w:rPr>
        <w:t>Washington, D.C. 20549</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SCHEDULE 13G</w:t>
      </w: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Under the Securities Exchange Act of 1934</w:t>
      </w:r>
    </w:p>
    <w:p>
      <w:pPr>
        <w:spacing w:after="0" w:line="18" w:lineRule="exact"/>
        <w:rPr>
          <w:sz w:val="24"/>
          <w:szCs w:val="24"/>
          <w:color w:val="auto"/>
        </w:rPr>
      </w:pPr>
    </w:p>
    <w:p>
      <w:pPr>
        <w:jc w:val="center"/>
        <w:ind w:right="-39"/>
        <w:spacing w:after="0"/>
        <w:tabs>
          <w:tab w:leader="none" w:pos="260" w:val="left"/>
          <w:tab w:leader="none" w:pos="260" w:val="left"/>
        </w:tabs>
        <w:rPr>
          <w:sz w:val="20"/>
          <w:szCs w:val="20"/>
          <w:color w:val="auto"/>
        </w:rPr>
      </w:pPr>
      <w:r>
        <w:rPr>
          <w:rFonts w:ascii="Arial" w:cs="Arial" w:eastAsia="Arial" w:hAnsi="Arial"/>
          <w:sz w:val="23"/>
          <w:szCs w:val="23"/>
          <w:b w:val="1"/>
          <w:bCs w:val="1"/>
          <w:color w:val="auto"/>
        </w:rPr>
        <w:t>(Amendment No.</w:t>
        <w:tab/>
        <w:t>n/a</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4035425</wp:posOffset>
            </wp:positionH>
            <wp:positionV relativeFrom="paragraph">
              <wp:posOffset>-10795</wp:posOffset>
            </wp:positionV>
            <wp:extent cx="5251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5145"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6"/>
          <w:szCs w:val="46"/>
          <w:color w:val="auto"/>
        </w:rPr>
        <w:t>CLEARWAY ENERGY INC-C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80010</wp:posOffset>
            </wp:positionV>
            <wp:extent cx="765556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5560" cy="34290"/>
                    </a:xfrm>
                    <a:prstGeom prst="rect">
                      <a:avLst/>
                    </a:prstGeom>
                    <a:noFill/>
                  </pic:spPr>
                </pic:pic>
              </a:graphicData>
            </a:graphic>
          </wp:anchor>
        </w:drawing>
      </w:r>
    </w:p>
    <w:p>
      <w:pPr>
        <w:spacing w:after="0" w:line="231" w:lineRule="exact"/>
        <w:rPr>
          <w:sz w:val="24"/>
          <w:szCs w:val="24"/>
          <w:color w:val="auto"/>
        </w:rPr>
      </w:pPr>
    </w:p>
    <w:p>
      <w:pPr>
        <w:jc w:val="center"/>
        <w:ind w:right="-59"/>
        <w:spacing w:after="0"/>
        <w:rPr>
          <w:sz w:val="20"/>
          <w:szCs w:val="20"/>
          <w:color w:val="auto"/>
        </w:rPr>
      </w:pPr>
      <w:r>
        <w:rPr>
          <w:rFonts w:ascii="Arial" w:cs="Arial" w:eastAsia="Arial" w:hAnsi="Arial"/>
          <w:sz w:val="23"/>
          <w:szCs w:val="23"/>
          <w:color w:val="auto"/>
        </w:rPr>
        <w:t>(Name of Issuer)</w:t>
      </w: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65556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55560" cy="34290"/>
                    </a:xfrm>
                    <a:prstGeom prst="rect">
                      <a:avLst/>
                    </a:prstGeom>
                    <a:noFill/>
                  </pic:spPr>
                </pic:pic>
              </a:graphicData>
            </a:graphic>
          </wp:anchor>
        </w:drawing>
      </w:r>
    </w:p>
    <w:p>
      <w:pPr>
        <w:spacing w:after="0" w:line="195"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18539C105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69850</wp:posOffset>
            </wp:positionV>
            <wp:extent cx="765556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55560" cy="34290"/>
                    </a:xfrm>
                    <a:prstGeom prst="rect">
                      <a:avLst/>
                    </a:prstGeom>
                    <a:noFill/>
                  </pic:spPr>
                </pic:pic>
              </a:graphicData>
            </a:graphic>
          </wp:anchor>
        </w:drawing>
      </w:r>
    </w:p>
    <w:p>
      <w:pPr>
        <w:spacing w:after="0" w:line="210"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6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60960</wp:posOffset>
            </wp:positionV>
            <wp:extent cx="765556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55560" cy="34290"/>
                    </a:xfrm>
                    <a:prstGeom prst="rect">
                      <a:avLst/>
                    </a:prstGeom>
                    <a:noFill/>
                  </pic:spPr>
                </pic:pic>
              </a:graphicData>
            </a:graphic>
          </wp:anchor>
        </w:drawing>
      </w:r>
    </w:p>
    <w:p>
      <w:pPr>
        <w:spacing w:after="0" w:line="195" w:lineRule="exact"/>
        <w:rPr>
          <w:sz w:val="24"/>
          <w:szCs w:val="24"/>
          <w:color w:val="auto"/>
        </w:rPr>
      </w:pPr>
    </w:p>
    <w:p>
      <w:pPr>
        <w:ind w:left="3840"/>
        <w:spacing w:after="0"/>
        <w:rPr>
          <w:sz w:val="20"/>
          <w:szCs w:val="20"/>
          <w:color w:val="auto"/>
        </w:rPr>
      </w:pPr>
      <w:r>
        <w:rPr>
          <w:rFonts w:ascii="Arial" w:cs="Arial" w:eastAsia="Arial" w:hAnsi="Arial"/>
          <w:sz w:val="19"/>
          <w:szCs w:val="19"/>
          <w:color w:val="auto"/>
        </w:rPr>
        <w:t>(Date of Event Which Requires Filing of this Statement)</w:t>
      </w:r>
    </w:p>
    <w:p>
      <w:pPr>
        <w:spacing w:after="0" w:line="266"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66" w:lineRule="exact"/>
        <w:rPr>
          <w:sz w:val="24"/>
          <w:szCs w:val="24"/>
          <w:color w:val="auto"/>
        </w:rPr>
      </w:pPr>
    </w:p>
    <w:p>
      <w:pPr>
        <w:jc w:val="both"/>
        <w:ind w:left="240" w:right="10440" w:hanging="8"/>
        <w:spacing w:after="0" w:line="595" w:lineRule="auto"/>
        <w:tabs>
          <w:tab w:leader="none" w:pos="430" w:val="left"/>
        </w:tabs>
        <w:numPr>
          <w:ilvl w:val="1"/>
          <w:numId w:val="1"/>
        </w:numPr>
        <w:rPr>
          <w:rFonts w:ascii="Arial" w:cs="Arial" w:eastAsia="Arial" w:hAnsi="Arial"/>
          <w:sz w:val="17"/>
          <w:szCs w:val="17"/>
          <w:color w:val="auto"/>
        </w:rPr>
      </w:pPr>
      <w:r>
        <w:rPr>
          <w:rFonts w:ascii="Arial" w:cs="Arial" w:eastAsia="Arial" w:hAnsi="Arial"/>
          <w:sz w:val="17"/>
          <w:szCs w:val="17"/>
          <w:color w:val="auto"/>
        </w:rPr>
        <w:t>Rule 13d-1(b) o Rule 13d-1(c) o Rule 13d-1(d)</w:t>
      </w:r>
    </w:p>
    <w:p>
      <w:pPr>
        <w:ind w:right="60"/>
        <w:spacing w:after="0" w:line="275" w:lineRule="auto"/>
        <w:rPr>
          <w:rFonts w:ascii="Arial" w:cs="Arial" w:eastAsia="Arial" w:hAnsi="Arial"/>
          <w:sz w:val="17"/>
          <w:szCs w:val="17"/>
          <w:color w:val="auto"/>
        </w:rPr>
      </w:pPr>
      <w:r>
        <w:rPr>
          <w:rFonts w:ascii="Arial" w:cs="Arial" w:eastAsia="Arial" w:hAnsi="Arial"/>
          <w:sz w:val="19"/>
          <w:szCs w:val="19"/>
          <w:color w:val="auto"/>
        </w:rPr>
        <w:t>* The remainder of this cover page shall be filled out for a reporting personâ€™s initial filing on this form with respect to the subject class of securities, and for any subsequent amendment containing information which would alter the disclosures provided in a prior cover page.</w:t>
      </w:r>
    </w:p>
    <w:p>
      <w:pPr>
        <w:spacing w:after="0" w:line="212" w:lineRule="exact"/>
        <w:rPr>
          <w:sz w:val="24"/>
          <w:szCs w:val="24"/>
          <w:color w:val="auto"/>
        </w:rPr>
      </w:pPr>
    </w:p>
    <w:p>
      <w:pPr>
        <w:spacing w:after="0" w:line="263" w:lineRule="auto"/>
        <w:rPr>
          <w:sz w:val="20"/>
          <w:szCs w:val="20"/>
          <w:color w:val="auto"/>
        </w:rPr>
      </w:pPr>
      <w:r>
        <w:rPr>
          <w:rFonts w:ascii="Arial" w:cs="Arial" w:eastAsia="Arial" w:hAnsi="Arial"/>
          <w:sz w:val="19"/>
          <w:szCs w:val="19"/>
          <w:color w:val="auto"/>
        </w:rPr>
        <w:t>The information required in the remainder of this cover page shall not be deemed to be â€œfiledâ€ for the purpose of Section 18 of the Securities Exchange Act of 1934 (â€œActâ€ )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-15875</wp:posOffset>
            </wp:positionH>
            <wp:positionV relativeFrom="paragraph">
              <wp:posOffset>56515</wp:posOffset>
            </wp:positionV>
            <wp:extent cx="7650480" cy="70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50480" cy="7048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436880</wp:posOffset>
            </wp:positionV>
            <wp:extent cx="7650480" cy="438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1940"/>
          </w:cols>
          <w:pgMar w:left="120" w:top="431" w:right="18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7"/>
        </w:trPr>
        <w:tc>
          <w:tcPr>
            <w:tcW w:w="860" w:type="dxa"/>
            <w:vAlign w:val="bottom"/>
            <w:tcBorders>
              <w:right w:val="single" w:sz="8" w:color="auto"/>
            </w:tcBorders>
          </w:tcPr>
          <w:p>
            <w:pPr>
              <w:spacing w:after="0" w:line="217" w:lineRule="exact"/>
              <w:rPr>
                <w:sz w:val="20"/>
                <w:szCs w:val="20"/>
                <w:color w:val="auto"/>
              </w:rPr>
            </w:pPr>
            <w:r>
              <w:rPr>
                <w:rFonts w:ascii="Arial" w:cs="Arial" w:eastAsia="Arial" w:hAnsi="Arial"/>
                <w:sz w:val="19"/>
                <w:szCs w:val="19"/>
                <w:color w:val="auto"/>
              </w:rPr>
              <w:t>CUSIP</w:t>
            </w:r>
          </w:p>
        </w:tc>
        <w:tc>
          <w:tcPr>
            <w:tcW w:w="12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9"/>
                <w:szCs w:val="19"/>
                <w:color w:val="auto"/>
              </w:rPr>
              <w:t>18539C105</w:t>
            </w:r>
          </w:p>
        </w:tc>
        <w:tc>
          <w:tcPr>
            <w:tcW w:w="0" w:type="dxa"/>
            <w:vAlign w:val="bottom"/>
          </w:tcPr>
          <w:p>
            <w:pPr>
              <w:spacing w:after="0"/>
              <w:rPr>
                <w:sz w:val="1"/>
                <w:szCs w:val="1"/>
                <w:color w:val="auto"/>
              </w:rPr>
            </w:pPr>
          </w:p>
        </w:tc>
      </w:tr>
      <w:tr>
        <w:trPr>
          <w:trHeight w:val="127"/>
        </w:trPr>
        <w:tc>
          <w:tcPr>
            <w:tcW w:w="860" w:type="dxa"/>
            <w:vAlign w:val="bottom"/>
            <w:tcBorders>
              <w:right w:val="single" w:sz="8" w:color="auto"/>
            </w:tcBorders>
            <w:vMerge w:val="restart"/>
          </w:tcPr>
          <w:p>
            <w:pPr>
              <w:spacing w:after="0"/>
              <w:rPr>
                <w:sz w:val="20"/>
                <w:szCs w:val="20"/>
                <w:color w:val="auto"/>
              </w:rPr>
            </w:pPr>
            <w:r>
              <w:rPr>
                <w:rFonts w:ascii="Arial" w:cs="Arial" w:eastAsia="Arial" w:hAnsi="Arial"/>
                <w:sz w:val="19"/>
                <w:szCs w:val="19"/>
                <w:color w:val="auto"/>
              </w:rPr>
              <w:t>No.</w:t>
            </w:r>
          </w:p>
        </w:tc>
        <w:tc>
          <w:tcPr>
            <w:tcW w:w="1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Borders>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625080" cy="22364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5080" cy="223647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vMerge w:val="restart"/>
          </w:tcPr>
          <w:p>
            <w:pPr>
              <w:jc w:val="right"/>
              <w:ind w:right="9"/>
              <w:spacing w:after="0"/>
              <w:rPr>
                <w:sz w:val="20"/>
                <w:szCs w:val="20"/>
                <w:color w:val="auto"/>
              </w:rPr>
            </w:pPr>
            <w:r>
              <w:rPr>
                <w:rFonts w:ascii="Arial" w:cs="Arial" w:eastAsia="Arial" w:hAnsi="Arial"/>
                <w:sz w:val="34"/>
                <w:szCs w:val="34"/>
                <w:b w:val="1"/>
                <w:bCs w:val="1"/>
                <w:color w:val="auto"/>
              </w:rPr>
              <w:t>1</w:t>
            </w: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NAMES OF REPORTING PERSONS</w:t>
            </w:r>
          </w:p>
        </w:tc>
        <w:tc>
          <w:tcPr>
            <w:tcW w:w="0" w:type="dxa"/>
            <w:vAlign w:val="bottom"/>
          </w:tcPr>
          <w:p>
            <w:pPr>
              <w:spacing w:after="0"/>
              <w:rPr>
                <w:sz w:val="1"/>
                <w:szCs w:val="1"/>
                <w:color w:val="auto"/>
              </w:rPr>
            </w:pPr>
          </w:p>
        </w:tc>
      </w:tr>
      <w:tr>
        <w:trPr>
          <w:trHeight w:val="257"/>
        </w:trPr>
        <w:tc>
          <w:tcPr>
            <w:tcW w:w="580" w:type="dxa"/>
            <w:vAlign w:val="bottom"/>
            <w:vMerge w:val="continue"/>
          </w:tcPr>
          <w:p>
            <w:pPr>
              <w:spacing w:after="0"/>
              <w:rPr>
                <w:sz w:val="22"/>
                <w:szCs w:val="22"/>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I.R.S. IDENTIFICATION NOS. OF ABOVE PERSONS (ENTITIES ONLY)</w:t>
            </w:r>
          </w:p>
        </w:tc>
        <w:tc>
          <w:tcPr>
            <w:tcW w:w="0" w:type="dxa"/>
            <w:vAlign w:val="bottom"/>
          </w:tcPr>
          <w:p>
            <w:pPr>
              <w:spacing w:after="0"/>
              <w:rPr>
                <w:sz w:val="1"/>
                <w:szCs w:val="1"/>
                <w:color w:val="auto"/>
              </w:rPr>
            </w:pPr>
          </w:p>
        </w:tc>
      </w:tr>
      <w:tr>
        <w:trPr>
          <w:trHeight w:val="251"/>
        </w:trPr>
        <w:tc>
          <w:tcPr>
            <w:tcW w:w="580" w:type="dxa"/>
            <w:vAlign w:val="bottom"/>
            <w:tcBorders>
              <w:bottom w:val="single" w:sz="8" w:color="auto"/>
            </w:tcBorders>
          </w:tcPr>
          <w:p>
            <w:pPr>
              <w:spacing w:after="0"/>
              <w:rPr>
                <w:sz w:val="21"/>
                <w:szCs w:val="21"/>
                <w:color w:val="auto"/>
              </w:rPr>
            </w:pPr>
          </w:p>
        </w:tc>
        <w:tc>
          <w:tcPr>
            <w:tcW w:w="11420" w:type="dxa"/>
            <w:vAlign w:val="bottom"/>
            <w:tcBorders>
              <w:bottom w:val="single" w:sz="8" w:color="auto"/>
            </w:tcBorders>
            <w:gridSpan w:val="2"/>
          </w:tcPr>
          <w:p>
            <w:pPr>
              <w:ind w:left="200"/>
              <w:spacing w:after="0"/>
              <w:rPr>
                <w:sz w:val="20"/>
                <w:szCs w:val="20"/>
                <w:color w:val="auto"/>
              </w:rPr>
            </w:pPr>
            <w:r>
              <w:rPr>
                <w:rFonts w:ascii="Arial" w:cs="Arial" w:eastAsia="Arial" w:hAnsi="Arial"/>
                <w:sz w:val="19"/>
                <w:szCs w:val="19"/>
                <w:color w:val="auto"/>
              </w:rPr>
              <w:t>Neuberger Berman Group LLC</w:t>
            </w: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CHECK THE APPROPRIATE BOX IF A MEMBER OF A GROUP (SEE INSTRUCTIONS)</w:t>
            </w:r>
          </w:p>
        </w:tc>
        <w:tc>
          <w:tcPr>
            <w:tcW w:w="0" w:type="dxa"/>
            <w:vAlign w:val="bottom"/>
          </w:tcPr>
          <w:p>
            <w:pPr>
              <w:spacing w:after="0"/>
              <w:rPr>
                <w:sz w:val="1"/>
                <w:szCs w:val="1"/>
                <w:color w:val="auto"/>
              </w:rPr>
            </w:pPr>
          </w:p>
        </w:tc>
      </w:tr>
      <w:tr>
        <w:trPr>
          <w:trHeight w:val="485"/>
        </w:trPr>
        <w:tc>
          <w:tcPr>
            <w:tcW w:w="580" w:type="dxa"/>
            <w:vAlign w:val="bottom"/>
            <w:vMerge w:val="restart"/>
          </w:tcPr>
          <w:p>
            <w:pPr>
              <w:jc w:val="right"/>
              <w:ind w:right="9"/>
              <w:spacing w:after="0"/>
              <w:rPr>
                <w:sz w:val="20"/>
                <w:szCs w:val="20"/>
                <w:color w:val="auto"/>
              </w:rPr>
            </w:pPr>
            <w:r>
              <w:rPr>
                <w:rFonts w:ascii="Arial" w:cs="Arial" w:eastAsia="Arial" w:hAnsi="Arial"/>
                <w:sz w:val="34"/>
                <w:szCs w:val="34"/>
                <w:b w:val="1"/>
                <w:bCs w:val="1"/>
                <w:color w:val="auto"/>
              </w:rPr>
              <w:t>2</w:t>
            </w:r>
          </w:p>
        </w:tc>
        <w:tc>
          <w:tcPr>
            <w:tcW w:w="480" w:type="dxa"/>
            <w:vAlign w:val="bottom"/>
          </w:tcPr>
          <w:p>
            <w:pPr>
              <w:ind w:left="200"/>
              <w:spacing w:after="0"/>
              <w:rPr>
                <w:sz w:val="20"/>
                <w:szCs w:val="20"/>
                <w:color w:val="auto"/>
              </w:rPr>
            </w:pPr>
            <w:r>
              <w:rPr>
                <w:rFonts w:ascii="Arial" w:cs="Arial" w:eastAsia="Arial" w:hAnsi="Arial"/>
                <w:sz w:val="19"/>
                <w:szCs w:val="19"/>
                <w:color w:val="auto"/>
              </w:rPr>
              <w:t>(a)</w:t>
            </w:r>
          </w:p>
        </w:tc>
        <w:tc>
          <w:tcPr>
            <w:tcW w:w="10940" w:type="dxa"/>
            <w:vAlign w:val="bottom"/>
          </w:tcPr>
          <w:p>
            <w:pPr>
              <w:ind w:left="8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272"/>
        </w:trPr>
        <w:tc>
          <w:tcPr>
            <w:tcW w:w="58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(b)</w:t>
            </w:r>
          </w:p>
        </w:tc>
        <w:tc>
          <w:tcPr>
            <w:tcW w:w="1094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x</w:t>
            </w: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29"/>
        </w:trPr>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34"/>
                <w:szCs w:val="34"/>
                <w:b w:val="1"/>
                <w:bCs w:val="1"/>
                <w:color w:val="auto"/>
              </w:rPr>
              <w:t>3</w:t>
            </w:r>
          </w:p>
        </w:tc>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780" w:hanging="551"/>
        <w:spacing w:after="0"/>
        <w:tabs>
          <w:tab w:leader="none" w:pos="780" w:val="left"/>
        </w:tabs>
        <w:numPr>
          <w:ilvl w:val="0"/>
          <w:numId w:val="2"/>
        </w:numPr>
        <w:rPr>
          <w:rFonts w:ascii="Arial" w:cs="Arial" w:eastAsia="Arial" w:hAnsi="Arial"/>
          <w:sz w:val="34"/>
          <w:szCs w:val="34"/>
          <w:b w:val="1"/>
          <w:bCs w:val="1"/>
          <w:color w:val="auto"/>
        </w:rPr>
      </w:pPr>
      <w:r>
        <w:rPr>
          <w:rFonts w:ascii="Arial" w:cs="Arial" w:eastAsia="Arial" w:hAnsi="Arial"/>
          <w:sz w:val="19"/>
          <w:szCs w:val="19"/>
          <w:color w:val="auto"/>
        </w:rPr>
        <w:t>Delaware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42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10000" w:type="dxa"/>
            <w:vAlign w:val="bottom"/>
            <w:tcBorders>
              <w:top w:val="single" w:sz="8" w:color="auto"/>
            </w:tcBorders>
          </w:tcPr>
          <w:p>
            <w:pPr>
              <w:ind w:left="12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29"/>
        </w:trPr>
        <w:tc>
          <w:tcPr>
            <w:tcW w:w="1420" w:type="dxa"/>
            <w:vAlign w:val="bottom"/>
            <w:tcBorders>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34"/>
                <w:szCs w:val="34"/>
                <w:b w:val="1"/>
                <w:bCs w:val="1"/>
                <w:color w:val="auto"/>
              </w:rPr>
              <w:t>5</w:t>
            </w:r>
          </w:p>
        </w:tc>
        <w:tc>
          <w:tcPr>
            <w:tcW w:w="1000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8"/>
        </w:trPr>
        <w:tc>
          <w:tcPr>
            <w:tcW w:w="14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529"/>
        </w:trPr>
        <w:tc>
          <w:tcPr>
            <w:tcW w:w="1420" w:type="dxa"/>
            <w:vAlign w:val="bottom"/>
            <w:tcBorders>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34"/>
                <w:szCs w:val="34"/>
                <w:b w:val="1"/>
                <w:bCs w:val="1"/>
                <w:color w:val="auto"/>
              </w:rPr>
              <w:t>6</w:t>
            </w:r>
          </w:p>
        </w:tc>
        <w:tc>
          <w:tcPr>
            <w:tcW w:w="1000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4913981</w:t>
            </w: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NUMBER OF</w:t>
            </w:r>
          </w:p>
        </w:tc>
        <w:tc>
          <w:tcPr>
            <w:tcW w:w="580" w:type="dxa"/>
            <w:vAlign w:val="bottom"/>
            <w:tcBorders>
              <w:right w:val="single" w:sz="8" w:color="auto"/>
            </w:tcBorders>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SHARES</w:t>
            </w:r>
          </w:p>
        </w:tc>
        <w:tc>
          <w:tcPr>
            <w:tcW w:w="58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34"/>
                <w:szCs w:val="34"/>
                <w:b w:val="1"/>
                <w:bCs w:val="1"/>
                <w:color w:val="auto"/>
              </w:rPr>
              <w:t>7</w:t>
            </w: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BENEFICIALLY</w:t>
            </w:r>
          </w:p>
        </w:tc>
        <w:tc>
          <w:tcPr>
            <w:tcW w:w="580" w:type="dxa"/>
            <w:vAlign w:val="bottom"/>
            <w:tcBorders>
              <w:right w:val="single" w:sz="8" w:color="auto"/>
            </w:tcBorders>
            <w:vMerge w:val="continue"/>
          </w:tcPr>
          <w:p>
            <w:pPr>
              <w:spacing w:after="0"/>
              <w:rPr>
                <w:sz w:val="21"/>
                <w:szCs w:val="21"/>
                <w:color w:val="auto"/>
              </w:rPr>
            </w:pPr>
          </w:p>
        </w:tc>
        <w:tc>
          <w:tcPr>
            <w:tcW w:w="10000" w:type="dxa"/>
            <w:vAlign w:val="bottom"/>
          </w:tcPr>
          <w:p>
            <w:pPr>
              <w:ind w:left="1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98"/>
        </w:trPr>
        <w:tc>
          <w:tcPr>
            <w:tcW w:w="1420" w:type="dxa"/>
            <w:vAlign w:val="bottom"/>
            <w:tcBorders>
              <w:right w:val="single" w:sz="8" w:color="auto"/>
            </w:tcBorders>
            <w:vMerge w:val="restart"/>
          </w:tcPr>
          <w:p>
            <w:pPr>
              <w:jc w:val="center"/>
              <w:spacing w:after="0" w:line="213" w:lineRule="exact"/>
              <w:rPr>
                <w:sz w:val="20"/>
                <w:szCs w:val="20"/>
                <w:color w:val="auto"/>
              </w:rPr>
            </w:pPr>
            <w:r>
              <w:rPr>
                <w:rFonts w:ascii="Arial" w:cs="Arial" w:eastAsia="Arial" w:hAnsi="Arial"/>
                <w:sz w:val="19"/>
                <w:szCs w:val="19"/>
                <w:color w:val="auto"/>
                <w:w w:val="96"/>
              </w:rPr>
              <w:t>OWNED BY</w:t>
            </w:r>
          </w:p>
        </w:tc>
        <w:tc>
          <w:tcPr>
            <w:tcW w:w="580" w:type="dxa"/>
            <w:vAlign w:val="bottom"/>
            <w:tcBorders>
              <w:bottom w:val="single" w:sz="8" w:color="auto"/>
              <w:right w:val="single" w:sz="8" w:color="auto"/>
            </w:tcBorders>
          </w:tcPr>
          <w:p>
            <w:pPr>
              <w:spacing w:after="0"/>
              <w:rPr>
                <w:sz w:val="8"/>
                <w:szCs w:val="8"/>
                <w:color w:val="auto"/>
              </w:rPr>
            </w:pPr>
          </w:p>
        </w:tc>
        <w:tc>
          <w:tcPr>
            <w:tcW w:w="10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20" w:type="dxa"/>
            <w:vAlign w:val="bottom"/>
            <w:tcBorders>
              <w:right w:val="single" w:sz="8" w:color="auto"/>
            </w:tcBorders>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00" w:type="dxa"/>
            <w:vAlign w:val="bottom"/>
            <w:vMerge w:val="restart"/>
          </w:tcPr>
          <w:p>
            <w:pPr>
              <w:ind w:left="12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580" w:type="dxa"/>
            <w:vAlign w:val="bottom"/>
            <w:tcBorders>
              <w:right w:val="single" w:sz="8" w:color="auto"/>
            </w:tcBorders>
          </w:tcPr>
          <w:p>
            <w:pPr>
              <w:spacing w:after="0"/>
              <w:rPr>
                <w:sz w:val="19"/>
                <w:szCs w:val="19"/>
                <w:color w:val="auto"/>
              </w:rPr>
            </w:pPr>
          </w:p>
        </w:tc>
        <w:tc>
          <w:tcPr>
            <w:tcW w:w="10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REPORTING</w:t>
            </w:r>
          </w:p>
        </w:tc>
        <w:tc>
          <w:tcPr>
            <w:tcW w:w="58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34"/>
                <w:szCs w:val="34"/>
                <w:b w:val="1"/>
                <w:bCs w:val="1"/>
                <w:color w:val="auto"/>
              </w:rPr>
              <w:t>8</w:t>
            </w: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PERSON WITH:</w:t>
            </w:r>
          </w:p>
        </w:tc>
        <w:tc>
          <w:tcPr>
            <w:tcW w:w="580" w:type="dxa"/>
            <w:vAlign w:val="bottom"/>
            <w:tcBorders>
              <w:bottom w:val="single" w:sz="8" w:color="auto"/>
              <w:right w:val="single" w:sz="8" w:color="auto"/>
            </w:tcBorders>
            <w:vMerge w:val="continue"/>
          </w:tcPr>
          <w:p>
            <w:pPr>
              <w:spacing w:after="0"/>
              <w:rPr>
                <w:sz w:val="22"/>
                <w:szCs w:val="22"/>
                <w:color w:val="auto"/>
              </w:rPr>
            </w:pPr>
          </w:p>
        </w:tc>
        <w:tc>
          <w:tcPr>
            <w:tcW w:w="1000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5034681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625080" cy="2110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25080" cy="2110105"/>
                    </a:xfrm>
                    <a:prstGeom prst="rect">
                      <a:avLst/>
                    </a:prstGeom>
                    <a:noFill/>
                  </pic:spPr>
                </pic:pic>
              </a:graphicData>
            </a:graphic>
          </wp:anchor>
        </w:drawing>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AGGREGATE AMOUNT BENEFICIALLY OWNED BY EACH REPORTING PERSON</w:t>
      </w:r>
    </w:p>
    <w:p>
      <w:pPr>
        <w:spacing w:after="0" w:line="145" w:lineRule="exact"/>
        <w:rPr>
          <w:sz w:val="20"/>
          <w:szCs w:val="20"/>
          <w:color w:val="auto"/>
        </w:rPr>
      </w:pPr>
    </w:p>
    <w:p>
      <w:pPr>
        <w:ind w:left="780" w:hanging="551"/>
        <w:spacing w:after="0"/>
        <w:tabs>
          <w:tab w:leader="none" w:pos="780" w:val="left"/>
        </w:tabs>
        <w:numPr>
          <w:ilvl w:val="0"/>
          <w:numId w:val="3"/>
        </w:numPr>
        <w:rPr>
          <w:rFonts w:ascii="Arial" w:cs="Arial" w:eastAsia="Arial" w:hAnsi="Arial"/>
          <w:sz w:val="34"/>
          <w:szCs w:val="34"/>
          <w:b w:val="1"/>
          <w:bCs w:val="1"/>
          <w:color w:val="auto"/>
        </w:rPr>
      </w:pPr>
      <w:r>
        <w:rPr>
          <w:rFonts w:ascii="Arial" w:cs="Arial" w:eastAsia="Arial" w:hAnsi="Arial"/>
          <w:sz w:val="19"/>
          <w:szCs w:val="19"/>
          <w:color w:val="auto"/>
        </w:rPr>
        <w:t>5034681</w:t>
      </w:r>
    </w:p>
    <w:p>
      <w:pPr>
        <w:spacing w:after="0" w:line="72" w:lineRule="exact"/>
        <w:rPr>
          <w:rFonts w:ascii="Arial" w:cs="Arial" w:eastAsia="Arial" w:hAnsi="Arial"/>
          <w:sz w:val="34"/>
          <w:szCs w:val="34"/>
          <w:b w:val="1"/>
          <w:bCs w:val="1"/>
          <w:color w:val="auto"/>
        </w:rPr>
      </w:pPr>
    </w:p>
    <w:p>
      <w:pPr>
        <w:ind w:left="780"/>
        <w:spacing w:after="0"/>
        <w:rPr>
          <w:rFonts w:ascii="Arial" w:cs="Arial" w:eastAsia="Arial" w:hAnsi="Arial"/>
          <w:sz w:val="34"/>
          <w:szCs w:val="34"/>
          <w:b w:val="1"/>
          <w:bCs w:val="1"/>
          <w:color w:val="auto"/>
        </w:rPr>
      </w:pPr>
      <w:r>
        <w:rPr>
          <w:rFonts w:ascii="Arial" w:cs="Arial" w:eastAsia="Arial" w:hAnsi="Arial"/>
          <w:sz w:val="19"/>
          <w:szCs w:val="19"/>
          <w:color w:val="auto"/>
        </w:rPr>
        <w:t>CHECK IF THE AGGREGATE AMOUNT IN ROW (9) EXCLUDES CERTAIN SHARES (SEE INSTRUCTIONS)</w:t>
      </w:r>
    </w:p>
    <w:p>
      <w:pPr>
        <w:spacing w:after="0" w:line="10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34"/>
          <w:szCs w:val="34"/>
          <w:b w:val="1"/>
          <w:bCs w:val="1"/>
          <w:color w:val="auto"/>
        </w:rPr>
        <w:t>10</w:t>
      </w:r>
      <w:r>
        <w:rPr>
          <w:sz w:val="20"/>
          <w:szCs w:val="20"/>
          <w:color w:val="auto"/>
        </w:rPr>
        <w:tab/>
      </w:r>
      <w:r>
        <w:rPr>
          <w:rFonts w:ascii="Arial" w:cs="Arial" w:eastAsia="Arial" w:hAnsi="Arial"/>
          <w:sz w:val="19"/>
          <w:szCs w:val="19"/>
          <w:color w:val="auto"/>
        </w:rPr>
        <w:t>x</w:t>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9"/>
          <w:szCs w:val="19"/>
          <w:color w:val="auto"/>
        </w:rPr>
        <w:t>PERCENT OF CLASS REPRESENTED BY AMOUNT IN ROW (9)</w:t>
      </w:r>
    </w:p>
    <w:p>
      <w:pPr>
        <w:spacing w:after="0" w:line="107" w:lineRule="exact"/>
        <w:rPr>
          <w:sz w:val="20"/>
          <w:szCs w:val="20"/>
          <w:color w:val="auto"/>
        </w:rPr>
      </w:pPr>
    </w:p>
    <w:p>
      <w:pPr>
        <w:ind w:left="160"/>
        <w:spacing w:after="0"/>
        <w:tabs>
          <w:tab w:leader="none" w:pos="760" w:val="left"/>
        </w:tabs>
        <w:rPr>
          <w:sz w:val="20"/>
          <w:szCs w:val="20"/>
          <w:color w:val="auto"/>
        </w:rPr>
      </w:pPr>
      <w:r>
        <w:rPr>
          <w:rFonts w:ascii="Arial" w:cs="Arial" w:eastAsia="Arial" w:hAnsi="Arial"/>
          <w:sz w:val="34"/>
          <w:szCs w:val="34"/>
          <w:b w:val="1"/>
          <w:bCs w:val="1"/>
          <w:color w:val="auto"/>
        </w:rPr>
        <w:t>11</w:t>
      </w:r>
      <w:r>
        <w:rPr>
          <w:sz w:val="20"/>
          <w:szCs w:val="20"/>
          <w:color w:val="auto"/>
        </w:rPr>
        <w:tab/>
      </w:r>
      <w:r>
        <w:rPr>
          <w:rFonts w:ascii="Arial" w:cs="Arial" w:eastAsia="Arial" w:hAnsi="Arial"/>
          <w:sz w:val="16"/>
          <w:szCs w:val="16"/>
          <w:color w:val="auto"/>
        </w:rPr>
        <w:t>6.89%</w:t>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9"/>
          <w:szCs w:val="19"/>
          <w:color w:val="auto"/>
        </w:rPr>
        <w:t>TYPE OF REPORTING PERSON (SEE INSTRUCTIONS)</w:t>
      </w:r>
    </w:p>
    <w:p>
      <w:pPr>
        <w:spacing w:after="0" w:line="10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34"/>
          <w:szCs w:val="34"/>
          <w:b w:val="1"/>
          <w:bCs w:val="1"/>
          <w:color w:val="auto"/>
        </w:rPr>
        <w:t>12</w:t>
      </w:r>
      <w:r>
        <w:rPr>
          <w:sz w:val="20"/>
          <w:szCs w:val="20"/>
          <w:color w:val="auto"/>
        </w:rPr>
        <w:tab/>
      </w:r>
      <w:r>
        <w:rPr>
          <w:rFonts w:ascii="Arial" w:cs="Arial" w:eastAsia="Arial" w:hAnsi="Arial"/>
          <w:sz w:val="18"/>
          <w:szCs w:val="18"/>
          <w:color w:val="auto"/>
        </w:rPr>
        <w:t>HC</w:t>
      </w:r>
    </w:p>
    <w:p>
      <w:pPr>
        <w:spacing w:after="0" w:line="200" w:lineRule="exact"/>
        <w:rPr>
          <w:sz w:val="20"/>
          <w:szCs w:val="20"/>
          <w:color w:val="auto"/>
        </w:rPr>
      </w:pPr>
    </w:p>
    <w:p>
      <w:pPr>
        <w:spacing w:after="0" w:line="324" w:lineRule="exact"/>
        <w:rPr>
          <w:sz w:val="20"/>
          <w:szCs w:val="20"/>
          <w:color w:val="auto"/>
        </w:rPr>
      </w:pPr>
    </w:p>
    <w:p>
      <w:pPr>
        <w:ind w:left="780"/>
        <w:spacing w:after="0"/>
        <w:rPr>
          <w:sz w:val="20"/>
          <w:szCs w:val="20"/>
          <w:color w:val="auto"/>
        </w:rPr>
      </w:pPr>
      <w:r>
        <w:rPr>
          <w:rFonts w:ascii="Arial" w:cs="Arial" w:eastAsia="Arial" w:hAnsi="Arial"/>
          <w:sz w:val="19"/>
          <w:szCs w:val="19"/>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608965</wp:posOffset>
            </wp:positionV>
            <wp:extent cx="7650480" cy="43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0"/>
          </w:cols>
          <w:pgMar w:left="120" w:top="390" w:right="12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7"/>
        </w:trPr>
        <w:tc>
          <w:tcPr>
            <w:tcW w:w="860" w:type="dxa"/>
            <w:vAlign w:val="bottom"/>
            <w:tcBorders>
              <w:right w:val="single" w:sz="8" w:color="auto"/>
            </w:tcBorders>
          </w:tcPr>
          <w:p>
            <w:pPr>
              <w:spacing w:after="0" w:line="217" w:lineRule="exact"/>
              <w:rPr>
                <w:sz w:val="20"/>
                <w:szCs w:val="20"/>
                <w:color w:val="auto"/>
              </w:rPr>
            </w:pPr>
            <w:r>
              <w:rPr>
                <w:rFonts w:ascii="Arial" w:cs="Arial" w:eastAsia="Arial" w:hAnsi="Arial"/>
                <w:sz w:val="19"/>
                <w:szCs w:val="19"/>
                <w:color w:val="auto"/>
              </w:rPr>
              <w:t>CUSIP</w:t>
            </w:r>
          </w:p>
        </w:tc>
        <w:tc>
          <w:tcPr>
            <w:tcW w:w="120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9"/>
                <w:szCs w:val="19"/>
                <w:color w:val="auto"/>
              </w:rPr>
              <w:t>18539C105</w:t>
            </w:r>
          </w:p>
        </w:tc>
        <w:tc>
          <w:tcPr>
            <w:tcW w:w="0" w:type="dxa"/>
            <w:vAlign w:val="bottom"/>
          </w:tcPr>
          <w:p>
            <w:pPr>
              <w:spacing w:after="0"/>
              <w:rPr>
                <w:sz w:val="1"/>
                <w:szCs w:val="1"/>
                <w:color w:val="auto"/>
              </w:rPr>
            </w:pPr>
          </w:p>
        </w:tc>
      </w:tr>
      <w:tr>
        <w:trPr>
          <w:trHeight w:val="127"/>
        </w:trPr>
        <w:tc>
          <w:tcPr>
            <w:tcW w:w="860" w:type="dxa"/>
            <w:vAlign w:val="bottom"/>
            <w:tcBorders>
              <w:right w:val="single" w:sz="8" w:color="auto"/>
            </w:tcBorders>
            <w:vMerge w:val="restart"/>
          </w:tcPr>
          <w:p>
            <w:pPr>
              <w:spacing w:after="0"/>
              <w:rPr>
                <w:sz w:val="20"/>
                <w:szCs w:val="20"/>
                <w:color w:val="auto"/>
              </w:rPr>
            </w:pPr>
            <w:r>
              <w:rPr>
                <w:rFonts w:ascii="Arial" w:cs="Arial" w:eastAsia="Arial" w:hAnsi="Arial"/>
                <w:sz w:val="19"/>
                <w:szCs w:val="19"/>
                <w:color w:val="auto"/>
              </w:rPr>
              <w:t>No.</w:t>
            </w:r>
          </w:p>
        </w:tc>
        <w:tc>
          <w:tcPr>
            <w:tcW w:w="12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860" w:type="dxa"/>
            <w:vAlign w:val="bottom"/>
            <w:tcBorders>
              <w:right w:val="single" w:sz="8" w:color="auto"/>
            </w:tcBorders>
            <w:vMerge w:val="continue"/>
          </w:tcPr>
          <w:p>
            <w:pPr>
              <w:spacing w:after="0"/>
              <w:rPr>
                <w:sz w:val="8"/>
                <w:szCs w:val="8"/>
                <w:color w:val="auto"/>
              </w:rPr>
            </w:pPr>
          </w:p>
        </w:tc>
        <w:tc>
          <w:tcPr>
            <w:tcW w:w="12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625080" cy="22364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5080" cy="2236470"/>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vMerge w:val="restart"/>
          </w:tcPr>
          <w:p>
            <w:pPr>
              <w:jc w:val="right"/>
              <w:ind w:right="9"/>
              <w:spacing w:after="0"/>
              <w:rPr>
                <w:sz w:val="20"/>
                <w:szCs w:val="20"/>
                <w:color w:val="auto"/>
              </w:rPr>
            </w:pPr>
            <w:r>
              <w:rPr>
                <w:rFonts w:ascii="Arial" w:cs="Arial" w:eastAsia="Arial" w:hAnsi="Arial"/>
                <w:sz w:val="34"/>
                <w:szCs w:val="34"/>
                <w:b w:val="1"/>
                <w:bCs w:val="1"/>
                <w:color w:val="auto"/>
              </w:rPr>
              <w:t>1</w:t>
            </w: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NAMES OF REPORTING PERSONS</w:t>
            </w:r>
          </w:p>
        </w:tc>
        <w:tc>
          <w:tcPr>
            <w:tcW w:w="0" w:type="dxa"/>
            <w:vAlign w:val="bottom"/>
          </w:tcPr>
          <w:p>
            <w:pPr>
              <w:spacing w:after="0"/>
              <w:rPr>
                <w:sz w:val="1"/>
                <w:szCs w:val="1"/>
                <w:color w:val="auto"/>
              </w:rPr>
            </w:pPr>
          </w:p>
        </w:tc>
      </w:tr>
      <w:tr>
        <w:trPr>
          <w:trHeight w:val="257"/>
        </w:trPr>
        <w:tc>
          <w:tcPr>
            <w:tcW w:w="580" w:type="dxa"/>
            <w:vAlign w:val="bottom"/>
            <w:vMerge w:val="continue"/>
          </w:tcPr>
          <w:p>
            <w:pPr>
              <w:spacing w:after="0"/>
              <w:rPr>
                <w:sz w:val="22"/>
                <w:szCs w:val="22"/>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I.R.S. IDENTIFICATION NOS. OF ABOVE PERSONS (ENTITIES ONLY)</w:t>
            </w:r>
          </w:p>
        </w:tc>
        <w:tc>
          <w:tcPr>
            <w:tcW w:w="0" w:type="dxa"/>
            <w:vAlign w:val="bottom"/>
          </w:tcPr>
          <w:p>
            <w:pPr>
              <w:spacing w:after="0"/>
              <w:rPr>
                <w:sz w:val="1"/>
                <w:szCs w:val="1"/>
                <w:color w:val="auto"/>
              </w:rPr>
            </w:pPr>
          </w:p>
        </w:tc>
      </w:tr>
      <w:tr>
        <w:trPr>
          <w:trHeight w:val="251"/>
        </w:trPr>
        <w:tc>
          <w:tcPr>
            <w:tcW w:w="580" w:type="dxa"/>
            <w:vAlign w:val="bottom"/>
            <w:tcBorders>
              <w:bottom w:val="single" w:sz="8" w:color="auto"/>
            </w:tcBorders>
          </w:tcPr>
          <w:p>
            <w:pPr>
              <w:spacing w:after="0"/>
              <w:rPr>
                <w:sz w:val="21"/>
                <w:szCs w:val="21"/>
                <w:color w:val="auto"/>
              </w:rPr>
            </w:pPr>
          </w:p>
        </w:tc>
        <w:tc>
          <w:tcPr>
            <w:tcW w:w="11420" w:type="dxa"/>
            <w:vAlign w:val="bottom"/>
            <w:tcBorders>
              <w:bottom w:val="single" w:sz="8" w:color="auto"/>
            </w:tcBorders>
            <w:gridSpan w:val="2"/>
          </w:tcPr>
          <w:p>
            <w:pPr>
              <w:ind w:left="200"/>
              <w:spacing w:after="0"/>
              <w:rPr>
                <w:sz w:val="20"/>
                <w:szCs w:val="20"/>
                <w:color w:val="auto"/>
              </w:rPr>
            </w:pPr>
            <w:r>
              <w:rPr>
                <w:rFonts w:ascii="Arial" w:cs="Arial" w:eastAsia="Arial" w:hAnsi="Arial"/>
                <w:sz w:val="19"/>
                <w:szCs w:val="19"/>
                <w:color w:val="auto"/>
              </w:rPr>
              <w:t>Neuberger Berman Investment Advisers LLC</w:t>
            </w:r>
          </w:p>
        </w:tc>
        <w:tc>
          <w:tcPr>
            <w:tcW w:w="0" w:type="dxa"/>
            <w:vAlign w:val="bottom"/>
          </w:tcPr>
          <w:p>
            <w:pPr>
              <w:spacing w:after="0"/>
              <w:rPr>
                <w:sz w:val="1"/>
                <w:szCs w:val="1"/>
                <w:color w:val="auto"/>
              </w:rPr>
            </w:pPr>
          </w:p>
        </w:tc>
      </w:tr>
      <w:tr>
        <w:trPr>
          <w:trHeight w:val="284"/>
        </w:trPr>
        <w:tc>
          <w:tcPr>
            <w:tcW w:w="580" w:type="dxa"/>
            <w:vAlign w:val="bottom"/>
          </w:tcPr>
          <w:p>
            <w:pPr>
              <w:spacing w:after="0"/>
              <w:rPr>
                <w:sz w:val="24"/>
                <w:szCs w:val="24"/>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CHECK THE APPROPRIATE BOX IF A MEMBER OF A GROUP (SEE INSTRUCTIONS)</w:t>
            </w:r>
          </w:p>
        </w:tc>
        <w:tc>
          <w:tcPr>
            <w:tcW w:w="0" w:type="dxa"/>
            <w:vAlign w:val="bottom"/>
          </w:tcPr>
          <w:p>
            <w:pPr>
              <w:spacing w:after="0"/>
              <w:rPr>
                <w:sz w:val="1"/>
                <w:szCs w:val="1"/>
                <w:color w:val="auto"/>
              </w:rPr>
            </w:pPr>
          </w:p>
        </w:tc>
      </w:tr>
      <w:tr>
        <w:trPr>
          <w:trHeight w:val="485"/>
        </w:trPr>
        <w:tc>
          <w:tcPr>
            <w:tcW w:w="580" w:type="dxa"/>
            <w:vAlign w:val="bottom"/>
            <w:vMerge w:val="restart"/>
          </w:tcPr>
          <w:p>
            <w:pPr>
              <w:jc w:val="right"/>
              <w:ind w:right="9"/>
              <w:spacing w:after="0"/>
              <w:rPr>
                <w:sz w:val="20"/>
                <w:szCs w:val="20"/>
                <w:color w:val="auto"/>
              </w:rPr>
            </w:pPr>
            <w:r>
              <w:rPr>
                <w:rFonts w:ascii="Arial" w:cs="Arial" w:eastAsia="Arial" w:hAnsi="Arial"/>
                <w:sz w:val="34"/>
                <w:szCs w:val="34"/>
                <w:b w:val="1"/>
                <w:bCs w:val="1"/>
                <w:color w:val="auto"/>
              </w:rPr>
              <w:t>2</w:t>
            </w:r>
          </w:p>
        </w:tc>
        <w:tc>
          <w:tcPr>
            <w:tcW w:w="480" w:type="dxa"/>
            <w:vAlign w:val="bottom"/>
          </w:tcPr>
          <w:p>
            <w:pPr>
              <w:ind w:left="200"/>
              <w:spacing w:after="0"/>
              <w:rPr>
                <w:sz w:val="20"/>
                <w:szCs w:val="20"/>
                <w:color w:val="auto"/>
              </w:rPr>
            </w:pPr>
            <w:r>
              <w:rPr>
                <w:rFonts w:ascii="Arial" w:cs="Arial" w:eastAsia="Arial" w:hAnsi="Arial"/>
                <w:sz w:val="19"/>
                <w:szCs w:val="19"/>
                <w:color w:val="auto"/>
              </w:rPr>
              <w:t>(a)</w:t>
            </w:r>
          </w:p>
        </w:tc>
        <w:tc>
          <w:tcPr>
            <w:tcW w:w="10940" w:type="dxa"/>
            <w:vAlign w:val="bottom"/>
          </w:tcPr>
          <w:p>
            <w:pPr>
              <w:ind w:left="80"/>
              <w:spacing w:after="0"/>
              <w:rPr>
                <w:sz w:val="20"/>
                <w:szCs w:val="20"/>
                <w:color w:val="auto"/>
              </w:rPr>
            </w:pPr>
            <w:r>
              <w:rPr>
                <w:rFonts w:ascii="Arial" w:cs="Arial" w:eastAsia="Arial" w:hAnsi="Arial"/>
                <w:sz w:val="19"/>
                <w:szCs w:val="19"/>
                <w:color w:val="auto"/>
              </w:rPr>
              <w:t>o</w:t>
            </w:r>
          </w:p>
        </w:tc>
        <w:tc>
          <w:tcPr>
            <w:tcW w:w="0" w:type="dxa"/>
            <w:vAlign w:val="bottom"/>
          </w:tcPr>
          <w:p>
            <w:pPr>
              <w:spacing w:after="0"/>
              <w:rPr>
                <w:sz w:val="1"/>
                <w:szCs w:val="1"/>
                <w:color w:val="auto"/>
              </w:rPr>
            </w:pPr>
          </w:p>
        </w:tc>
      </w:tr>
      <w:tr>
        <w:trPr>
          <w:trHeight w:val="272"/>
        </w:trPr>
        <w:tc>
          <w:tcPr>
            <w:tcW w:w="580" w:type="dxa"/>
            <w:vAlign w:val="bottom"/>
            <w:tcBorders>
              <w:bottom w:val="single" w:sz="8" w:color="auto"/>
            </w:tcBorders>
            <w:vMerge w:val="continue"/>
          </w:tcPr>
          <w:p>
            <w:pPr>
              <w:spacing w:after="0"/>
              <w:rPr>
                <w:sz w:val="23"/>
                <w:szCs w:val="23"/>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9"/>
                <w:szCs w:val="19"/>
                <w:color w:val="auto"/>
              </w:rPr>
              <w:t>(b)</w:t>
            </w:r>
          </w:p>
        </w:tc>
        <w:tc>
          <w:tcPr>
            <w:tcW w:w="10940" w:type="dxa"/>
            <w:vAlign w:val="bottom"/>
            <w:tcBorders>
              <w:bottom w:val="single" w:sz="8" w:color="auto"/>
            </w:tcBorders>
          </w:tcPr>
          <w:p>
            <w:pPr>
              <w:ind w:left="80"/>
              <w:spacing w:after="0"/>
              <w:rPr>
                <w:sz w:val="20"/>
                <w:szCs w:val="20"/>
                <w:color w:val="auto"/>
              </w:rPr>
            </w:pPr>
            <w:r>
              <w:rPr>
                <w:rFonts w:ascii="Arial" w:cs="Arial" w:eastAsia="Arial" w:hAnsi="Arial"/>
                <w:sz w:val="19"/>
                <w:szCs w:val="19"/>
                <w:color w:val="auto"/>
              </w:rPr>
              <w:t>x</w:t>
            </w: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SEC USE ONLY</w:t>
            </w:r>
          </w:p>
        </w:tc>
        <w:tc>
          <w:tcPr>
            <w:tcW w:w="0" w:type="dxa"/>
            <w:vAlign w:val="bottom"/>
          </w:tcPr>
          <w:p>
            <w:pPr>
              <w:spacing w:after="0"/>
              <w:rPr>
                <w:sz w:val="1"/>
                <w:szCs w:val="1"/>
                <w:color w:val="auto"/>
              </w:rPr>
            </w:pPr>
          </w:p>
        </w:tc>
      </w:tr>
      <w:tr>
        <w:trPr>
          <w:trHeight w:val="529"/>
        </w:trPr>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34"/>
                <w:szCs w:val="34"/>
                <w:b w:val="1"/>
                <w:bCs w:val="1"/>
                <w:color w:val="auto"/>
              </w:rPr>
              <w:t>3</w:t>
            </w:r>
          </w:p>
        </w:tc>
        <w:tc>
          <w:tcPr>
            <w:tcW w:w="480" w:type="dxa"/>
            <w:vAlign w:val="bottom"/>
            <w:tcBorders>
              <w:bottom w:val="single" w:sz="8" w:color="auto"/>
            </w:tcBorders>
          </w:tcPr>
          <w:p>
            <w:pPr>
              <w:spacing w:after="0"/>
              <w:rPr>
                <w:sz w:val="24"/>
                <w:szCs w:val="24"/>
                <w:color w:val="auto"/>
              </w:rPr>
            </w:pPr>
          </w:p>
        </w:tc>
        <w:tc>
          <w:tcPr>
            <w:tcW w:w="10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80" w:type="dxa"/>
            <w:vAlign w:val="bottom"/>
          </w:tcPr>
          <w:p>
            <w:pPr>
              <w:spacing w:after="0"/>
              <w:rPr>
                <w:sz w:val="24"/>
                <w:szCs w:val="24"/>
                <w:color w:val="auto"/>
              </w:rPr>
            </w:pPr>
          </w:p>
        </w:tc>
        <w:tc>
          <w:tcPr>
            <w:tcW w:w="11420" w:type="dxa"/>
            <w:vAlign w:val="bottom"/>
            <w:gridSpan w:val="2"/>
          </w:tcPr>
          <w:p>
            <w:pPr>
              <w:ind w:left="200"/>
              <w:spacing w:after="0"/>
              <w:rPr>
                <w:sz w:val="20"/>
                <w:szCs w:val="20"/>
                <w:color w:val="auto"/>
              </w:rPr>
            </w:pPr>
            <w:r>
              <w:rPr>
                <w:rFonts w:ascii="Arial" w:cs="Arial" w:eastAsia="Arial" w:hAnsi="Arial"/>
                <w:sz w:val="19"/>
                <w:szCs w:val="19"/>
                <w:color w:val="auto"/>
              </w:rPr>
              <w:t>CITIZENSHIP OR PLACE OF ORGANIZATION</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780" w:hanging="551"/>
        <w:spacing w:after="0"/>
        <w:tabs>
          <w:tab w:leader="none" w:pos="780" w:val="left"/>
        </w:tabs>
        <w:numPr>
          <w:ilvl w:val="0"/>
          <w:numId w:val="4"/>
        </w:numPr>
        <w:rPr>
          <w:rFonts w:ascii="Arial" w:cs="Arial" w:eastAsia="Arial" w:hAnsi="Arial"/>
          <w:sz w:val="34"/>
          <w:szCs w:val="34"/>
          <w:b w:val="1"/>
          <w:bCs w:val="1"/>
          <w:color w:val="auto"/>
        </w:rPr>
      </w:pPr>
      <w:r>
        <w:rPr>
          <w:rFonts w:ascii="Arial" w:cs="Arial" w:eastAsia="Arial" w:hAnsi="Arial"/>
          <w:sz w:val="19"/>
          <w:szCs w:val="19"/>
          <w:color w:val="auto"/>
        </w:rPr>
        <w:t>Delaware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78"/>
        </w:trPr>
        <w:tc>
          <w:tcPr>
            <w:tcW w:w="1420" w:type="dxa"/>
            <w:vAlign w:val="bottom"/>
            <w:tcBorders>
              <w:top w:val="single" w:sz="8" w:color="auto"/>
              <w:right w:val="single" w:sz="8" w:color="auto"/>
            </w:tcBorders>
          </w:tcPr>
          <w:p>
            <w:pPr>
              <w:spacing w:after="0"/>
              <w:rPr>
                <w:sz w:val="24"/>
                <w:szCs w:val="24"/>
                <w:color w:val="auto"/>
              </w:rPr>
            </w:pPr>
          </w:p>
        </w:tc>
        <w:tc>
          <w:tcPr>
            <w:tcW w:w="580" w:type="dxa"/>
            <w:vAlign w:val="bottom"/>
            <w:tcBorders>
              <w:top w:val="single" w:sz="8" w:color="auto"/>
              <w:right w:val="single" w:sz="8" w:color="auto"/>
            </w:tcBorders>
          </w:tcPr>
          <w:p>
            <w:pPr>
              <w:spacing w:after="0"/>
              <w:rPr>
                <w:sz w:val="24"/>
                <w:szCs w:val="24"/>
                <w:color w:val="auto"/>
              </w:rPr>
            </w:pPr>
          </w:p>
        </w:tc>
        <w:tc>
          <w:tcPr>
            <w:tcW w:w="10000" w:type="dxa"/>
            <w:vAlign w:val="bottom"/>
            <w:tcBorders>
              <w:top w:val="single" w:sz="8" w:color="auto"/>
            </w:tcBorders>
          </w:tcPr>
          <w:p>
            <w:pPr>
              <w:ind w:left="120"/>
              <w:spacing w:after="0"/>
              <w:rPr>
                <w:sz w:val="20"/>
                <w:szCs w:val="20"/>
                <w:color w:val="auto"/>
              </w:rPr>
            </w:pPr>
            <w:r>
              <w:rPr>
                <w:rFonts w:ascii="Arial" w:cs="Arial" w:eastAsia="Arial" w:hAnsi="Arial"/>
                <w:sz w:val="19"/>
                <w:szCs w:val="19"/>
                <w:color w:val="auto"/>
              </w:rPr>
              <w:t>SOLE VOTING POWER</w:t>
            </w:r>
          </w:p>
        </w:tc>
        <w:tc>
          <w:tcPr>
            <w:tcW w:w="0" w:type="dxa"/>
            <w:vAlign w:val="bottom"/>
          </w:tcPr>
          <w:p>
            <w:pPr>
              <w:spacing w:after="0"/>
              <w:rPr>
                <w:sz w:val="1"/>
                <w:szCs w:val="1"/>
                <w:color w:val="auto"/>
              </w:rPr>
            </w:pPr>
          </w:p>
        </w:tc>
      </w:tr>
      <w:tr>
        <w:trPr>
          <w:trHeight w:val="529"/>
        </w:trPr>
        <w:tc>
          <w:tcPr>
            <w:tcW w:w="1420" w:type="dxa"/>
            <w:vAlign w:val="bottom"/>
            <w:tcBorders>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34"/>
                <w:szCs w:val="34"/>
                <w:b w:val="1"/>
                <w:bCs w:val="1"/>
                <w:color w:val="auto"/>
              </w:rPr>
              <w:t>5</w:t>
            </w:r>
          </w:p>
        </w:tc>
        <w:tc>
          <w:tcPr>
            <w:tcW w:w="1000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278"/>
        </w:trPr>
        <w:tc>
          <w:tcPr>
            <w:tcW w:w="1420" w:type="dxa"/>
            <w:vAlign w:val="bottom"/>
            <w:tcBorders>
              <w:right w:val="single" w:sz="8" w:color="auto"/>
            </w:tcBorders>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10000" w:type="dxa"/>
            <w:vAlign w:val="bottom"/>
          </w:tcPr>
          <w:p>
            <w:pPr>
              <w:ind w:left="120"/>
              <w:spacing w:after="0"/>
              <w:rPr>
                <w:sz w:val="20"/>
                <w:szCs w:val="20"/>
                <w:color w:val="auto"/>
              </w:rPr>
            </w:pPr>
            <w:r>
              <w:rPr>
                <w:rFonts w:ascii="Arial" w:cs="Arial" w:eastAsia="Arial" w:hAnsi="Arial"/>
                <w:sz w:val="19"/>
                <w:szCs w:val="19"/>
                <w:color w:val="auto"/>
              </w:rPr>
              <w:t>SHARED VOTING POWER</w:t>
            </w:r>
          </w:p>
        </w:tc>
        <w:tc>
          <w:tcPr>
            <w:tcW w:w="0" w:type="dxa"/>
            <w:vAlign w:val="bottom"/>
          </w:tcPr>
          <w:p>
            <w:pPr>
              <w:spacing w:after="0"/>
              <w:rPr>
                <w:sz w:val="1"/>
                <w:szCs w:val="1"/>
                <w:color w:val="auto"/>
              </w:rPr>
            </w:pPr>
          </w:p>
        </w:tc>
      </w:tr>
      <w:tr>
        <w:trPr>
          <w:trHeight w:val="529"/>
        </w:trPr>
        <w:tc>
          <w:tcPr>
            <w:tcW w:w="1420" w:type="dxa"/>
            <w:vAlign w:val="bottom"/>
            <w:tcBorders>
              <w:right w:val="single" w:sz="8" w:color="auto"/>
            </w:tcBorders>
          </w:tcPr>
          <w:p>
            <w:pPr>
              <w:spacing w:after="0"/>
              <w:rPr>
                <w:sz w:val="24"/>
                <w:szCs w:val="24"/>
                <w:color w:val="auto"/>
              </w:rPr>
            </w:pPr>
          </w:p>
        </w:tc>
        <w:tc>
          <w:tcPr>
            <w:tcW w:w="580" w:type="dxa"/>
            <w:vAlign w:val="bottom"/>
            <w:tcBorders>
              <w:bottom w:val="single" w:sz="8" w:color="auto"/>
              <w:right w:val="single" w:sz="8" w:color="auto"/>
            </w:tcBorders>
          </w:tcPr>
          <w:p>
            <w:pPr>
              <w:jc w:val="right"/>
              <w:ind w:right="49"/>
              <w:spacing w:after="0"/>
              <w:rPr>
                <w:sz w:val="20"/>
                <w:szCs w:val="20"/>
                <w:color w:val="auto"/>
              </w:rPr>
            </w:pPr>
            <w:r>
              <w:rPr>
                <w:rFonts w:ascii="Arial" w:cs="Arial" w:eastAsia="Arial" w:hAnsi="Arial"/>
                <w:sz w:val="34"/>
                <w:szCs w:val="34"/>
                <w:b w:val="1"/>
                <w:bCs w:val="1"/>
                <w:color w:val="auto"/>
              </w:rPr>
              <w:t>6</w:t>
            </w:r>
          </w:p>
        </w:tc>
        <w:tc>
          <w:tcPr>
            <w:tcW w:w="1000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4913981</w:t>
            </w:r>
          </w:p>
        </w:tc>
        <w:tc>
          <w:tcPr>
            <w:tcW w:w="0" w:type="dxa"/>
            <w:vAlign w:val="bottom"/>
          </w:tcPr>
          <w:p>
            <w:pPr>
              <w:spacing w:after="0"/>
              <w:rPr>
                <w:sz w:val="1"/>
                <w:szCs w:val="1"/>
                <w:color w:val="auto"/>
              </w:rPr>
            </w:pPr>
          </w:p>
        </w:tc>
      </w:tr>
      <w:tr>
        <w:trPr>
          <w:trHeight w:val="237"/>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NUMBER OF</w:t>
            </w:r>
          </w:p>
        </w:tc>
        <w:tc>
          <w:tcPr>
            <w:tcW w:w="580" w:type="dxa"/>
            <w:vAlign w:val="bottom"/>
            <w:tcBorders>
              <w:right w:val="single" w:sz="8" w:color="auto"/>
            </w:tcBorders>
          </w:tcPr>
          <w:p>
            <w:pPr>
              <w:spacing w:after="0"/>
              <w:rPr>
                <w:sz w:val="20"/>
                <w:szCs w:val="20"/>
                <w:color w:val="auto"/>
              </w:rPr>
            </w:pPr>
          </w:p>
        </w:tc>
        <w:tc>
          <w:tcPr>
            <w:tcW w:w="10000" w:type="dxa"/>
            <w:vAlign w:val="bottom"/>
          </w:tcPr>
          <w:p>
            <w:pPr>
              <w:ind w:left="120"/>
              <w:spacing w:after="0"/>
              <w:rPr>
                <w:sz w:val="20"/>
                <w:szCs w:val="20"/>
                <w:color w:val="auto"/>
              </w:rPr>
            </w:pPr>
            <w:r>
              <w:rPr>
                <w:rFonts w:ascii="Arial" w:cs="Arial" w:eastAsia="Arial" w:hAnsi="Arial"/>
                <w:sz w:val="19"/>
                <w:szCs w:val="19"/>
                <w:color w:val="auto"/>
              </w:rPr>
              <w:t>SOLE DISPOSITIVE POWER</w:t>
            </w:r>
          </w:p>
        </w:tc>
        <w:tc>
          <w:tcPr>
            <w:tcW w:w="0" w:type="dxa"/>
            <w:vAlign w:val="bottom"/>
          </w:tcPr>
          <w:p>
            <w:pPr>
              <w:spacing w:after="0"/>
              <w:rPr>
                <w:sz w:val="1"/>
                <w:szCs w:val="1"/>
                <w:color w:val="auto"/>
              </w:rPr>
            </w:pPr>
          </w:p>
        </w:tc>
      </w:tr>
      <w:tr>
        <w:trPr>
          <w:trHeight w:val="228"/>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SHARES</w:t>
            </w:r>
          </w:p>
        </w:tc>
        <w:tc>
          <w:tcPr>
            <w:tcW w:w="58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34"/>
                <w:szCs w:val="34"/>
                <w:b w:val="1"/>
                <w:bCs w:val="1"/>
                <w:color w:val="auto"/>
              </w:rPr>
              <w:t>7</w:t>
            </w: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BENEFICIALLY</w:t>
            </w:r>
          </w:p>
        </w:tc>
        <w:tc>
          <w:tcPr>
            <w:tcW w:w="580" w:type="dxa"/>
            <w:vAlign w:val="bottom"/>
            <w:tcBorders>
              <w:right w:val="single" w:sz="8" w:color="auto"/>
            </w:tcBorders>
            <w:vMerge w:val="continue"/>
          </w:tcPr>
          <w:p>
            <w:pPr>
              <w:spacing w:after="0"/>
              <w:rPr>
                <w:sz w:val="21"/>
                <w:szCs w:val="21"/>
                <w:color w:val="auto"/>
              </w:rPr>
            </w:pPr>
          </w:p>
        </w:tc>
        <w:tc>
          <w:tcPr>
            <w:tcW w:w="10000" w:type="dxa"/>
            <w:vAlign w:val="bottom"/>
          </w:tcPr>
          <w:p>
            <w:pPr>
              <w:ind w:left="120"/>
              <w:spacing w:after="0"/>
              <w:rPr>
                <w:sz w:val="20"/>
                <w:szCs w:val="20"/>
                <w:color w:val="auto"/>
              </w:rPr>
            </w:pPr>
            <w:r>
              <w:rPr>
                <w:rFonts w:ascii="Arial" w:cs="Arial" w:eastAsia="Arial" w:hAnsi="Arial"/>
                <w:sz w:val="19"/>
                <w:szCs w:val="19"/>
                <w:color w:val="auto"/>
              </w:rPr>
              <w:t>0</w:t>
            </w:r>
          </w:p>
        </w:tc>
        <w:tc>
          <w:tcPr>
            <w:tcW w:w="0" w:type="dxa"/>
            <w:vAlign w:val="bottom"/>
          </w:tcPr>
          <w:p>
            <w:pPr>
              <w:spacing w:after="0"/>
              <w:rPr>
                <w:sz w:val="1"/>
                <w:szCs w:val="1"/>
                <w:color w:val="auto"/>
              </w:rPr>
            </w:pPr>
          </w:p>
        </w:tc>
      </w:tr>
      <w:tr>
        <w:trPr>
          <w:trHeight w:val="98"/>
        </w:trPr>
        <w:tc>
          <w:tcPr>
            <w:tcW w:w="1420" w:type="dxa"/>
            <w:vAlign w:val="bottom"/>
            <w:tcBorders>
              <w:right w:val="single" w:sz="8" w:color="auto"/>
            </w:tcBorders>
            <w:vMerge w:val="restart"/>
          </w:tcPr>
          <w:p>
            <w:pPr>
              <w:jc w:val="center"/>
              <w:spacing w:after="0" w:line="213" w:lineRule="exact"/>
              <w:rPr>
                <w:sz w:val="20"/>
                <w:szCs w:val="20"/>
                <w:color w:val="auto"/>
              </w:rPr>
            </w:pPr>
            <w:r>
              <w:rPr>
                <w:rFonts w:ascii="Arial" w:cs="Arial" w:eastAsia="Arial" w:hAnsi="Arial"/>
                <w:sz w:val="19"/>
                <w:szCs w:val="19"/>
                <w:color w:val="auto"/>
                <w:w w:val="96"/>
              </w:rPr>
              <w:t>OWNED BY</w:t>
            </w:r>
          </w:p>
        </w:tc>
        <w:tc>
          <w:tcPr>
            <w:tcW w:w="580" w:type="dxa"/>
            <w:vAlign w:val="bottom"/>
            <w:tcBorders>
              <w:bottom w:val="single" w:sz="8" w:color="auto"/>
              <w:right w:val="single" w:sz="8" w:color="auto"/>
            </w:tcBorders>
          </w:tcPr>
          <w:p>
            <w:pPr>
              <w:spacing w:after="0"/>
              <w:rPr>
                <w:sz w:val="8"/>
                <w:szCs w:val="8"/>
                <w:color w:val="auto"/>
              </w:rPr>
            </w:pPr>
          </w:p>
        </w:tc>
        <w:tc>
          <w:tcPr>
            <w:tcW w:w="10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420" w:type="dxa"/>
            <w:vAlign w:val="bottom"/>
            <w:tcBorders>
              <w:right w:val="single" w:sz="8" w:color="auto"/>
            </w:tcBorders>
            <w:vMerge w:val="continue"/>
          </w:tcPr>
          <w:p>
            <w:pPr>
              <w:spacing w:after="0"/>
              <w:rPr>
                <w:sz w:val="8"/>
                <w:szCs w:val="8"/>
                <w:color w:val="auto"/>
              </w:rPr>
            </w:pPr>
          </w:p>
        </w:tc>
        <w:tc>
          <w:tcPr>
            <w:tcW w:w="580" w:type="dxa"/>
            <w:vAlign w:val="bottom"/>
            <w:tcBorders>
              <w:right w:val="single" w:sz="8" w:color="auto"/>
            </w:tcBorders>
          </w:tcPr>
          <w:p>
            <w:pPr>
              <w:spacing w:after="0"/>
              <w:rPr>
                <w:sz w:val="8"/>
                <w:szCs w:val="8"/>
                <w:color w:val="auto"/>
              </w:rPr>
            </w:pPr>
          </w:p>
        </w:tc>
        <w:tc>
          <w:tcPr>
            <w:tcW w:w="10000" w:type="dxa"/>
            <w:vAlign w:val="bottom"/>
            <w:vMerge w:val="restart"/>
          </w:tcPr>
          <w:p>
            <w:pPr>
              <w:ind w:left="120"/>
              <w:spacing w:after="0"/>
              <w:rPr>
                <w:sz w:val="20"/>
                <w:szCs w:val="20"/>
                <w:color w:val="auto"/>
              </w:rPr>
            </w:pPr>
            <w:r>
              <w:rPr>
                <w:rFonts w:ascii="Arial" w:cs="Arial" w:eastAsia="Arial" w:hAnsi="Arial"/>
                <w:sz w:val="19"/>
                <w:szCs w:val="19"/>
                <w:color w:val="auto"/>
              </w:rPr>
              <w:t>SHARED DISPOSITIVE POWER</w:t>
            </w:r>
          </w:p>
        </w:tc>
        <w:tc>
          <w:tcPr>
            <w:tcW w:w="0" w:type="dxa"/>
            <w:vAlign w:val="bottom"/>
          </w:tcPr>
          <w:p>
            <w:pPr>
              <w:spacing w:after="0"/>
              <w:rPr>
                <w:sz w:val="1"/>
                <w:szCs w:val="1"/>
                <w:color w:val="auto"/>
              </w:rPr>
            </w:pPr>
          </w:p>
        </w:tc>
      </w:tr>
      <w:tr>
        <w:trPr>
          <w:trHeight w:val="228"/>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8"/>
              </w:rPr>
              <w:t>EACH</w:t>
            </w:r>
          </w:p>
        </w:tc>
        <w:tc>
          <w:tcPr>
            <w:tcW w:w="580" w:type="dxa"/>
            <w:vAlign w:val="bottom"/>
            <w:tcBorders>
              <w:right w:val="single" w:sz="8" w:color="auto"/>
            </w:tcBorders>
          </w:tcPr>
          <w:p>
            <w:pPr>
              <w:spacing w:after="0"/>
              <w:rPr>
                <w:sz w:val="19"/>
                <w:szCs w:val="19"/>
                <w:color w:val="auto"/>
              </w:rPr>
            </w:pPr>
          </w:p>
        </w:tc>
        <w:tc>
          <w:tcPr>
            <w:tcW w:w="10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4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REPORTING</w:t>
            </w:r>
          </w:p>
        </w:tc>
        <w:tc>
          <w:tcPr>
            <w:tcW w:w="580" w:type="dxa"/>
            <w:vAlign w:val="bottom"/>
            <w:tcBorders>
              <w:right w:val="single" w:sz="8" w:color="auto"/>
            </w:tcBorders>
            <w:vMerge w:val="restart"/>
          </w:tcPr>
          <w:p>
            <w:pPr>
              <w:jc w:val="right"/>
              <w:ind w:right="49"/>
              <w:spacing w:after="0"/>
              <w:rPr>
                <w:sz w:val="20"/>
                <w:szCs w:val="20"/>
                <w:color w:val="auto"/>
              </w:rPr>
            </w:pPr>
            <w:r>
              <w:rPr>
                <w:rFonts w:ascii="Arial" w:cs="Arial" w:eastAsia="Arial" w:hAnsi="Arial"/>
                <w:sz w:val="34"/>
                <w:szCs w:val="34"/>
                <w:b w:val="1"/>
                <w:bCs w:val="1"/>
                <w:color w:val="auto"/>
              </w:rPr>
              <w:t>8</w:t>
            </w:r>
          </w:p>
        </w:tc>
        <w:tc>
          <w:tcPr>
            <w:tcW w:w="10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4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PERSON WITH:</w:t>
            </w:r>
          </w:p>
        </w:tc>
        <w:tc>
          <w:tcPr>
            <w:tcW w:w="580" w:type="dxa"/>
            <w:vAlign w:val="bottom"/>
            <w:tcBorders>
              <w:bottom w:val="single" w:sz="8" w:color="auto"/>
              <w:right w:val="single" w:sz="8" w:color="auto"/>
            </w:tcBorders>
            <w:vMerge w:val="continue"/>
          </w:tcPr>
          <w:p>
            <w:pPr>
              <w:spacing w:after="0"/>
              <w:rPr>
                <w:sz w:val="22"/>
                <w:szCs w:val="22"/>
                <w:color w:val="auto"/>
              </w:rPr>
            </w:pPr>
          </w:p>
        </w:tc>
        <w:tc>
          <w:tcPr>
            <w:tcW w:w="10000" w:type="dxa"/>
            <w:vAlign w:val="bottom"/>
            <w:tcBorders>
              <w:bottom w:val="single" w:sz="8" w:color="auto"/>
            </w:tcBorders>
          </w:tcPr>
          <w:p>
            <w:pPr>
              <w:ind w:left="120"/>
              <w:spacing w:after="0"/>
              <w:rPr>
                <w:sz w:val="20"/>
                <w:szCs w:val="20"/>
                <w:color w:val="auto"/>
              </w:rPr>
            </w:pPr>
            <w:r>
              <w:rPr>
                <w:rFonts w:ascii="Arial" w:cs="Arial" w:eastAsia="Arial" w:hAnsi="Arial"/>
                <w:sz w:val="19"/>
                <w:szCs w:val="19"/>
                <w:color w:val="auto"/>
              </w:rPr>
              <w:t>5034681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wp:posOffset>
            </wp:positionV>
            <wp:extent cx="7625080" cy="2110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5080" cy="2110105"/>
                    </a:xfrm>
                    <a:prstGeom prst="rect">
                      <a:avLst/>
                    </a:prstGeom>
                    <a:noFill/>
                  </pic:spPr>
                </pic:pic>
              </a:graphicData>
            </a:graphic>
          </wp:anchor>
        </w:drawing>
      </w:r>
    </w:p>
    <w:p>
      <w:pPr>
        <w:spacing w:after="0" w:line="2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AGGREGATE AMOUNT BENEFICIALLY OWNED BY EACH REPORTING PERSON</w:t>
      </w:r>
    </w:p>
    <w:p>
      <w:pPr>
        <w:spacing w:after="0" w:line="145" w:lineRule="exact"/>
        <w:rPr>
          <w:sz w:val="20"/>
          <w:szCs w:val="20"/>
          <w:color w:val="auto"/>
        </w:rPr>
      </w:pPr>
    </w:p>
    <w:p>
      <w:pPr>
        <w:ind w:left="780" w:hanging="551"/>
        <w:spacing w:after="0"/>
        <w:tabs>
          <w:tab w:leader="none" w:pos="780" w:val="left"/>
        </w:tabs>
        <w:numPr>
          <w:ilvl w:val="0"/>
          <w:numId w:val="5"/>
        </w:numPr>
        <w:rPr>
          <w:rFonts w:ascii="Arial" w:cs="Arial" w:eastAsia="Arial" w:hAnsi="Arial"/>
          <w:sz w:val="34"/>
          <w:szCs w:val="34"/>
          <w:b w:val="1"/>
          <w:bCs w:val="1"/>
          <w:color w:val="auto"/>
        </w:rPr>
      </w:pPr>
      <w:r>
        <w:rPr>
          <w:rFonts w:ascii="Arial" w:cs="Arial" w:eastAsia="Arial" w:hAnsi="Arial"/>
          <w:sz w:val="19"/>
          <w:szCs w:val="19"/>
          <w:color w:val="auto"/>
        </w:rPr>
        <w:t>5034681</w:t>
      </w:r>
    </w:p>
    <w:p>
      <w:pPr>
        <w:spacing w:after="0" w:line="72" w:lineRule="exact"/>
        <w:rPr>
          <w:rFonts w:ascii="Arial" w:cs="Arial" w:eastAsia="Arial" w:hAnsi="Arial"/>
          <w:sz w:val="34"/>
          <w:szCs w:val="34"/>
          <w:b w:val="1"/>
          <w:bCs w:val="1"/>
          <w:color w:val="auto"/>
        </w:rPr>
      </w:pPr>
    </w:p>
    <w:p>
      <w:pPr>
        <w:ind w:left="780"/>
        <w:spacing w:after="0"/>
        <w:rPr>
          <w:rFonts w:ascii="Arial" w:cs="Arial" w:eastAsia="Arial" w:hAnsi="Arial"/>
          <w:sz w:val="34"/>
          <w:szCs w:val="34"/>
          <w:b w:val="1"/>
          <w:bCs w:val="1"/>
          <w:color w:val="auto"/>
        </w:rPr>
      </w:pPr>
      <w:r>
        <w:rPr>
          <w:rFonts w:ascii="Arial" w:cs="Arial" w:eastAsia="Arial" w:hAnsi="Arial"/>
          <w:sz w:val="19"/>
          <w:szCs w:val="19"/>
          <w:color w:val="auto"/>
        </w:rPr>
        <w:t>CHECK IF THE AGGREGATE AMOUNT IN ROW (9) EXCLUDES CERTAIN SHARES (SEE INSTRUCTIONS)</w:t>
      </w:r>
    </w:p>
    <w:p>
      <w:pPr>
        <w:spacing w:after="0" w:line="10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34"/>
          <w:szCs w:val="34"/>
          <w:b w:val="1"/>
          <w:bCs w:val="1"/>
          <w:color w:val="auto"/>
        </w:rPr>
        <w:t>10</w:t>
      </w:r>
      <w:r>
        <w:rPr>
          <w:sz w:val="20"/>
          <w:szCs w:val="20"/>
          <w:color w:val="auto"/>
        </w:rPr>
        <w:tab/>
      </w:r>
      <w:r>
        <w:rPr>
          <w:rFonts w:ascii="Arial" w:cs="Arial" w:eastAsia="Arial" w:hAnsi="Arial"/>
          <w:sz w:val="19"/>
          <w:szCs w:val="19"/>
          <w:color w:val="auto"/>
        </w:rPr>
        <w:t>x</w:t>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9"/>
          <w:szCs w:val="19"/>
          <w:color w:val="auto"/>
        </w:rPr>
        <w:t>PERCENT OF CLASS REPRESENTED BY AMOUNT IN ROW (9)</w:t>
      </w:r>
    </w:p>
    <w:p>
      <w:pPr>
        <w:spacing w:after="0" w:line="107" w:lineRule="exact"/>
        <w:rPr>
          <w:sz w:val="20"/>
          <w:szCs w:val="20"/>
          <w:color w:val="auto"/>
        </w:rPr>
      </w:pPr>
    </w:p>
    <w:p>
      <w:pPr>
        <w:ind w:left="160"/>
        <w:spacing w:after="0"/>
        <w:tabs>
          <w:tab w:leader="none" w:pos="760" w:val="left"/>
        </w:tabs>
        <w:rPr>
          <w:sz w:val="20"/>
          <w:szCs w:val="20"/>
          <w:color w:val="auto"/>
        </w:rPr>
      </w:pPr>
      <w:r>
        <w:rPr>
          <w:rFonts w:ascii="Arial" w:cs="Arial" w:eastAsia="Arial" w:hAnsi="Arial"/>
          <w:sz w:val="34"/>
          <w:szCs w:val="34"/>
          <w:b w:val="1"/>
          <w:bCs w:val="1"/>
          <w:color w:val="auto"/>
        </w:rPr>
        <w:t>11</w:t>
      </w:r>
      <w:r>
        <w:rPr>
          <w:sz w:val="20"/>
          <w:szCs w:val="20"/>
          <w:color w:val="auto"/>
        </w:rPr>
        <w:tab/>
      </w:r>
      <w:r>
        <w:rPr>
          <w:rFonts w:ascii="Arial" w:cs="Arial" w:eastAsia="Arial" w:hAnsi="Arial"/>
          <w:sz w:val="16"/>
          <w:szCs w:val="16"/>
          <w:color w:val="auto"/>
        </w:rPr>
        <w:t>6.89%</w:t>
      </w:r>
    </w:p>
    <w:p>
      <w:pPr>
        <w:spacing w:after="0" w:line="111" w:lineRule="exact"/>
        <w:rPr>
          <w:sz w:val="20"/>
          <w:szCs w:val="20"/>
          <w:color w:val="auto"/>
        </w:rPr>
      </w:pPr>
    </w:p>
    <w:p>
      <w:pPr>
        <w:ind w:left="780"/>
        <w:spacing w:after="0"/>
        <w:rPr>
          <w:sz w:val="20"/>
          <w:szCs w:val="20"/>
          <w:color w:val="auto"/>
        </w:rPr>
      </w:pPr>
      <w:r>
        <w:rPr>
          <w:rFonts w:ascii="Arial" w:cs="Arial" w:eastAsia="Arial" w:hAnsi="Arial"/>
          <w:sz w:val="19"/>
          <w:szCs w:val="19"/>
          <w:color w:val="auto"/>
        </w:rPr>
        <w:t>TYPE OF REPORTING PERSON (SEE INSTRUCTIONS)</w:t>
      </w:r>
    </w:p>
    <w:p>
      <w:pPr>
        <w:spacing w:after="0" w:line="107" w:lineRule="exact"/>
        <w:rPr>
          <w:sz w:val="20"/>
          <w:szCs w:val="20"/>
          <w:color w:val="auto"/>
        </w:rPr>
      </w:pPr>
    </w:p>
    <w:p>
      <w:pPr>
        <w:ind w:left="140"/>
        <w:spacing w:after="0"/>
        <w:tabs>
          <w:tab w:leader="none" w:pos="760" w:val="left"/>
        </w:tabs>
        <w:rPr>
          <w:sz w:val="20"/>
          <w:szCs w:val="20"/>
          <w:color w:val="auto"/>
        </w:rPr>
      </w:pPr>
      <w:r>
        <w:rPr>
          <w:rFonts w:ascii="Arial" w:cs="Arial" w:eastAsia="Arial" w:hAnsi="Arial"/>
          <w:sz w:val="34"/>
          <w:szCs w:val="34"/>
          <w:b w:val="1"/>
          <w:bCs w:val="1"/>
          <w:color w:val="auto"/>
        </w:rPr>
        <w:t>12</w:t>
      </w:r>
      <w:r>
        <w:rPr>
          <w:sz w:val="20"/>
          <w:szCs w:val="20"/>
          <w:color w:val="auto"/>
        </w:rPr>
        <w:tab/>
      </w:r>
      <w:r>
        <w:rPr>
          <w:rFonts w:ascii="Arial" w:cs="Arial" w:eastAsia="Arial" w:hAnsi="Arial"/>
          <w:sz w:val="19"/>
          <w:szCs w:val="19"/>
          <w:color w:val="auto"/>
        </w:rPr>
        <w:t>IA</w:t>
      </w:r>
    </w:p>
    <w:p>
      <w:pPr>
        <w:spacing w:after="0" w:line="200" w:lineRule="exact"/>
        <w:rPr>
          <w:sz w:val="20"/>
          <w:szCs w:val="20"/>
          <w:color w:val="auto"/>
        </w:rPr>
      </w:pPr>
    </w:p>
    <w:p>
      <w:pPr>
        <w:spacing w:after="0" w:line="324" w:lineRule="exact"/>
        <w:rPr>
          <w:sz w:val="20"/>
          <w:szCs w:val="20"/>
          <w:color w:val="auto"/>
        </w:rPr>
      </w:pPr>
    </w:p>
    <w:p>
      <w:pPr>
        <w:ind w:left="780"/>
        <w:spacing w:after="0"/>
        <w:rPr>
          <w:sz w:val="20"/>
          <w:szCs w:val="20"/>
          <w:color w:val="auto"/>
        </w:rPr>
      </w:pPr>
      <w:r>
        <w:rPr>
          <w:rFonts w:ascii="Arial" w:cs="Arial" w:eastAsia="Arial" w:hAnsi="Arial"/>
          <w:sz w:val="19"/>
          <w:szCs w:val="19"/>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608965</wp:posOffset>
            </wp:positionV>
            <wp:extent cx="7650480" cy="438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0"/>
          </w:cols>
          <w:pgMar w:left="120" w:top="390" w:right="120"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Item 1.</w:t>
      </w:r>
    </w:p>
    <w:p>
      <w:pPr>
        <w:spacing w:after="0" w:line="272" w:lineRule="exact"/>
        <w:rPr>
          <w:sz w:val="20"/>
          <w:szCs w:val="20"/>
          <w:color w:val="auto"/>
        </w:rPr>
      </w:pPr>
    </w:p>
    <w:p>
      <w:pPr>
        <w:ind w:left="1360" w:hanging="681"/>
        <w:spacing w:after="0"/>
        <w:tabs>
          <w:tab w:leader="none" w:pos="1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Issuer</w:t>
      </w:r>
    </w:p>
    <w:p>
      <w:pPr>
        <w:spacing w:after="0" w:line="22"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19"/>
          <w:szCs w:val="19"/>
          <w:color w:val="auto"/>
        </w:rPr>
        <w:t>CLEARWAY ENERGY INC-C</w:t>
      </w:r>
    </w:p>
    <w:p>
      <w:pPr>
        <w:spacing w:after="0" w:line="253" w:lineRule="exact"/>
        <w:rPr>
          <w:rFonts w:ascii="Arial" w:cs="Arial" w:eastAsia="Arial" w:hAnsi="Arial"/>
          <w:sz w:val="19"/>
          <w:szCs w:val="19"/>
          <w:color w:val="auto"/>
        </w:rPr>
      </w:pPr>
    </w:p>
    <w:p>
      <w:pPr>
        <w:ind w:left="1360" w:right="6560" w:hanging="681"/>
        <w:spacing w:after="0" w:line="263" w:lineRule="auto"/>
        <w:tabs>
          <w:tab w:leader="none" w:pos="1360" w:val="left"/>
        </w:tabs>
        <w:numPr>
          <w:ilvl w:val="0"/>
          <w:numId w:val="6"/>
        </w:numPr>
        <w:rPr>
          <w:rFonts w:ascii="Arial" w:cs="Arial" w:eastAsia="Arial" w:hAnsi="Arial"/>
          <w:sz w:val="19"/>
          <w:szCs w:val="19"/>
          <w:color w:val="auto"/>
        </w:rPr>
      </w:pPr>
      <w:r>
        <w:rPr>
          <w:rFonts w:ascii="Arial" w:cs="Arial" w:eastAsia="Arial" w:hAnsi="Arial"/>
          <w:sz w:val="19"/>
          <w:szCs w:val="19"/>
          <w:color w:val="auto"/>
        </w:rPr>
        <w:t>Address of Issuerâ€™s Principal Executive Offices 300 CARNEGIE CENTER, SUITE 300 PRINCETON NJ 08540</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w:t>
      </w:r>
    </w:p>
    <w:p>
      <w:pPr>
        <w:spacing w:after="0" w:line="272" w:lineRule="exact"/>
        <w:rPr>
          <w:sz w:val="20"/>
          <w:szCs w:val="20"/>
          <w:color w:val="auto"/>
        </w:rPr>
      </w:pPr>
    </w:p>
    <w:p>
      <w:pPr>
        <w:ind w:left="1360" w:right="8080" w:hanging="681"/>
        <w:spacing w:after="0" w:line="288" w:lineRule="auto"/>
        <w:tabs>
          <w:tab w:leader="none" w:pos="1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Name of Person Filing Neuberger Berman Group LLC</w:t>
      </w:r>
    </w:p>
    <w:p>
      <w:pPr>
        <w:ind w:left="1360"/>
        <w:spacing w:after="0"/>
        <w:rPr>
          <w:rFonts w:ascii="Arial" w:cs="Arial" w:eastAsia="Arial" w:hAnsi="Arial"/>
          <w:sz w:val="17"/>
          <w:szCs w:val="17"/>
          <w:color w:val="auto"/>
        </w:rPr>
      </w:pPr>
      <w:r>
        <w:rPr>
          <w:rFonts w:ascii="Arial" w:cs="Arial" w:eastAsia="Arial" w:hAnsi="Arial"/>
          <w:sz w:val="19"/>
          <w:szCs w:val="19"/>
          <w:color w:val="auto"/>
        </w:rPr>
        <w:t>Neuberger Berman Investment Advisers LLC</w:t>
      </w:r>
    </w:p>
    <w:p>
      <w:pPr>
        <w:spacing w:after="0" w:line="253" w:lineRule="exact"/>
        <w:rPr>
          <w:rFonts w:ascii="Arial" w:cs="Arial" w:eastAsia="Arial" w:hAnsi="Arial"/>
          <w:sz w:val="17"/>
          <w:szCs w:val="17"/>
          <w:color w:val="auto"/>
        </w:rPr>
      </w:pPr>
    </w:p>
    <w:p>
      <w:pPr>
        <w:ind w:left="1360" w:right="5960" w:hanging="681"/>
        <w:spacing w:after="0" w:line="257" w:lineRule="auto"/>
        <w:tabs>
          <w:tab w:leader="none" w:pos="1360" w:val="left"/>
        </w:tabs>
        <w:numPr>
          <w:ilvl w:val="0"/>
          <w:numId w:val="7"/>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1290 Avenue of the Americas</w:t>
      </w:r>
    </w:p>
    <w:p>
      <w:pPr>
        <w:spacing w:after="0" w:line="1" w:lineRule="exact"/>
        <w:rPr>
          <w:rFonts w:ascii="Arial" w:cs="Arial" w:eastAsia="Arial" w:hAnsi="Arial"/>
          <w:sz w:val="19"/>
          <w:szCs w:val="19"/>
          <w:color w:val="auto"/>
        </w:rPr>
      </w:pPr>
    </w:p>
    <w:p>
      <w:pPr>
        <w:ind w:left="1360"/>
        <w:spacing w:after="0"/>
        <w:rPr>
          <w:rFonts w:ascii="Arial" w:cs="Arial" w:eastAsia="Arial" w:hAnsi="Arial"/>
          <w:sz w:val="19"/>
          <w:szCs w:val="19"/>
          <w:color w:val="auto"/>
        </w:rPr>
      </w:pPr>
      <w:r>
        <w:rPr>
          <w:rFonts w:ascii="Arial" w:cs="Arial" w:eastAsia="Arial" w:hAnsi="Arial"/>
          <w:sz w:val="19"/>
          <w:szCs w:val="19"/>
          <w:color w:val="auto"/>
        </w:rPr>
        <w:t>New York, NY 10104</w:t>
      </w:r>
    </w:p>
    <w:p>
      <w:pPr>
        <w:spacing w:after="0" w:line="253" w:lineRule="exact"/>
        <w:rPr>
          <w:rFonts w:ascii="Arial" w:cs="Arial" w:eastAsia="Arial" w:hAnsi="Arial"/>
          <w:sz w:val="19"/>
          <w:szCs w:val="19"/>
          <w:color w:val="auto"/>
        </w:rPr>
      </w:pPr>
    </w:p>
    <w:p>
      <w:pPr>
        <w:ind w:left="1360" w:right="9620" w:hanging="681"/>
        <w:spacing w:after="0" w:line="336" w:lineRule="auto"/>
        <w:tabs>
          <w:tab w:leader="none" w:pos="1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Citizenship Delaware</w:t>
      </w:r>
    </w:p>
    <w:p>
      <w:pPr>
        <w:spacing w:after="0" w:line="165" w:lineRule="exact"/>
        <w:rPr>
          <w:rFonts w:ascii="Arial" w:cs="Arial" w:eastAsia="Arial" w:hAnsi="Arial"/>
          <w:sz w:val="17"/>
          <w:szCs w:val="17"/>
          <w:color w:val="auto"/>
        </w:rPr>
      </w:pPr>
    </w:p>
    <w:p>
      <w:pPr>
        <w:ind w:left="1360" w:right="8460" w:hanging="681"/>
        <w:spacing w:after="0" w:line="275" w:lineRule="auto"/>
        <w:tabs>
          <w:tab w:leader="none" w:pos="1360" w:val="left"/>
        </w:tabs>
        <w:numPr>
          <w:ilvl w:val="0"/>
          <w:numId w:val="7"/>
        </w:numPr>
        <w:rPr>
          <w:rFonts w:ascii="Arial" w:cs="Arial" w:eastAsia="Arial" w:hAnsi="Arial"/>
          <w:sz w:val="19"/>
          <w:szCs w:val="19"/>
          <w:color w:val="auto"/>
        </w:rPr>
      </w:pPr>
      <w:r>
        <w:rPr>
          <w:rFonts w:ascii="Arial" w:cs="Arial" w:eastAsia="Arial" w:hAnsi="Arial"/>
          <w:sz w:val="19"/>
          <w:szCs w:val="19"/>
          <w:color w:val="auto"/>
        </w:rPr>
        <w:t>Title of Class of Securities Common</w:t>
      </w:r>
    </w:p>
    <w:p>
      <w:pPr>
        <w:spacing w:after="0" w:line="212" w:lineRule="exact"/>
        <w:rPr>
          <w:rFonts w:ascii="Arial" w:cs="Arial" w:eastAsia="Arial" w:hAnsi="Arial"/>
          <w:sz w:val="19"/>
          <w:szCs w:val="19"/>
          <w:color w:val="auto"/>
        </w:rPr>
      </w:pPr>
    </w:p>
    <w:p>
      <w:pPr>
        <w:ind w:left="1360" w:right="9260" w:hanging="681"/>
        <w:spacing w:after="0" w:line="336" w:lineRule="auto"/>
        <w:tabs>
          <w:tab w:leader="none" w:pos="1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CUSIP Number 18539C105</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If this statement is filed pursuant to Â§Â§240.13d-1(b) or 240.13d-2(b) or (c), check whether the person filing is a:</w:t>
      </w:r>
    </w:p>
    <w:p>
      <w:pPr>
        <w:spacing w:after="0" w:line="272" w:lineRule="exact"/>
        <w:rPr>
          <w:sz w:val="20"/>
          <w:szCs w:val="20"/>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Broker or dealer registered under section 15 of the Act (15 U.S.C. 78o).</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Bank as defined in section 3(a)(6) of the Act (15 U.S.C. 78c).</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Insurance company as defined in section 3(a)(19) of the Act (15 U.S.C. 78c).</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Investment company registered under section 8 of the Investment Company Act of 1940 (15 U.S.C 80a-8).</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An investment adviser in accordance with Â§240.13d-1(b)(1)(ii)(E);</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An employee benefit plan or endowment fund in accordance with Â§240.13d-1(b)(1)(ii)(F);</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parent holding company or control person in accordance with Â§ 240.13d-1(b)(1)(ii)(G);</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savings associations as defined in Section 3(b) of the Federal Deposit Insurance Act (12 U.S.C. 1813);</w:t>
      </w:r>
    </w:p>
    <w:p>
      <w:pPr>
        <w:spacing w:after="0" w:line="266" w:lineRule="exact"/>
        <w:rPr>
          <w:rFonts w:ascii="Arial" w:cs="Arial" w:eastAsia="Arial" w:hAnsi="Arial"/>
          <w:sz w:val="19"/>
          <w:szCs w:val="19"/>
          <w:color w:val="auto"/>
        </w:rPr>
      </w:pPr>
    </w:p>
    <w:p>
      <w:pPr>
        <w:ind w:left="2040" w:right="40" w:hanging="1361"/>
        <w:spacing w:after="0" w:line="275" w:lineRule="auto"/>
        <w:tabs>
          <w:tab w:leader="none" w:pos="1356" w:val="left"/>
        </w:tabs>
        <w:numPr>
          <w:ilvl w:val="0"/>
          <w:numId w:val="8"/>
        </w:numPr>
        <w:rPr>
          <w:rFonts w:ascii="Arial" w:cs="Arial" w:eastAsia="Arial" w:hAnsi="Arial"/>
          <w:sz w:val="19"/>
          <w:szCs w:val="19"/>
          <w:color w:val="auto"/>
        </w:rPr>
      </w:pPr>
      <w:r>
        <w:rPr>
          <w:rFonts w:ascii="Arial" w:cs="Arial" w:eastAsia="Arial" w:hAnsi="Arial"/>
          <w:sz w:val="19"/>
          <w:szCs w:val="19"/>
          <w:color w:val="auto"/>
        </w:rPr>
        <w:t>oA church plan that is excluded from the definition of an investment company under section 3(c)(14) of the Investment Company Act of 1940 (15 U.S.C. 80a-3);</w:t>
      </w:r>
    </w:p>
    <w:p>
      <w:pPr>
        <w:spacing w:after="0" w:line="212" w:lineRule="exact"/>
        <w:rPr>
          <w:rFonts w:ascii="Arial" w:cs="Arial" w:eastAsia="Arial" w:hAnsi="Arial"/>
          <w:sz w:val="19"/>
          <w:szCs w:val="19"/>
          <w:color w:val="auto"/>
        </w:rPr>
      </w:pPr>
    </w:p>
    <w:p>
      <w:pPr>
        <w:ind w:left="1360" w:hanging="681"/>
        <w:spacing w:after="0"/>
        <w:tabs>
          <w:tab w:leader="none" w:pos="1360" w:val="left"/>
        </w:tabs>
        <w:numPr>
          <w:ilvl w:val="0"/>
          <w:numId w:val="8"/>
        </w:numPr>
        <w:rPr>
          <w:rFonts w:ascii="Arial" w:cs="Arial" w:eastAsia="Arial" w:hAnsi="Arial"/>
          <w:sz w:val="19"/>
          <w:szCs w:val="19"/>
          <w:color w:val="auto"/>
        </w:rPr>
      </w:pPr>
      <w:r>
        <w:rPr>
          <w:rFonts w:ascii="Arial" w:cs="Arial" w:eastAsia="Arial" w:hAnsi="Arial"/>
          <w:sz w:val="19"/>
          <w:szCs w:val="19"/>
          <w:color w:val="auto"/>
        </w:rPr>
        <w:t>o</w:t>
      </w:r>
      <w:r>
        <w:rPr>
          <w:rFonts w:ascii="Arial" w:cs="Arial" w:eastAsia="Arial" w:hAnsi="Arial"/>
          <w:sz w:val="17"/>
          <w:szCs w:val="17"/>
          <w:color w:val="auto"/>
        </w:rPr>
        <w:t>A non-U.S. institution in accordance with Â§ 240.13d-1(b)(1)(ii)(J).</w:t>
      </w:r>
    </w:p>
    <w:p>
      <w:pPr>
        <w:spacing w:after="0" w:line="266" w:lineRule="exact"/>
        <w:rPr>
          <w:rFonts w:ascii="Arial" w:cs="Arial" w:eastAsia="Arial" w:hAnsi="Arial"/>
          <w:sz w:val="19"/>
          <w:szCs w:val="19"/>
          <w:color w:val="auto"/>
        </w:rPr>
      </w:pPr>
    </w:p>
    <w:p>
      <w:pPr>
        <w:ind w:left="2040" w:hanging="1361"/>
        <w:spacing w:after="0" w:line="275" w:lineRule="auto"/>
        <w:tabs>
          <w:tab w:leader="none" w:pos="1356" w:val="left"/>
        </w:tabs>
        <w:numPr>
          <w:ilvl w:val="0"/>
          <w:numId w:val="8"/>
        </w:numPr>
        <w:rPr>
          <w:rFonts w:ascii="Arial" w:cs="Arial" w:eastAsia="Arial" w:hAnsi="Arial"/>
          <w:sz w:val="19"/>
          <w:szCs w:val="19"/>
          <w:color w:val="auto"/>
        </w:rPr>
      </w:pPr>
      <w:r>
        <w:rPr>
          <w:rFonts w:ascii="Arial" w:cs="Arial" w:eastAsia="Arial" w:hAnsi="Arial"/>
          <w:sz w:val="19"/>
          <w:szCs w:val="19"/>
          <w:color w:val="auto"/>
        </w:rPr>
        <w:t>xA group, in accordance with Â§ 240.13d-1(b)(1)(ii)(K). If filing as a non-U.S. institution in accordance with Â§ 240.13d-1(b)(1) (ii)(J),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565785</wp:posOffset>
            </wp:positionV>
            <wp:extent cx="7650480" cy="43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1840"/>
          </w:cols>
          <w:pgMar w:left="120" w:top="393" w:right="28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Item 4. Ownership.</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Provide the following information regarding the aggregate number and percentage of the class of securities of the issuer identified in Item 1.</w:t>
      </w:r>
    </w:p>
    <w:p>
      <w:pPr>
        <w:spacing w:after="0" w:line="266" w:lineRule="exact"/>
        <w:rPr>
          <w:sz w:val="20"/>
          <w:szCs w:val="20"/>
          <w:color w:val="auto"/>
        </w:rPr>
      </w:pPr>
    </w:p>
    <w:p>
      <w:pPr>
        <w:ind w:left="1360" w:hanging="681"/>
        <w:spacing w:after="0"/>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Amount beneficially owned: 5,034,681</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Percent of class: 6.89%</w:t>
      </w:r>
    </w:p>
    <w:p>
      <w:pPr>
        <w:spacing w:after="0" w:line="266" w:lineRule="exact"/>
        <w:rPr>
          <w:rFonts w:ascii="Arial" w:cs="Arial" w:eastAsia="Arial" w:hAnsi="Arial"/>
          <w:sz w:val="19"/>
          <w:szCs w:val="19"/>
          <w:color w:val="auto"/>
        </w:rPr>
      </w:pPr>
    </w:p>
    <w:p>
      <w:pPr>
        <w:ind w:left="1360" w:hanging="681"/>
        <w:spacing w:after="0"/>
        <w:tabs>
          <w:tab w:leader="none" w:pos="1360" w:val="left"/>
        </w:tabs>
        <w:numPr>
          <w:ilvl w:val="0"/>
          <w:numId w:val="9"/>
        </w:numPr>
        <w:rPr>
          <w:rFonts w:ascii="Arial" w:cs="Arial" w:eastAsia="Arial" w:hAnsi="Arial"/>
          <w:sz w:val="19"/>
          <w:szCs w:val="19"/>
          <w:color w:val="auto"/>
        </w:rPr>
      </w:pPr>
      <w:r>
        <w:rPr>
          <w:rFonts w:ascii="Arial" w:cs="Arial" w:eastAsia="Arial" w:hAnsi="Arial"/>
          <w:sz w:val="19"/>
          <w:szCs w:val="19"/>
          <w:color w:val="auto"/>
        </w:rPr>
        <w:t>Number of shares as to which the person has:</w:t>
      </w:r>
    </w:p>
    <w:p>
      <w:pPr>
        <w:spacing w:after="0" w:line="266" w:lineRule="exact"/>
        <w:rPr>
          <w:rFonts w:ascii="Arial" w:cs="Arial" w:eastAsia="Arial" w:hAnsi="Arial"/>
          <w:sz w:val="19"/>
          <w:szCs w:val="19"/>
          <w:color w:val="auto"/>
        </w:rPr>
      </w:pPr>
    </w:p>
    <w:p>
      <w:pPr>
        <w:ind w:left="2040" w:hanging="677"/>
        <w:spacing w:after="0"/>
        <w:tabs>
          <w:tab w:leader="none" w:pos="2040" w:val="left"/>
        </w:tabs>
        <w:numPr>
          <w:ilvl w:val="1"/>
          <w:numId w:val="9"/>
        </w:numPr>
        <w:rPr>
          <w:rFonts w:ascii="Arial" w:cs="Arial" w:eastAsia="Arial" w:hAnsi="Arial"/>
          <w:sz w:val="19"/>
          <w:szCs w:val="19"/>
          <w:color w:val="auto"/>
        </w:rPr>
      </w:pPr>
      <w:r>
        <w:rPr>
          <w:rFonts w:ascii="Arial" w:cs="Arial" w:eastAsia="Arial" w:hAnsi="Arial"/>
          <w:sz w:val="19"/>
          <w:szCs w:val="19"/>
          <w:color w:val="auto"/>
        </w:rPr>
        <w:t>Sole power to vote or to direct the vote: 0</w:t>
      </w:r>
    </w:p>
    <w:p>
      <w:pPr>
        <w:spacing w:after="0" w:line="266" w:lineRule="exact"/>
        <w:rPr>
          <w:rFonts w:ascii="Arial" w:cs="Arial" w:eastAsia="Arial" w:hAnsi="Arial"/>
          <w:sz w:val="19"/>
          <w:szCs w:val="19"/>
          <w:color w:val="auto"/>
        </w:rPr>
      </w:pPr>
    </w:p>
    <w:p>
      <w:pPr>
        <w:ind w:left="2040" w:hanging="677"/>
        <w:spacing w:after="0"/>
        <w:tabs>
          <w:tab w:leader="none" w:pos="2040" w:val="left"/>
        </w:tabs>
        <w:numPr>
          <w:ilvl w:val="1"/>
          <w:numId w:val="9"/>
        </w:numPr>
        <w:rPr>
          <w:rFonts w:ascii="Arial" w:cs="Arial" w:eastAsia="Arial" w:hAnsi="Arial"/>
          <w:sz w:val="19"/>
          <w:szCs w:val="19"/>
          <w:color w:val="auto"/>
        </w:rPr>
      </w:pPr>
      <w:r>
        <w:rPr>
          <w:rFonts w:ascii="Arial" w:cs="Arial" w:eastAsia="Arial" w:hAnsi="Arial"/>
          <w:sz w:val="19"/>
          <w:szCs w:val="19"/>
          <w:color w:val="auto"/>
        </w:rPr>
        <w:t>Shared power to vote or to direct the vote: 4,913,981</w:t>
      </w:r>
    </w:p>
    <w:p>
      <w:pPr>
        <w:spacing w:after="0" w:line="266" w:lineRule="exact"/>
        <w:rPr>
          <w:rFonts w:ascii="Arial" w:cs="Arial" w:eastAsia="Arial" w:hAnsi="Arial"/>
          <w:sz w:val="19"/>
          <w:szCs w:val="19"/>
          <w:color w:val="auto"/>
        </w:rPr>
      </w:pPr>
    </w:p>
    <w:p>
      <w:pPr>
        <w:ind w:left="2040" w:hanging="677"/>
        <w:spacing w:after="0"/>
        <w:tabs>
          <w:tab w:leader="none" w:pos="2040" w:val="left"/>
        </w:tabs>
        <w:numPr>
          <w:ilvl w:val="1"/>
          <w:numId w:val="9"/>
        </w:numPr>
        <w:rPr>
          <w:rFonts w:ascii="Arial" w:cs="Arial" w:eastAsia="Arial" w:hAnsi="Arial"/>
          <w:sz w:val="19"/>
          <w:szCs w:val="19"/>
          <w:color w:val="auto"/>
        </w:rPr>
      </w:pPr>
      <w:r>
        <w:rPr>
          <w:rFonts w:ascii="Arial" w:cs="Arial" w:eastAsia="Arial" w:hAnsi="Arial"/>
          <w:sz w:val="19"/>
          <w:szCs w:val="19"/>
          <w:color w:val="auto"/>
        </w:rPr>
        <w:t>Sole power to dispose or to direct the disposition of: 0</w:t>
      </w:r>
    </w:p>
    <w:p>
      <w:pPr>
        <w:spacing w:after="0" w:line="266" w:lineRule="exact"/>
        <w:rPr>
          <w:rFonts w:ascii="Arial" w:cs="Arial" w:eastAsia="Arial" w:hAnsi="Arial"/>
          <w:sz w:val="19"/>
          <w:szCs w:val="19"/>
          <w:color w:val="auto"/>
        </w:rPr>
      </w:pPr>
    </w:p>
    <w:p>
      <w:pPr>
        <w:ind w:left="2040" w:hanging="677"/>
        <w:spacing w:after="0"/>
        <w:tabs>
          <w:tab w:leader="none" w:pos="2040" w:val="left"/>
        </w:tabs>
        <w:numPr>
          <w:ilvl w:val="1"/>
          <w:numId w:val="9"/>
        </w:numPr>
        <w:rPr>
          <w:rFonts w:ascii="Arial" w:cs="Arial" w:eastAsia="Arial" w:hAnsi="Arial"/>
          <w:sz w:val="19"/>
          <w:szCs w:val="19"/>
          <w:color w:val="auto"/>
        </w:rPr>
      </w:pPr>
      <w:r>
        <w:rPr>
          <w:rFonts w:ascii="Arial" w:cs="Arial" w:eastAsia="Arial" w:hAnsi="Arial"/>
          <w:sz w:val="19"/>
          <w:szCs w:val="19"/>
          <w:color w:val="auto"/>
        </w:rPr>
        <w:t>Shared power to dispose or to direct the disposition of: 5,034,681</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Ownership of Five Percent or Less of a Class</w:t>
      </w:r>
    </w:p>
    <w:p>
      <w:pPr>
        <w:spacing w:after="0" w:line="272" w:lineRule="exact"/>
        <w:rPr>
          <w:sz w:val="20"/>
          <w:szCs w:val="20"/>
          <w:color w:val="auto"/>
        </w:rPr>
      </w:pPr>
    </w:p>
    <w:p>
      <w:pPr>
        <w:ind w:firstLine="685"/>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Ownership of More than Five Percent on Behalf of Another Person.</w:t>
      </w:r>
    </w:p>
    <w:p>
      <w:pPr>
        <w:spacing w:after="0" w:line="263" w:lineRule="exact"/>
        <w:rPr>
          <w:sz w:val="20"/>
          <w:szCs w:val="20"/>
          <w:color w:val="auto"/>
        </w:rPr>
      </w:pPr>
    </w:p>
    <w:p>
      <w:pPr>
        <w:ind w:right="20" w:firstLine="685"/>
        <w:spacing w:after="0" w:line="252" w:lineRule="auto"/>
        <w:rPr>
          <w:sz w:val="20"/>
          <w:szCs w:val="20"/>
          <w:color w:val="auto"/>
        </w:rPr>
      </w:pPr>
      <w:r>
        <w:rPr>
          <w:rFonts w:ascii="Arial" w:cs="Arial" w:eastAsia="Arial" w:hAnsi="Arial"/>
          <w:sz w:val="22"/>
          <w:szCs w:val="22"/>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12" w:lineRule="exact"/>
        <w:rPr>
          <w:sz w:val="20"/>
          <w:szCs w:val="20"/>
          <w:color w:val="auto"/>
        </w:rPr>
      </w:pPr>
    </w:p>
    <w:p>
      <w:pPr>
        <w:ind w:right="40"/>
        <w:spacing w:after="0" w:line="265" w:lineRule="auto"/>
        <w:rPr>
          <w:sz w:val="20"/>
          <w:szCs w:val="20"/>
          <w:color w:val="auto"/>
        </w:rPr>
      </w:pPr>
      <w:r>
        <w:rPr>
          <w:rFonts w:ascii="Arial" w:cs="Arial" w:eastAsia="Arial" w:hAnsi="Arial"/>
          <w:sz w:val="21"/>
          <w:szCs w:val="21"/>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LLCâ€™s various registered mutual funds which hold such shares. The holdings belonging to clients of Neuberger Berman Trust Co N.A., Neuberger Berman Trust Co of Delaware N.A., NB Alternatives Advisers LLC and Neuberger Berman Investment Advisers LLC are also aggregated to comprise the holdings referenced herein.</w:t>
      </w:r>
    </w:p>
    <w:p>
      <w:pPr>
        <w:spacing w:after="0" w:line="197" w:lineRule="exact"/>
        <w:rPr>
          <w:sz w:val="20"/>
          <w:szCs w:val="20"/>
          <w:color w:val="auto"/>
        </w:rPr>
      </w:pPr>
    </w:p>
    <w:p>
      <w:pPr>
        <w:ind w:right="80"/>
        <w:spacing w:after="0" w:line="252" w:lineRule="auto"/>
        <w:rPr>
          <w:sz w:val="20"/>
          <w:szCs w:val="20"/>
          <w:color w:val="auto"/>
        </w:rPr>
      </w:pPr>
      <w:r>
        <w:rPr>
          <w:rFonts w:ascii="Arial" w:cs="Arial" w:eastAsia="Arial" w:hAnsi="Arial"/>
          <w:sz w:val="22"/>
          <w:szCs w:val="22"/>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NB Alternatives Advisers LLC and Neuberger Berman Investment Advisers LLC, are also aggregated to comprise the holdings referenced herein.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767080</wp:posOffset>
            </wp:positionV>
            <wp:extent cx="7650480" cy="43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1980"/>
          </w:cols>
          <w:pgMar w:left="120" w:top="393" w:right="140" w:bottom="1440" w:gutter="0" w:footer="0" w:header="0"/>
        </w:sectPr>
      </w:pPr>
    </w:p>
    <w:bookmarkStart w:id="5" w:name="page6"/>
    <w:bookmarkEnd w:id="5"/>
    <w:p>
      <w:pPr>
        <w:spacing w:after="0"/>
        <w:tabs>
          <w:tab w:leader="none" w:pos="600" w:val="left"/>
        </w:tabs>
        <w:rPr>
          <w:sz w:val="20"/>
          <w:szCs w:val="20"/>
          <w:color w:val="auto"/>
        </w:rPr>
      </w:pPr>
      <w:r>
        <w:rPr>
          <w:rFonts w:ascii="Arial" w:cs="Arial" w:eastAsia="Arial" w:hAnsi="Arial"/>
          <w:sz w:val="19"/>
          <w:szCs w:val="19"/>
          <w:b w:val="1"/>
          <w:bCs w:val="1"/>
          <w:color w:val="auto"/>
        </w:rPr>
        <w:t>Item</w:t>
        <w:tab/>
        <w:t>Certification</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w:t>
      </w:r>
    </w:p>
    <w:p>
      <w:pPr>
        <w:spacing w:after="0" w:line="225" w:lineRule="exact"/>
        <w:rPr>
          <w:sz w:val="20"/>
          <w:szCs w:val="20"/>
          <w:color w:val="auto"/>
        </w:rPr>
      </w:pPr>
    </w:p>
    <w:p>
      <w:pPr>
        <w:ind w:left="620"/>
        <w:spacing w:after="0" w:line="259"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Â§240.14a-11.</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SIGNATURE</w:t>
      </w:r>
    </w:p>
    <w:p>
      <w:pPr>
        <w:spacing w:after="0" w:line="27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00" w:lineRule="exact"/>
        <w:rPr>
          <w:sz w:val="20"/>
          <w:szCs w:val="20"/>
          <w:color w:val="auto"/>
        </w:rPr>
      </w:pPr>
    </w:p>
    <w:p>
      <w:pPr>
        <w:spacing w:after="0" w:line="304" w:lineRule="exact"/>
        <w:rPr>
          <w:sz w:val="20"/>
          <w:szCs w:val="20"/>
          <w:color w:val="auto"/>
        </w:rPr>
      </w:pPr>
    </w:p>
    <w:p>
      <w:pPr>
        <w:ind w:left="6020"/>
        <w:spacing w:after="0"/>
        <w:rPr>
          <w:sz w:val="20"/>
          <w:szCs w:val="20"/>
          <w:color w:val="auto"/>
        </w:rPr>
      </w:pPr>
      <w:r>
        <w:rPr>
          <w:rFonts w:ascii="Arial" w:cs="Arial" w:eastAsia="Arial" w:hAnsi="Arial"/>
          <w:sz w:val="19"/>
          <w:szCs w:val="19"/>
          <w:b w:val="1"/>
          <w:bCs w:val="1"/>
          <w:color w:val="auto"/>
        </w:rPr>
        <w:t>Neuberger Berman Group LLC</w:t>
      </w:r>
    </w:p>
    <w:p>
      <w:pPr>
        <w:sectPr>
          <w:pgSz w:w="12240" w:h="15840" w:orient="portrait"/>
          <w:cols w:equalWidth="0" w:num="1">
            <w:col w:w="11980"/>
          </w:cols>
          <w:pgMar w:left="120" w:top="650" w:right="140"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13, 2019</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color w:val="auto"/>
        </w:rPr>
        <w:t>By: /s/ Brad Cetron</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9"/>
          <w:szCs w:val="19"/>
          <w:color w:val="auto"/>
        </w:rPr>
        <w:t>Name: Brad Cetron</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Title: Deputy General Counsel</w:t>
      </w:r>
    </w:p>
    <w:p>
      <w:pPr>
        <w:spacing w:after="0" w:line="200" w:lineRule="exact"/>
        <w:rPr>
          <w:sz w:val="20"/>
          <w:szCs w:val="20"/>
          <w:color w:val="auto"/>
        </w:rPr>
      </w:pPr>
    </w:p>
    <w:p>
      <w:pPr>
        <w:sectPr>
          <w:pgSz w:w="12240" w:h="15840" w:orient="portrait"/>
          <w:cols w:equalWidth="0" w:num="2">
            <w:col w:w="5300" w:space="720"/>
            <w:col w:w="5960"/>
          </w:cols>
          <w:pgMar w:left="120" w:top="650" w:right="1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20"/>
        <w:spacing w:after="0"/>
        <w:rPr>
          <w:sz w:val="20"/>
          <w:szCs w:val="20"/>
          <w:color w:val="auto"/>
        </w:rPr>
      </w:pPr>
      <w:r>
        <w:rPr>
          <w:rFonts w:ascii="Arial" w:cs="Arial" w:eastAsia="Arial" w:hAnsi="Arial"/>
          <w:sz w:val="17"/>
          <w:szCs w:val="17"/>
          <w:b w:val="1"/>
          <w:bCs w:val="1"/>
          <w:color w:val="auto"/>
        </w:rPr>
        <w:t>Neuberger Berman Investment Advisers LLC</w:t>
      </w:r>
    </w:p>
    <w:p>
      <w:pPr>
        <w:sectPr>
          <w:pgSz w:w="12240" w:h="15840" w:orient="portrait"/>
          <w:cols w:equalWidth="0" w:num="1">
            <w:col w:w="11980"/>
          </w:cols>
          <w:pgMar w:left="120" w:top="650" w:right="140" w:bottom="1440" w:gutter="0" w:footer="0" w:header="0"/>
          <w:type w:val="continuous"/>
        </w:sect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13, 2019</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Name: Brad Cetron</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Title: Deputy General Counsel</w:t>
      </w:r>
    </w:p>
    <w:p>
      <w:pPr>
        <w:spacing w:after="0" w:line="200" w:lineRule="exact"/>
        <w:rPr>
          <w:sz w:val="20"/>
          <w:szCs w:val="20"/>
          <w:color w:val="auto"/>
        </w:rPr>
      </w:pPr>
    </w:p>
    <w:p>
      <w:pPr>
        <w:sectPr>
          <w:pgSz w:w="12240" w:h="15840" w:orient="portrait"/>
          <w:cols w:equalWidth="0" w:num="3">
            <w:col w:w="5300" w:space="720"/>
            <w:col w:w="260" w:space="80"/>
            <w:col w:w="5620"/>
          </w:cols>
          <w:pgMar w:left="120" w:top="650" w:right="140" w:bottom="1440" w:gutter="0" w:footer="0" w:header="0"/>
          <w:type w:val="continuous"/>
        </w:sect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Footnotes: </w:t>
      </w:r>
      <w:r>
        <w:rPr>
          <w:rFonts w:ascii="Arial" w:cs="Arial" w:eastAsia="Arial" w:hAnsi="Arial"/>
          <w:sz w:val="19"/>
          <w:szCs w:val="19"/>
          <w:color w:val="auto"/>
        </w:rPr>
        <w:t>Item 4(a):</w:t>
      </w:r>
    </w:p>
    <w:p>
      <w:pPr>
        <w:spacing w:after="0" w:line="29" w:lineRule="exact"/>
        <w:rPr>
          <w:sz w:val="20"/>
          <w:szCs w:val="20"/>
          <w:color w:val="auto"/>
        </w:rPr>
      </w:pPr>
    </w:p>
    <w:p>
      <w:pPr>
        <w:ind w:left="900" w:right="40"/>
        <w:spacing w:after="0" w:line="252" w:lineRule="auto"/>
        <w:rPr>
          <w:sz w:val="20"/>
          <w:szCs w:val="20"/>
          <w:color w:val="auto"/>
        </w:rPr>
      </w:pPr>
      <w:r>
        <w:rPr>
          <w:rFonts w:ascii="Arial" w:cs="Arial" w:eastAsia="Arial" w:hAnsi="Arial"/>
          <w:sz w:val="19"/>
          <w:szCs w:val="19"/>
          <w:color w:val="auto"/>
        </w:rPr>
        <w:t>Neuberger Berman Trust Co N.A., Neuberger Berman Trust Co of Delaware N.A.,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Investment Advisers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208" w:lineRule="exact"/>
        <w:rPr>
          <w:sz w:val="20"/>
          <w:szCs w:val="20"/>
          <w:color w:val="auto"/>
        </w:rPr>
      </w:pPr>
    </w:p>
    <w:p>
      <w:pPr>
        <w:ind w:left="900" w:right="220"/>
        <w:spacing w:after="0" w:line="256" w:lineRule="auto"/>
        <w:rPr>
          <w:sz w:val="20"/>
          <w:szCs w:val="20"/>
          <w:color w:val="auto"/>
        </w:rPr>
      </w:pPr>
      <w:r>
        <w:rPr>
          <w:rFonts w:ascii="Arial" w:cs="Arial" w:eastAsia="Arial" w:hAnsi="Arial"/>
          <w:sz w:val="19"/>
          <w:szCs w:val="19"/>
          <w:color w:val="auto"/>
        </w:rPr>
        <w:t>This report is not an admission that any of these entities are the beneficial owner of the securities covered by this report and each of Neuberger Berman Group LLC, Neuberger Berman Investment Advisers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386715</wp:posOffset>
            </wp:positionV>
            <wp:extent cx="7668260" cy="43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68260" cy="43815"/>
                    </a:xfrm>
                    <a:prstGeom prst="rect">
                      <a:avLst/>
                    </a:prstGeom>
                    <a:noFill/>
                  </pic:spPr>
                </pic:pic>
              </a:graphicData>
            </a:graphic>
          </wp:anchor>
        </w:drawing>
      </w:r>
    </w:p>
    <w:sectPr>
      <w:pgSz w:w="12240" w:h="15840" w:orient="portrait"/>
      <w:cols w:equalWidth="0" w:num="1">
        <w:col w:w="11980"/>
      </w:cols>
      <w:pgMar w:left="120" w:top="650" w:right="1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2019-12-15T18:29:14Z</dcterms:created>
  <dcterms:modified xsi:type="dcterms:W3CDTF">2019-12-15T18:29:14Z</dcterms:modified>
</cp:coreProperties>
</file>