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108585</wp:posOffset>
            </wp:positionH>
            <wp:positionV relativeFrom="page">
              <wp:posOffset>497840</wp:posOffset>
            </wp:positionV>
            <wp:extent cx="75888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88885" cy="8890"/>
                    </a:xfrm>
                    <a:prstGeom prst="rect">
                      <a:avLst/>
                    </a:prstGeom>
                    <a:noFill/>
                  </pic:spPr>
                </pic:pic>
              </a:graphicData>
            </a:graphic>
          </wp:anchor>
        </w:drawing>
        <w:drawing>
          <wp:anchor simplePos="0" relativeHeight="251657728" behindDoc="1" locked="0" layoutInCell="0" allowOverlap="1">
            <wp:simplePos x="0" y="0"/>
            <wp:positionH relativeFrom="page">
              <wp:posOffset>108585</wp:posOffset>
            </wp:positionH>
            <wp:positionV relativeFrom="page">
              <wp:posOffset>516255</wp:posOffset>
            </wp:positionV>
            <wp:extent cx="75888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88885" cy="8890"/>
                    </a:xfrm>
                    <a:prstGeom prst="rect">
                      <a:avLst/>
                    </a:prstGeom>
                    <a:noFill/>
                  </pic:spPr>
                </pic:pic>
              </a:graphicData>
            </a:graphic>
          </wp:anchor>
        </w:drawing>
        <w:t>UNITED STATES</w:t>
      </w:r>
    </w:p>
    <w:p>
      <w:pPr>
        <w:spacing w:after="0" w:line="29" w:lineRule="exact"/>
        <w:rPr>
          <w:sz w:val="24"/>
          <w:szCs w:val="24"/>
          <w:color w:val="auto"/>
        </w:rPr>
      </w:pPr>
    </w:p>
    <w:p>
      <w:pPr>
        <w:jc w:val="center"/>
        <w:ind w:right="-102"/>
        <w:spacing w:after="0"/>
        <w:rPr>
          <w:sz w:val="20"/>
          <w:szCs w:val="20"/>
          <w:color w:val="auto"/>
        </w:rPr>
      </w:pPr>
      <w:r>
        <w:rPr>
          <w:rFonts w:ascii="Arial" w:cs="Arial" w:eastAsia="Arial" w:hAnsi="Arial"/>
          <w:sz w:val="19"/>
          <w:szCs w:val="19"/>
          <w:b w:val="1"/>
          <w:bCs w:val="1"/>
          <w:color w:val="auto"/>
        </w:rPr>
        <w:t>SECURITIES AND EXCHANGE COMMISSION</w:t>
      </w:r>
    </w:p>
    <w:p>
      <w:pPr>
        <w:spacing w:after="0" w:line="10" w:lineRule="exact"/>
        <w:rPr>
          <w:sz w:val="24"/>
          <w:szCs w:val="24"/>
          <w:color w:val="auto"/>
        </w:rPr>
      </w:pPr>
    </w:p>
    <w:p>
      <w:pPr>
        <w:jc w:val="center"/>
        <w:ind w:right="-162"/>
        <w:spacing w:after="0"/>
        <w:rPr>
          <w:sz w:val="20"/>
          <w:szCs w:val="20"/>
          <w:color w:val="auto"/>
        </w:rPr>
      </w:pPr>
      <w:r>
        <w:rPr>
          <w:rFonts w:ascii="Arial" w:cs="Arial" w:eastAsia="Arial" w:hAnsi="Arial"/>
          <w:sz w:val="19"/>
          <w:szCs w:val="19"/>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102"/>
        <w:spacing w:after="0" w:line="391" w:lineRule="exact"/>
        <w:rPr>
          <w:sz w:val="20"/>
          <w:szCs w:val="20"/>
          <w:color w:val="auto"/>
        </w:rPr>
      </w:pPr>
      <w:r>
        <w:rPr>
          <w:rFonts w:ascii="Arial" w:cs="Arial" w:eastAsia="Arial" w:hAnsi="Arial"/>
          <w:sz w:val="34"/>
          <w:szCs w:val="34"/>
          <w:b w:val="1"/>
          <w:bCs w:val="1"/>
          <w:color w:val="auto"/>
        </w:rPr>
        <w:t>FORM 8</w:t>
      </w:r>
      <w:r>
        <w:rPr>
          <w:rFonts w:ascii="MS PGothic" w:cs="MS PGothic" w:eastAsia="MS PGothic" w:hAnsi="MS PGothic"/>
          <w:sz w:val="34"/>
          <w:szCs w:val="34"/>
          <w:color w:val="auto"/>
        </w:rPr>
        <w:t>‑</w:t>
      </w:r>
      <w:r>
        <w:rPr>
          <w:rFonts w:ascii="Arial" w:cs="Arial" w:eastAsia="Arial" w:hAnsi="Arial"/>
          <w:sz w:val="34"/>
          <w:szCs w:val="34"/>
          <w:b w:val="1"/>
          <w:bCs w:val="1"/>
          <w:color w:val="auto"/>
        </w:rPr>
        <w:t>K</w:t>
      </w:r>
    </w:p>
    <w:p>
      <w:pPr>
        <w:spacing w:after="0" w:line="45" w:lineRule="exact"/>
        <w:rPr>
          <w:sz w:val="24"/>
          <w:szCs w:val="24"/>
          <w:color w:val="auto"/>
        </w:rPr>
      </w:pPr>
    </w:p>
    <w:p>
      <w:pPr>
        <w:jc w:val="center"/>
        <w:ind w:right="-162"/>
        <w:spacing w:after="0"/>
        <w:rPr>
          <w:sz w:val="20"/>
          <w:szCs w:val="20"/>
          <w:color w:val="auto"/>
        </w:rPr>
      </w:pPr>
      <w:r>
        <w:rPr>
          <w:rFonts w:ascii="Arial" w:cs="Arial" w:eastAsia="Arial" w:hAnsi="Arial"/>
          <w:sz w:val="27"/>
          <w:szCs w:val="27"/>
          <w:b w:val="1"/>
          <w:bCs w:val="1"/>
          <w:color w:val="auto"/>
        </w:rPr>
        <w:t>CURRENT REPORT</w:t>
      </w:r>
    </w:p>
    <w:p>
      <w:pPr>
        <w:spacing w:after="0" w:line="63" w:lineRule="exact"/>
        <w:rPr>
          <w:sz w:val="24"/>
          <w:szCs w:val="24"/>
          <w:color w:val="auto"/>
        </w:rPr>
      </w:pPr>
    </w:p>
    <w:p>
      <w:pPr>
        <w:jc w:val="center"/>
        <w:ind w:right="-162"/>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30" w:lineRule="exact"/>
        <w:rPr>
          <w:sz w:val="24"/>
          <w:szCs w:val="24"/>
          <w:color w:val="auto"/>
        </w:rPr>
      </w:pPr>
    </w:p>
    <w:p>
      <w:pPr>
        <w:jc w:val="center"/>
        <w:ind w:right="-162"/>
        <w:spacing w:after="0"/>
        <w:rPr>
          <w:sz w:val="20"/>
          <w:szCs w:val="20"/>
          <w:color w:val="auto"/>
        </w:rPr>
      </w:pPr>
      <w:r>
        <w:rPr>
          <w:rFonts w:ascii="Arial" w:cs="Arial" w:eastAsia="Arial" w:hAnsi="Arial"/>
          <w:sz w:val="19"/>
          <w:szCs w:val="19"/>
          <w:color w:val="auto"/>
        </w:rPr>
        <w:t xml:space="preserve">Date of Report (Date of earliest event reported): </w:t>
      </w:r>
      <w:r>
        <w:rPr>
          <w:rFonts w:ascii="Arial" w:cs="Arial" w:eastAsia="Arial" w:hAnsi="Arial"/>
          <w:sz w:val="19"/>
          <w:szCs w:val="19"/>
          <w:b w:val="1"/>
          <w:bCs w:val="1"/>
          <w:color w:val="auto"/>
        </w:rPr>
        <w:t>January 28, 2019</w:t>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62"/>
        <w:spacing w:after="0"/>
        <w:rPr>
          <w:sz w:val="20"/>
          <w:szCs w:val="20"/>
          <w:color w:val="auto"/>
        </w:rPr>
      </w:pPr>
      <w:r>
        <w:rPr>
          <w:rFonts w:ascii="Arial" w:cs="Arial" w:eastAsia="Arial" w:hAnsi="Arial"/>
          <w:sz w:val="34"/>
          <w:szCs w:val="34"/>
          <w:b w:val="1"/>
          <w:bCs w:val="1"/>
          <w:color w:val="auto"/>
        </w:rPr>
        <w:t>CLEARWAY ENERGY, INC.</w:t>
      </w:r>
    </w:p>
    <w:p>
      <w:pPr>
        <w:spacing w:after="0" w:line="41" w:lineRule="exact"/>
        <w:rPr>
          <w:sz w:val="24"/>
          <w:szCs w:val="24"/>
          <w:color w:val="auto"/>
        </w:rPr>
      </w:pPr>
    </w:p>
    <w:p>
      <w:pPr>
        <w:jc w:val="center"/>
        <w:ind w:right="-162"/>
        <w:spacing w:after="0"/>
        <w:rPr>
          <w:sz w:val="20"/>
          <w:szCs w:val="20"/>
          <w:color w:val="auto"/>
        </w:rPr>
      </w:pPr>
      <w:r>
        <w:rPr>
          <w:rFonts w:ascii="Arial" w:cs="Arial" w:eastAsia="Arial" w:hAnsi="Arial"/>
          <w:sz w:val="19"/>
          <w:szCs w:val="19"/>
          <w:color w:val="auto"/>
        </w:rPr>
        <w:t>(Exact name of Registrant as specified in its charter)</w:t>
      </w:r>
    </w:p>
    <w:p>
      <w:pPr>
        <w:sectPr>
          <w:pgSz w:w="12240" w:h="15840" w:orient="portrait"/>
          <w:cols w:equalWidth="0" w:num="1">
            <w:col w:w="11683"/>
          </w:cols>
          <w:pgMar w:left="257" w:top="849" w:right="300" w:bottom="1440" w:gutter="0" w:footer="0" w:header="0"/>
        </w:sectPr>
      </w:pPr>
    </w:p>
    <w:p>
      <w:pPr>
        <w:spacing w:after="0" w:line="102" w:lineRule="exact"/>
        <w:rPr>
          <w:sz w:val="24"/>
          <w:szCs w:val="24"/>
          <w:color w:val="auto"/>
        </w:rPr>
      </w:pPr>
    </w:p>
    <w:p>
      <w:pPr>
        <w:jc w:val="center"/>
        <w:ind w:right="137"/>
        <w:spacing w:after="0"/>
        <w:rPr>
          <w:sz w:val="20"/>
          <w:szCs w:val="20"/>
          <w:color w:val="auto"/>
        </w:rPr>
      </w:pPr>
      <w:r>
        <w:rPr>
          <w:rFonts w:ascii="Arial" w:cs="Arial" w:eastAsia="Arial" w:hAnsi="Arial"/>
          <w:sz w:val="19"/>
          <w:szCs w:val="19"/>
          <w:b w:val="1"/>
          <w:bCs w:val="1"/>
          <w:color w:val="auto"/>
        </w:rPr>
        <w:t>Delaware</w:t>
      </w:r>
    </w:p>
    <w:p>
      <w:pPr>
        <w:spacing w:after="0" w:line="29" w:lineRule="exact"/>
        <w:rPr>
          <w:sz w:val="24"/>
          <w:szCs w:val="24"/>
          <w:color w:val="auto"/>
        </w:rPr>
      </w:pPr>
    </w:p>
    <w:p>
      <w:pPr>
        <w:jc w:val="center"/>
        <w:ind w:right="97"/>
        <w:spacing w:after="0"/>
        <w:rPr>
          <w:sz w:val="20"/>
          <w:szCs w:val="20"/>
          <w:color w:val="auto"/>
        </w:rPr>
      </w:pPr>
      <w:r>
        <w:rPr>
          <w:rFonts w:ascii="Arial" w:cs="Arial" w:eastAsia="Arial" w:hAnsi="Arial"/>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jc w:val="center"/>
        <w:ind w:right="800"/>
        <w:spacing w:after="0" w:line="219" w:lineRule="exact"/>
        <w:rPr>
          <w:sz w:val="20"/>
          <w:szCs w:val="20"/>
          <w:color w:val="auto"/>
        </w:rPr>
      </w:pPr>
      <w:r>
        <w:rPr>
          <w:rFonts w:ascii="Arial" w:cs="Arial" w:eastAsia="Arial" w:hAnsi="Arial"/>
          <w:sz w:val="19"/>
          <w:szCs w:val="19"/>
          <w:b w:val="1"/>
          <w:bCs w:val="1"/>
          <w:color w:val="auto"/>
        </w:rPr>
        <w:t>001</w:t>
      </w:r>
      <w:r>
        <w:rPr>
          <w:rFonts w:ascii="MS PGothic" w:cs="MS PGothic" w:eastAsia="MS PGothic" w:hAnsi="MS PGothic"/>
          <w:sz w:val="19"/>
          <w:szCs w:val="19"/>
          <w:color w:val="auto"/>
        </w:rPr>
        <w:t>‑</w:t>
      </w:r>
      <w:r>
        <w:rPr>
          <w:rFonts w:ascii="Arial" w:cs="Arial" w:eastAsia="Arial" w:hAnsi="Arial"/>
          <w:sz w:val="19"/>
          <w:szCs w:val="19"/>
          <w:b w:val="1"/>
          <w:bCs w:val="1"/>
          <w:color w:val="auto"/>
        </w:rPr>
        <w:t>36002</w:t>
      </w:r>
    </w:p>
    <w:p>
      <w:pPr>
        <w:spacing w:after="0" w:line="29" w:lineRule="exact"/>
        <w:rPr>
          <w:sz w:val="24"/>
          <w:szCs w:val="24"/>
          <w:color w:val="auto"/>
        </w:rPr>
      </w:pPr>
    </w:p>
    <w:p>
      <w:pPr>
        <w:jc w:val="center"/>
        <w:ind w:right="74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46-1777204</w:t>
      </w:r>
    </w:p>
    <w:p>
      <w:pPr>
        <w:spacing w:after="0" w:line="29"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128" w:lineRule="exact"/>
        <w:rPr>
          <w:sz w:val="24"/>
          <w:szCs w:val="24"/>
          <w:color w:val="auto"/>
        </w:rPr>
      </w:pPr>
    </w:p>
    <w:p>
      <w:pPr>
        <w:sectPr>
          <w:pgSz w:w="12240" w:h="15840" w:orient="portrait"/>
          <w:cols w:equalWidth="0" w:num="3">
            <w:col w:w="4283" w:space="720"/>
            <w:col w:w="2840" w:space="720"/>
            <w:col w:w="3120"/>
          </w:cols>
          <w:pgMar w:left="257" w:top="849" w:right="300" w:bottom="1440" w:gutter="0" w:footer="0" w:header="0"/>
          <w:type w:val="continuous"/>
        </w:sectPr>
      </w:pPr>
    </w:p>
    <w:p>
      <w:pPr>
        <w:ind w:left="3423"/>
        <w:spacing w:after="0"/>
        <w:rPr>
          <w:sz w:val="20"/>
          <w:szCs w:val="20"/>
          <w:color w:val="auto"/>
        </w:rPr>
      </w:pPr>
      <w:r>
        <w:rPr>
          <w:rFonts w:ascii="Arial" w:cs="Arial" w:eastAsia="Arial" w:hAnsi="Arial"/>
          <w:sz w:val="19"/>
          <w:szCs w:val="19"/>
          <w:b w:val="1"/>
          <w:bCs w:val="1"/>
          <w:color w:val="auto"/>
        </w:rPr>
        <w:t>300 Carnegie Center, Suite 300, Princeton, New Jersey 08540</w:t>
      </w:r>
    </w:p>
    <w:p>
      <w:pPr>
        <w:spacing w:after="0" w:line="29" w:lineRule="exact"/>
        <w:rPr>
          <w:sz w:val="24"/>
          <w:szCs w:val="24"/>
          <w:color w:val="auto"/>
        </w:rPr>
      </w:pPr>
    </w:p>
    <w:p>
      <w:pPr>
        <w:ind w:left="3663"/>
        <w:spacing w:after="0"/>
        <w:rPr>
          <w:sz w:val="20"/>
          <w:szCs w:val="20"/>
          <w:color w:val="auto"/>
        </w:rPr>
      </w:pPr>
      <w:r>
        <w:rPr>
          <w:rFonts w:ascii="Arial" w:cs="Arial" w:eastAsia="Arial" w:hAnsi="Arial"/>
          <w:sz w:val="19"/>
          <w:szCs w:val="19"/>
          <w:color w:val="auto"/>
        </w:rPr>
        <w:t>(Address of principal executive offices, including zip code)</w:t>
      </w:r>
    </w:p>
    <w:p>
      <w:pPr>
        <w:spacing w:after="0" w:line="105" w:lineRule="exact"/>
        <w:rPr>
          <w:sz w:val="24"/>
          <w:szCs w:val="24"/>
          <w:color w:val="auto"/>
        </w:rPr>
      </w:pPr>
    </w:p>
    <w:p>
      <w:pPr>
        <w:jc w:val="center"/>
        <w:ind w:right="-102"/>
        <w:spacing w:after="0" w:line="219" w:lineRule="exact"/>
        <w:rPr>
          <w:sz w:val="20"/>
          <w:szCs w:val="20"/>
          <w:color w:val="auto"/>
        </w:rPr>
      </w:pPr>
      <w:r>
        <w:rPr>
          <w:rFonts w:ascii="Arial" w:cs="Arial" w:eastAsia="Arial" w:hAnsi="Arial"/>
          <w:sz w:val="19"/>
          <w:szCs w:val="19"/>
          <w:b w:val="1"/>
          <w:bCs w:val="1"/>
          <w:color w:val="auto"/>
        </w:rPr>
        <w:t>(609) 608</w:t>
      </w:r>
      <w:r>
        <w:rPr>
          <w:rFonts w:ascii="MS PGothic" w:cs="MS PGothic" w:eastAsia="MS PGothic" w:hAnsi="MS PGothic"/>
          <w:sz w:val="19"/>
          <w:szCs w:val="19"/>
          <w:color w:val="auto"/>
        </w:rPr>
        <w:t>‑</w:t>
      </w:r>
      <w:r>
        <w:rPr>
          <w:rFonts w:ascii="Arial" w:cs="Arial" w:eastAsia="Arial" w:hAnsi="Arial"/>
          <w:sz w:val="19"/>
          <w:szCs w:val="19"/>
          <w:b w:val="1"/>
          <w:bCs w:val="1"/>
          <w:color w:val="auto"/>
        </w:rPr>
        <w:t>1525</w:t>
      </w:r>
    </w:p>
    <w:p>
      <w:pPr>
        <w:spacing w:after="0" w:line="29" w:lineRule="exact"/>
        <w:rPr>
          <w:sz w:val="24"/>
          <w:szCs w:val="24"/>
          <w:color w:val="auto"/>
        </w:rPr>
      </w:pPr>
    </w:p>
    <w:p>
      <w:pPr>
        <w:jc w:val="center"/>
        <w:ind w:right="-142"/>
        <w:spacing w:after="0"/>
        <w:rPr>
          <w:sz w:val="20"/>
          <w:szCs w:val="20"/>
          <w:color w:val="auto"/>
        </w:rPr>
      </w:pPr>
      <w:r>
        <w:rPr>
          <w:rFonts w:ascii="Arial" w:cs="Arial" w:eastAsia="Arial" w:hAnsi="Arial"/>
          <w:sz w:val="19"/>
          <w:szCs w:val="19"/>
          <w:color w:val="auto"/>
        </w:rPr>
        <w:t>(Registrant’s telephone number, including area code)</w:t>
      </w:r>
    </w:p>
    <w:p>
      <w:pPr>
        <w:spacing w:after="0" w:line="105" w:lineRule="exact"/>
        <w:rPr>
          <w:sz w:val="24"/>
          <w:szCs w:val="24"/>
          <w:color w:val="auto"/>
        </w:rPr>
      </w:pPr>
    </w:p>
    <w:p>
      <w:pPr>
        <w:jc w:val="center"/>
        <w:ind w:right="-42"/>
        <w:spacing w:after="0"/>
        <w:rPr>
          <w:sz w:val="20"/>
          <w:szCs w:val="20"/>
          <w:color w:val="auto"/>
        </w:rPr>
      </w:pPr>
      <w:r>
        <w:rPr>
          <w:rFonts w:ascii="Arial" w:cs="Arial" w:eastAsia="Arial" w:hAnsi="Arial"/>
          <w:sz w:val="19"/>
          <w:szCs w:val="19"/>
          <w:b w:val="1"/>
          <w:bCs w:val="1"/>
          <w:color w:val="auto"/>
        </w:rPr>
        <w:t>N/A</w:t>
      </w:r>
    </w:p>
    <w:p>
      <w:pPr>
        <w:spacing w:after="0" w:line="29" w:lineRule="exact"/>
        <w:rPr>
          <w:sz w:val="24"/>
          <w:szCs w:val="24"/>
          <w:color w:val="auto"/>
        </w:rPr>
      </w:pPr>
    </w:p>
    <w:p>
      <w:pPr>
        <w:jc w:val="center"/>
        <w:ind w:right="-142"/>
        <w:spacing w:after="0"/>
        <w:rPr>
          <w:sz w:val="20"/>
          <w:szCs w:val="20"/>
          <w:color w:val="auto"/>
        </w:rPr>
      </w:pPr>
      <w:r>
        <w:rPr>
          <w:rFonts w:ascii="Arial" w:cs="Arial" w:eastAsia="Arial" w:hAnsi="Arial"/>
          <w:sz w:val="19"/>
          <w:szCs w:val="19"/>
          <w:color w:val="auto"/>
        </w:rPr>
        <w:t>(Former name or former address, if changed since last report)</w:t>
      </w:r>
    </w:p>
    <w:p>
      <w:pPr>
        <w:spacing w:after="0" w:line="182" w:lineRule="exact"/>
        <w:rPr>
          <w:sz w:val="24"/>
          <w:szCs w:val="24"/>
          <w:color w:val="auto"/>
        </w:rPr>
      </w:pPr>
    </w:p>
    <w:p>
      <w:pPr>
        <w:ind w:left="3" w:right="540"/>
        <w:spacing w:after="0" w:line="234" w:lineRule="exact"/>
        <w:rPr>
          <w:sz w:val="20"/>
          <w:szCs w:val="20"/>
          <w:color w:val="auto"/>
        </w:rPr>
      </w:pPr>
      <w:r>
        <w:rPr>
          <w:rFonts w:ascii="Arial" w:cs="Arial" w:eastAsia="Arial" w:hAnsi="Arial"/>
          <w:sz w:val="19"/>
          <w:szCs w:val="19"/>
          <w:color w:val="auto"/>
        </w:rPr>
        <w:t>Check the appropriate box below if the Form 8</w:t>
      </w:r>
      <w:r>
        <w:rPr>
          <w:rFonts w:ascii="MS PGothic" w:cs="MS PGothic" w:eastAsia="MS PGothic" w:hAnsi="MS PGothic"/>
          <w:sz w:val="19"/>
          <w:szCs w:val="19"/>
          <w:color w:val="auto"/>
        </w:rPr>
        <w:t>‑</w:t>
      </w:r>
      <w:r>
        <w:rPr>
          <w:rFonts w:ascii="Arial" w:cs="Arial" w:eastAsia="Arial" w:hAnsi="Arial"/>
          <w:sz w:val="19"/>
          <w:szCs w:val="19"/>
          <w:color w:val="auto"/>
        </w:rPr>
        <w:t>K filing is intended to simultaneously satisfy the filing obligation of the registrant under any of the following provisions:</w:t>
      </w:r>
    </w:p>
    <w:p>
      <w:pPr>
        <w:spacing w:after="0" w:line="2" w:lineRule="exact"/>
        <w:rPr>
          <w:sz w:val="24"/>
          <w:szCs w:val="24"/>
          <w:color w:val="auto"/>
        </w:rPr>
      </w:pPr>
    </w:p>
    <w:p>
      <w:pPr>
        <w:ind w:left="103" w:hanging="103"/>
        <w:spacing w:after="0"/>
        <w:tabs>
          <w:tab w:leader="none" w:pos="103" w:val="left"/>
        </w:tabs>
        <w:numPr>
          <w:ilvl w:val="0"/>
          <w:numId w:val="1"/>
        </w:numPr>
        <w:rPr>
          <w:rFonts w:ascii="Arial" w:cs="Arial" w:eastAsia="Arial" w:hAnsi="Arial"/>
          <w:sz w:val="19"/>
          <w:szCs w:val="19"/>
          <w:color w:val="auto"/>
        </w:rPr>
      </w:pPr>
      <w:r>
        <w:rPr>
          <w:rFonts w:ascii="Arial" w:cs="Arial" w:eastAsia="Arial" w:hAnsi="Arial"/>
          <w:sz w:val="19"/>
          <w:szCs w:val="19"/>
          <w:color w:val="auto"/>
        </w:rPr>
        <w:t>] Written communications pursuant to Rule 425 under the Securities Act (17 CFR 230.425)</w:t>
      </w:r>
    </w:p>
    <w:p>
      <w:pPr>
        <w:spacing w:after="0" w:line="9" w:lineRule="exact"/>
        <w:rPr>
          <w:rFonts w:ascii="Arial" w:cs="Arial" w:eastAsia="Arial" w:hAnsi="Arial"/>
          <w:sz w:val="19"/>
          <w:szCs w:val="19"/>
          <w:color w:val="auto"/>
        </w:rPr>
      </w:pPr>
    </w:p>
    <w:p>
      <w:pPr>
        <w:ind w:left="103" w:hanging="103"/>
        <w:spacing w:after="0" w:line="219" w:lineRule="exact"/>
        <w:tabs>
          <w:tab w:leader="none" w:pos="103" w:val="left"/>
        </w:tabs>
        <w:numPr>
          <w:ilvl w:val="0"/>
          <w:numId w:val="1"/>
        </w:numPr>
        <w:rPr>
          <w:rFonts w:ascii="Arial" w:cs="Arial" w:eastAsia="Arial" w:hAnsi="Arial"/>
          <w:sz w:val="19"/>
          <w:szCs w:val="19"/>
          <w:color w:val="auto"/>
        </w:rPr>
      </w:pPr>
      <w:r>
        <w:rPr>
          <w:rFonts w:ascii="Arial" w:cs="Arial" w:eastAsia="Arial" w:hAnsi="Arial"/>
          <w:sz w:val="19"/>
          <w:szCs w:val="19"/>
          <w:color w:val="auto"/>
        </w:rPr>
        <w:t>] Soliciting material pursuant to Rule 14a</w:t>
      </w:r>
      <w:r>
        <w:rPr>
          <w:rFonts w:ascii="MS PGothic" w:cs="MS PGothic" w:eastAsia="MS PGothic" w:hAnsi="MS PGothic"/>
          <w:sz w:val="19"/>
          <w:szCs w:val="19"/>
          <w:color w:val="auto"/>
        </w:rPr>
        <w:t>‑</w:t>
      </w:r>
      <w:r>
        <w:rPr>
          <w:rFonts w:ascii="Arial" w:cs="Arial" w:eastAsia="Arial" w:hAnsi="Arial"/>
          <w:sz w:val="19"/>
          <w:szCs w:val="19"/>
          <w:color w:val="auto"/>
        </w:rPr>
        <w:t>12 under the Exchange Act (17 CFR 240.14a</w:t>
      </w:r>
      <w:r>
        <w:rPr>
          <w:rFonts w:ascii="MS PGothic" w:cs="MS PGothic" w:eastAsia="MS PGothic" w:hAnsi="MS PGothic"/>
          <w:sz w:val="19"/>
          <w:szCs w:val="19"/>
          <w:color w:val="auto"/>
        </w:rPr>
        <w:t>‑</w:t>
      </w:r>
      <w:r>
        <w:rPr>
          <w:rFonts w:ascii="Arial" w:cs="Arial" w:eastAsia="Arial" w:hAnsi="Arial"/>
          <w:sz w:val="19"/>
          <w:szCs w:val="19"/>
          <w:color w:val="auto"/>
        </w:rPr>
        <w:t>12)</w:t>
      </w:r>
    </w:p>
    <w:p>
      <w:pPr>
        <w:spacing w:after="0" w:line="9" w:lineRule="exact"/>
        <w:rPr>
          <w:rFonts w:ascii="Arial" w:cs="Arial" w:eastAsia="Arial" w:hAnsi="Arial"/>
          <w:sz w:val="19"/>
          <w:szCs w:val="19"/>
          <w:color w:val="auto"/>
        </w:rPr>
      </w:pPr>
    </w:p>
    <w:p>
      <w:pPr>
        <w:ind w:left="103" w:hanging="103"/>
        <w:spacing w:after="0" w:line="219" w:lineRule="exact"/>
        <w:tabs>
          <w:tab w:leader="none" w:pos="103" w:val="left"/>
        </w:tabs>
        <w:numPr>
          <w:ilvl w:val="0"/>
          <w:numId w:val="1"/>
        </w:numPr>
        <w:rPr>
          <w:rFonts w:ascii="Arial" w:cs="Arial" w:eastAsia="Arial" w:hAnsi="Arial"/>
          <w:sz w:val="19"/>
          <w:szCs w:val="19"/>
          <w:color w:val="auto"/>
        </w:rPr>
      </w:pPr>
      <w:r>
        <w:rPr>
          <w:rFonts w:ascii="Arial" w:cs="Arial" w:eastAsia="Arial" w:hAnsi="Arial"/>
          <w:sz w:val="19"/>
          <w:szCs w:val="19"/>
          <w:color w:val="auto"/>
        </w:rPr>
        <w:t>] Pre</w:t>
      </w:r>
      <w:r>
        <w:rPr>
          <w:rFonts w:ascii="MS PGothic" w:cs="MS PGothic" w:eastAsia="MS PGothic" w:hAnsi="MS PGothic"/>
          <w:sz w:val="19"/>
          <w:szCs w:val="19"/>
          <w:color w:val="auto"/>
        </w:rPr>
        <w:t>‑</w:t>
      </w:r>
      <w:r>
        <w:rPr>
          <w:rFonts w:ascii="Arial" w:cs="Arial" w:eastAsia="Arial" w:hAnsi="Arial"/>
          <w:sz w:val="19"/>
          <w:szCs w:val="19"/>
          <w:color w:val="auto"/>
        </w:rPr>
        <w:t>commencement communications pursuant to Rule 14d</w:t>
      </w:r>
      <w:r>
        <w:rPr>
          <w:rFonts w:ascii="MS PGothic" w:cs="MS PGothic" w:eastAsia="MS PGothic" w:hAnsi="MS PGothic"/>
          <w:sz w:val="19"/>
          <w:szCs w:val="19"/>
          <w:color w:val="auto"/>
        </w:rPr>
        <w:t>‑</w:t>
      </w:r>
      <w:r>
        <w:rPr>
          <w:rFonts w:ascii="Arial" w:cs="Arial" w:eastAsia="Arial" w:hAnsi="Arial"/>
          <w:sz w:val="19"/>
          <w:szCs w:val="19"/>
          <w:color w:val="auto"/>
        </w:rPr>
        <w:t>2(b) under the Exchange Act (17 CFR 240.14d</w:t>
      </w:r>
      <w:r>
        <w:rPr>
          <w:rFonts w:ascii="MS PGothic" w:cs="MS PGothic" w:eastAsia="MS PGothic" w:hAnsi="MS PGothic"/>
          <w:sz w:val="19"/>
          <w:szCs w:val="19"/>
          <w:color w:val="auto"/>
        </w:rPr>
        <w:t>‑</w:t>
      </w:r>
      <w:r>
        <w:rPr>
          <w:rFonts w:ascii="Arial" w:cs="Arial" w:eastAsia="Arial" w:hAnsi="Arial"/>
          <w:sz w:val="19"/>
          <w:szCs w:val="19"/>
          <w:color w:val="auto"/>
        </w:rPr>
        <w:t>2(b))</w:t>
      </w:r>
    </w:p>
    <w:p>
      <w:pPr>
        <w:spacing w:after="0" w:line="9" w:lineRule="exact"/>
        <w:rPr>
          <w:rFonts w:ascii="Arial" w:cs="Arial" w:eastAsia="Arial" w:hAnsi="Arial"/>
          <w:sz w:val="19"/>
          <w:szCs w:val="19"/>
          <w:color w:val="auto"/>
        </w:rPr>
      </w:pPr>
    </w:p>
    <w:p>
      <w:pPr>
        <w:ind w:left="103" w:hanging="103"/>
        <w:spacing w:after="0" w:line="219" w:lineRule="exact"/>
        <w:tabs>
          <w:tab w:leader="none" w:pos="103" w:val="left"/>
        </w:tabs>
        <w:numPr>
          <w:ilvl w:val="0"/>
          <w:numId w:val="1"/>
        </w:numPr>
        <w:rPr>
          <w:rFonts w:ascii="Arial" w:cs="Arial" w:eastAsia="Arial" w:hAnsi="Arial"/>
          <w:sz w:val="19"/>
          <w:szCs w:val="19"/>
          <w:color w:val="auto"/>
        </w:rPr>
      </w:pPr>
      <w:r>
        <w:rPr>
          <w:rFonts w:ascii="Arial" w:cs="Arial" w:eastAsia="Arial" w:hAnsi="Arial"/>
          <w:sz w:val="19"/>
          <w:szCs w:val="19"/>
          <w:color w:val="auto"/>
        </w:rPr>
        <w:t>] Pre</w:t>
      </w:r>
      <w:r>
        <w:rPr>
          <w:rFonts w:ascii="MS PGothic" w:cs="MS PGothic" w:eastAsia="MS PGothic" w:hAnsi="MS PGothic"/>
          <w:sz w:val="19"/>
          <w:szCs w:val="19"/>
          <w:color w:val="auto"/>
        </w:rPr>
        <w:t>‑</w:t>
      </w:r>
      <w:r>
        <w:rPr>
          <w:rFonts w:ascii="Arial" w:cs="Arial" w:eastAsia="Arial" w:hAnsi="Arial"/>
          <w:sz w:val="19"/>
          <w:szCs w:val="19"/>
          <w:color w:val="auto"/>
        </w:rPr>
        <w:t>commencement communications pursuant to Rule 13e</w:t>
      </w:r>
      <w:r>
        <w:rPr>
          <w:rFonts w:ascii="MS PGothic" w:cs="MS PGothic" w:eastAsia="MS PGothic" w:hAnsi="MS PGothic"/>
          <w:sz w:val="19"/>
          <w:szCs w:val="19"/>
          <w:color w:val="auto"/>
        </w:rPr>
        <w:t>‑</w:t>
      </w:r>
      <w:r>
        <w:rPr>
          <w:rFonts w:ascii="Arial" w:cs="Arial" w:eastAsia="Arial" w:hAnsi="Arial"/>
          <w:sz w:val="19"/>
          <w:szCs w:val="19"/>
          <w:color w:val="auto"/>
        </w:rPr>
        <w:t>4(c) under the Exchange Act (17 CFR 240.13e</w:t>
      </w:r>
      <w:r>
        <w:rPr>
          <w:rFonts w:ascii="MS PGothic" w:cs="MS PGothic" w:eastAsia="MS PGothic" w:hAnsi="MS PGothic"/>
          <w:sz w:val="19"/>
          <w:szCs w:val="19"/>
          <w:color w:val="auto"/>
        </w:rPr>
        <w:t>‑</w:t>
      </w:r>
      <w:r>
        <w:rPr>
          <w:rFonts w:ascii="Arial" w:cs="Arial" w:eastAsia="Arial" w:hAnsi="Arial"/>
          <w:sz w:val="19"/>
          <w:szCs w:val="19"/>
          <w:color w:val="auto"/>
        </w:rPr>
        <w:t>4(c))</w:t>
      </w:r>
    </w:p>
    <w:p>
      <w:pPr>
        <w:spacing w:after="0" w:line="182" w:lineRule="exact"/>
        <w:rPr>
          <w:sz w:val="24"/>
          <w:szCs w:val="24"/>
          <w:color w:val="auto"/>
        </w:rPr>
      </w:pPr>
    </w:p>
    <w:p>
      <w:pPr>
        <w:ind w:left="3" w:right="360"/>
        <w:spacing w:after="0" w:line="257"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5423"/>
        <w:spacing w:after="0"/>
        <w:rPr>
          <w:sz w:val="20"/>
          <w:szCs w:val="20"/>
          <w:color w:val="auto"/>
        </w:rPr>
      </w:pPr>
      <w:r>
        <w:rPr>
          <w:rFonts w:ascii="Arial" w:cs="Arial" w:eastAsia="Arial" w:hAnsi="Arial"/>
          <w:sz w:val="19"/>
          <w:szCs w:val="19"/>
          <w:color w:val="auto"/>
        </w:rPr>
        <w:t>Emerging growth company [ ]</w:t>
      </w:r>
    </w:p>
    <w:p>
      <w:pPr>
        <w:spacing w:after="0" w:line="225" w:lineRule="exact"/>
        <w:rPr>
          <w:sz w:val="24"/>
          <w:szCs w:val="24"/>
          <w:color w:val="auto"/>
        </w:rPr>
      </w:pPr>
    </w:p>
    <w:p>
      <w:pPr>
        <w:ind w:left="3"/>
        <w:spacing w:after="0" w:line="275"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-53340</wp:posOffset>
            </wp:positionH>
            <wp:positionV relativeFrom="paragraph">
              <wp:posOffset>161925</wp:posOffset>
            </wp:positionV>
            <wp:extent cx="7588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88885" cy="8890"/>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180340</wp:posOffset>
            </wp:positionV>
            <wp:extent cx="75888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8885" cy="8890"/>
                    </a:xfrm>
                    <a:prstGeom prst="rect">
                      <a:avLst/>
                    </a:prstGeom>
                    <a:noFill/>
                  </pic:spPr>
                </pic:pic>
              </a:graphicData>
            </a:graphic>
          </wp:anchor>
        </w:drawing>
      </w:r>
    </w:p>
    <w:p>
      <w:pPr>
        <w:sectPr>
          <w:pgSz w:w="12240" w:h="15840" w:orient="portrait"/>
          <w:cols w:equalWidth="0" w:num="1">
            <w:col w:w="11683"/>
          </w:cols>
          <w:pgMar w:left="257" w:top="849" w:right="30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9"/>
          <w:szCs w:val="19"/>
          <w:b w:val="1"/>
          <w:bCs w:val="1"/>
          <w:color w:val="auto"/>
        </w:rPr>
        <w:t>Item 8.01 Other Events.</w:t>
      </w:r>
    </w:p>
    <w:p>
      <w:pPr>
        <w:spacing w:after="0" w:line="244" w:lineRule="exact"/>
        <w:rPr>
          <w:sz w:val="20"/>
          <w:szCs w:val="20"/>
          <w:color w:val="auto"/>
        </w:rPr>
      </w:pPr>
    </w:p>
    <w:p>
      <w:pPr>
        <w:ind w:firstLine="685"/>
        <w:spacing w:after="0" w:line="308" w:lineRule="auto"/>
        <w:rPr>
          <w:sz w:val="20"/>
          <w:szCs w:val="20"/>
          <w:color w:val="auto"/>
        </w:rPr>
      </w:pPr>
      <w:r>
        <w:rPr>
          <w:rFonts w:ascii="Arial" w:cs="Arial" w:eastAsia="Arial" w:hAnsi="Arial"/>
          <w:sz w:val="17"/>
          <w:szCs w:val="17"/>
          <w:color w:val="auto"/>
        </w:rPr>
        <w:t>On January 28, 2019, the Board of Directors (the “Board”) of Clearway Energy, Inc. appointed E. Stanley O’Neal to the Audit Committee of the Board. As a result of Mr. O’Neal’s appointment, the Audit Committee of the Board is presently comprised of three directors, each of whom are independent under the New York Stock Exchange listing standards, meeting the requirement under Section 303A.07(a) of the NYSE Listed Company Manual.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2</w:t>
      </w:r>
    </w:p>
    <w:p>
      <w:pPr>
        <w:sectPr>
          <w:pgSz w:w="12240" w:h="15840" w:orient="portrait"/>
          <w:cols w:equalWidth="0" w:num="1">
            <w:col w:w="11840"/>
          </w:cols>
          <w:pgMar w:left="120" w:top="507" w:right="280"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b w:val="1"/>
          <w:bCs w:val="1"/>
          <w:u w:val="single" w:color="auto"/>
          <w:color w:val="auto"/>
        </w:rPr>
        <w:t>SIGNATURES</w:t>
      </w:r>
    </w:p>
    <w:p>
      <w:pPr>
        <w:spacing w:after="0" w:line="329" w:lineRule="exact"/>
        <w:rPr>
          <w:sz w:val="20"/>
          <w:szCs w:val="20"/>
          <w:color w:val="auto"/>
        </w:rPr>
      </w:pPr>
    </w:p>
    <w:p>
      <w:pPr>
        <w:spacing w:after="0" w:line="322"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Clearway Energy, Inc.</w:t>
      </w:r>
    </w:p>
    <w:p>
      <w:pPr>
        <w:spacing w:after="0" w:line="95"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(Registrant)</w:t>
      </w:r>
    </w:p>
    <w:p>
      <w:pPr>
        <w:spacing w:after="0" w:line="200" w:lineRule="exact"/>
        <w:rPr>
          <w:sz w:val="20"/>
          <w:szCs w:val="20"/>
          <w:color w:val="auto"/>
        </w:rPr>
      </w:pPr>
    </w:p>
    <w:p>
      <w:pPr>
        <w:spacing w:after="0" w:line="209" w:lineRule="exact"/>
        <w:rPr>
          <w:sz w:val="20"/>
          <w:szCs w:val="20"/>
          <w:color w:val="auto"/>
        </w:rPr>
      </w:pPr>
    </w:p>
    <w:p>
      <w:pPr>
        <w:ind w:left="5720"/>
        <w:spacing w:after="0"/>
        <w:tabs>
          <w:tab w:leader="none" w:pos="66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51435</wp:posOffset>
            </wp:positionV>
            <wp:extent cx="33870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87090" cy="8890"/>
                    </a:xfrm>
                    <a:prstGeom prst="rect">
                      <a:avLst/>
                    </a:prstGeom>
                    <a:noFill/>
                  </pic:spPr>
                </pic:pic>
              </a:graphicData>
            </a:graphic>
          </wp:anchor>
        </w:drawing>
      </w:r>
    </w:p>
    <w:p>
      <w:pPr>
        <w:spacing w:after="0" w:line="90" w:lineRule="exact"/>
        <w:rPr>
          <w:sz w:val="20"/>
          <w:szCs w:val="20"/>
          <w:color w:val="auto"/>
        </w:rPr>
      </w:pPr>
    </w:p>
    <w:p>
      <w:pPr>
        <w:ind w:left="6660"/>
        <w:spacing w:after="0"/>
        <w:rPr>
          <w:sz w:val="20"/>
          <w:szCs w:val="20"/>
          <w:color w:val="auto"/>
        </w:rPr>
      </w:pPr>
      <w:r>
        <w:rPr>
          <w:rFonts w:ascii="Arial" w:cs="Arial" w:eastAsia="Arial" w:hAnsi="Arial"/>
          <w:sz w:val="19"/>
          <w:szCs w:val="19"/>
          <w:color w:val="auto"/>
        </w:rPr>
        <w:t>Kevin P. Malcarney</w:t>
      </w:r>
    </w:p>
    <w:p>
      <w:pPr>
        <w:spacing w:after="0" w:line="95" w:lineRule="exact"/>
        <w:rPr>
          <w:sz w:val="20"/>
          <w:szCs w:val="20"/>
          <w:color w:val="auto"/>
        </w:rPr>
      </w:pPr>
    </w:p>
    <w:p>
      <w:pPr>
        <w:ind w:left="6660"/>
        <w:spacing w:after="0"/>
        <w:rPr>
          <w:sz w:val="20"/>
          <w:szCs w:val="20"/>
          <w:color w:val="auto"/>
        </w:rPr>
      </w:pPr>
      <w:r>
        <w:rPr>
          <w:rFonts w:ascii="Arial" w:cs="Arial" w:eastAsia="Arial" w:hAnsi="Arial"/>
          <w:sz w:val="19"/>
          <w:szCs w:val="19"/>
          <w:color w:val="auto"/>
        </w:rPr>
        <w:t>General Counsel and Corporate Secretary</w:t>
      </w:r>
    </w:p>
    <w:p>
      <w:pPr>
        <w:spacing w:after="0" w:line="200" w:lineRule="exact"/>
        <w:rPr>
          <w:sz w:val="20"/>
          <w:szCs w:val="20"/>
          <w:color w:val="auto"/>
        </w:rPr>
      </w:pPr>
    </w:p>
    <w:p>
      <w:pPr>
        <w:spacing w:after="0" w:line="209" w:lineRule="exact"/>
        <w:rPr>
          <w:sz w:val="20"/>
          <w:szCs w:val="20"/>
          <w:color w:val="auto"/>
        </w:rPr>
      </w:pPr>
    </w:p>
    <w:p>
      <w:pPr>
        <w:ind w:left="140"/>
        <w:spacing w:after="0"/>
        <w:rPr>
          <w:sz w:val="20"/>
          <w:szCs w:val="20"/>
          <w:color w:val="auto"/>
        </w:rPr>
      </w:pPr>
      <w:r>
        <w:rPr>
          <w:rFonts w:ascii="Arial" w:cs="Arial" w:eastAsia="Arial" w:hAnsi="Arial"/>
          <w:sz w:val="19"/>
          <w:szCs w:val="19"/>
          <w:color w:val="auto"/>
        </w:rPr>
        <w:t>Dated: January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sectPr>
      <w:pgSz w:w="12240" w:h="15840" w:orient="portrait"/>
      <w:cols w:equalWidth="0" w:num="1">
        <w:col w:w="12000"/>
      </w:cols>
      <w:pgMar w:left="120" w:top="878"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2019-12-15T18:20:30Z</dcterms:created>
  <dcterms:modified xsi:type="dcterms:W3CDTF">2019-12-15T18:20:30Z</dcterms:modified>
</cp:coreProperties>
</file>