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5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BlackRock Portfolio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Clearway Energy,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138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7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03/26/2026</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50 HUDSON YARDS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513"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5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03/26/2026</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1,091</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168,180</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Sugam Mehta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BlackRock Portfolio Management LLC and the GIP Entities disclaim beneficial ownership of the securities reported herein, except to the extent of their respective pecuniary interest therein, if any, and, pursuant to Rule 16a-1(a)(4) under the Securities Exchange Act of 1934, as amended, BlackRock Portfolio Management LLC and the GIP Entities state that the inclusion of these securities in this report shall not be deemed an admission of beneficial ownership of the securities reported herein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40" w:right="160"/>
        <w:spacing w:after="0" w:line="253" w:lineRule="auto"/>
        <w:rPr>
          <w:sz w:val="20"/>
          <w:szCs w:val="20"/>
          <w:color w:val="auto"/>
        </w:rPr>
      </w:pPr>
      <w:r>
        <w:rPr>
          <w:rFonts w:ascii="Times New Roman" w:cs="Times New Roman" w:eastAsia="Times New Roman" w:hAnsi="Times New Roman"/>
          <w:sz w:val="13"/>
          <w:szCs w:val="13"/>
          <w:color w:val="00800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BlackRock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07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Management LLC By: /s/</w:t>
      </w:r>
      <w:r>
        <w:rPr>
          <w:sz w:val="20"/>
          <w:szCs w:val="20"/>
          <w:color w:val="auto"/>
        </w:rPr>
        <w:tab/>
      </w:r>
      <w:r>
        <w:rPr>
          <w:rFonts w:ascii="Times New Roman" w:cs="Times New Roman" w:eastAsia="Times New Roman" w:hAnsi="Times New Roman"/>
          <w:sz w:val="26"/>
          <w:szCs w:val="26"/>
          <w:color w:val="0000FF"/>
          <w:vertAlign w:val="subscript"/>
        </w:rPr>
        <w:t>03/30/2026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127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Julie Ashworth,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8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7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205211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2026-03-30T16:45:14Z</dcterms:created>
  <dcterms:modified xsi:type="dcterms:W3CDTF">2026-03-30T16:45:14Z</dcterms:modified>
</cp:coreProperties>
</file>