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Global Infrastructure Investors III,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80"/>
        <w:spacing w:after="0" w:line="365" w:lineRule="auto"/>
        <w:rPr>
          <w:sz w:val="20"/>
          <w:szCs w:val="20"/>
          <w:color w:val="auto"/>
        </w:rPr>
      </w:pPr>
      <w:r>
        <w:rPr>
          <w:rFonts w:ascii="Times New Roman" w:cs="Times New Roman" w:eastAsia="Times New Roman" w:hAnsi="Times New Roman"/>
          <w:sz w:val="17"/>
          <w:szCs w:val="17"/>
          <w:color w:val="0000FF"/>
        </w:rPr>
        <w:t>1345 AVENUE OF THE AMERICAS 30TH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Clearway Energy,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CWEN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780" w:type="dxa"/>
            <w:vAlign w:val="bottom"/>
            <w:tcBorders>
              <w:bottom w:val="single" w:sz="8" w:color="2C2C2C"/>
            </w:tcBorders>
          </w:tcPr>
          <w:p>
            <w:pPr>
              <w:spacing w:after="0"/>
              <w:rPr>
                <w:sz w:val="13"/>
                <w:szCs w:val="13"/>
                <w:color w:val="auto"/>
              </w:rPr>
            </w:pPr>
          </w:p>
        </w:tc>
        <w:tc>
          <w:tcPr>
            <w:tcW w:w="184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09/20/2024</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29"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gridSpan w:val="2"/>
          </w:tcPr>
          <w:p>
            <w:pPr>
              <w:ind w:left="28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2"/>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20" w:type="dxa"/>
            <w:vAlign w:val="bottom"/>
            <w:gridSpan w:val="6"/>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5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Transaction(s)</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9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600" w:type="dxa"/>
            <w:vAlign w:val="bottom"/>
            <w:gridSpan w:val="3"/>
            <w:vMerge w:val="restart"/>
          </w:tcPr>
          <w:p>
            <w:pPr>
              <w:ind w:left="380"/>
              <w:spacing w:after="0"/>
              <w:rPr>
                <w:sz w:val="20"/>
                <w:szCs w:val="20"/>
                <w:color w:val="auto"/>
              </w:rPr>
            </w:pPr>
            <w:r>
              <w:rPr>
                <w:rFonts w:ascii="Times New Roman" w:cs="Times New Roman" w:eastAsia="Times New Roman" w:hAnsi="Times New Roman"/>
                <w:sz w:val="17"/>
                <w:szCs w:val="17"/>
                <w:color w:val="0000FF"/>
              </w:rPr>
              <w:t>09/20/2024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3,418</w:t>
            </w:r>
          </w:p>
        </w:tc>
        <w:tc>
          <w:tcPr>
            <w:tcW w:w="4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right"/>
              <w:ind w:right="161"/>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1"/>
                <w:szCs w:val="21"/>
                <w:color w:val="auto"/>
              </w:rPr>
            </w:pPr>
          </w:p>
        </w:tc>
        <w:tc>
          <w:tcPr>
            <w:tcW w:w="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70,952</w:t>
            </w:r>
          </w:p>
        </w:tc>
        <w:tc>
          <w:tcPr>
            <w:tcW w:w="920" w:type="dxa"/>
            <w:vAlign w:val="bottom"/>
            <w:vMerge w:val="restart"/>
          </w:tcPr>
          <w:p>
            <w:pPr>
              <w:ind w:left="64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0" w:type="dxa"/>
            <w:vAlign w:val="bottom"/>
            <w:gridSpan w:val="18"/>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980" w:type="dxa"/>
            <w:vAlign w:val="bottom"/>
            <w:gridSpan w:val="16"/>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104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6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Global Infrastructure Investors III,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10105</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Zephyr Holdings GP, LLC</w:t>
              </w:r>
            </w:hyperlink>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10105</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-5012055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308"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line="6"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-140970</wp:posOffset>
            </wp:positionV>
            <wp:extent cx="2809240" cy="7120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7120255"/>
                    </a:xfrm>
                    <a:prstGeom prst="rect">
                      <a:avLst/>
                    </a:prstGeom>
                    <a:noFill/>
                  </pic:spPr>
                </pic:pic>
              </a:graphicData>
            </a:graphic>
          </wp:anchor>
        </w:drawing>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Global Infrastructure GP III, L.P.</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1345 AVENUE OF THE AMERICAS</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30TH FLOOR</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GIP III Zephyr Midco Holdings, L.P.</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1345 AVENUE OF THE AMERICAS</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30TH FLOOR</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GIP III Zephyr Acquisition Partners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3"/>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Clearway Energy Group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the Issuer previously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20" w:right="6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may be deemed to share beneficial ownership of the securities owned by Clearway Energy Group.</w:t>
      </w:r>
    </w:p>
    <w:p>
      <w:pPr>
        <w:spacing w:after="0" w:line="24" w:lineRule="exact"/>
        <w:rPr>
          <w:rFonts w:ascii="Times New Roman" w:cs="Times New Roman" w:eastAsia="Times New Roman" w:hAnsi="Times New Roman"/>
          <w:sz w:val="13"/>
          <w:szCs w:val="13"/>
          <w:color w:val="008000"/>
        </w:rPr>
      </w:pPr>
    </w:p>
    <w:p>
      <w:pPr>
        <w:ind w:left="20" w:righ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Adebayo Ogunlesi, Michael McGhee, Rajaram Rao, Deepak Agrawal, Julie Ashworth, Jonathan Bram, William Brilliant, Matthew Harris, Tom Horton, Robert O'Brien and Salim Samaha,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disclaims beneficial ownership of the securities reported herein, except to the extent of such Reporting Person's pecuniary interest therein, and, pursuant to Rule 16a-1(a)</w:t>
      </w:r>
    </w:p>
    <w:p>
      <w:pPr>
        <w:spacing w:after="0" w:line="11" w:lineRule="exact"/>
        <w:rPr>
          <w:rFonts w:ascii="Times New Roman" w:cs="Times New Roman" w:eastAsia="Times New Roman" w:hAnsi="Times New Roman"/>
          <w:sz w:val="13"/>
          <w:szCs w:val="13"/>
          <w:color w:val="008000"/>
        </w:rPr>
      </w:pPr>
    </w:p>
    <w:p>
      <w:pPr>
        <w:ind w:left="20" w:right="28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44" w:orient="portrait"/>
          <w:cols w:equalWidth="0" w:num="1">
            <w:col w:w="10900"/>
          </w:cols>
          <w:pgMar w:left="480" w:top="110" w:right="519" w:bottom="0" w:gutter="0" w:footer="0" w:header="0"/>
        </w:sectPr>
      </w:pPr>
    </w:p>
    <w:p>
      <w:pPr>
        <w:spacing w:after="0" w:line="4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8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614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06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31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By: /s/ Gregg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01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Gregg Myers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58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42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GIP III ZEPHYR MIDCO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639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L.P.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17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09/24/2024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09/24/2024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09/24/2024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44" w:orient="portrait"/>
          <w:cols w:equalWidth="0" w:num="2">
            <w:col w:w="8720" w:space="40"/>
            <w:col w:w="2140"/>
          </w:cols>
          <w:pgMar w:left="480" w:top="110" w:right="519" w:bottom="0" w:gutter="0" w:footer="0" w:header="0"/>
          <w:type w:val="continuous"/>
        </w:sectPr>
      </w:pPr>
    </w:p>
    <w:bookmarkStart w:id="2" w:name="page3"/>
    <w:bookmarkEnd w:id="2"/>
    <w:p>
      <w:pPr>
        <w:ind w:left="6540"/>
        <w:spacing w:after="0"/>
        <w:rPr>
          <w:sz w:val="20"/>
          <w:szCs w:val="20"/>
          <w:color w:val="auto"/>
        </w:rPr>
      </w:pPr>
      <w:r>
        <w:rPr>
          <w:rFonts w:ascii="Times New Roman" w:cs="Times New Roman" w:eastAsia="Times New Roman" w:hAnsi="Times New Roman"/>
          <w:sz w:val="17"/>
          <w:szCs w:val="17"/>
          <w:color w:val="0000FF"/>
        </w:rPr>
        <w:t>Infrastructure GP III,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890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2890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general partner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60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1760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Infrastructure Investors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44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33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79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158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0078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2007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60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2160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52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7696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93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 By: 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9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33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79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158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87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GROUP LLC By: /s/ Alicia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23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Stevenson Name: Alicia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93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Stevenson Title: VP,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3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Operations &amp;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899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989965"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09/24/2024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09/24/2024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09/24/2024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60" w:space="80"/>
            <w:col w:w="1440"/>
          </w:cols>
          <w:pgMar w:left="500" w:top="125"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13" Type="http://schemas.openxmlformats.org/officeDocument/2006/relationships/hyperlink" Target="http://www.sec.gov/cgi-bin/browse-edgar?action=getcompany&amp;CIK=0001747194" TargetMode="External"/><Relationship Id="rId14" Type="http://schemas.openxmlformats.org/officeDocument/2006/relationships/hyperlink" Target="http://www.sec.gov/cgi-bin/browse-edgar?action=getcompany&amp;CIK=0001567683" TargetMode="External"/><Relationship Id="rId15" Type="http://schemas.openxmlformats.org/officeDocument/2006/relationships/hyperlink" Target="http://www.sec.gov/cgi-bin/browse-edgar?action=getcompany&amp;CIK=0001942977" TargetMode="External"/><Relationship Id="rId18" Type="http://schemas.openxmlformats.org/officeDocument/2006/relationships/hyperlink" Target="http://www.sec.gov/cgi-bin/browse-edgar?action=getcompany&amp;CIK=0001747185" TargetMode="External"/><Relationship Id="rId19" Type="http://schemas.openxmlformats.org/officeDocument/2006/relationships/hyperlink" Target="http://www.sec.gov/cgi-bin/browse-edgar?action=getcompany&amp;CIK=0001945888" TargetMode="External"/><Relationship Id="rId20" Type="http://schemas.openxmlformats.org/officeDocument/2006/relationships/hyperlink" Target="http://www.sec.gov/cgi-bin/browse-edgar?action=getcompany&amp;CIK=0001752556" TargetMode="External"/><Relationship Id="rId21"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2024-09-24T15:49:46Z</dcterms:created>
  <dcterms:modified xsi:type="dcterms:W3CDTF">2024-09-24T15:49:46Z</dcterms:modified>
</cp:coreProperties>
</file>