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17,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CWEN.A</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Class C Common Stock, par value $0.01</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CWEN</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Eleventh Supplemental Indenture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July 17, 2020, Clearway Energy Operating LLC (“Clearway Operating LLC”), a subsidiary of Clearway Energy LLC (“Clearway LLC”), the guarantors currently party to the 2026 Notes Indenture (defined below), Energy Center Honolulu Holdings LLC (“Energy Center Honolulu”), NIMH Solar Holdings LLC (together with Energy Center Honolulu, the “Guaranteeing Subsidiaries”) and Delaware Trust Company (as successor in interest to Law Debenture Trust Company of New York), as trustee (the “Trustee”), entered into the eleventh supplemental indenture (the “Eleventh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Eleventh Supplemental Indenture, the Guaranteeing Subsidiaries became guarantors of Clearway Operating LLC’s obligations under the 2026 Notes. Each of Clearway Operating LLC, Clearway LLC and the Guaranteeing Subsidiaries are subsidiaries of Clearway Energy, Inc.</w:t>
      </w:r>
    </w:p>
    <w:p>
      <w:pPr>
        <w:spacing w:after="0" w:line="18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foregoing description of the Eleventh Supplemental Indenture does not purport to be complete and is qualified in its entirety by reference to the Eleventh Supplemental Indenture, which is attached as Exhibit 4.1 to this Current Report on Form 8-K and is incorporated by reference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17, 2020, Clearway Operating LLC, the guarantors currently party to the 2025 Notes Indenture (defined below), the Guaranteeing Subsidiaries and the Trustee also entered into the seventh supplemental indenture (the “Seventh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Seventh Supplemental Indenture, the Guaranteeing Subsidiaries became guarantors of Clearway Operating LLC’s obligations under the 2025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Seventh Supplemental Indenture does not purport to be complete and is qualified in its entirety by reference to the Seventh Supplemental Indenture, which is attached as Exhibit 4.2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17, 2020, Clearway Operating LLC, the guarantors currently party to the 2028 Notes Indenture (defined below), the Guaranteeing Subsidiaries and the Trustee also entered into the third supplemental indenture (the “Third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Third Supplemental Indenture, the Guaranteeing Subsidiaries became guarantors of Clearway Operating LLC’s obligations under the 2028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Third Supplemental Indenture does not purport to be complete and is qualified in its entirety by reference to the Third Supplemental Indenture, which is attached as Exhibit 4.3 to this Current Report on Form 8-K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60" w:hanging="752"/>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1"/>
              </w:rPr>
              <w:t>Exhibit No.</w:t>
            </w:r>
          </w:p>
        </w:tc>
        <w:tc>
          <w:tcPr>
            <w:tcW w:w="24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7880" w:type="dxa"/>
            <w:vAlign w:val="bottom"/>
            <w:tcBorders>
              <w:bottom w:val="single" w:sz="8" w:color="auto"/>
            </w:tcBorders>
            <w:gridSpan w:val="5"/>
          </w:tcPr>
          <w:p>
            <w:pPr>
              <w:ind w:left="2600"/>
              <w:spacing w:after="0"/>
              <w:rPr>
                <w:sz w:val="20"/>
                <w:szCs w:val="20"/>
                <w:color w:val="auto"/>
              </w:rPr>
            </w:pPr>
            <w:r>
              <w:rPr>
                <w:rFonts w:ascii="Arial" w:cs="Arial" w:eastAsia="Arial" w:hAnsi="Arial"/>
                <w:sz w:val="18"/>
                <w:szCs w:val="18"/>
                <w:b w:val="1"/>
                <w:bCs w:val="1"/>
                <w:color w:val="auto"/>
              </w:rPr>
              <w:t>Document</w:t>
            </w:r>
          </w:p>
        </w:tc>
      </w:tr>
      <w:tr>
        <w:trPr>
          <w:trHeight w:val="385"/>
        </w:trPr>
        <w:tc>
          <w:tcPr>
            <w:tcW w:w="1240" w:type="dxa"/>
            <w:vAlign w:val="bottom"/>
          </w:tcPr>
          <w:p>
            <w:pPr>
              <w:jc w:val="right"/>
              <w:ind w:right="41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4.1</w:t>
              </w:r>
            </w:hyperlink>
          </w:p>
        </w:tc>
        <w:tc>
          <w:tcPr>
            <w:tcW w:w="240" w:type="dxa"/>
            <w:vAlign w:val="bottom"/>
          </w:tcPr>
          <w:p>
            <w:pPr>
              <w:spacing w:after="0"/>
              <w:rPr>
                <w:sz w:val="24"/>
                <w:szCs w:val="24"/>
                <w:color w:val="auto"/>
              </w:rPr>
            </w:pPr>
          </w:p>
        </w:tc>
        <w:tc>
          <w:tcPr>
            <w:tcW w:w="9760" w:type="dxa"/>
            <w:vAlign w:val="bottom"/>
            <w:gridSpan w:val="6"/>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Eleventh Supplemental Indenture, dated as of July 17, 2020, among Clearway Energy Operating LLC, the guarantors named therein</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and Delaware Trust Company (as successor in interest to Law Debenture Trust Company of New York).</w:t>
              </w:r>
            </w:hyperlink>
          </w:p>
        </w:tc>
        <w:tc>
          <w:tcPr>
            <w:tcW w:w="2000" w:type="dxa"/>
            <w:vAlign w:val="bottom"/>
            <w:tcBorders>
              <w:top w:val="single" w:sz="8" w:color="0000EE"/>
            </w:tcBorders>
          </w:tcPr>
          <w:p>
            <w:pPr>
              <w:spacing w:after="0"/>
              <w:rPr>
                <w:sz w:val="17"/>
                <w:szCs w:val="17"/>
                <w:color w:val="auto"/>
              </w:rPr>
            </w:pPr>
          </w:p>
        </w:tc>
        <w:tc>
          <w:tcPr>
            <w:tcW w:w="260" w:type="dxa"/>
            <w:vAlign w:val="bottom"/>
            <w:gridSpan w:val="3"/>
          </w:tcPr>
          <w:p>
            <w:pPr>
              <w:spacing w:after="0"/>
              <w:rPr>
                <w:sz w:val="17"/>
                <w:szCs w:val="17"/>
                <w:color w:val="auto"/>
              </w:rPr>
            </w:pPr>
          </w:p>
        </w:tc>
      </w:tr>
      <w:tr>
        <w:trPr>
          <w:trHeight w:val="412"/>
        </w:trPr>
        <w:tc>
          <w:tcPr>
            <w:tcW w:w="1240" w:type="dxa"/>
            <w:vAlign w:val="bottom"/>
          </w:tcPr>
          <w:p>
            <w:pPr>
              <w:jc w:val="right"/>
              <w:ind w:right="41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4.2</w:t>
              </w:r>
            </w:hyperlink>
          </w:p>
        </w:tc>
        <w:tc>
          <w:tcPr>
            <w:tcW w:w="240" w:type="dxa"/>
            <w:vAlign w:val="bottom"/>
          </w:tcPr>
          <w:p>
            <w:pPr>
              <w:spacing w:after="0"/>
              <w:rPr>
                <w:sz w:val="24"/>
                <w:szCs w:val="24"/>
                <w:color w:val="auto"/>
              </w:rPr>
            </w:pPr>
          </w:p>
        </w:tc>
        <w:tc>
          <w:tcPr>
            <w:tcW w:w="9760" w:type="dxa"/>
            <w:vAlign w:val="bottom"/>
            <w:gridSpan w:val="6"/>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Seventh Supplemental Indenture, dated as of July 17, 2020, among Clearway Energy Operating LLC, the guarantors named therein and</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Delaware Trust Company.</w:t>
              </w:r>
            </w:hyperlink>
          </w:p>
        </w:tc>
        <w:tc>
          <w:tcPr>
            <w:tcW w:w="2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7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12"/>
        </w:trPr>
        <w:tc>
          <w:tcPr>
            <w:tcW w:w="1240" w:type="dxa"/>
            <w:vAlign w:val="bottom"/>
          </w:tcPr>
          <w:p>
            <w:pPr>
              <w:jc w:val="right"/>
              <w:ind w:right="41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4.3</w:t>
              </w:r>
            </w:hyperlink>
          </w:p>
        </w:tc>
        <w:tc>
          <w:tcPr>
            <w:tcW w:w="240" w:type="dxa"/>
            <w:vAlign w:val="bottom"/>
          </w:tcPr>
          <w:p>
            <w:pPr>
              <w:spacing w:after="0"/>
              <w:rPr>
                <w:sz w:val="24"/>
                <w:szCs w:val="24"/>
                <w:color w:val="auto"/>
              </w:rPr>
            </w:pPr>
          </w:p>
        </w:tc>
        <w:tc>
          <w:tcPr>
            <w:tcW w:w="9760" w:type="dxa"/>
            <w:vAlign w:val="bottom"/>
            <w:gridSpan w:val="6"/>
          </w:tcPr>
          <w:p>
            <w:pPr>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Third Supplemental Indenture, dated as of July 17, 2020, among Clearway Energy Operating LLC, the guarantors named therein and</w:t>
              </w:r>
            </w:hyperlink>
          </w:p>
        </w:tc>
      </w:tr>
      <w:tr>
        <w:trPr>
          <w:trHeight w:val="196"/>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Delaware Trust Company.</w:t>
              </w:r>
            </w:hyperlink>
          </w:p>
        </w:tc>
        <w:tc>
          <w:tcPr>
            <w:tcW w:w="200" w:type="dxa"/>
            <w:vAlign w:val="bottom"/>
            <w:gridSpan w:val="2"/>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80" w:right="3240" w:hanging="5086"/>
        <w:spacing w:after="0" w:line="77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21, 2020</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4.1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ELEVENTH SUPPLEMENTAL INDENTURE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ELEVENTH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July 17, 2020, among Energy Center Honolulu Holdings LLC and NIMH Solar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7"/>
          <w:szCs w:val="17"/>
          <w:i w:val="1"/>
          <w:iCs w:val="1"/>
          <w:color w:val="auto"/>
        </w:rPr>
        <w:t>Subsidiary Guarantee</w:t>
      </w:r>
      <w:r>
        <w:rPr>
          <w:rFonts w:ascii="Arial" w:cs="Arial" w:eastAsia="Arial" w:hAnsi="Arial"/>
          <w:sz w:val="17"/>
          <w:szCs w:val="17"/>
          <w:color w:val="auto"/>
        </w:rPr>
        <w:t>”); and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600" w:hanging="944"/>
        <w:spacing w:after="0"/>
        <w:tabs>
          <w:tab w:leader="none" w:pos="1600" w:val="left"/>
        </w:tabs>
        <w:numPr>
          <w:ilvl w:val="0"/>
          <w:numId w:val="4"/>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741"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2024"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ind w:firstLine="656"/>
        <w:spacing w:after="0" w:line="263" w:lineRule="auto"/>
        <w:tabs>
          <w:tab w:leader="none" w:pos="1673"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903"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600" w:hanging="944"/>
        <w:spacing w:after="0"/>
        <w:tabs>
          <w:tab w:leader="none" w:pos="1600" w:val="left"/>
        </w:tabs>
        <w:numPr>
          <w:ilvl w:val="0"/>
          <w:numId w:val="5"/>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606"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 </w:t>
      </w:r>
      <w:r>
        <w:rPr>
          <w:rFonts w:ascii="Arial" w:cs="Arial" w:eastAsia="Arial" w:hAnsi="Arial"/>
          <w:sz w:val="18"/>
          <w:szCs w:val="18"/>
          <w:color w:val="000000"/>
        </w:rPr>
        <w:t>RATIFICATION OF INDENTURE; SUPPLEMENTAL INDENTURE FOR ADDITIONAL GUARANTEES PART OF</w:t>
      </w:r>
      <w:r>
        <w:rPr>
          <w:rFonts w:ascii="Arial" w:cs="Arial" w:eastAsia="Arial" w:hAnsi="Arial"/>
          <w:sz w:val="18"/>
          <w:szCs w:val="18"/>
          <w:color w:val="010000"/>
        </w:rPr>
        <w:t xml:space="preserve"> </w:t>
      </w:r>
      <w:r>
        <w:rPr>
          <w:rFonts w:ascii="Arial" w:cs="Arial" w:eastAsia="Arial" w:hAnsi="Arial"/>
          <w:sz w:val="18"/>
          <w:szCs w:val="18"/>
          <w:color w:val="000000"/>
        </w:rPr>
        <w:t>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both"/>
        <w:ind w:firstLine="656"/>
        <w:spacing w:after="0" w:line="268" w:lineRule="auto"/>
        <w:tabs>
          <w:tab w:leader="none" w:pos="1574" w:val="left"/>
        </w:tabs>
        <w:numPr>
          <w:ilvl w:val="0"/>
          <w:numId w:val="6"/>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ENERGY CENTER HONOLULU HOLDINGS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NIMH SOLAR HOLDINGS LLC</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Title: Senior Vice President, Chief Financial Officer &amp; Treasurer</w:t>
      </w:r>
    </w:p>
    <w:p>
      <w:pPr>
        <w:spacing w:after="0" w:line="22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Eleventh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908" w:right="899" w:bottom="1440" w:gutter="0" w:footer="0" w:header="0"/>
        </w:sectPr>
      </w:pPr>
    </w:p>
    <w:bookmarkStart w:id="6" w:name="page7"/>
    <w:bookmarkEnd w:id="6"/>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00" w:lineRule="exact"/>
        <w:rPr>
          <w:sz w:val="20"/>
          <w:szCs w:val="20"/>
          <w:color w:val="auto"/>
        </w:rPr>
      </w:pPr>
    </w:p>
    <w:p>
      <w:pPr>
        <w:spacing w:after="0" w:line="247"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Eleventh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 w:lineRule="exact"/>
        <w:rPr>
          <w:sz w:val="20"/>
          <w:szCs w:val="20"/>
          <w:color w:val="auto"/>
        </w:rPr>
      </w:pPr>
    </w:p>
    <w:p>
      <w:pPr>
        <w:jc w:val="right"/>
        <w:ind w:right="8199"/>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21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Eleventh Supplemental Indenture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4.2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SEVENTH SUPPLEMENTAL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July 17, 2020, among Energy Center Honolulu Holdings LLC and NIMH Solar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200" w:hanging="544"/>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jc w:val="both"/>
        <w:ind w:firstLine="656"/>
        <w:spacing w:after="0" w:line="259" w:lineRule="auto"/>
        <w:tabs>
          <w:tab w:leader="none" w:pos="1327" w:val="left"/>
        </w:tabs>
        <w:numPr>
          <w:ilvl w:val="0"/>
          <w:numId w:val="7"/>
        </w:numPr>
        <w:rPr>
          <w:rFonts w:ascii="Arial" w:cs="Arial" w:eastAsia="Arial" w:hAnsi="Arial"/>
          <w:sz w:val="18"/>
          <w:szCs w:val="18"/>
          <w:color w:val="auto"/>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a Guarantor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287"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87" w:lineRule="exact"/>
        <w:rPr>
          <w:rFonts w:ascii="Arial" w:cs="Arial" w:eastAsia="Arial" w:hAnsi="Arial"/>
          <w:sz w:val="18"/>
          <w:szCs w:val="18"/>
          <w:color w:val="auto"/>
        </w:rPr>
      </w:pPr>
    </w:p>
    <w:p>
      <w:pPr>
        <w:jc w:val="both"/>
        <w:ind w:firstLine="656"/>
        <w:spacing w:after="0" w:line="263" w:lineRule="auto"/>
        <w:tabs>
          <w:tab w:leader="none" w:pos="1282"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ind w:left="-656" w:firstLine="656"/>
        <w:spacing w:after="0" w:line="277" w:lineRule="auto"/>
        <w:tabs>
          <w:tab w:leader="none" w:pos="59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584" w:hanging="584"/>
        <w:spacing w:after="0"/>
        <w:tabs>
          <w:tab w:leader="none" w:pos="584"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jc w:val="both"/>
        <w:ind w:left="-656" w:firstLine="656"/>
        <w:spacing w:after="0" w:line="263"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3" w:lineRule="exact"/>
        <w:rPr>
          <w:rFonts w:ascii="Arial" w:cs="Arial" w:eastAsia="Arial" w:hAnsi="Arial"/>
          <w:sz w:val="18"/>
          <w:szCs w:val="18"/>
          <w:color w:val="auto"/>
        </w:rPr>
      </w:pPr>
    </w:p>
    <w:p>
      <w:pPr>
        <w:jc w:val="both"/>
        <w:ind w:left="-656" w:firstLine="656"/>
        <w:spacing w:after="0" w:line="259" w:lineRule="auto"/>
        <w:tabs>
          <w:tab w:leader="none" w:pos="702"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auto"/>
        </w:rPr>
      </w:pPr>
    </w:p>
    <w:p>
      <w:pPr>
        <w:jc w:val="both"/>
        <w:ind w:left="-656" w:firstLine="656"/>
        <w:spacing w:after="0" w:line="268" w:lineRule="auto"/>
        <w:tabs>
          <w:tab w:leader="none" w:pos="631" w:val="left"/>
        </w:tabs>
        <w:numPr>
          <w:ilvl w:val="0"/>
          <w:numId w:val="8"/>
        </w:numPr>
        <w:rPr>
          <w:rFonts w:ascii="Arial" w:cs="Arial" w:eastAsia="Arial" w:hAnsi="Arial"/>
          <w:sz w:val="17"/>
          <w:szCs w:val="17"/>
          <w:color w:val="auto"/>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415925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ENERGY CENTER HONOLULU HOLDINGS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NIMH SOLAR HOLDINGS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Title: Senior Vice President, Chief Financial Officer &amp; Treasurer</w:t>
      </w:r>
    </w:p>
    <w:p>
      <w:pPr>
        <w:spacing w:after="0" w:line="222"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908" w:right="899" w:bottom="1440" w:gutter="0" w:footer="0" w:header="0"/>
        </w:sectPr>
      </w:pPr>
    </w:p>
    <w:bookmarkStart w:id="11" w:name="page12"/>
    <w:bookmarkEnd w:id="11"/>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jc w:val="right"/>
        <w:ind w:right="479"/>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INFRASTRUCTURE DEVELOPMENT</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Seventh Supplemental Indenture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jc w:val="right"/>
        <w:ind w:right="7959"/>
        <w:spacing w:after="0"/>
        <w:rPr>
          <w:sz w:val="20"/>
          <w:szCs w:val="20"/>
          <w:color w:val="auto"/>
        </w:rPr>
      </w:pPr>
      <w:r>
        <w:rPr>
          <w:rFonts w:ascii="Arial" w:cs="Arial" w:eastAsia="Arial" w:hAnsi="Arial"/>
          <w:sz w:val="18"/>
          <w:szCs w:val="18"/>
          <w:color w:val="auto"/>
        </w:rPr>
        <w:t>Authorized Signatory:</w:t>
      </w:r>
    </w:p>
    <w:p>
      <w:pPr>
        <w:spacing w:after="0" w:line="251"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4.3</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SUPPLEMENTAL INDENTURE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THIRD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July 17, 2020, among Energy Center Honolulu Holdings LLC and NIMH Solar Holdings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7"/>
          <w:szCs w:val="17"/>
          <w:i w:val="1"/>
          <w:iCs w:val="1"/>
          <w:color w:val="auto"/>
        </w:rPr>
        <w:t>Subsidiary Guarantee</w:t>
      </w:r>
      <w:r>
        <w:rPr>
          <w:rFonts w:ascii="Arial" w:cs="Arial" w:eastAsia="Arial" w:hAnsi="Arial"/>
          <w:sz w:val="17"/>
          <w:szCs w:val="17"/>
          <w:color w:val="auto"/>
        </w:rPr>
        <w:t>”); and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600" w:hanging="944"/>
        <w:spacing w:after="0"/>
        <w:tabs>
          <w:tab w:leader="none" w:pos="1600" w:val="left"/>
        </w:tabs>
        <w:numPr>
          <w:ilvl w:val="0"/>
          <w:numId w:val="9"/>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741" w:val="left"/>
        </w:tabs>
        <w:numPr>
          <w:ilvl w:val="0"/>
          <w:numId w:val="9"/>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2024"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 w:name="page15"/>
    <w:bookmarkEnd w:id="14"/>
    <w:p>
      <w:pPr>
        <w:jc w:val="both"/>
        <w:ind w:firstLine="656"/>
        <w:spacing w:after="0" w:line="263" w:lineRule="auto"/>
        <w:tabs>
          <w:tab w:leader="none" w:pos="1673"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903"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600" w:hanging="944"/>
        <w:spacing w:after="0"/>
        <w:tabs>
          <w:tab w:leader="none" w:pos="1600"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right="20" w:firstLine="656"/>
        <w:spacing w:after="0" w:line="263" w:lineRule="auto"/>
        <w:tabs>
          <w:tab w:leader="none" w:pos="1606"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8. </w:t>
      </w:r>
      <w:r>
        <w:rPr>
          <w:rFonts w:ascii="Arial" w:cs="Arial" w:eastAsia="Arial" w:hAnsi="Arial"/>
          <w:sz w:val="18"/>
          <w:szCs w:val="18"/>
          <w:color w:val="000000"/>
        </w:rPr>
        <w:t>RATIFICATION OF INDENTURE; SUPPLEMENTAL INDENTURE FOR ADDITIONAL GUARANTEES PART OF</w:t>
      </w:r>
      <w:r>
        <w:rPr>
          <w:rFonts w:ascii="Arial" w:cs="Arial" w:eastAsia="Arial" w:hAnsi="Arial"/>
          <w:sz w:val="18"/>
          <w:szCs w:val="18"/>
          <w:color w:val="010000"/>
        </w:rPr>
        <w:t xml:space="preserve"> </w:t>
      </w:r>
      <w:r>
        <w:rPr>
          <w:rFonts w:ascii="Arial" w:cs="Arial" w:eastAsia="Arial" w:hAnsi="Arial"/>
          <w:sz w:val="18"/>
          <w:szCs w:val="18"/>
          <w:color w:val="000000"/>
        </w:rPr>
        <w:t>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both"/>
        <w:ind w:firstLine="656"/>
        <w:spacing w:after="0" w:line="268" w:lineRule="auto"/>
        <w:tabs>
          <w:tab w:leader="none" w:pos="1574" w:val="left"/>
        </w:tabs>
        <w:numPr>
          <w:ilvl w:val="0"/>
          <w:numId w:val="11"/>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ENERGY CENTER HONOLULU HOLDINGS LLC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NIMH SOLAR HOLDINGS LLC</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Name:Chad Plotkin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Name:Chad Plotkin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44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400"/>
        <w:spacing w:after="0" w:line="253" w:lineRule="auto"/>
        <w:rPr>
          <w:sz w:val="20"/>
          <w:szCs w:val="20"/>
          <w:color w:val="auto"/>
        </w:rPr>
      </w:pPr>
      <w:r>
        <w:rPr>
          <w:rFonts w:ascii="Arial" w:cs="Arial" w:eastAsia="Arial" w:hAnsi="Arial"/>
          <w:sz w:val="18"/>
          <w:szCs w:val="18"/>
          <w:color w:val="auto"/>
        </w:rPr>
        <w:t>THERMAL CANADA INFRASTRUCTURE HOLDINGS LLC THERMAL HAWAII DEVELOPMENT HOLDINGS LLC THERMAL INFRASTRUCTURE DEVELOPMENT HOLDINGS LLC UB FUEL CELL, LLC</w:t>
      </w:r>
    </w:p>
    <w:p>
      <w:pPr>
        <w:spacing w:after="0" w:line="220" w:lineRule="exact"/>
        <w:rPr>
          <w:sz w:val="20"/>
          <w:szCs w:val="20"/>
          <w:color w:val="auto"/>
        </w:rPr>
      </w:pPr>
    </w:p>
    <w:p>
      <w:pPr>
        <w:ind w:left="4400"/>
        <w:spacing w:after="0"/>
        <w:tabs>
          <w:tab w:leader="none" w:pos="4880" w:val="left"/>
        </w:tabs>
        <w:rPr>
          <w:sz w:val="20"/>
          <w:szCs w:val="20"/>
          <w:color w:val="auto"/>
        </w:rPr>
      </w:pPr>
      <w:r>
        <w:rPr>
          <w:rFonts w:ascii="Arial" w:cs="Arial" w:eastAsia="Arial" w:hAnsi="Arial"/>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14605</wp:posOffset>
            </wp:positionV>
            <wp:extent cx="33172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Name:Chad Plotkin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 Vice President &amp; Treasurer</w:t>
      </w:r>
    </w:p>
    <w:p>
      <w:pPr>
        <w:spacing w:after="0" w:line="238"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306070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40"/>
          </w:cols>
          <w:pgMar w:left="1440" w:top="908" w:right="8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 w:lineRule="exact"/>
        <w:rPr>
          <w:sz w:val="20"/>
          <w:szCs w:val="20"/>
          <w:color w:val="auto"/>
        </w:rPr>
      </w:pPr>
    </w:p>
    <w:p>
      <w:pPr>
        <w:jc w:val="right"/>
        <w:ind w:right="8199"/>
        <w:spacing w:after="0"/>
        <w:rPr>
          <w:sz w:val="20"/>
          <w:szCs w:val="20"/>
          <w:color w:val="auto"/>
        </w:rPr>
      </w:pPr>
      <w:r>
        <w:rPr>
          <w:rFonts w:ascii="Arial" w:cs="Arial" w:eastAsia="Arial" w:hAnsi="Arial"/>
          <w:sz w:val="18"/>
          <w:szCs w:val="18"/>
          <w:color w:val="auto"/>
        </w:rPr>
        <w:t>Authorized Signatory:</w:t>
      </w:r>
    </w:p>
    <w:p>
      <w:pPr>
        <w:spacing w:after="0" w:line="251"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04"/>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9"/>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4"/>
    </w:lvl>
  </w:abstractNum>
  <w:abstractNum w:abstractNumId="10">
    <w:nsid w:val="1F16E9E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2020-07-21T16:16:58Z</dcterms:created>
  <dcterms:modified xsi:type="dcterms:W3CDTF">2020-07-21T16:16:58Z</dcterms:modified>
</cp:coreProperties>
</file>