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216535</wp:posOffset>
            </wp:positionH>
            <wp:positionV relativeFrom="page">
              <wp:posOffset>662940</wp:posOffset>
            </wp:positionV>
            <wp:extent cx="711517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706120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 SECURITIES AND EXCHANGE COMMISSION</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73" w:lineRule="exact"/>
        <w:rPr>
          <w:sz w:val="24"/>
          <w:szCs w:val="24"/>
          <w:color w:val="auto"/>
        </w:rPr>
      </w:pPr>
    </w:p>
    <w:p>
      <w:pPr>
        <w:ind w:left="640" w:hanging="384"/>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2023</w:t>
      </w:r>
    </w:p>
    <w:p>
      <w:pPr>
        <w:spacing w:after="0" w:line="36" w:lineRule="exact"/>
        <w:rPr>
          <w:sz w:val="24"/>
          <w:szCs w:val="24"/>
          <w:color w:val="auto"/>
        </w:rPr>
      </w:pPr>
    </w:p>
    <w:p>
      <w:pPr>
        <w:ind w:left="860" w:hanging="375"/>
        <w:spacing w:after="0"/>
        <w:tabs>
          <w:tab w:leader="none" w:pos="8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3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333-203369</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Clearway Energy LLC</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1399" w:right="339" w:bottom="1440" w:gutter="0" w:footer="0" w:header="0"/>
        </w:sectPr>
      </w:pPr>
    </w:p>
    <w:p>
      <w:pPr>
        <w:spacing w:after="0" w:line="30" w:lineRule="exact"/>
        <w:rPr>
          <w:sz w:val="24"/>
          <w:szCs w:val="24"/>
          <w:color w:val="auto"/>
        </w:rPr>
      </w:pPr>
    </w:p>
    <w:p>
      <w:pPr>
        <w:jc w:val="center"/>
        <w:ind w:right="4040"/>
        <w:spacing w:after="0"/>
        <w:rPr>
          <w:sz w:val="20"/>
          <w:szCs w:val="20"/>
          <w:color w:val="auto"/>
        </w:rPr>
      </w:pPr>
      <w:r>
        <w:rPr>
          <w:rFonts w:ascii="Arial" w:cs="Arial" w:eastAsia="Arial" w:hAnsi="Arial"/>
          <w:sz w:val="18"/>
          <w:szCs w:val="18"/>
          <w:b w:val="1"/>
          <w:bCs w:val="1"/>
          <w:color w:val="auto"/>
        </w:rPr>
        <w:t>Delaware</w:t>
      </w:r>
    </w:p>
    <w:p>
      <w:pPr>
        <w:spacing w:after="0" w:line="11" w:lineRule="exact"/>
        <w:rPr>
          <w:sz w:val="24"/>
          <w:szCs w:val="24"/>
          <w:color w:val="auto"/>
        </w:rPr>
      </w:pPr>
    </w:p>
    <w:p>
      <w:pPr>
        <w:jc w:val="center"/>
        <w:ind w:right="4040"/>
        <w:spacing w:after="0"/>
        <w:rPr>
          <w:sz w:val="20"/>
          <w:szCs w:val="20"/>
          <w:color w:val="auto"/>
        </w:rPr>
      </w:pPr>
      <w:r>
        <w:rPr>
          <w:rFonts w:ascii="Arial" w:cs="Arial" w:eastAsia="Arial" w:hAnsi="Arial"/>
          <w:sz w:val="18"/>
          <w:szCs w:val="18"/>
          <w:color w:val="auto"/>
        </w:rPr>
        <w:t>(State or other jurisdiction</w:t>
      </w:r>
    </w:p>
    <w:p>
      <w:pPr>
        <w:jc w:val="center"/>
        <w:ind w:right="4040"/>
        <w:spacing w:after="0"/>
        <w:rPr>
          <w:sz w:val="20"/>
          <w:szCs w:val="20"/>
          <w:color w:val="auto"/>
        </w:rPr>
      </w:pPr>
      <w:r>
        <w:rPr>
          <w:rFonts w:ascii="Arial" w:cs="Arial" w:eastAsia="Arial" w:hAnsi="Arial"/>
          <w:sz w:val="16"/>
          <w:szCs w:val="16"/>
          <w:color w:val="auto"/>
        </w:rPr>
        <w:t>of incorporation or organization)</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jc w:val="center"/>
        <w:ind w:right="1420"/>
        <w:spacing w:after="0"/>
        <w:rPr>
          <w:sz w:val="20"/>
          <w:szCs w:val="20"/>
          <w:color w:val="auto"/>
        </w:rPr>
      </w:pPr>
      <w:r>
        <w:rPr>
          <w:rFonts w:ascii="Arial" w:cs="Arial" w:eastAsia="Arial" w:hAnsi="Arial"/>
          <w:sz w:val="18"/>
          <w:szCs w:val="18"/>
          <w:b w:val="1"/>
          <w:bCs w:val="1"/>
          <w:color w:val="auto"/>
        </w:rPr>
        <w:t>32-0407370</w:t>
      </w:r>
    </w:p>
    <w:p>
      <w:pPr>
        <w:spacing w:after="0" w:line="11" w:lineRule="exact"/>
        <w:rPr>
          <w:sz w:val="24"/>
          <w:szCs w:val="24"/>
          <w:color w:val="auto"/>
        </w:rPr>
      </w:pPr>
    </w:p>
    <w:p>
      <w:pPr>
        <w:jc w:val="center"/>
        <w:ind w:right="1420"/>
        <w:spacing w:after="0"/>
        <w:rPr>
          <w:sz w:val="20"/>
          <w:szCs w:val="20"/>
          <w:color w:val="auto"/>
        </w:rPr>
      </w:pPr>
      <w:r>
        <w:rPr>
          <w:rFonts w:ascii="Arial" w:cs="Arial" w:eastAsia="Arial" w:hAnsi="Arial"/>
          <w:sz w:val="18"/>
          <w:szCs w:val="18"/>
          <w:color w:val="auto"/>
        </w:rPr>
        <w:t>(I.R.S. Employer</w:t>
      </w:r>
    </w:p>
    <w:p>
      <w:pPr>
        <w:jc w:val="center"/>
        <w:ind w:right="1420"/>
        <w:spacing w:after="0"/>
        <w:rPr>
          <w:sz w:val="20"/>
          <w:szCs w:val="20"/>
          <w:color w:val="auto"/>
        </w:rPr>
      </w:pPr>
      <w:r>
        <w:rPr>
          <w:rFonts w:ascii="Arial" w:cs="Arial" w:eastAsia="Arial" w:hAnsi="Arial"/>
          <w:sz w:val="17"/>
          <w:szCs w:val="17"/>
          <w:color w:val="auto"/>
        </w:rPr>
        <w:t>Identification No.)</w:t>
      </w:r>
    </w:p>
    <w:p>
      <w:pPr>
        <w:spacing w:after="0" w:line="82" w:lineRule="exact"/>
        <w:rPr>
          <w:sz w:val="24"/>
          <w:szCs w:val="24"/>
          <w:color w:val="auto"/>
        </w:rPr>
      </w:pPr>
    </w:p>
    <w:p>
      <w:pPr>
        <w:sectPr>
          <w:pgSz w:w="11900" w:h="16838" w:orient="portrait"/>
          <w:cols w:equalWidth="0" w:num="2">
            <w:col w:w="7760" w:space="720"/>
            <w:col w:w="2760"/>
          </w:cols>
          <w:pgMar w:left="320" w:top="1399" w:right="339" w:bottom="1440" w:gutter="0" w:footer="0" w:header="0"/>
          <w:type w:val="continuous"/>
        </w:sectPr>
      </w:pPr>
    </w:p>
    <w:p>
      <w:pPr>
        <w:ind w:left="680"/>
        <w:spacing w:after="0"/>
        <w:rPr>
          <w:sz w:val="20"/>
          <w:szCs w:val="20"/>
          <w:color w:val="auto"/>
        </w:rPr>
      </w:pPr>
      <w:r>
        <w:rPr>
          <w:rFonts w:ascii="Arial" w:cs="Arial" w:eastAsia="Arial" w:hAnsi="Arial"/>
          <w:sz w:val="16"/>
          <w:szCs w:val="16"/>
          <w:b w:val="1"/>
          <w:bCs w:val="1"/>
          <w:color w:val="auto"/>
        </w:rPr>
        <w:t>300 Carnegie Center,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Princeton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New Jersey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08540</w:t>
      </w:r>
    </w:p>
    <w:p>
      <w:pPr>
        <w:spacing w:after="0" w:line="50" w:lineRule="exact"/>
        <w:rPr>
          <w:sz w:val="24"/>
          <w:szCs w:val="24"/>
          <w:color w:val="auto"/>
        </w:rPr>
      </w:pPr>
    </w:p>
    <w:p>
      <w:pPr>
        <w:sectPr>
          <w:pgSz w:w="11900" w:h="16838" w:orient="portrait"/>
          <w:cols w:equalWidth="0" w:num="4">
            <w:col w:w="3460" w:space="720"/>
            <w:col w:w="960" w:space="720"/>
            <w:col w:w="2340" w:space="720"/>
            <w:col w:w="2320"/>
          </w:cols>
          <w:pgMar w:left="320" w:top="1399" w:right="339" w:bottom="1440" w:gutter="0" w:footer="0" w:header="0"/>
          <w:type w:val="continuous"/>
        </w:sectPr>
      </w:pPr>
    </w:p>
    <w:p>
      <w:pPr>
        <w:ind w:left="21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8040" w:space="720"/>
            <w:col w:w="2480"/>
          </w:cols>
          <w:pgMar w:left="320" w:top="1399" w:right="339" w:bottom="1440" w:gutter="0" w:footer="0" w:header="0"/>
          <w:type w:val="continuous"/>
        </w:sectPr>
      </w:pPr>
    </w:p>
    <w:p>
      <w:pPr>
        <w:spacing w:after="0" w:line="1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(609) 608-1525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 None.</w:t>
      </w:r>
    </w:p>
    <w:p>
      <w:pPr>
        <w:spacing w:after="0" w:line="108" w:lineRule="exact"/>
        <w:rPr>
          <w:sz w:val="24"/>
          <w:szCs w:val="24"/>
          <w:color w:val="auto"/>
        </w:rPr>
      </w:pPr>
    </w:p>
    <w:p>
      <w:pPr>
        <w:jc w:val="both"/>
        <w:ind w:firstLine="284"/>
        <w:spacing w:after="0" w:line="309"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3" w:lineRule="exact"/>
        <w:rPr>
          <w:sz w:val="24"/>
          <w:szCs w:val="24"/>
          <w:color w:val="auto"/>
        </w:rPr>
      </w:pPr>
    </w:p>
    <w:p>
      <w:pPr>
        <w:jc w:val="center"/>
        <w:ind w:right="-279"/>
        <w:spacing w:after="0"/>
        <w:tabs>
          <w:tab w:leader="none" w:pos="180" w:val="left"/>
        </w:tabs>
        <w:rPr>
          <w:sz w:val="20"/>
          <w:szCs w:val="20"/>
          <w:color w:val="auto"/>
        </w:rPr>
      </w:pPr>
      <w:r>
        <w:rPr>
          <w:rFonts w:ascii="Arial" w:cs="Arial" w:eastAsia="Arial" w:hAnsi="Arial"/>
          <w:sz w:val="16"/>
          <w:szCs w:val="16"/>
          <w:b w:val="1"/>
          <w:bCs w:val="1"/>
          <w:color w:val="auto"/>
        </w:rPr>
        <w:t xml:space="preserve">Yes </w:t>
      </w:r>
      <w:r>
        <w:rPr>
          <w:rFonts w:ascii="Arial" w:cs="Arial" w:eastAsia="Arial" w:hAnsi="Arial"/>
          <w:sz w:val="16"/>
          <w:szCs w:val="16"/>
          <w:color w:val="auto"/>
        </w:rPr>
        <w:t>x</w:t>
      </w:r>
      <w:r>
        <w:rPr>
          <w:sz w:val="20"/>
          <w:szCs w:val="20"/>
          <w:color w:val="auto"/>
        </w:rPr>
        <w:tab/>
      </w:r>
      <w:r>
        <w:rPr>
          <w:rFonts w:ascii="Arial" w:cs="Arial" w:eastAsia="Arial" w:hAnsi="Arial"/>
          <w:sz w:val="14"/>
          <w:szCs w:val="14"/>
          <w:b w:val="1"/>
          <w:bCs w:val="1"/>
          <w:color w:val="auto"/>
        </w:rPr>
        <w:t xml:space="preserve">No </w:t>
      </w:r>
      <w:r>
        <w:rPr>
          <w:rFonts w:ascii="Arial" w:cs="Arial" w:eastAsia="Arial" w:hAnsi="Arial"/>
          <w:sz w:val="14"/>
          <w:szCs w:val="14"/>
          <w:color w:val="auto"/>
        </w:rPr>
        <w:t>o</w:t>
      </w:r>
    </w:p>
    <w:p>
      <w:pPr>
        <w:spacing w:after="0" w:line="90" w:lineRule="exact"/>
        <w:rPr>
          <w:sz w:val="24"/>
          <w:szCs w:val="24"/>
          <w:color w:val="auto"/>
        </w:rPr>
      </w:pPr>
    </w:p>
    <w:p>
      <w:pPr>
        <w:jc w:val="both"/>
        <w:ind w:firstLine="284"/>
        <w:spacing w:after="0"/>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60" w:lineRule="exact"/>
        <w:rPr>
          <w:sz w:val="24"/>
          <w:szCs w:val="24"/>
          <w:color w:val="auto"/>
        </w:rPr>
      </w:pPr>
    </w:p>
    <w:p>
      <w:pPr>
        <w:jc w:val="center"/>
        <w:ind w:right="-279"/>
        <w:spacing w:after="0"/>
        <w:tabs>
          <w:tab w:leader="none" w:pos="220" w:val="left"/>
        </w:tabs>
        <w:rPr>
          <w:sz w:val="20"/>
          <w:szCs w:val="20"/>
          <w:color w:val="auto"/>
        </w:rPr>
      </w:pPr>
      <w:r>
        <w:rPr>
          <w:rFonts w:ascii="Arial" w:cs="Arial" w:eastAsia="Arial" w:hAnsi="Arial"/>
          <w:sz w:val="16"/>
          <w:szCs w:val="16"/>
          <w:b w:val="1"/>
          <w:bCs w:val="1"/>
          <w:color w:val="auto"/>
        </w:rPr>
        <w:t xml:space="preserve">Yes </w:t>
      </w:r>
      <w:r>
        <w:rPr>
          <w:rFonts w:ascii="Arial" w:cs="Arial" w:eastAsia="Arial" w:hAnsi="Arial"/>
          <w:sz w:val="16"/>
          <w:szCs w:val="16"/>
          <w:color w:val="auto"/>
        </w:rPr>
        <w:t>x</w:t>
      </w:r>
      <w:r>
        <w:rPr>
          <w:sz w:val="20"/>
          <w:szCs w:val="20"/>
          <w:color w:val="auto"/>
        </w:rPr>
        <w:tab/>
      </w:r>
      <w:r>
        <w:rPr>
          <w:rFonts w:ascii="Arial" w:cs="Arial" w:eastAsia="Arial" w:hAnsi="Arial"/>
          <w:sz w:val="14"/>
          <w:szCs w:val="14"/>
          <w:b w:val="1"/>
          <w:bCs w:val="1"/>
          <w:color w:val="auto"/>
        </w:rPr>
        <w:t xml:space="preserve">No </w:t>
      </w:r>
      <w:r>
        <w:rPr>
          <w:rFonts w:ascii="Arial" w:cs="Arial" w:eastAsia="Arial" w:hAnsi="Arial"/>
          <w:sz w:val="14"/>
          <w:szCs w:val="14"/>
          <w:color w:val="auto"/>
        </w:rPr>
        <w:t>o</w:t>
      </w:r>
    </w:p>
    <w:p>
      <w:pPr>
        <w:spacing w:after="0" w:line="90" w:lineRule="exact"/>
        <w:rPr>
          <w:sz w:val="24"/>
          <w:szCs w:val="24"/>
          <w:color w:val="auto"/>
        </w:rPr>
      </w:pPr>
    </w:p>
    <w:p>
      <w:pPr>
        <w:jc w:val="both"/>
        <w:ind w:firstLine="284"/>
        <w:spacing w:after="0" w:line="23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0" w:lineRule="exact"/>
        <w:rPr>
          <w:sz w:val="24"/>
          <w:szCs w:val="24"/>
          <w:color w:val="auto"/>
        </w:rPr>
      </w:pPr>
    </w:p>
    <w:tbl>
      <w:tblPr>
        <w:tblLayout w:type="fixed"/>
        <w:tblInd w:w="1340" w:type="dxa"/>
        <w:tblCellMar>
          <w:top w:w="0" w:type="dxa"/>
          <w:left w:w="0" w:type="dxa"/>
          <w:bottom w:w="0" w:type="dxa"/>
          <w:right w:w="0" w:type="dxa"/>
        </w:tblCellMar>
      </w:tblPr>
      <w:tr>
        <w:trPr>
          <w:trHeight w:val="257"/>
        </w:trPr>
        <w:tc>
          <w:tcPr>
            <w:tcW w:w="22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46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3300" w:type="dxa"/>
            <w:vAlign w:val="bottom"/>
          </w:tcPr>
          <w:p>
            <w:pPr>
              <w:ind w:left="600"/>
              <w:spacing w:after="0"/>
              <w:rPr>
                <w:sz w:val="20"/>
                <w:szCs w:val="20"/>
                <w:color w:val="auto"/>
              </w:rPr>
            </w:pPr>
            <w:r>
              <w:rPr>
                <w:rFonts w:ascii="Arial" w:cs="Arial" w:eastAsia="Arial" w:hAnsi="Arial"/>
                <w:sz w:val="18"/>
                <w:szCs w:val="18"/>
                <w:color w:val="auto"/>
              </w:rPr>
              <w:t>Accelerated filer</w:t>
            </w:r>
          </w:p>
        </w:tc>
        <w:tc>
          <w:tcPr>
            <w:tcW w:w="9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43"/>
        </w:trPr>
        <w:tc>
          <w:tcPr>
            <w:tcW w:w="2280" w:type="dxa"/>
            <w:vAlign w:val="bottom"/>
          </w:tcPr>
          <w:p>
            <w:pPr>
              <w:spacing w:after="0"/>
              <w:rPr>
                <w:sz w:val="20"/>
                <w:szCs w:val="20"/>
                <w:color w:val="auto"/>
              </w:rPr>
            </w:pPr>
            <w:r>
              <w:rPr>
                <w:rFonts w:ascii="Arial" w:cs="Arial" w:eastAsia="Arial" w:hAnsi="Arial"/>
                <w:sz w:val="18"/>
                <w:szCs w:val="18"/>
                <w:color w:val="auto"/>
              </w:rPr>
              <w:t>Non-accelerated filer</w:t>
            </w:r>
          </w:p>
        </w:tc>
        <w:tc>
          <w:tcPr>
            <w:tcW w:w="146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3300" w:type="dxa"/>
            <w:vAlign w:val="bottom"/>
          </w:tcPr>
          <w:p>
            <w:pPr>
              <w:ind w:left="600"/>
              <w:spacing w:after="0"/>
              <w:rPr>
                <w:sz w:val="20"/>
                <w:szCs w:val="20"/>
                <w:color w:val="auto"/>
              </w:rPr>
            </w:pPr>
            <w:r>
              <w:rPr>
                <w:rFonts w:ascii="Arial" w:cs="Arial" w:eastAsia="Arial" w:hAnsi="Arial"/>
                <w:sz w:val="18"/>
                <w:szCs w:val="18"/>
                <w:color w:val="auto"/>
              </w:rPr>
              <w:t>Smaller reporting company</w:t>
            </w:r>
          </w:p>
        </w:tc>
        <w:tc>
          <w:tcPr>
            <w:tcW w:w="9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300" w:type="dxa"/>
            <w:vAlign w:val="bottom"/>
          </w:tcPr>
          <w:p>
            <w:pPr>
              <w:ind w:left="600"/>
              <w:spacing w:after="0"/>
              <w:rPr>
                <w:sz w:val="20"/>
                <w:szCs w:val="20"/>
                <w:color w:val="auto"/>
              </w:rPr>
            </w:pPr>
            <w:r>
              <w:rPr>
                <w:rFonts w:ascii="Arial" w:cs="Arial" w:eastAsia="Arial" w:hAnsi="Arial"/>
                <w:sz w:val="18"/>
                <w:szCs w:val="18"/>
                <w:color w:val="auto"/>
              </w:rPr>
              <w:t>Emerging growth company</w:t>
            </w:r>
          </w:p>
        </w:tc>
        <w:tc>
          <w:tcPr>
            <w:tcW w:w="9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38" w:lineRule="exact"/>
        <w:rPr>
          <w:sz w:val="24"/>
          <w:szCs w:val="24"/>
          <w:color w:val="auto"/>
        </w:rPr>
      </w:pPr>
    </w:p>
    <w:p>
      <w:pPr>
        <w:ind w:firstLine="324"/>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64" w:lineRule="exact"/>
        <w:rPr>
          <w:sz w:val="24"/>
          <w:szCs w:val="24"/>
          <w:color w:val="auto"/>
        </w:rPr>
      </w:pPr>
    </w:p>
    <w:p>
      <w:pPr>
        <w:ind w:left="30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50" w:lineRule="exact"/>
        <w:rPr>
          <w:sz w:val="24"/>
          <w:szCs w:val="24"/>
          <w:color w:val="auto"/>
        </w:rPr>
      </w:pPr>
    </w:p>
    <w:p>
      <w:pPr>
        <w:ind w:left="5100"/>
        <w:spacing w:after="0" w:line="196" w:lineRule="exact"/>
        <w:tabs>
          <w:tab w:leader="none" w:pos="5800" w:val="left"/>
        </w:tabs>
        <w:rPr>
          <w:sz w:val="20"/>
          <w:szCs w:val="20"/>
          <w:color w:val="auto"/>
        </w:rPr>
      </w:pPr>
      <w:r>
        <w:rPr>
          <w:rFonts w:ascii="Arial" w:cs="Arial" w:eastAsia="Arial" w:hAnsi="Arial"/>
          <w:sz w:val="16"/>
          <w:szCs w:val="16"/>
          <w:b w:val="1"/>
          <w:bCs w:val="1"/>
          <w:color w:val="auto"/>
        </w:rPr>
        <w:t xml:space="preserve">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5"/>
          <w:szCs w:val="15"/>
          <w:b w:val="1"/>
          <w:bCs w:val="1"/>
          <w:color w:val="auto"/>
        </w:rPr>
        <w:t xml:space="preserve">No </w:t>
      </w:r>
      <w:r>
        <w:rPr>
          <w:rFonts w:ascii="Arial" w:cs="Arial" w:eastAsia="Arial" w:hAnsi="Arial"/>
          <w:sz w:val="15"/>
          <w:szCs w:val="15"/>
          <w:color w:val="auto"/>
        </w:rPr>
        <w:t>x</w:t>
      </w:r>
    </w:p>
    <w:p>
      <w:pPr>
        <w:spacing w:after="0" w:line="164" w:lineRule="exact"/>
        <w:rPr>
          <w:sz w:val="24"/>
          <w:szCs w:val="24"/>
          <w:color w:val="auto"/>
        </w:rPr>
      </w:pPr>
    </w:p>
    <w:p>
      <w:pPr>
        <w:ind w:firstLine="284"/>
        <w:spacing w:after="0"/>
        <w:rPr>
          <w:sz w:val="20"/>
          <w:szCs w:val="20"/>
          <w:color w:val="auto"/>
        </w:rPr>
      </w:pPr>
      <w:r>
        <w:rPr>
          <w:rFonts w:ascii="Arial" w:cs="Arial" w:eastAsia="Arial" w:hAnsi="Arial"/>
          <w:sz w:val="16"/>
          <w:szCs w:val="16"/>
          <w:color w:val="auto"/>
        </w:rPr>
        <w:t>As of July 31, 2023, there were 34,613,853 Class A units outstanding, 42,738,750 Class B units outstanding, 82,385,884 Class C units outstanding, and 42,336,750 Class D units outstanding. There is no public market for the registrant's outstanding units.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874395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72390</wp:posOffset>
            </wp:positionV>
            <wp:extent cx="71234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3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98425</wp:posOffset>
            </wp:positionV>
            <wp:extent cx="712343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3430" cy="17145"/>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b w:val="1"/>
                <w:bCs w:val="1"/>
                <w:color w:val="0000FF"/>
              </w:rPr>
              <w:t>CAUTIONARY STATEMENT REGARDING FORWARD LOOKING INFORMATION</w:t>
            </w:r>
          </w:p>
        </w:tc>
        <w:tc>
          <w:tcPr>
            <w:tcW w:w="1980" w:type="dxa"/>
            <w:vAlign w:val="bottom"/>
            <w:gridSpan w:val="2"/>
          </w:tcPr>
          <w:p>
            <w:pPr>
              <w:spacing w:after="0"/>
              <w:rPr>
                <w:sz w:val="17"/>
                <w:szCs w:val="17"/>
                <w:color w:val="auto"/>
              </w:rPr>
            </w:pPr>
          </w:p>
        </w:tc>
        <w:tc>
          <w:tcPr>
            <w:tcW w:w="230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3</w:t>
            </w:r>
          </w:p>
        </w:tc>
        <w:tc>
          <w:tcPr>
            <w:tcW w:w="0" w:type="dxa"/>
            <w:vAlign w:val="bottom"/>
          </w:tcPr>
          <w:p>
            <w:pPr>
              <w:spacing w:after="0"/>
              <w:rPr>
                <w:sz w:val="1"/>
                <w:szCs w:val="1"/>
                <w:color w:val="auto"/>
              </w:rPr>
            </w:pPr>
          </w:p>
        </w:tc>
      </w:tr>
      <w:tr>
        <w:trPr>
          <w:trHeight w:val="209"/>
        </w:trPr>
        <w:tc>
          <w:tcPr>
            <w:tcW w:w="8780" w:type="dxa"/>
            <w:vAlign w:val="bottom"/>
            <w:gridSpan w:val="18"/>
          </w:tcPr>
          <w:p>
            <w:pPr>
              <w:spacing w:after="0"/>
              <w:rPr>
                <w:sz w:val="20"/>
                <w:szCs w:val="20"/>
                <w:color w:val="auto"/>
              </w:rPr>
            </w:pPr>
            <w:r>
              <w:rPr>
                <w:rFonts w:ascii="Arial" w:cs="Arial" w:eastAsia="Arial" w:hAnsi="Arial"/>
                <w:sz w:val="18"/>
                <w:szCs w:val="18"/>
                <w:b w:val="1"/>
                <w:bCs w:val="1"/>
                <w:color w:val="0000FF"/>
              </w:rPr>
              <w:t>GLOSSARY OF TERMS</w:t>
            </w:r>
          </w:p>
        </w:tc>
        <w:tc>
          <w:tcPr>
            <w:tcW w:w="2400" w:type="dxa"/>
            <w:vAlign w:val="bottom"/>
            <w:gridSpan w:val="3"/>
          </w:tcPr>
          <w:p>
            <w:pPr>
              <w:jc w:val="right"/>
              <w:spacing w:after="0"/>
              <w:rPr>
                <w:sz w:val="20"/>
                <w:szCs w:val="20"/>
                <w:color w:val="auto"/>
              </w:rPr>
            </w:pPr>
            <w:r>
              <w:rPr>
                <w:rFonts w:ascii="Arial" w:cs="Arial" w:eastAsia="Arial" w:hAnsi="Arial"/>
                <w:sz w:val="18"/>
                <w:szCs w:val="18"/>
                <w:color w:val="0000FF"/>
              </w:rPr>
              <w:t>4</w:t>
            </w:r>
          </w:p>
        </w:tc>
        <w:tc>
          <w:tcPr>
            <w:tcW w:w="0" w:type="dxa"/>
            <w:vAlign w:val="bottom"/>
          </w:tcPr>
          <w:p>
            <w:pPr>
              <w:spacing w:after="0"/>
              <w:rPr>
                <w:sz w:val="1"/>
                <w:szCs w:val="1"/>
                <w:color w:val="auto"/>
              </w:rPr>
            </w:pPr>
          </w:p>
        </w:tc>
      </w:tr>
      <w:tr>
        <w:trPr>
          <w:trHeight w:val="20"/>
        </w:trPr>
        <w:tc>
          <w:tcPr>
            <w:tcW w:w="20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780" w:type="dxa"/>
            <w:vAlign w:val="bottom"/>
            <w:gridSpan w:val="18"/>
          </w:tcPr>
          <w:p>
            <w:pPr>
              <w:spacing w:after="0"/>
              <w:rPr>
                <w:sz w:val="20"/>
                <w:szCs w:val="20"/>
                <w:color w:val="auto"/>
              </w:rPr>
            </w:pPr>
            <w:r>
              <w:rPr>
                <w:rFonts w:ascii="Arial" w:cs="Arial" w:eastAsia="Arial" w:hAnsi="Arial"/>
                <w:sz w:val="18"/>
                <w:szCs w:val="18"/>
                <w:b w:val="1"/>
                <w:bCs w:val="1"/>
                <w:color w:val="0000FF"/>
              </w:rPr>
              <w:t>PART I — FINANCIAL INFORMATION</w:t>
            </w:r>
          </w:p>
        </w:tc>
        <w:tc>
          <w:tcPr>
            <w:tcW w:w="2400" w:type="dxa"/>
            <w:vAlign w:val="bottom"/>
            <w:gridSpan w:val="3"/>
          </w:tcPr>
          <w:p>
            <w:pPr>
              <w:jc w:val="right"/>
              <w:spacing w:after="0"/>
              <w:rPr>
                <w:sz w:val="20"/>
                <w:szCs w:val="20"/>
                <w:color w:val="auto"/>
              </w:rPr>
            </w:pPr>
            <w:r>
              <w:rPr>
                <w:rFonts w:ascii="Arial" w:cs="Arial" w:eastAsia="Arial" w:hAnsi="Arial"/>
                <w:sz w:val="18"/>
                <w:szCs w:val="18"/>
                <w:color w:val="0000FF"/>
              </w:rPr>
              <w:t>6</w:t>
            </w:r>
          </w:p>
        </w:tc>
        <w:tc>
          <w:tcPr>
            <w:tcW w:w="0" w:type="dxa"/>
            <w:vAlign w:val="bottom"/>
          </w:tcPr>
          <w:p>
            <w:pPr>
              <w:spacing w:after="0"/>
              <w:rPr>
                <w:sz w:val="1"/>
                <w:szCs w:val="1"/>
                <w:color w:val="auto"/>
              </w:rPr>
            </w:pPr>
          </w:p>
        </w:tc>
      </w:tr>
      <w:tr>
        <w:trPr>
          <w:trHeight w:val="20"/>
        </w:trPr>
        <w:tc>
          <w:tcPr>
            <w:tcW w:w="20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404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96"/>
              </w:rPr>
              <w:t>ITEM 1 — FINANCIAL STATEMENTS AND NOTES</w:t>
            </w:r>
          </w:p>
        </w:tc>
        <w:tc>
          <w:tcPr>
            <w:tcW w:w="4540" w:type="dxa"/>
            <w:vAlign w:val="bottom"/>
            <w:gridSpan w:val="3"/>
          </w:tcPr>
          <w:p>
            <w:pPr>
              <w:spacing w:after="0"/>
              <w:rPr>
                <w:sz w:val="18"/>
                <w:szCs w:val="18"/>
                <w:color w:val="auto"/>
              </w:rPr>
            </w:pPr>
          </w:p>
        </w:tc>
        <w:tc>
          <w:tcPr>
            <w:tcW w:w="230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6</w:t>
            </w:r>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858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97"/>
              </w:rPr>
              <w:t>ITEM 2 — MANAGEMENT’S DISCUSSION AND ANALYSIS OF FINANCIAL CONDITION AND RESULTS OF</w:t>
            </w:r>
          </w:p>
        </w:tc>
        <w:tc>
          <w:tcPr>
            <w:tcW w:w="2400" w:type="dxa"/>
            <w:vAlign w:val="bottom"/>
            <w:gridSpan w:val="3"/>
            <w:vMerge w:val="restart"/>
          </w:tcPr>
          <w:p>
            <w:pPr>
              <w:jc w:val="right"/>
              <w:spacing w:after="0"/>
              <w:rPr>
                <w:sz w:val="20"/>
                <w:szCs w:val="20"/>
                <w:color w:val="auto"/>
              </w:rPr>
            </w:pPr>
            <w:r>
              <w:rPr>
                <w:rFonts w:ascii="Arial" w:cs="Arial" w:eastAsia="Arial" w:hAnsi="Arial"/>
                <w:sz w:val="18"/>
                <w:szCs w:val="18"/>
                <w:color w:val="0000FF"/>
              </w:rPr>
              <w:t>32</w:t>
            </w:r>
          </w:p>
        </w:tc>
        <w:tc>
          <w:tcPr>
            <w:tcW w:w="0" w:type="dxa"/>
            <w:vAlign w:val="bottom"/>
          </w:tcPr>
          <w:p>
            <w:pPr>
              <w:spacing w:after="0"/>
              <w:rPr>
                <w:sz w:val="1"/>
                <w:szCs w:val="1"/>
                <w:color w:val="auto"/>
              </w:rPr>
            </w:pPr>
          </w:p>
        </w:tc>
      </w:tr>
      <w:tr>
        <w:trPr>
          <w:trHeight w:val="169"/>
        </w:trPr>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540" w:type="dxa"/>
            <w:vAlign w:val="bottom"/>
            <w:gridSpan w:val="15"/>
          </w:tcPr>
          <w:p>
            <w:pPr>
              <w:spacing w:after="0" w:line="169" w:lineRule="exact"/>
              <w:rPr>
                <w:sz w:val="20"/>
                <w:szCs w:val="20"/>
                <w:color w:val="auto"/>
              </w:rPr>
            </w:pPr>
            <w:r>
              <w:rPr>
                <w:rFonts w:ascii="Arial" w:cs="Arial" w:eastAsia="Arial" w:hAnsi="Arial"/>
                <w:sz w:val="18"/>
                <w:szCs w:val="18"/>
                <w:color w:val="0000FF"/>
              </w:rPr>
              <w:t>OPERATIONS</w:t>
            </w:r>
          </w:p>
        </w:tc>
        <w:tc>
          <w:tcPr>
            <w:tcW w:w="24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6900" w:type="dxa"/>
            <w:vAlign w:val="bottom"/>
            <w:gridSpan w:val="16"/>
          </w:tcPr>
          <w:p>
            <w:pPr>
              <w:spacing w:after="0"/>
              <w:rPr>
                <w:sz w:val="20"/>
                <w:szCs w:val="20"/>
                <w:color w:val="auto"/>
              </w:rPr>
            </w:pPr>
            <w:r>
              <w:rPr>
                <w:rFonts w:ascii="Arial" w:cs="Arial" w:eastAsia="Arial" w:hAnsi="Arial"/>
                <w:sz w:val="18"/>
                <w:szCs w:val="18"/>
                <w:color w:val="0000FF"/>
                <w:w w:val="96"/>
              </w:rPr>
              <w:t>ITEM 3 — QUANTITATIVE AND QUALITATIVE DISCLOSURES ABOUT MARKET RISK</w:t>
            </w:r>
          </w:p>
        </w:tc>
        <w:tc>
          <w:tcPr>
            <w:tcW w:w="1680" w:type="dxa"/>
            <w:vAlign w:val="bottom"/>
          </w:tcPr>
          <w:p>
            <w:pPr>
              <w:spacing w:after="0"/>
              <w:rPr>
                <w:sz w:val="18"/>
                <w:szCs w:val="18"/>
                <w:color w:val="auto"/>
              </w:rPr>
            </w:pPr>
          </w:p>
        </w:tc>
        <w:tc>
          <w:tcPr>
            <w:tcW w:w="2400" w:type="dxa"/>
            <w:vAlign w:val="bottom"/>
            <w:gridSpan w:val="3"/>
          </w:tcPr>
          <w:p>
            <w:pPr>
              <w:jc w:val="right"/>
              <w:spacing w:after="0"/>
              <w:rPr>
                <w:sz w:val="20"/>
                <w:szCs w:val="20"/>
                <w:color w:val="auto"/>
              </w:rPr>
            </w:pPr>
            <w:r>
              <w:rPr>
                <w:rFonts w:ascii="Arial" w:cs="Arial" w:eastAsia="Arial" w:hAnsi="Arial"/>
                <w:sz w:val="18"/>
                <w:szCs w:val="18"/>
                <w:color w:val="0000FF"/>
              </w:rPr>
              <w:t>48</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80" w:type="dxa"/>
            <w:vAlign w:val="bottom"/>
            <w:gridSpan w:val="3"/>
            <w:shd w:val="clear" w:color="auto" w:fill="0000FF"/>
          </w:tcPr>
          <w:p>
            <w:pPr>
              <w:spacing w:after="0" w:line="20" w:lineRule="exact"/>
              <w:rPr>
                <w:sz w:val="1"/>
                <w:szCs w:val="1"/>
                <w:color w:val="auto"/>
              </w:rPr>
            </w:pPr>
          </w:p>
        </w:tc>
        <w:tc>
          <w:tcPr>
            <w:tcW w:w="1680" w:type="dxa"/>
            <w:vAlign w:val="bottom"/>
            <w:tcBorders>
              <w:left w:val="single" w:sz="8" w:color="0000FF"/>
            </w:tcBorders>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3440" w:type="dxa"/>
            <w:vAlign w:val="bottom"/>
            <w:gridSpan w:val="12"/>
          </w:tcPr>
          <w:p>
            <w:pPr>
              <w:spacing w:after="0"/>
              <w:rPr>
                <w:sz w:val="20"/>
                <w:szCs w:val="20"/>
                <w:color w:val="auto"/>
              </w:rPr>
            </w:pPr>
            <w:r>
              <w:rPr>
                <w:rFonts w:ascii="Arial" w:cs="Arial" w:eastAsia="Arial" w:hAnsi="Arial"/>
                <w:sz w:val="18"/>
                <w:szCs w:val="18"/>
                <w:color w:val="0000FF"/>
                <w:w w:val="94"/>
              </w:rPr>
              <w:t>ITEM 4 — CONTROLS AND PROCEDURES</w:t>
            </w:r>
          </w:p>
        </w:tc>
        <w:tc>
          <w:tcPr>
            <w:tcW w:w="3460" w:type="dxa"/>
            <w:vAlign w:val="bottom"/>
            <w:gridSpan w:val="4"/>
          </w:tcPr>
          <w:p>
            <w:pPr>
              <w:spacing w:after="0"/>
              <w:rPr>
                <w:sz w:val="18"/>
                <w:szCs w:val="18"/>
                <w:color w:val="auto"/>
              </w:rPr>
            </w:pPr>
          </w:p>
        </w:tc>
        <w:tc>
          <w:tcPr>
            <w:tcW w:w="1680" w:type="dxa"/>
            <w:vAlign w:val="bottom"/>
          </w:tcPr>
          <w:p>
            <w:pPr>
              <w:spacing w:after="0"/>
              <w:rPr>
                <w:sz w:val="18"/>
                <w:szCs w:val="18"/>
                <w:color w:val="auto"/>
              </w:rPr>
            </w:pPr>
          </w:p>
        </w:tc>
        <w:tc>
          <w:tcPr>
            <w:tcW w:w="2400" w:type="dxa"/>
            <w:vAlign w:val="bottom"/>
            <w:gridSpan w:val="3"/>
          </w:tcPr>
          <w:p>
            <w:pPr>
              <w:jc w:val="right"/>
              <w:spacing w:after="0"/>
              <w:rPr>
                <w:sz w:val="20"/>
                <w:szCs w:val="20"/>
                <w:color w:val="auto"/>
              </w:rPr>
            </w:pPr>
            <w:r>
              <w:rPr>
                <w:rFonts w:ascii="Arial" w:cs="Arial" w:eastAsia="Arial" w:hAnsi="Arial"/>
                <w:sz w:val="18"/>
                <w:szCs w:val="18"/>
                <w:color w:val="0000FF"/>
              </w:rPr>
              <w:t>49</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920" w:type="dxa"/>
            <w:vAlign w:val="bottom"/>
            <w:gridSpan w:val="10"/>
          </w:tcPr>
          <w:p>
            <w:pPr>
              <w:spacing w:after="0"/>
              <w:rPr>
                <w:sz w:val="20"/>
                <w:szCs w:val="20"/>
                <w:color w:val="auto"/>
              </w:rPr>
            </w:pPr>
            <w:r>
              <w:rPr>
                <w:rFonts w:ascii="Arial" w:cs="Arial" w:eastAsia="Arial" w:hAnsi="Arial"/>
                <w:sz w:val="18"/>
                <w:szCs w:val="18"/>
                <w:b w:val="1"/>
                <w:bCs w:val="1"/>
                <w:color w:val="0000FF"/>
              </w:rPr>
              <w:t>PART II — OTHER INFORMATION</w:t>
            </w:r>
          </w:p>
        </w:tc>
        <w:tc>
          <w:tcPr>
            <w:tcW w:w="5860" w:type="dxa"/>
            <w:vAlign w:val="bottom"/>
            <w:gridSpan w:val="8"/>
          </w:tcPr>
          <w:p>
            <w:pPr>
              <w:spacing w:after="0"/>
              <w:rPr>
                <w:sz w:val="19"/>
                <w:szCs w:val="19"/>
                <w:color w:val="auto"/>
              </w:rPr>
            </w:pPr>
          </w:p>
        </w:tc>
        <w:tc>
          <w:tcPr>
            <w:tcW w:w="2400" w:type="dxa"/>
            <w:vAlign w:val="bottom"/>
            <w:gridSpan w:val="3"/>
          </w:tcPr>
          <w:p>
            <w:pPr>
              <w:jc w:val="right"/>
              <w:spacing w:after="0"/>
              <w:rPr>
                <w:sz w:val="20"/>
                <w:szCs w:val="20"/>
                <w:color w:val="auto"/>
              </w:rPr>
            </w:pPr>
            <w:r>
              <w:rPr>
                <w:rFonts w:ascii="Arial" w:cs="Arial" w:eastAsia="Arial" w:hAnsi="Arial"/>
                <w:sz w:val="18"/>
                <w:szCs w:val="18"/>
                <w:color w:val="0000FF"/>
              </w:rPr>
              <w:t>50</w:t>
            </w:r>
          </w:p>
        </w:tc>
        <w:tc>
          <w:tcPr>
            <w:tcW w:w="0" w:type="dxa"/>
            <w:vAlign w:val="bottom"/>
          </w:tcPr>
          <w:p>
            <w:pPr>
              <w:spacing w:after="0"/>
              <w:rPr>
                <w:sz w:val="1"/>
                <w:szCs w:val="1"/>
                <w:color w:val="auto"/>
              </w:rPr>
            </w:pPr>
          </w:p>
        </w:tc>
      </w:tr>
      <w:tr>
        <w:trPr>
          <w:trHeight w:val="20"/>
        </w:trPr>
        <w:tc>
          <w:tcPr>
            <w:tcW w:w="200" w:type="dxa"/>
            <w:vAlign w:val="bottom"/>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2720" w:type="dxa"/>
            <w:vAlign w:val="bottom"/>
            <w:gridSpan w:val="9"/>
          </w:tcPr>
          <w:p>
            <w:pPr>
              <w:spacing w:after="0"/>
              <w:rPr>
                <w:sz w:val="20"/>
                <w:szCs w:val="20"/>
                <w:color w:val="auto"/>
              </w:rPr>
            </w:pPr>
            <w:r>
              <w:rPr>
                <w:rFonts w:ascii="Arial" w:cs="Arial" w:eastAsia="Arial" w:hAnsi="Arial"/>
                <w:sz w:val="18"/>
                <w:szCs w:val="18"/>
                <w:color w:val="0000FF"/>
                <w:w w:val="94"/>
              </w:rPr>
              <w:t>ITEM 1 — LEGAL PROCEEDINGS</w:t>
            </w:r>
          </w:p>
        </w:tc>
        <w:tc>
          <w:tcPr>
            <w:tcW w:w="5860" w:type="dxa"/>
            <w:vAlign w:val="bottom"/>
            <w:gridSpan w:val="8"/>
          </w:tcPr>
          <w:p>
            <w:pPr>
              <w:spacing w:after="0"/>
              <w:rPr>
                <w:sz w:val="18"/>
                <w:szCs w:val="18"/>
                <w:color w:val="auto"/>
              </w:rPr>
            </w:pPr>
          </w:p>
        </w:tc>
        <w:tc>
          <w:tcPr>
            <w:tcW w:w="2400" w:type="dxa"/>
            <w:vAlign w:val="bottom"/>
            <w:gridSpan w:val="3"/>
          </w:tcPr>
          <w:p>
            <w:pPr>
              <w:jc w:val="right"/>
              <w:spacing w:after="0"/>
              <w:rPr>
                <w:sz w:val="20"/>
                <w:szCs w:val="20"/>
                <w:color w:val="auto"/>
              </w:rPr>
            </w:pPr>
            <w:r>
              <w:rPr>
                <w:rFonts w:ascii="Arial" w:cs="Arial" w:eastAsia="Arial" w:hAnsi="Arial"/>
                <w:sz w:val="18"/>
                <w:szCs w:val="18"/>
                <w:color w:val="0000FF"/>
              </w:rPr>
              <w:t>50</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2700" w:type="dxa"/>
            <w:vAlign w:val="bottom"/>
            <w:gridSpan w:val="8"/>
          </w:tcPr>
          <w:p>
            <w:pPr>
              <w:spacing w:after="0"/>
              <w:rPr>
                <w:sz w:val="20"/>
                <w:szCs w:val="20"/>
                <w:color w:val="auto"/>
              </w:rPr>
            </w:pPr>
            <w:r>
              <w:rPr>
                <w:rFonts w:ascii="Arial" w:cs="Arial" w:eastAsia="Arial" w:hAnsi="Arial"/>
                <w:sz w:val="18"/>
                <w:szCs w:val="18"/>
                <w:color w:val="0000FF"/>
              </w:rPr>
              <w:t>ITEM 1A — RISK FACTORS</w:t>
            </w:r>
          </w:p>
        </w:tc>
        <w:tc>
          <w:tcPr>
            <w:tcW w:w="5880" w:type="dxa"/>
            <w:vAlign w:val="bottom"/>
            <w:gridSpan w:val="9"/>
          </w:tcPr>
          <w:p>
            <w:pPr>
              <w:spacing w:after="0"/>
              <w:rPr>
                <w:sz w:val="18"/>
                <w:szCs w:val="18"/>
                <w:color w:val="auto"/>
              </w:rPr>
            </w:pPr>
          </w:p>
        </w:tc>
        <w:tc>
          <w:tcPr>
            <w:tcW w:w="2400" w:type="dxa"/>
            <w:vAlign w:val="bottom"/>
            <w:gridSpan w:val="3"/>
          </w:tcPr>
          <w:p>
            <w:pPr>
              <w:jc w:val="right"/>
              <w:spacing w:after="0"/>
              <w:rPr>
                <w:sz w:val="20"/>
                <w:szCs w:val="20"/>
                <w:color w:val="auto"/>
              </w:rPr>
            </w:pPr>
            <w:r>
              <w:rPr>
                <w:rFonts w:ascii="Arial" w:cs="Arial" w:eastAsia="Arial" w:hAnsi="Arial"/>
                <w:sz w:val="18"/>
                <w:szCs w:val="18"/>
                <w:color w:val="0000FF"/>
              </w:rPr>
              <w:t>50</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0" w:type="dxa"/>
            <w:vAlign w:val="bottom"/>
          </w:tcPr>
          <w:p>
            <w:pPr>
              <w:spacing w:after="0"/>
              <w:rPr>
                <w:sz w:val="19"/>
                <w:szCs w:val="19"/>
                <w:color w:val="auto"/>
              </w:rPr>
            </w:pPr>
          </w:p>
        </w:tc>
        <w:tc>
          <w:tcPr>
            <w:tcW w:w="6900" w:type="dxa"/>
            <w:vAlign w:val="bottom"/>
            <w:gridSpan w:val="16"/>
          </w:tcPr>
          <w:p>
            <w:pPr>
              <w:spacing w:after="0"/>
              <w:rPr>
                <w:sz w:val="20"/>
                <w:szCs w:val="20"/>
                <w:color w:val="auto"/>
              </w:rPr>
            </w:pPr>
            <w:r>
              <w:rPr>
                <w:rFonts w:ascii="Arial" w:cs="Arial" w:eastAsia="Arial" w:hAnsi="Arial"/>
                <w:sz w:val="18"/>
                <w:szCs w:val="18"/>
                <w:color w:val="0000FF"/>
                <w:w w:val="94"/>
              </w:rPr>
              <w:t>ITEM 2 — UNREGISTERED SALES OF EQUITY SECURITIES AND USE OF PROCEEDS</w:t>
            </w:r>
          </w:p>
        </w:tc>
        <w:tc>
          <w:tcPr>
            <w:tcW w:w="1680" w:type="dxa"/>
            <w:vAlign w:val="bottom"/>
          </w:tcPr>
          <w:p>
            <w:pPr>
              <w:spacing w:after="0"/>
              <w:rPr>
                <w:sz w:val="19"/>
                <w:szCs w:val="19"/>
                <w:color w:val="auto"/>
              </w:rPr>
            </w:pPr>
          </w:p>
        </w:tc>
        <w:tc>
          <w:tcPr>
            <w:tcW w:w="2400" w:type="dxa"/>
            <w:vAlign w:val="bottom"/>
            <w:gridSpan w:val="3"/>
          </w:tcPr>
          <w:p>
            <w:pPr>
              <w:jc w:val="right"/>
              <w:spacing w:after="0"/>
              <w:rPr>
                <w:sz w:val="20"/>
                <w:szCs w:val="20"/>
                <w:color w:val="auto"/>
              </w:rPr>
            </w:pPr>
            <w:r>
              <w:rPr>
                <w:rFonts w:ascii="Arial" w:cs="Arial" w:eastAsia="Arial" w:hAnsi="Arial"/>
                <w:sz w:val="18"/>
                <w:szCs w:val="18"/>
                <w:color w:val="0000FF"/>
              </w:rPr>
              <w:t>50</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60" w:type="dxa"/>
            <w:vAlign w:val="bottom"/>
            <w:gridSpan w:val="5"/>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880" w:type="dxa"/>
            <w:vAlign w:val="bottom"/>
            <w:gridSpan w:val="3"/>
            <w:shd w:val="clear" w:color="auto" w:fill="0000FF"/>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0000FF"/>
                <w:w w:val="99"/>
              </w:rPr>
              <w:t>ITEM 3</w:t>
            </w:r>
          </w:p>
        </w:tc>
        <w:tc>
          <w:tcPr>
            <w:tcW w:w="6300" w:type="dxa"/>
            <w:vAlign w:val="bottom"/>
            <w:gridSpan w:val="15"/>
          </w:tcPr>
          <w:p>
            <w:pPr>
              <w:ind w:left="20"/>
              <w:spacing w:after="0"/>
              <w:rPr>
                <w:sz w:val="20"/>
                <w:szCs w:val="20"/>
                <w:color w:val="auto"/>
              </w:rPr>
            </w:pPr>
            <w:r>
              <w:rPr>
                <w:rFonts w:ascii="Arial" w:cs="Arial" w:eastAsia="Arial" w:hAnsi="Arial"/>
                <w:sz w:val="18"/>
                <w:szCs w:val="18"/>
                <w:color w:val="0000FF"/>
              </w:rPr>
              <w:t>— DEFAULTS UPON SENIOR SECURITIES</w:t>
            </w:r>
          </w:p>
        </w:tc>
        <w:tc>
          <w:tcPr>
            <w:tcW w:w="1680" w:type="dxa"/>
            <w:vAlign w:val="bottom"/>
          </w:tcPr>
          <w:p>
            <w:pPr>
              <w:spacing w:after="0"/>
              <w:rPr>
                <w:sz w:val="18"/>
                <w:szCs w:val="18"/>
                <w:color w:val="auto"/>
              </w:rPr>
            </w:pPr>
          </w:p>
        </w:tc>
        <w:tc>
          <w:tcPr>
            <w:tcW w:w="2400" w:type="dxa"/>
            <w:vAlign w:val="bottom"/>
            <w:gridSpan w:val="3"/>
          </w:tcPr>
          <w:p>
            <w:pPr>
              <w:jc w:val="right"/>
              <w:spacing w:after="0"/>
              <w:rPr>
                <w:sz w:val="20"/>
                <w:szCs w:val="20"/>
                <w:color w:val="auto"/>
              </w:rPr>
            </w:pPr>
            <w:r>
              <w:rPr>
                <w:rFonts w:ascii="Arial" w:cs="Arial" w:eastAsia="Arial" w:hAnsi="Arial"/>
                <w:sz w:val="18"/>
                <w:szCs w:val="18"/>
                <w:color w:val="0000FF"/>
              </w:rPr>
              <w:t>50</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60" w:type="dxa"/>
            <w:vAlign w:val="bottom"/>
            <w:gridSpan w:val="5"/>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560" w:type="dxa"/>
            <w:vAlign w:val="bottom"/>
            <w:gridSpan w:val="4"/>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0000FF"/>
                <w:w w:val="99"/>
              </w:rPr>
              <w:t>ITEM 4</w:t>
            </w:r>
          </w:p>
        </w:tc>
        <w:tc>
          <w:tcPr>
            <w:tcW w:w="2680" w:type="dxa"/>
            <w:vAlign w:val="bottom"/>
            <w:gridSpan w:val="10"/>
          </w:tcPr>
          <w:p>
            <w:pPr>
              <w:ind w:left="20"/>
              <w:spacing w:after="0"/>
              <w:rPr>
                <w:sz w:val="20"/>
                <w:szCs w:val="20"/>
                <w:color w:val="auto"/>
              </w:rPr>
            </w:pPr>
            <w:r>
              <w:rPr>
                <w:rFonts w:ascii="Arial" w:cs="Arial" w:eastAsia="Arial" w:hAnsi="Arial"/>
                <w:sz w:val="18"/>
                <w:szCs w:val="18"/>
                <w:color w:val="0000FF"/>
                <w:w w:val="95"/>
              </w:rPr>
              <w:t>— MINE SAFETY DISCLOSURES</w:t>
            </w:r>
          </w:p>
        </w:tc>
        <w:tc>
          <w:tcPr>
            <w:tcW w:w="740" w:type="dxa"/>
            <w:vAlign w:val="bottom"/>
            <w:gridSpan w:val="2"/>
          </w:tcPr>
          <w:p>
            <w:pPr>
              <w:spacing w:after="0"/>
              <w:rPr>
                <w:sz w:val="18"/>
                <w:szCs w:val="18"/>
                <w:color w:val="auto"/>
              </w:rPr>
            </w:pPr>
          </w:p>
        </w:tc>
        <w:tc>
          <w:tcPr>
            <w:tcW w:w="4560" w:type="dxa"/>
            <w:vAlign w:val="bottom"/>
            <w:gridSpan w:val="4"/>
          </w:tcPr>
          <w:p>
            <w:pPr>
              <w:spacing w:after="0"/>
              <w:rPr>
                <w:sz w:val="18"/>
                <w:szCs w:val="18"/>
                <w:color w:val="auto"/>
              </w:rPr>
            </w:pPr>
          </w:p>
        </w:tc>
        <w:tc>
          <w:tcPr>
            <w:tcW w:w="2400" w:type="dxa"/>
            <w:vAlign w:val="bottom"/>
            <w:gridSpan w:val="3"/>
          </w:tcPr>
          <w:p>
            <w:pPr>
              <w:jc w:val="right"/>
              <w:spacing w:after="0"/>
              <w:rPr>
                <w:sz w:val="20"/>
                <w:szCs w:val="20"/>
                <w:color w:val="auto"/>
              </w:rPr>
            </w:pPr>
            <w:r>
              <w:rPr>
                <w:rFonts w:ascii="Arial" w:cs="Arial" w:eastAsia="Arial" w:hAnsi="Arial"/>
                <w:sz w:val="18"/>
                <w:szCs w:val="18"/>
                <w:color w:val="0000FF"/>
              </w:rPr>
              <w:t>50</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60" w:type="dxa"/>
            <w:vAlign w:val="bottom"/>
            <w:gridSpan w:val="5"/>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5300" w:type="dxa"/>
            <w:vAlign w:val="bottom"/>
            <w:gridSpan w:val="6"/>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Arial" w:cs="Arial" w:eastAsia="Arial" w:hAnsi="Arial"/>
                <w:sz w:val="18"/>
                <w:szCs w:val="18"/>
                <w:color w:val="0000FF"/>
                <w:w w:val="99"/>
              </w:rPr>
              <w:t>ITEM 5</w:t>
            </w:r>
          </w:p>
        </w:tc>
        <w:tc>
          <w:tcPr>
            <w:tcW w:w="2680" w:type="dxa"/>
            <w:vAlign w:val="bottom"/>
            <w:gridSpan w:val="10"/>
          </w:tcPr>
          <w:p>
            <w:pPr>
              <w:ind w:left="20"/>
              <w:spacing w:after="0"/>
              <w:rPr>
                <w:sz w:val="20"/>
                <w:szCs w:val="20"/>
                <w:color w:val="auto"/>
              </w:rPr>
            </w:pPr>
            <w:r>
              <w:rPr>
                <w:rFonts w:ascii="Arial" w:cs="Arial" w:eastAsia="Arial" w:hAnsi="Arial"/>
                <w:sz w:val="18"/>
                <w:szCs w:val="18"/>
                <w:color w:val="0000FF"/>
              </w:rPr>
              <w:t>— OTHER INFORMATION</w:t>
            </w:r>
          </w:p>
        </w:tc>
        <w:tc>
          <w:tcPr>
            <w:tcW w:w="5300" w:type="dxa"/>
            <w:vAlign w:val="bottom"/>
            <w:gridSpan w:val="6"/>
          </w:tcPr>
          <w:p>
            <w:pPr>
              <w:spacing w:after="0"/>
              <w:rPr>
                <w:sz w:val="19"/>
                <w:szCs w:val="19"/>
                <w:color w:val="auto"/>
              </w:rPr>
            </w:pPr>
          </w:p>
        </w:tc>
        <w:tc>
          <w:tcPr>
            <w:tcW w:w="2400" w:type="dxa"/>
            <w:vAlign w:val="bottom"/>
            <w:gridSpan w:val="3"/>
          </w:tcPr>
          <w:p>
            <w:pPr>
              <w:jc w:val="right"/>
              <w:spacing w:after="0"/>
              <w:rPr>
                <w:sz w:val="20"/>
                <w:szCs w:val="20"/>
                <w:color w:val="auto"/>
              </w:rPr>
            </w:pPr>
            <w:r>
              <w:rPr>
                <w:rFonts w:ascii="Arial" w:cs="Arial" w:eastAsia="Arial" w:hAnsi="Arial"/>
                <w:sz w:val="18"/>
                <w:szCs w:val="18"/>
                <w:color w:val="0000FF"/>
              </w:rPr>
              <w:t>50</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60" w:type="dxa"/>
            <w:vAlign w:val="bottom"/>
            <w:gridSpan w:val="5"/>
            <w:shd w:val="clear" w:color="auto" w:fill="0000FF"/>
          </w:tcPr>
          <w:p>
            <w:pPr>
              <w:spacing w:after="0" w:line="20" w:lineRule="exact"/>
              <w:rPr>
                <w:sz w:val="1"/>
                <w:szCs w:val="1"/>
                <w:color w:val="auto"/>
              </w:rPr>
            </w:pPr>
          </w:p>
        </w:tc>
        <w:tc>
          <w:tcPr>
            <w:tcW w:w="5860" w:type="dxa"/>
            <w:vAlign w:val="bottom"/>
            <w:gridSpan w:val="8"/>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0000FF"/>
                <w:w w:val="99"/>
              </w:rPr>
              <w:t>ITEM 6</w:t>
            </w:r>
          </w:p>
        </w:tc>
        <w:tc>
          <w:tcPr>
            <w:tcW w:w="2120" w:type="dxa"/>
            <w:vAlign w:val="bottom"/>
            <w:gridSpan w:val="8"/>
          </w:tcPr>
          <w:p>
            <w:pPr>
              <w:ind w:left="20"/>
              <w:spacing w:after="0"/>
              <w:rPr>
                <w:sz w:val="20"/>
                <w:szCs w:val="20"/>
                <w:color w:val="auto"/>
              </w:rPr>
            </w:pPr>
            <w:r>
              <w:rPr>
                <w:rFonts w:ascii="Arial" w:cs="Arial" w:eastAsia="Arial" w:hAnsi="Arial"/>
                <w:sz w:val="18"/>
                <w:szCs w:val="18"/>
                <w:color w:val="0000FF"/>
              </w:rPr>
              <w:t>— EXHIBITS</w:t>
            </w:r>
          </w:p>
        </w:tc>
        <w:tc>
          <w:tcPr>
            <w:tcW w:w="5860" w:type="dxa"/>
            <w:vAlign w:val="bottom"/>
            <w:gridSpan w:val="8"/>
          </w:tcPr>
          <w:p>
            <w:pPr>
              <w:spacing w:after="0"/>
              <w:rPr>
                <w:sz w:val="18"/>
                <w:szCs w:val="18"/>
                <w:color w:val="auto"/>
              </w:rPr>
            </w:pPr>
          </w:p>
        </w:tc>
        <w:tc>
          <w:tcPr>
            <w:tcW w:w="2400" w:type="dxa"/>
            <w:vAlign w:val="bottom"/>
            <w:gridSpan w:val="3"/>
          </w:tcPr>
          <w:p>
            <w:pPr>
              <w:jc w:val="right"/>
              <w:spacing w:after="0"/>
              <w:rPr>
                <w:sz w:val="20"/>
                <w:szCs w:val="20"/>
                <w:color w:val="auto"/>
              </w:rPr>
            </w:pPr>
            <w:r>
              <w:rPr>
                <w:rFonts w:ascii="Arial" w:cs="Arial" w:eastAsia="Arial" w:hAnsi="Arial"/>
                <w:sz w:val="18"/>
                <w:szCs w:val="18"/>
                <w:color w:val="0000FF"/>
              </w:rPr>
              <w:t>51</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920" w:type="dxa"/>
            <w:vAlign w:val="bottom"/>
            <w:gridSpan w:val="13"/>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0000FF"/>
                <w:w w:val="96"/>
              </w:rPr>
              <w:t>SIGNATURES</w:t>
            </w:r>
          </w:p>
        </w:tc>
        <w:tc>
          <w:tcPr>
            <w:tcW w:w="500" w:type="dxa"/>
            <w:vAlign w:val="bottom"/>
          </w:tcPr>
          <w:p>
            <w:pPr>
              <w:spacing w:after="0"/>
              <w:rPr>
                <w:sz w:val="18"/>
                <w:szCs w:val="18"/>
                <w:color w:val="auto"/>
              </w:rPr>
            </w:pPr>
          </w:p>
        </w:tc>
        <w:tc>
          <w:tcPr>
            <w:tcW w:w="6920" w:type="dxa"/>
            <w:vAlign w:val="bottom"/>
            <w:gridSpan w:val="13"/>
          </w:tcPr>
          <w:p>
            <w:pPr>
              <w:spacing w:after="0"/>
              <w:rPr>
                <w:sz w:val="18"/>
                <w:szCs w:val="18"/>
                <w:color w:val="auto"/>
              </w:rPr>
            </w:pPr>
          </w:p>
        </w:tc>
        <w:tc>
          <w:tcPr>
            <w:tcW w:w="2400" w:type="dxa"/>
            <w:vAlign w:val="bottom"/>
            <w:gridSpan w:val="3"/>
          </w:tcPr>
          <w:p>
            <w:pPr>
              <w:jc w:val="right"/>
              <w:spacing w:after="0"/>
              <w:rPr>
                <w:sz w:val="20"/>
                <w:szCs w:val="20"/>
                <w:color w:val="auto"/>
              </w:rPr>
            </w:pPr>
            <w:r>
              <w:rPr>
                <w:rFonts w:ascii="Arial" w:cs="Arial" w:eastAsia="Arial" w:hAnsi="Arial"/>
                <w:sz w:val="18"/>
                <w:szCs w:val="18"/>
                <w:color w:val="0000FF"/>
              </w:rPr>
              <w:t>52</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215"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12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 xml:space="preserve">This Quarterly Report on Form 10-Q of Clearway Energy LLC, together with its consolidated subsidiaries, or the Company, includes forward-looking statements within the meaning of Section 27A of the Securities Act of 1933, as amended, or the Securities Act, and Section 21E of the Securities Exchange Act of 1934, as amended, or the Exchange Act. The words “believes,” “projects,” “anticipates,” “plans,” “expects,” “intends,” “estimates” and similar expressions are intended to identify forward-looking statements. These forward-looking statements involve known and unknown risks, uncertainties and other factors that may cause the Company’s actual results, performance and achievements, or industry results, to be materially different from any future results, performance or achievements expressed or implied by such forward-looking statements. These factors, risks and uncertainties include the factors described under Item 1A —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Part I of the Company’s Annual Report on Form 10-K for the year ended December 31, 2022, as well as the following:</w:t>
      </w:r>
    </w:p>
    <w:p>
      <w:pPr>
        <w:spacing w:after="0" w:line="84"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maintain and grow its quarterly distributions;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risks related to the Company's relationships with GIP, TotalEnergies and CEG;</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successfully identify, evaluate and consummate acquisitions from, and dispositions to, third parties;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acquire assets from CEG;</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borrow additional funds and access capital markets, as well as the Company’s substantial indebtedness and the possibility that the Company may incur additional indebtedness going forward;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law, including judicial decisions;</w:t>
      </w:r>
    </w:p>
    <w:p>
      <w:pPr>
        <w:spacing w:after="0" w:line="63" w:lineRule="exact"/>
        <w:rPr>
          <w:rFonts w:ascii="Arial" w:cs="Arial" w:eastAsia="Arial" w:hAnsi="Arial"/>
          <w:sz w:val="18"/>
          <w:szCs w:val="18"/>
          <w:color w:val="auto"/>
        </w:rPr>
      </w:pPr>
    </w:p>
    <w:p>
      <w:pPr>
        <w:jc w:val="both"/>
        <w:ind w:left="660" w:hanging="328"/>
        <w:spacing w:after="0" w:line="275"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Hazards customary to the power production industry and power generation operations such as fuel and electricity price volatility, unusual weather conditions (including wind and solar conditions), catastrophic weather-related or other damage to facilities, unscheduled generation outages, maintenance or repairs, unanticipated changes to fuel supply costs or availability due to higher demand, shortages, transportation problems or other developments, environmental incidents, or electric transmission or gas pipeline system constraints and the possibility that the Company may not have adequate insurance to cover losses as a result of such hazards;</w:t>
      </w:r>
    </w:p>
    <w:p>
      <w:pPr>
        <w:spacing w:after="0" w:line="14"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operate its businesses efficiently, manage maintenance capital expenditures and costs effectively, and generate earnings and cash flows from its asset-based businesses in relation to its debt and other obligations;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willingness and ability of counterparties to the Company’s offtake agreements to fulfill their obligations under such agreements;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Company’s ability to enter into contracts to sell power and procure fuel on acceptable terms and prices as current offtake agreements expire;</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Government regulation, including compliance with regulatory requirements and changes in market rules, rates, tariffs and environmental laws;</w:t>
      </w:r>
    </w:p>
    <w:p>
      <w:pPr>
        <w:spacing w:after="0" w:line="86" w:lineRule="exact"/>
        <w:rPr>
          <w:rFonts w:ascii="Arial" w:cs="Arial" w:eastAsia="Arial" w:hAnsi="Arial"/>
          <w:sz w:val="16"/>
          <w:szCs w:val="16"/>
          <w:color w:val="auto"/>
        </w:rPr>
      </w:pPr>
    </w:p>
    <w:p>
      <w:pPr>
        <w:jc w:val="both"/>
        <w:ind w:left="660" w:hanging="328"/>
        <w:spacing w:after="0" w:line="26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Operating and financial restrictions placed on the Company that are contained in the project-level debt facilities and other agreements of certain subsidiaries and project-level subsidiaries generally, in the Clearway Energy Operating LLC amended and restated revolving credit facility and in the indentures governing the Senior Notes; and</w:t>
      </w:r>
    </w:p>
    <w:p>
      <w:pPr>
        <w:spacing w:after="0" w:line="2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Cyber terrorism and inadequate cybersecurity, or the occurrence of a catastrophic loss and the possibility that the Company may not have adequate insurance to cover losses resulting from such hazards or the inability of the Company’s insurers to provide coverage.</w:t>
      </w:r>
    </w:p>
    <w:p>
      <w:pPr>
        <w:spacing w:after="0" w:line="62"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Forward-looking statements speak only as of the date they were made, and the Company undertakes no obligation to publicly update or revise any forward-looking statements, whether as a result of new information, future events or otherwise. The foregoing review of factors that could cause the Company’s actual results to differ materially from those contemplated in any forward-looking statements included in this Quarterly Report on Form 10-Q should not be construed as exhaustive.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700" w:type="dxa"/>
            <w:vAlign w:val="bottom"/>
          </w:tcPr>
          <w:p>
            <w:pPr>
              <w:spacing w:after="0"/>
              <w:rPr>
                <w:sz w:val="20"/>
                <w:szCs w:val="20"/>
                <w:color w:val="auto"/>
              </w:rPr>
            </w:pPr>
          </w:p>
        </w:tc>
        <w:tc>
          <w:tcPr>
            <w:tcW w:w="8540" w:type="dxa"/>
            <w:vAlign w:val="bottom"/>
          </w:tcPr>
          <w:p>
            <w:pPr>
              <w:ind w:left="1960"/>
              <w:spacing w:after="0"/>
              <w:rPr>
                <w:sz w:val="20"/>
                <w:szCs w:val="20"/>
                <w:color w:val="auto"/>
              </w:rPr>
            </w:pPr>
            <w:r>
              <w:rPr>
                <w:rFonts w:ascii="Arial" w:cs="Arial" w:eastAsia="Arial" w:hAnsi="Arial"/>
                <w:sz w:val="18"/>
                <w:szCs w:val="18"/>
                <w:b w:val="1"/>
                <w:bCs w:val="1"/>
                <w:color w:val="auto"/>
              </w:rPr>
              <w:t>GLOSSARY OF TERMS</w:t>
            </w:r>
          </w:p>
        </w:tc>
        <w:tc>
          <w:tcPr>
            <w:tcW w:w="0" w:type="dxa"/>
            <w:vAlign w:val="bottom"/>
          </w:tcPr>
          <w:p>
            <w:pPr>
              <w:spacing w:after="0"/>
              <w:rPr>
                <w:sz w:val="1"/>
                <w:szCs w:val="1"/>
                <w:color w:val="auto"/>
              </w:rPr>
            </w:pPr>
          </w:p>
        </w:tc>
      </w:tr>
      <w:tr>
        <w:trPr>
          <w:trHeight w:val="378"/>
        </w:trPr>
        <w:tc>
          <w:tcPr>
            <w:tcW w:w="11240" w:type="dxa"/>
            <w:vAlign w:val="bottom"/>
            <w:gridSpan w:val="2"/>
          </w:tcPr>
          <w:p>
            <w:pPr>
              <w:ind w:left="420"/>
              <w:spacing w:after="0"/>
              <w:rPr>
                <w:sz w:val="20"/>
                <w:szCs w:val="20"/>
                <w:color w:val="auto"/>
              </w:rPr>
            </w:pPr>
            <w:r>
              <w:rPr>
                <w:rFonts w:ascii="Arial" w:cs="Arial" w:eastAsia="Arial" w:hAnsi="Arial"/>
                <w:sz w:val="18"/>
                <w:szCs w:val="18"/>
                <w:color w:val="auto"/>
              </w:rPr>
              <w:t>When the following terms and abbreviations appear in the text of this report, they have the meanings indicated below:</w:t>
            </w:r>
          </w:p>
        </w:tc>
        <w:tc>
          <w:tcPr>
            <w:tcW w:w="0" w:type="dxa"/>
            <w:vAlign w:val="bottom"/>
          </w:tcPr>
          <w:p>
            <w:pPr>
              <w:spacing w:after="0"/>
              <w:rPr>
                <w:sz w:val="1"/>
                <w:szCs w:val="1"/>
                <w:color w:val="auto"/>
              </w:rPr>
            </w:pPr>
          </w:p>
        </w:tc>
      </w:tr>
      <w:tr>
        <w:trPr>
          <w:trHeight w:val="203"/>
        </w:trPr>
        <w:tc>
          <w:tcPr>
            <w:tcW w:w="2700" w:type="dxa"/>
            <w:vAlign w:val="bottom"/>
          </w:tcPr>
          <w:p>
            <w:pPr>
              <w:ind w:left="20"/>
              <w:spacing w:after="0" w:line="202" w:lineRule="exact"/>
              <w:rPr>
                <w:sz w:val="20"/>
                <w:szCs w:val="20"/>
                <w:color w:val="auto"/>
              </w:rPr>
            </w:pPr>
            <w:r>
              <w:rPr>
                <w:rFonts w:ascii="Arial" w:cs="Arial" w:eastAsia="Arial" w:hAnsi="Arial"/>
                <w:sz w:val="18"/>
                <w:szCs w:val="18"/>
                <w:color w:val="auto"/>
              </w:rPr>
              <w:t>2028 Senior Notes</w:t>
            </w:r>
          </w:p>
        </w:tc>
        <w:tc>
          <w:tcPr>
            <w:tcW w:w="8540" w:type="dxa"/>
            <w:vAlign w:val="bottom"/>
          </w:tcPr>
          <w:p>
            <w:pPr>
              <w:ind w:left="220"/>
              <w:spacing w:after="0" w:line="202" w:lineRule="exact"/>
              <w:rPr>
                <w:sz w:val="20"/>
                <w:szCs w:val="20"/>
                <w:color w:val="auto"/>
              </w:rPr>
            </w:pPr>
            <w:r>
              <w:rPr>
                <w:rFonts w:ascii="Arial" w:cs="Arial" w:eastAsia="Arial" w:hAnsi="Arial"/>
                <w:sz w:val="18"/>
                <w:szCs w:val="18"/>
                <w:color w:val="auto"/>
                <w:w w:val="92"/>
              </w:rPr>
              <w:t>$850 million aggregate principal amount of 4.75% unsecured senior notes due 2028, issued by Clearway Energy</w:t>
            </w:r>
          </w:p>
        </w:tc>
        <w:tc>
          <w:tcPr>
            <w:tcW w:w="0" w:type="dxa"/>
            <w:vAlign w:val="bottom"/>
          </w:tcPr>
          <w:p>
            <w:pPr>
              <w:spacing w:after="0"/>
              <w:rPr>
                <w:sz w:val="1"/>
                <w:szCs w:val="1"/>
                <w:color w:val="auto"/>
              </w:rPr>
            </w:pPr>
          </w:p>
        </w:tc>
      </w:tr>
      <w:tr>
        <w:trPr>
          <w:trHeight w:val="230"/>
        </w:trPr>
        <w:tc>
          <w:tcPr>
            <w:tcW w:w="2700" w:type="dxa"/>
            <w:vAlign w:val="bottom"/>
          </w:tcPr>
          <w:p>
            <w:pPr>
              <w:spacing w:after="0"/>
              <w:rPr>
                <w:sz w:val="20"/>
                <w:szCs w:val="20"/>
                <w:color w:val="auto"/>
              </w:rPr>
            </w:pPr>
          </w:p>
        </w:tc>
        <w:tc>
          <w:tcPr>
            <w:tcW w:w="8540" w:type="dxa"/>
            <w:vAlign w:val="bottom"/>
          </w:tcPr>
          <w:p>
            <w:pPr>
              <w:ind w:left="220"/>
              <w:spacing w:after="0"/>
              <w:rPr>
                <w:sz w:val="20"/>
                <w:szCs w:val="20"/>
                <w:color w:val="auto"/>
              </w:rPr>
            </w:pPr>
            <w:r>
              <w:rPr>
                <w:rFonts w:ascii="Arial" w:cs="Arial" w:eastAsia="Arial" w:hAnsi="Arial"/>
                <w:sz w:val="18"/>
                <w:szCs w:val="18"/>
                <w:color w:val="auto"/>
              </w:rPr>
              <w:t>Operating LLC</w:t>
            </w:r>
          </w:p>
        </w:tc>
        <w:tc>
          <w:tcPr>
            <w:tcW w:w="0" w:type="dxa"/>
            <w:vAlign w:val="bottom"/>
          </w:tcPr>
          <w:p>
            <w:pPr>
              <w:spacing w:after="0"/>
              <w:rPr>
                <w:sz w:val="1"/>
                <w:szCs w:val="1"/>
                <w:color w:val="auto"/>
              </w:rPr>
            </w:pPr>
          </w:p>
        </w:tc>
      </w:tr>
      <w:tr>
        <w:trPr>
          <w:trHeight w:val="188"/>
        </w:trPr>
        <w:tc>
          <w:tcPr>
            <w:tcW w:w="2700" w:type="dxa"/>
            <w:vAlign w:val="bottom"/>
          </w:tcPr>
          <w:p>
            <w:pPr>
              <w:ind w:left="20"/>
              <w:spacing w:after="0" w:line="189" w:lineRule="exact"/>
              <w:rPr>
                <w:sz w:val="20"/>
                <w:szCs w:val="20"/>
                <w:color w:val="auto"/>
              </w:rPr>
            </w:pPr>
            <w:r>
              <w:rPr>
                <w:rFonts w:ascii="Arial" w:cs="Arial" w:eastAsia="Arial" w:hAnsi="Arial"/>
                <w:sz w:val="18"/>
                <w:szCs w:val="18"/>
                <w:color w:val="auto"/>
              </w:rPr>
              <w:t>2031 Senior Notes</w:t>
            </w:r>
          </w:p>
        </w:tc>
        <w:tc>
          <w:tcPr>
            <w:tcW w:w="8540" w:type="dxa"/>
            <w:vAlign w:val="bottom"/>
          </w:tcPr>
          <w:p>
            <w:pPr>
              <w:ind w:left="220"/>
              <w:spacing w:after="0" w:line="189" w:lineRule="exact"/>
              <w:rPr>
                <w:sz w:val="20"/>
                <w:szCs w:val="20"/>
                <w:color w:val="auto"/>
              </w:rPr>
            </w:pPr>
            <w:r>
              <w:rPr>
                <w:rFonts w:ascii="Arial" w:cs="Arial" w:eastAsia="Arial" w:hAnsi="Arial"/>
                <w:sz w:val="18"/>
                <w:szCs w:val="18"/>
                <w:color w:val="auto"/>
                <w:w w:val="92"/>
              </w:rPr>
              <w:t>$925 million aggregate principal amount of 3.75% unsecured senior notes due 2031, issued by Clearway Energy</w:t>
            </w:r>
          </w:p>
        </w:tc>
        <w:tc>
          <w:tcPr>
            <w:tcW w:w="0" w:type="dxa"/>
            <w:vAlign w:val="bottom"/>
          </w:tcPr>
          <w:p>
            <w:pPr>
              <w:spacing w:after="0"/>
              <w:rPr>
                <w:sz w:val="1"/>
                <w:szCs w:val="1"/>
                <w:color w:val="auto"/>
              </w:rPr>
            </w:pPr>
          </w:p>
        </w:tc>
      </w:tr>
      <w:tr>
        <w:trPr>
          <w:trHeight w:val="229"/>
        </w:trPr>
        <w:tc>
          <w:tcPr>
            <w:tcW w:w="2700" w:type="dxa"/>
            <w:vAlign w:val="bottom"/>
          </w:tcPr>
          <w:p>
            <w:pPr>
              <w:spacing w:after="0"/>
              <w:rPr>
                <w:sz w:val="19"/>
                <w:szCs w:val="19"/>
                <w:color w:val="auto"/>
              </w:rPr>
            </w:pPr>
          </w:p>
        </w:tc>
        <w:tc>
          <w:tcPr>
            <w:tcW w:w="8540" w:type="dxa"/>
            <w:vAlign w:val="bottom"/>
          </w:tcPr>
          <w:p>
            <w:pPr>
              <w:ind w:left="220"/>
              <w:spacing w:after="0"/>
              <w:rPr>
                <w:sz w:val="20"/>
                <w:szCs w:val="20"/>
                <w:color w:val="auto"/>
              </w:rPr>
            </w:pPr>
            <w:r>
              <w:rPr>
                <w:rFonts w:ascii="Arial" w:cs="Arial" w:eastAsia="Arial" w:hAnsi="Arial"/>
                <w:sz w:val="18"/>
                <w:szCs w:val="18"/>
                <w:color w:val="auto"/>
              </w:rPr>
              <w:t>Operating LLC</w:t>
            </w:r>
          </w:p>
        </w:tc>
        <w:tc>
          <w:tcPr>
            <w:tcW w:w="0" w:type="dxa"/>
            <w:vAlign w:val="bottom"/>
          </w:tcPr>
          <w:p>
            <w:pPr>
              <w:spacing w:after="0"/>
              <w:rPr>
                <w:sz w:val="1"/>
                <w:szCs w:val="1"/>
                <w:color w:val="auto"/>
              </w:rPr>
            </w:pPr>
          </w:p>
        </w:tc>
      </w:tr>
      <w:tr>
        <w:trPr>
          <w:trHeight w:val="189"/>
        </w:trPr>
        <w:tc>
          <w:tcPr>
            <w:tcW w:w="2700" w:type="dxa"/>
            <w:vAlign w:val="bottom"/>
          </w:tcPr>
          <w:p>
            <w:pPr>
              <w:ind w:left="20"/>
              <w:spacing w:after="0" w:line="189" w:lineRule="exact"/>
              <w:rPr>
                <w:sz w:val="20"/>
                <w:szCs w:val="20"/>
                <w:color w:val="auto"/>
              </w:rPr>
            </w:pPr>
            <w:r>
              <w:rPr>
                <w:rFonts w:ascii="Arial" w:cs="Arial" w:eastAsia="Arial" w:hAnsi="Arial"/>
                <w:sz w:val="18"/>
                <w:szCs w:val="18"/>
                <w:color w:val="auto"/>
              </w:rPr>
              <w:t>2032 Senior Notes</w:t>
            </w:r>
          </w:p>
        </w:tc>
        <w:tc>
          <w:tcPr>
            <w:tcW w:w="8540" w:type="dxa"/>
            <w:vAlign w:val="bottom"/>
          </w:tcPr>
          <w:p>
            <w:pPr>
              <w:ind w:left="220"/>
              <w:spacing w:after="0" w:line="189" w:lineRule="exact"/>
              <w:rPr>
                <w:sz w:val="20"/>
                <w:szCs w:val="20"/>
                <w:color w:val="auto"/>
              </w:rPr>
            </w:pPr>
            <w:r>
              <w:rPr>
                <w:rFonts w:ascii="Arial" w:cs="Arial" w:eastAsia="Arial" w:hAnsi="Arial"/>
                <w:sz w:val="18"/>
                <w:szCs w:val="18"/>
                <w:color w:val="auto"/>
                <w:w w:val="92"/>
              </w:rPr>
              <w:t>$350 million aggregate principal amount of 3.75% unsecured senior notes due 2032, issued by Clearway Energy</w:t>
            </w:r>
          </w:p>
        </w:tc>
        <w:tc>
          <w:tcPr>
            <w:tcW w:w="0" w:type="dxa"/>
            <w:vAlign w:val="bottom"/>
          </w:tcPr>
          <w:p>
            <w:pPr>
              <w:spacing w:after="0"/>
              <w:rPr>
                <w:sz w:val="1"/>
                <w:szCs w:val="1"/>
                <w:color w:val="auto"/>
              </w:rPr>
            </w:pPr>
          </w:p>
        </w:tc>
      </w:tr>
      <w:tr>
        <w:trPr>
          <w:trHeight w:val="230"/>
        </w:trPr>
        <w:tc>
          <w:tcPr>
            <w:tcW w:w="2700" w:type="dxa"/>
            <w:vAlign w:val="bottom"/>
            <w:vMerge w:val="restart"/>
          </w:tcPr>
          <w:p>
            <w:pPr>
              <w:ind w:left="20"/>
              <w:spacing w:after="0"/>
              <w:rPr>
                <w:sz w:val="20"/>
                <w:szCs w:val="20"/>
                <w:color w:val="auto"/>
              </w:rPr>
            </w:pPr>
            <w:r>
              <w:rPr>
                <w:rFonts w:ascii="Arial" w:cs="Arial" w:eastAsia="Arial" w:hAnsi="Arial"/>
                <w:sz w:val="18"/>
                <w:szCs w:val="18"/>
                <w:color w:val="auto"/>
              </w:rPr>
              <w:t>Adjusted EBITDA</w:t>
            </w:r>
          </w:p>
        </w:tc>
        <w:tc>
          <w:tcPr>
            <w:tcW w:w="8540" w:type="dxa"/>
            <w:vAlign w:val="bottom"/>
          </w:tcPr>
          <w:p>
            <w:pPr>
              <w:ind w:left="220"/>
              <w:spacing w:after="0"/>
              <w:rPr>
                <w:sz w:val="20"/>
                <w:szCs w:val="20"/>
                <w:color w:val="auto"/>
              </w:rPr>
            </w:pPr>
            <w:r>
              <w:rPr>
                <w:rFonts w:ascii="Arial" w:cs="Arial" w:eastAsia="Arial" w:hAnsi="Arial"/>
                <w:sz w:val="18"/>
                <w:szCs w:val="18"/>
                <w:color w:val="auto"/>
              </w:rPr>
              <w:t>Operating LLC</w:t>
            </w:r>
          </w:p>
        </w:tc>
        <w:tc>
          <w:tcPr>
            <w:tcW w:w="0" w:type="dxa"/>
            <w:vAlign w:val="bottom"/>
          </w:tcPr>
          <w:p>
            <w:pPr>
              <w:spacing w:after="0"/>
              <w:rPr>
                <w:sz w:val="1"/>
                <w:szCs w:val="1"/>
                <w:color w:val="auto"/>
              </w:rPr>
            </w:pPr>
          </w:p>
        </w:tc>
      </w:tr>
      <w:tr>
        <w:trPr>
          <w:trHeight w:val="215"/>
        </w:trPr>
        <w:tc>
          <w:tcPr>
            <w:tcW w:w="2700" w:type="dxa"/>
            <w:vAlign w:val="bottom"/>
            <w:vMerge w:val="continue"/>
          </w:tcPr>
          <w:p>
            <w:pPr>
              <w:spacing w:after="0"/>
              <w:rPr>
                <w:sz w:val="18"/>
                <w:szCs w:val="18"/>
                <w:color w:val="auto"/>
              </w:rPr>
            </w:pPr>
          </w:p>
        </w:tc>
        <w:tc>
          <w:tcPr>
            <w:tcW w:w="8540" w:type="dxa"/>
            <w:vAlign w:val="bottom"/>
          </w:tcPr>
          <w:p>
            <w:pPr>
              <w:ind w:left="220"/>
              <w:spacing w:after="0"/>
              <w:rPr>
                <w:sz w:val="20"/>
                <w:szCs w:val="20"/>
                <w:color w:val="auto"/>
              </w:rPr>
            </w:pPr>
            <w:r>
              <w:rPr>
                <w:rFonts w:ascii="Arial" w:cs="Arial" w:eastAsia="Arial" w:hAnsi="Arial"/>
                <w:sz w:val="18"/>
                <w:szCs w:val="18"/>
                <w:color w:val="auto"/>
                <w:w w:val="95"/>
              </w:rPr>
              <w:t>A non-GAAP measure,  represents  earnings  before  interest  (including  loss  on  debt  extinguishment),  tax,</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8540" w:type="dxa"/>
            <w:vAlign w:val="bottom"/>
          </w:tcPr>
          <w:p>
            <w:pPr>
              <w:ind w:left="220"/>
              <w:spacing w:after="0"/>
              <w:rPr>
                <w:sz w:val="20"/>
                <w:szCs w:val="20"/>
                <w:color w:val="auto"/>
              </w:rPr>
            </w:pPr>
            <w:r>
              <w:rPr>
                <w:rFonts w:ascii="Arial" w:cs="Arial" w:eastAsia="Arial" w:hAnsi="Arial"/>
                <w:sz w:val="18"/>
                <w:szCs w:val="18"/>
                <w:color w:val="auto"/>
                <w:w w:val="92"/>
              </w:rPr>
              <w:t>depreciation and amortization adjusted for mark-to-market gains or losses, asset write offs and impairments; and</w:t>
            </w:r>
          </w:p>
        </w:tc>
        <w:tc>
          <w:tcPr>
            <w:tcW w:w="0" w:type="dxa"/>
            <w:vAlign w:val="bottom"/>
          </w:tcPr>
          <w:p>
            <w:pPr>
              <w:spacing w:after="0"/>
              <w:rPr>
                <w:sz w:val="1"/>
                <w:szCs w:val="1"/>
                <w:color w:val="auto"/>
              </w:rPr>
            </w:pPr>
          </w:p>
        </w:tc>
      </w:tr>
      <w:tr>
        <w:trPr>
          <w:trHeight w:val="230"/>
        </w:trPr>
        <w:tc>
          <w:tcPr>
            <w:tcW w:w="2700" w:type="dxa"/>
            <w:vAlign w:val="bottom"/>
          </w:tcPr>
          <w:p>
            <w:pPr>
              <w:spacing w:after="0"/>
              <w:rPr>
                <w:sz w:val="20"/>
                <w:szCs w:val="20"/>
                <w:color w:val="auto"/>
              </w:rPr>
            </w:pPr>
          </w:p>
        </w:tc>
        <w:tc>
          <w:tcPr>
            <w:tcW w:w="8540" w:type="dxa"/>
            <w:vAlign w:val="bottom"/>
          </w:tcPr>
          <w:p>
            <w:pPr>
              <w:ind w:left="220"/>
              <w:spacing w:after="0"/>
              <w:rPr>
                <w:sz w:val="20"/>
                <w:szCs w:val="20"/>
                <w:color w:val="auto"/>
              </w:rPr>
            </w:pPr>
            <w:r>
              <w:rPr>
                <w:rFonts w:ascii="Arial" w:cs="Arial" w:eastAsia="Arial" w:hAnsi="Arial"/>
                <w:sz w:val="18"/>
                <w:szCs w:val="18"/>
                <w:color w:val="auto"/>
              </w:rPr>
              <w:t>factors which the Company does not consider indicative of future operating performance</w:t>
            </w:r>
          </w:p>
        </w:tc>
        <w:tc>
          <w:tcPr>
            <w:tcW w:w="0" w:type="dxa"/>
            <w:vAlign w:val="bottom"/>
          </w:tcPr>
          <w:p>
            <w:pPr>
              <w:spacing w:after="0"/>
              <w:rPr>
                <w:sz w:val="1"/>
                <w:szCs w:val="1"/>
                <w:color w:val="auto"/>
              </w:rPr>
            </w:pPr>
          </w:p>
        </w:tc>
      </w:tr>
      <w:tr>
        <w:trPr>
          <w:trHeight w:val="189"/>
        </w:trPr>
        <w:tc>
          <w:tcPr>
            <w:tcW w:w="2700" w:type="dxa"/>
            <w:vAlign w:val="bottom"/>
          </w:tcPr>
          <w:p>
            <w:pPr>
              <w:ind w:left="20"/>
              <w:spacing w:after="0" w:line="189" w:lineRule="exact"/>
              <w:rPr>
                <w:sz w:val="20"/>
                <w:szCs w:val="20"/>
                <w:color w:val="auto"/>
              </w:rPr>
            </w:pPr>
            <w:r>
              <w:rPr>
                <w:rFonts w:ascii="Arial" w:cs="Arial" w:eastAsia="Arial" w:hAnsi="Arial"/>
                <w:sz w:val="18"/>
                <w:szCs w:val="18"/>
                <w:color w:val="auto"/>
              </w:rPr>
              <w:t>ASC</w:t>
            </w:r>
          </w:p>
        </w:tc>
        <w:tc>
          <w:tcPr>
            <w:tcW w:w="8540" w:type="dxa"/>
            <w:vAlign w:val="bottom"/>
          </w:tcPr>
          <w:p>
            <w:pPr>
              <w:ind w:left="220"/>
              <w:spacing w:after="0" w:line="189" w:lineRule="exact"/>
              <w:rPr>
                <w:sz w:val="20"/>
                <w:szCs w:val="20"/>
                <w:color w:val="auto"/>
              </w:rPr>
            </w:pPr>
            <w:r>
              <w:rPr>
                <w:rFonts w:ascii="Arial" w:cs="Arial" w:eastAsia="Arial" w:hAnsi="Arial"/>
                <w:sz w:val="18"/>
                <w:szCs w:val="18"/>
                <w:color w:val="auto"/>
              </w:rPr>
              <w:t>The FASB Accounting Standards Codification, which the FASB established as the source of</w:t>
            </w:r>
          </w:p>
        </w:tc>
        <w:tc>
          <w:tcPr>
            <w:tcW w:w="0" w:type="dxa"/>
            <w:vAlign w:val="bottom"/>
          </w:tcPr>
          <w:p>
            <w:pPr>
              <w:spacing w:after="0"/>
              <w:rPr>
                <w:sz w:val="1"/>
                <w:szCs w:val="1"/>
                <w:color w:val="auto"/>
              </w:rPr>
            </w:pPr>
          </w:p>
        </w:tc>
      </w:tr>
      <w:tr>
        <w:trPr>
          <w:trHeight w:val="230"/>
        </w:trPr>
        <w:tc>
          <w:tcPr>
            <w:tcW w:w="2700" w:type="dxa"/>
            <w:vAlign w:val="bottom"/>
          </w:tcPr>
          <w:p>
            <w:pPr>
              <w:spacing w:after="0"/>
              <w:rPr>
                <w:sz w:val="20"/>
                <w:szCs w:val="20"/>
                <w:color w:val="auto"/>
              </w:rPr>
            </w:pPr>
          </w:p>
        </w:tc>
        <w:tc>
          <w:tcPr>
            <w:tcW w:w="8540" w:type="dxa"/>
            <w:vAlign w:val="bottom"/>
          </w:tcPr>
          <w:p>
            <w:pPr>
              <w:ind w:left="220"/>
              <w:spacing w:after="0"/>
              <w:rPr>
                <w:sz w:val="20"/>
                <w:szCs w:val="20"/>
                <w:color w:val="auto"/>
              </w:rPr>
            </w:pPr>
            <w:r>
              <w:rPr>
                <w:rFonts w:ascii="Arial" w:cs="Arial" w:eastAsia="Arial" w:hAnsi="Arial"/>
                <w:sz w:val="18"/>
                <w:szCs w:val="18"/>
                <w:color w:val="auto"/>
              </w:rPr>
              <w:t>authoritative GAAP</w:t>
            </w:r>
          </w:p>
        </w:tc>
        <w:tc>
          <w:tcPr>
            <w:tcW w:w="0" w:type="dxa"/>
            <w:vAlign w:val="bottom"/>
          </w:tcPr>
          <w:p>
            <w:pPr>
              <w:spacing w:after="0"/>
              <w:rPr>
                <w:sz w:val="1"/>
                <w:szCs w:val="1"/>
                <w:color w:val="auto"/>
              </w:rPr>
            </w:pPr>
          </w:p>
        </w:tc>
      </w:tr>
      <w:tr>
        <w:trPr>
          <w:trHeight w:val="241"/>
        </w:trPr>
        <w:tc>
          <w:tcPr>
            <w:tcW w:w="2700" w:type="dxa"/>
            <w:vAlign w:val="bottom"/>
          </w:tcPr>
          <w:p>
            <w:pPr>
              <w:ind w:left="20"/>
              <w:spacing w:after="0"/>
              <w:rPr>
                <w:sz w:val="20"/>
                <w:szCs w:val="20"/>
                <w:color w:val="auto"/>
              </w:rPr>
            </w:pPr>
            <w:r>
              <w:rPr>
                <w:rFonts w:ascii="Arial" w:cs="Arial" w:eastAsia="Arial" w:hAnsi="Arial"/>
                <w:sz w:val="18"/>
                <w:szCs w:val="18"/>
                <w:color w:val="auto"/>
              </w:rPr>
              <w:t>ASU</w:t>
            </w:r>
          </w:p>
        </w:tc>
        <w:tc>
          <w:tcPr>
            <w:tcW w:w="8540" w:type="dxa"/>
            <w:vAlign w:val="bottom"/>
          </w:tcPr>
          <w:p>
            <w:pPr>
              <w:ind w:left="220"/>
              <w:spacing w:after="0"/>
              <w:rPr>
                <w:sz w:val="20"/>
                <w:szCs w:val="20"/>
                <w:color w:val="auto"/>
              </w:rPr>
            </w:pPr>
            <w:r>
              <w:rPr>
                <w:rFonts w:ascii="Arial" w:cs="Arial" w:eastAsia="Arial" w:hAnsi="Arial"/>
                <w:sz w:val="18"/>
                <w:szCs w:val="18"/>
                <w:color w:val="auto"/>
              </w:rPr>
              <w:t>Accounting Standards Updates - updates to the ASC</w:t>
            </w:r>
          </w:p>
        </w:tc>
        <w:tc>
          <w:tcPr>
            <w:tcW w:w="0" w:type="dxa"/>
            <w:vAlign w:val="bottom"/>
          </w:tcPr>
          <w:p>
            <w:pPr>
              <w:spacing w:after="0"/>
              <w:rPr>
                <w:sz w:val="1"/>
                <w:szCs w:val="1"/>
                <w:color w:val="auto"/>
              </w:rPr>
            </w:pPr>
          </w:p>
        </w:tc>
      </w:tr>
      <w:tr>
        <w:trPr>
          <w:trHeight w:val="229"/>
        </w:trPr>
        <w:tc>
          <w:tcPr>
            <w:tcW w:w="2700" w:type="dxa"/>
            <w:vAlign w:val="bottom"/>
          </w:tcPr>
          <w:p>
            <w:pPr>
              <w:ind w:left="20"/>
              <w:spacing w:after="0"/>
              <w:rPr>
                <w:sz w:val="20"/>
                <w:szCs w:val="20"/>
                <w:color w:val="auto"/>
              </w:rPr>
            </w:pPr>
            <w:r>
              <w:rPr>
                <w:rFonts w:ascii="Arial" w:cs="Arial" w:eastAsia="Arial" w:hAnsi="Arial"/>
                <w:sz w:val="18"/>
                <w:szCs w:val="18"/>
                <w:color w:val="auto"/>
              </w:rPr>
              <w:t>ATM Program</w:t>
            </w:r>
          </w:p>
        </w:tc>
        <w:tc>
          <w:tcPr>
            <w:tcW w:w="8540" w:type="dxa"/>
            <w:vAlign w:val="bottom"/>
          </w:tcPr>
          <w:p>
            <w:pPr>
              <w:ind w:left="220"/>
              <w:spacing w:after="0"/>
              <w:rPr>
                <w:sz w:val="20"/>
                <w:szCs w:val="20"/>
                <w:color w:val="auto"/>
              </w:rPr>
            </w:pPr>
            <w:r>
              <w:rPr>
                <w:rFonts w:ascii="Arial" w:cs="Arial" w:eastAsia="Arial" w:hAnsi="Arial"/>
                <w:sz w:val="18"/>
                <w:szCs w:val="18"/>
                <w:color w:val="auto"/>
              </w:rPr>
              <w:t>At-The-Market Equity Offering Program</w:t>
            </w:r>
          </w:p>
        </w:tc>
        <w:tc>
          <w:tcPr>
            <w:tcW w:w="0" w:type="dxa"/>
            <w:vAlign w:val="bottom"/>
          </w:tcPr>
          <w:p>
            <w:pPr>
              <w:spacing w:after="0"/>
              <w:rPr>
                <w:sz w:val="1"/>
                <w:szCs w:val="1"/>
                <w:color w:val="auto"/>
              </w:rPr>
            </w:pPr>
          </w:p>
        </w:tc>
      </w:tr>
      <w:tr>
        <w:trPr>
          <w:trHeight w:val="189"/>
        </w:trPr>
        <w:tc>
          <w:tcPr>
            <w:tcW w:w="2700" w:type="dxa"/>
            <w:vAlign w:val="bottom"/>
          </w:tcPr>
          <w:p>
            <w:pPr>
              <w:ind w:left="20"/>
              <w:spacing w:after="0" w:line="189" w:lineRule="exact"/>
              <w:rPr>
                <w:sz w:val="20"/>
                <w:szCs w:val="20"/>
                <w:color w:val="auto"/>
              </w:rPr>
            </w:pPr>
            <w:r>
              <w:rPr>
                <w:rFonts w:ascii="Arial" w:cs="Arial" w:eastAsia="Arial" w:hAnsi="Arial"/>
                <w:sz w:val="18"/>
                <w:szCs w:val="18"/>
                <w:color w:val="auto"/>
              </w:rPr>
              <w:t>Bridge Loan Agreement</w:t>
            </w:r>
          </w:p>
        </w:tc>
        <w:tc>
          <w:tcPr>
            <w:tcW w:w="8540" w:type="dxa"/>
            <w:vAlign w:val="bottom"/>
          </w:tcPr>
          <w:p>
            <w:pPr>
              <w:ind w:left="220"/>
              <w:spacing w:after="0" w:line="189" w:lineRule="exact"/>
              <w:rPr>
                <w:sz w:val="20"/>
                <w:szCs w:val="20"/>
                <w:color w:val="auto"/>
              </w:rPr>
            </w:pPr>
            <w:r>
              <w:rPr>
                <w:rFonts w:ascii="Arial" w:cs="Arial" w:eastAsia="Arial" w:hAnsi="Arial"/>
                <w:sz w:val="18"/>
                <w:szCs w:val="18"/>
                <w:color w:val="auto"/>
                <w:w w:val="91"/>
              </w:rPr>
              <w:t>Senior secured bridge credit agreement entered into by Clearway Energy Operating LLC that provided a term loan</w:t>
            </w:r>
          </w:p>
        </w:tc>
        <w:tc>
          <w:tcPr>
            <w:tcW w:w="0" w:type="dxa"/>
            <w:vAlign w:val="bottom"/>
          </w:tcPr>
          <w:p>
            <w:pPr>
              <w:spacing w:after="0"/>
              <w:rPr>
                <w:sz w:val="1"/>
                <w:szCs w:val="1"/>
                <w:color w:val="auto"/>
              </w:rPr>
            </w:pPr>
          </w:p>
        </w:tc>
      </w:tr>
      <w:tr>
        <w:trPr>
          <w:trHeight w:val="230"/>
        </w:trPr>
        <w:tc>
          <w:tcPr>
            <w:tcW w:w="2700" w:type="dxa"/>
            <w:vAlign w:val="bottom"/>
          </w:tcPr>
          <w:p>
            <w:pPr>
              <w:spacing w:after="0"/>
              <w:rPr>
                <w:sz w:val="19"/>
                <w:szCs w:val="19"/>
                <w:color w:val="auto"/>
              </w:rPr>
            </w:pPr>
          </w:p>
        </w:tc>
        <w:tc>
          <w:tcPr>
            <w:tcW w:w="8540" w:type="dxa"/>
            <w:vAlign w:val="bottom"/>
          </w:tcPr>
          <w:p>
            <w:pPr>
              <w:ind w:left="220"/>
              <w:spacing w:after="0"/>
              <w:rPr>
                <w:sz w:val="20"/>
                <w:szCs w:val="20"/>
                <w:color w:val="auto"/>
              </w:rPr>
            </w:pPr>
            <w:r>
              <w:rPr>
                <w:rFonts w:ascii="Arial" w:cs="Arial" w:eastAsia="Arial" w:hAnsi="Arial"/>
                <w:sz w:val="18"/>
                <w:szCs w:val="18"/>
                <w:color w:val="auto"/>
              </w:rPr>
              <w:t>facility in an aggregate principal amount of $335 million that was repaid on May 3, 2022</w:t>
            </w:r>
          </w:p>
        </w:tc>
        <w:tc>
          <w:tcPr>
            <w:tcW w:w="0" w:type="dxa"/>
            <w:vAlign w:val="bottom"/>
          </w:tcPr>
          <w:p>
            <w:pPr>
              <w:spacing w:after="0"/>
              <w:rPr>
                <w:sz w:val="1"/>
                <w:szCs w:val="1"/>
                <w:color w:val="auto"/>
              </w:rPr>
            </w:pPr>
          </w:p>
        </w:tc>
      </w:tr>
      <w:tr>
        <w:trPr>
          <w:trHeight w:val="229"/>
        </w:trPr>
        <w:tc>
          <w:tcPr>
            <w:tcW w:w="2700" w:type="dxa"/>
            <w:vAlign w:val="bottom"/>
          </w:tcPr>
          <w:p>
            <w:pPr>
              <w:ind w:left="20"/>
              <w:spacing w:after="0"/>
              <w:rPr>
                <w:sz w:val="20"/>
                <w:szCs w:val="20"/>
                <w:color w:val="auto"/>
              </w:rPr>
            </w:pPr>
            <w:r>
              <w:rPr>
                <w:rFonts w:ascii="Arial" w:cs="Arial" w:eastAsia="Arial" w:hAnsi="Arial"/>
                <w:sz w:val="18"/>
                <w:szCs w:val="18"/>
                <w:color w:val="auto"/>
              </w:rPr>
              <w:t>BESS</w:t>
            </w:r>
          </w:p>
        </w:tc>
        <w:tc>
          <w:tcPr>
            <w:tcW w:w="8540" w:type="dxa"/>
            <w:vAlign w:val="bottom"/>
          </w:tcPr>
          <w:p>
            <w:pPr>
              <w:ind w:left="220"/>
              <w:spacing w:after="0"/>
              <w:rPr>
                <w:sz w:val="20"/>
                <w:szCs w:val="20"/>
                <w:color w:val="auto"/>
              </w:rPr>
            </w:pPr>
            <w:r>
              <w:rPr>
                <w:rFonts w:ascii="Arial" w:cs="Arial" w:eastAsia="Arial" w:hAnsi="Arial"/>
                <w:sz w:val="18"/>
                <w:szCs w:val="18"/>
                <w:color w:val="auto"/>
              </w:rPr>
              <w:t>Battery energy storage system</w:t>
            </w:r>
          </w:p>
        </w:tc>
        <w:tc>
          <w:tcPr>
            <w:tcW w:w="0" w:type="dxa"/>
            <w:vAlign w:val="bottom"/>
          </w:tcPr>
          <w:p>
            <w:pPr>
              <w:spacing w:after="0"/>
              <w:rPr>
                <w:sz w:val="1"/>
                <w:szCs w:val="1"/>
                <w:color w:val="auto"/>
              </w:rPr>
            </w:pPr>
          </w:p>
        </w:tc>
      </w:tr>
      <w:tr>
        <w:trPr>
          <w:trHeight w:val="189"/>
        </w:trPr>
        <w:tc>
          <w:tcPr>
            <w:tcW w:w="2700" w:type="dxa"/>
            <w:vAlign w:val="bottom"/>
          </w:tcPr>
          <w:p>
            <w:pPr>
              <w:ind w:left="20"/>
              <w:spacing w:after="0" w:line="189" w:lineRule="exact"/>
              <w:rPr>
                <w:sz w:val="20"/>
                <w:szCs w:val="20"/>
                <w:color w:val="auto"/>
              </w:rPr>
            </w:pPr>
            <w:r>
              <w:rPr>
                <w:rFonts w:ascii="Arial" w:cs="Arial" w:eastAsia="Arial" w:hAnsi="Arial"/>
                <w:sz w:val="18"/>
                <w:szCs w:val="18"/>
                <w:color w:val="auto"/>
              </w:rPr>
              <w:t>Black Start</w:t>
            </w:r>
          </w:p>
        </w:tc>
        <w:tc>
          <w:tcPr>
            <w:tcW w:w="8540" w:type="dxa"/>
            <w:vAlign w:val="bottom"/>
          </w:tcPr>
          <w:p>
            <w:pPr>
              <w:ind w:left="220"/>
              <w:spacing w:after="0" w:line="189" w:lineRule="exact"/>
              <w:rPr>
                <w:sz w:val="20"/>
                <w:szCs w:val="20"/>
                <w:color w:val="auto"/>
              </w:rPr>
            </w:pPr>
            <w:r>
              <w:rPr>
                <w:rFonts w:ascii="Arial" w:cs="Arial" w:eastAsia="Arial" w:hAnsi="Arial"/>
                <w:sz w:val="18"/>
                <w:szCs w:val="18"/>
                <w:color w:val="auto"/>
                <w:w w:val="94"/>
              </w:rPr>
              <w:t>The capability of a generating asset to restore the grid in the event of a blackout without relying on the external</w:t>
            </w:r>
          </w:p>
        </w:tc>
        <w:tc>
          <w:tcPr>
            <w:tcW w:w="0" w:type="dxa"/>
            <w:vAlign w:val="bottom"/>
          </w:tcPr>
          <w:p>
            <w:pPr>
              <w:spacing w:after="0"/>
              <w:rPr>
                <w:sz w:val="1"/>
                <w:szCs w:val="1"/>
                <w:color w:val="auto"/>
              </w:rPr>
            </w:pPr>
          </w:p>
        </w:tc>
      </w:tr>
      <w:tr>
        <w:trPr>
          <w:trHeight w:val="229"/>
        </w:trPr>
        <w:tc>
          <w:tcPr>
            <w:tcW w:w="2700" w:type="dxa"/>
            <w:vAlign w:val="bottom"/>
          </w:tcPr>
          <w:p>
            <w:pPr>
              <w:spacing w:after="0"/>
              <w:rPr>
                <w:sz w:val="19"/>
                <w:szCs w:val="19"/>
                <w:color w:val="auto"/>
              </w:rPr>
            </w:pPr>
          </w:p>
        </w:tc>
        <w:tc>
          <w:tcPr>
            <w:tcW w:w="8540" w:type="dxa"/>
            <w:vAlign w:val="bottom"/>
          </w:tcPr>
          <w:p>
            <w:pPr>
              <w:ind w:left="220"/>
              <w:spacing w:after="0"/>
              <w:rPr>
                <w:sz w:val="20"/>
                <w:szCs w:val="20"/>
                <w:color w:val="auto"/>
              </w:rPr>
            </w:pPr>
            <w:r>
              <w:rPr>
                <w:rFonts w:ascii="Arial" w:cs="Arial" w:eastAsia="Arial" w:hAnsi="Arial"/>
                <w:sz w:val="18"/>
                <w:szCs w:val="18"/>
                <w:color w:val="auto"/>
              </w:rPr>
              <w:t>electric power transmission network</w:t>
            </w:r>
          </w:p>
        </w:tc>
        <w:tc>
          <w:tcPr>
            <w:tcW w:w="0" w:type="dxa"/>
            <w:vAlign w:val="bottom"/>
          </w:tcPr>
          <w:p>
            <w:pPr>
              <w:spacing w:after="0"/>
              <w:rPr>
                <w:sz w:val="1"/>
                <w:szCs w:val="1"/>
                <w:color w:val="auto"/>
              </w:rPr>
            </w:pPr>
          </w:p>
        </w:tc>
      </w:tr>
      <w:tr>
        <w:trPr>
          <w:trHeight w:val="176"/>
        </w:trPr>
        <w:tc>
          <w:tcPr>
            <w:tcW w:w="2700" w:type="dxa"/>
            <w:vAlign w:val="bottom"/>
          </w:tcPr>
          <w:p>
            <w:pPr>
              <w:ind w:left="20"/>
              <w:spacing w:after="0" w:line="176" w:lineRule="exact"/>
              <w:rPr>
                <w:sz w:val="20"/>
                <w:szCs w:val="20"/>
                <w:color w:val="auto"/>
              </w:rPr>
            </w:pPr>
            <w:r>
              <w:rPr>
                <w:rFonts w:ascii="Arial" w:cs="Arial" w:eastAsia="Arial" w:hAnsi="Arial"/>
                <w:sz w:val="18"/>
                <w:szCs w:val="18"/>
                <w:color w:val="auto"/>
              </w:rPr>
              <w:t>CAFD</w:t>
            </w:r>
          </w:p>
        </w:tc>
        <w:tc>
          <w:tcPr>
            <w:tcW w:w="8540" w:type="dxa"/>
            <w:vAlign w:val="bottom"/>
          </w:tcPr>
          <w:p>
            <w:pPr>
              <w:ind w:left="220"/>
              <w:spacing w:after="0" w:line="176" w:lineRule="exact"/>
              <w:rPr>
                <w:sz w:val="20"/>
                <w:szCs w:val="20"/>
                <w:color w:val="auto"/>
              </w:rPr>
            </w:pPr>
            <w:r>
              <w:rPr>
                <w:rFonts w:ascii="Arial" w:cs="Arial" w:eastAsia="Arial" w:hAnsi="Arial"/>
                <w:sz w:val="18"/>
                <w:szCs w:val="18"/>
                <w:color w:val="auto"/>
                <w:w w:val="94"/>
              </w:rPr>
              <w:t>A non-GAAP measure, Cash Available for Distribution is defined as of June 30, 2023 as Adjusted EBITDA plus</w:t>
            </w:r>
          </w:p>
        </w:tc>
        <w:tc>
          <w:tcPr>
            <w:tcW w:w="0" w:type="dxa"/>
            <w:vAlign w:val="bottom"/>
          </w:tcPr>
          <w:p>
            <w:pPr>
              <w:spacing w:after="0"/>
              <w:rPr>
                <w:sz w:val="1"/>
                <w:szCs w:val="1"/>
                <w:color w:val="auto"/>
              </w:rPr>
            </w:pPr>
          </w:p>
        </w:tc>
      </w:tr>
      <w:tr>
        <w:trPr>
          <w:trHeight w:val="188"/>
        </w:trPr>
        <w:tc>
          <w:tcPr>
            <w:tcW w:w="2700" w:type="dxa"/>
            <w:vAlign w:val="bottom"/>
          </w:tcPr>
          <w:p>
            <w:pPr>
              <w:spacing w:after="0"/>
              <w:rPr>
                <w:sz w:val="16"/>
                <w:szCs w:val="16"/>
                <w:color w:val="auto"/>
              </w:rPr>
            </w:pPr>
          </w:p>
        </w:tc>
        <w:tc>
          <w:tcPr>
            <w:tcW w:w="8540" w:type="dxa"/>
            <w:vAlign w:val="bottom"/>
          </w:tcPr>
          <w:p>
            <w:pPr>
              <w:ind w:left="220"/>
              <w:spacing w:after="0" w:line="189" w:lineRule="exact"/>
              <w:rPr>
                <w:sz w:val="20"/>
                <w:szCs w:val="20"/>
                <w:color w:val="auto"/>
              </w:rPr>
            </w:pPr>
            <w:r>
              <w:rPr>
                <w:rFonts w:ascii="Arial" w:cs="Arial" w:eastAsia="Arial" w:hAnsi="Arial"/>
                <w:sz w:val="18"/>
                <w:szCs w:val="18"/>
                <w:color w:val="auto"/>
                <w:w w:val="94"/>
              </w:rPr>
              <w:t>cash distributions/return of investment from unconsolidated affiliates, cash receipts from notes receivable, cash</w:t>
            </w:r>
          </w:p>
        </w:tc>
        <w:tc>
          <w:tcPr>
            <w:tcW w:w="0" w:type="dxa"/>
            <w:vAlign w:val="bottom"/>
          </w:tcPr>
          <w:p>
            <w:pPr>
              <w:spacing w:after="0"/>
              <w:rPr>
                <w:sz w:val="1"/>
                <w:szCs w:val="1"/>
                <w:color w:val="auto"/>
              </w:rPr>
            </w:pPr>
          </w:p>
        </w:tc>
      </w:tr>
      <w:tr>
        <w:trPr>
          <w:trHeight w:val="176"/>
        </w:trPr>
        <w:tc>
          <w:tcPr>
            <w:tcW w:w="2700" w:type="dxa"/>
            <w:vAlign w:val="bottom"/>
          </w:tcPr>
          <w:p>
            <w:pPr>
              <w:spacing w:after="0"/>
              <w:rPr>
                <w:sz w:val="15"/>
                <w:szCs w:val="15"/>
                <w:color w:val="auto"/>
              </w:rPr>
            </w:pPr>
          </w:p>
        </w:tc>
        <w:tc>
          <w:tcPr>
            <w:tcW w:w="8540" w:type="dxa"/>
            <w:vAlign w:val="bottom"/>
          </w:tcPr>
          <w:p>
            <w:pPr>
              <w:ind w:left="220"/>
              <w:spacing w:after="0" w:line="176" w:lineRule="exact"/>
              <w:rPr>
                <w:sz w:val="20"/>
                <w:szCs w:val="20"/>
                <w:color w:val="auto"/>
              </w:rPr>
            </w:pPr>
            <w:r>
              <w:rPr>
                <w:rFonts w:ascii="Arial" w:cs="Arial" w:eastAsia="Arial" w:hAnsi="Arial"/>
                <w:sz w:val="18"/>
                <w:szCs w:val="18"/>
                <w:color w:val="auto"/>
                <w:w w:val="90"/>
              </w:rPr>
              <w:t>distributions from noncontrolling interests, adjustments to reflect sales-type lease cash payments and payments for</w:t>
            </w:r>
          </w:p>
        </w:tc>
        <w:tc>
          <w:tcPr>
            <w:tcW w:w="0" w:type="dxa"/>
            <w:vAlign w:val="bottom"/>
          </w:tcPr>
          <w:p>
            <w:pPr>
              <w:spacing w:after="0"/>
              <w:rPr>
                <w:sz w:val="1"/>
                <w:szCs w:val="1"/>
                <w:color w:val="auto"/>
              </w:rPr>
            </w:pPr>
          </w:p>
        </w:tc>
      </w:tr>
      <w:tr>
        <w:trPr>
          <w:trHeight w:val="176"/>
        </w:trPr>
        <w:tc>
          <w:tcPr>
            <w:tcW w:w="2700" w:type="dxa"/>
            <w:vAlign w:val="bottom"/>
          </w:tcPr>
          <w:p>
            <w:pPr>
              <w:spacing w:after="0"/>
              <w:rPr>
                <w:sz w:val="15"/>
                <w:szCs w:val="15"/>
                <w:color w:val="auto"/>
              </w:rPr>
            </w:pPr>
          </w:p>
        </w:tc>
        <w:tc>
          <w:tcPr>
            <w:tcW w:w="8540" w:type="dxa"/>
            <w:vAlign w:val="bottom"/>
          </w:tcPr>
          <w:p>
            <w:pPr>
              <w:ind w:left="220"/>
              <w:spacing w:after="0" w:line="176" w:lineRule="exact"/>
              <w:rPr>
                <w:sz w:val="20"/>
                <w:szCs w:val="20"/>
                <w:color w:val="auto"/>
              </w:rPr>
            </w:pPr>
            <w:r>
              <w:rPr>
                <w:rFonts w:ascii="Arial" w:cs="Arial" w:eastAsia="Arial" w:hAnsi="Arial"/>
                <w:sz w:val="18"/>
                <w:szCs w:val="18"/>
                <w:color w:val="auto"/>
                <w:w w:val="95"/>
              </w:rPr>
              <w:t>lease expenses, less cash distributions to noncontrolling interests, maintenance capital expenditures, pro-rata</w:t>
            </w:r>
          </w:p>
        </w:tc>
        <w:tc>
          <w:tcPr>
            <w:tcW w:w="0" w:type="dxa"/>
            <w:vAlign w:val="bottom"/>
          </w:tcPr>
          <w:p>
            <w:pPr>
              <w:spacing w:after="0"/>
              <w:rPr>
                <w:sz w:val="1"/>
                <w:szCs w:val="1"/>
                <w:color w:val="auto"/>
              </w:rPr>
            </w:pPr>
          </w:p>
        </w:tc>
      </w:tr>
      <w:tr>
        <w:trPr>
          <w:trHeight w:val="188"/>
        </w:trPr>
        <w:tc>
          <w:tcPr>
            <w:tcW w:w="2700" w:type="dxa"/>
            <w:vAlign w:val="bottom"/>
          </w:tcPr>
          <w:p>
            <w:pPr>
              <w:spacing w:after="0"/>
              <w:rPr>
                <w:sz w:val="16"/>
                <w:szCs w:val="16"/>
                <w:color w:val="auto"/>
              </w:rPr>
            </w:pPr>
          </w:p>
        </w:tc>
        <w:tc>
          <w:tcPr>
            <w:tcW w:w="8540" w:type="dxa"/>
            <w:vAlign w:val="bottom"/>
          </w:tcPr>
          <w:p>
            <w:pPr>
              <w:ind w:left="220"/>
              <w:spacing w:after="0" w:line="189" w:lineRule="exact"/>
              <w:rPr>
                <w:sz w:val="20"/>
                <w:szCs w:val="20"/>
                <w:color w:val="auto"/>
              </w:rPr>
            </w:pPr>
            <w:r>
              <w:rPr>
                <w:rFonts w:ascii="Arial" w:cs="Arial" w:eastAsia="Arial" w:hAnsi="Arial"/>
                <w:sz w:val="18"/>
                <w:szCs w:val="18"/>
                <w:color w:val="auto"/>
                <w:w w:val="93"/>
              </w:rPr>
              <w:t>Adjusted EBITDA from unconsolidated affiliates, cash interest paid, income taxes paid, principal amortization of</w:t>
            </w:r>
          </w:p>
        </w:tc>
        <w:tc>
          <w:tcPr>
            <w:tcW w:w="0" w:type="dxa"/>
            <w:vAlign w:val="bottom"/>
          </w:tcPr>
          <w:p>
            <w:pPr>
              <w:spacing w:after="0"/>
              <w:rPr>
                <w:sz w:val="1"/>
                <w:szCs w:val="1"/>
                <w:color w:val="auto"/>
              </w:rPr>
            </w:pPr>
          </w:p>
        </w:tc>
      </w:tr>
      <w:tr>
        <w:trPr>
          <w:trHeight w:val="230"/>
        </w:trPr>
        <w:tc>
          <w:tcPr>
            <w:tcW w:w="2700" w:type="dxa"/>
            <w:vAlign w:val="bottom"/>
          </w:tcPr>
          <w:p>
            <w:pPr>
              <w:spacing w:after="0"/>
              <w:rPr>
                <w:sz w:val="19"/>
                <w:szCs w:val="19"/>
                <w:color w:val="auto"/>
              </w:rPr>
            </w:pPr>
          </w:p>
        </w:tc>
        <w:tc>
          <w:tcPr>
            <w:tcW w:w="8540" w:type="dxa"/>
            <w:vAlign w:val="bottom"/>
          </w:tcPr>
          <w:p>
            <w:pPr>
              <w:ind w:left="220"/>
              <w:spacing w:after="0"/>
              <w:rPr>
                <w:sz w:val="20"/>
                <w:szCs w:val="20"/>
                <w:color w:val="auto"/>
              </w:rPr>
            </w:pPr>
            <w:r>
              <w:rPr>
                <w:rFonts w:ascii="Arial" w:cs="Arial" w:eastAsia="Arial" w:hAnsi="Arial"/>
                <w:sz w:val="18"/>
                <w:szCs w:val="18"/>
                <w:color w:val="auto"/>
                <w:w w:val="97"/>
              </w:rPr>
              <w:t>indebtedness, changes in prepaid and accrued capacity payments and adjusted for development expenses</w:t>
            </w:r>
          </w:p>
        </w:tc>
        <w:tc>
          <w:tcPr>
            <w:tcW w:w="0" w:type="dxa"/>
            <w:vAlign w:val="bottom"/>
          </w:tcPr>
          <w:p>
            <w:pPr>
              <w:spacing w:after="0"/>
              <w:rPr>
                <w:sz w:val="1"/>
                <w:szCs w:val="1"/>
                <w:color w:val="auto"/>
              </w:rPr>
            </w:pPr>
          </w:p>
        </w:tc>
      </w:tr>
      <w:tr>
        <w:trPr>
          <w:trHeight w:val="176"/>
        </w:trPr>
        <w:tc>
          <w:tcPr>
            <w:tcW w:w="2700" w:type="dxa"/>
            <w:vAlign w:val="bottom"/>
          </w:tcPr>
          <w:p>
            <w:pPr>
              <w:ind w:left="20"/>
              <w:spacing w:after="0" w:line="176" w:lineRule="exact"/>
              <w:rPr>
                <w:sz w:val="20"/>
                <w:szCs w:val="20"/>
                <w:color w:val="auto"/>
              </w:rPr>
            </w:pPr>
            <w:r>
              <w:rPr>
                <w:rFonts w:ascii="Arial" w:cs="Arial" w:eastAsia="Arial" w:hAnsi="Arial"/>
                <w:sz w:val="18"/>
                <w:szCs w:val="18"/>
                <w:color w:val="auto"/>
              </w:rPr>
              <w:t>Capistrano Wind Portfolio</w:t>
            </w:r>
          </w:p>
        </w:tc>
        <w:tc>
          <w:tcPr>
            <w:tcW w:w="8540" w:type="dxa"/>
            <w:vAlign w:val="bottom"/>
          </w:tcPr>
          <w:p>
            <w:pPr>
              <w:ind w:left="220"/>
              <w:spacing w:after="0" w:line="176" w:lineRule="exact"/>
              <w:rPr>
                <w:sz w:val="20"/>
                <w:szCs w:val="20"/>
                <w:color w:val="auto"/>
              </w:rPr>
            </w:pPr>
            <w:r>
              <w:rPr>
                <w:rFonts w:ascii="Arial" w:cs="Arial" w:eastAsia="Arial" w:hAnsi="Arial"/>
                <w:sz w:val="18"/>
                <w:szCs w:val="18"/>
                <w:color w:val="auto"/>
                <w:w w:val="95"/>
              </w:rPr>
              <w:t>Five wind projects representing 413 MW of capacity, which includes Broken Bow and Crofton Bluffs located in</w:t>
            </w:r>
          </w:p>
        </w:tc>
        <w:tc>
          <w:tcPr>
            <w:tcW w:w="0" w:type="dxa"/>
            <w:vAlign w:val="bottom"/>
          </w:tcPr>
          <w:p>
            <w:pPr>
              <w:spacing w:after="0"/>
              <w:rPr>
                <w:sz w:val="1"/>
                <w:szCs w:val="1"/>
                <w:color w:val="auto"/>
              </w:rPr>
            </w:pPr>
          </w:p>
        </w:tc>
      </w:tr>
      <w:tr>
        <w:trPr>
          <w:trHeight w:val="230"/>
        </w:trPr>
        <w:tc>
          <w:tcPr>
            <w:tcW w:w="2700" w:type="dxa"/>
            <w:vAlign w:val="bottom"/>
          </w:tcPr>
          <w:p>
            <w:pPr>
              <w:spacing w:after="0"/>
              <w:rPr>
                <w:sz w:val="20"/>
                <w:szCs w:val="20"/>
                <w:color w:val="auto"/>
              </w:rPr>
            </w:pPr>
          </w:p>
        </w:tc>
        <w:tc>
          <w:tcPr>
            <w:tcW w:w="8540" w:type="dxa"/>
            <w:vAlign w:val="bottom"/>
          </w:tcPr>
          <w:p>
            <w:pPr>
              <w:ind w:left="220"/>
              <w:spacing w:after="0"/>
              <w:rPr>
                <w:sz w:val="20"/>
                <w:szCs w:val="20"/>
                <w:color w:val="auto"/>
              </w:rPr>
            </w:pPr>
            <w:r>
              <w:rPr>
                <w:rFonts w:ascii="Arial" w:cs="Arial" w:eastAsia="Arial" w:hAnsi="Arial"/>
                <w:sz w:val="18"/>
                <w:szCs w:val="18"/>
                <w:color w:val="auto"/>
              </w:rPr>
              <w:t>Nebraska, Cedro Hill located in Texas and Mountain Wind Power I and II located in Wyoming</w:t>
            </w:r>
          </w:p>
        </w:tc>
        <w:tc>
          <w:tcPr>
            <w:tcW w:w="0" w:type="dxa"/>
            <w:vAlign w:val="bottom"/>
          </w:tcPr>
          <w:p>
            <w:pPr>
              <w:spacing w:after="0"/>
              <w:rPr>
                <w:sz w:val="1"/>
                <w:szCs w:val="1"/>
                <w:color w:val="auto"/>
              </w:rPr>
            </w:pPr>
          </w:p>
        </w:tc>
      </w:tr>
      <w:tr>
        <w:trPr>
          <w:trHeight w:val="241"/>
        </w:trPr>
        <w:tc>
          <w:tcPr>
            <w:tcW w:w="2700" w:type="dxa"/>
            <w:vAlign w:val="bottom"/>
          </w:tcPr>
          <w:p>
            <w:pPr>
              <w:ind w:left="20"/>
              <w:spacing w:after="0"/>
              <w:rPr>
                <w:sz w:val="20"/>
                <w:szCs w:val="20"/>
                <w:color w:val="auto"/>
              </w:rPr>
            </w:pPr>
            <w:r>
              <w:rPr>
                <w:rFonts w:ascii="Arial" w:cs="Arial" w:eastAsia="Arial" w:hAnsi="Arial"/>
                <w:sz w:val="18"/>
                <w:szCs w:val="18"/>
                <w:color w:val="auto"/>
              </w:rPr>
              <w:t>CEG</w:t>
            </w:r>
          </w:p>
        </w:tc>
        <w:tc>
          <w:tcPr>
            <w:tcW w:w="8540" w:type="dxa"/>
            <w:vAlign w:val="bottom"/>
          </w:tcPr>
          <w:p>
            <w:pPr>
              <w:ind w:left="220"/>
              <w:spacing w:after="0"/>
              <w:rPr>
                <w:sz w:val="20"/>
                <w:szCs w:val="20"/>
                <w:color w:val="auto"/>
              </w:rPr>
            </w:pPr>
            <w:r>
              <w:rPr>
                <w:rFonts w:ascii="Arial" w:cs="Arial" w:eastAsia="Arial" w:hAnsi="Arial"/>
                <w:sz w:val="18"/>
                <w:szCs w:val="18"/>
                <w:color w:val="auto"/>
              </w:rPr>
              <w:t>Clearway Energy Group LLC (formerly Zephyr Renewables LLC)</w:t>
            </w:r>
          </w:p>
        </w:tc>
        <w:tc>
          <w:tcPr>
            <w:tcW w:w="0" w:type="dxa"/>
            <w:vAlign w:val="bottom"/>
          </w:tcPr>
          <w:p>
            <w:pPr>
              <w:spacing w:after="0"/>
              <w:rPr>
                <w:sz w:val="1"/>
                <w:szCs w:val="1"/>
                <w:color w:val="auto"/>
              </w:rPr>
            </w:pPr>
          </w:p>
        </w:tc>
      </w:tr>
      <w:tr>
        <w:trPr>
          <w:trHeight w:val="176"/>
        </w:trPr>
        <w:tc>
          <w:tcPr>
            <w:tcW w:w="2700" w:type="dxa"/>
            <w:vAlign w:val="bottom"/>
          </w:tcPr>
          <w:p>
            <w:pPr>
              <w:ind w:left="20"/>
              <w:spacing w:after="0" w:line="176" w:lineRule="exact"/>
              <w:rPr>
                <w:sz w:val="20"/>
                <w:szCs w:val="20"/>
                <w:color w:val="auto"/>
              </w:rPr>
            </w:pPr>
            <w:r>
              <w:rPr>
                <w:rFonts w:ascii="Arial" w:cs="Arial" w:eastAsia="Arial" w:hAnsi="Arial"/>
                <w:sz w:val="18"/>
                <w:szCs w:val="18"/>
                <w:color w:val="auto"/>
                <w:w w:val="96"/>
              </w:rPr>
              <w:t>CEG Master Services Agreements</w:t>
            </w:r>
          </w:p>
        </w:tc>
        <w:tc>
          <w:tcPr>
            <w:tcW w:w="8540" w:type="dxa"/>
            <w:vAlign w:val="bottom"/>
          </w:tcPr>
          <w:p>
            <w:pPr>
              <w:ind w:left="220"/>
              <w:spacing w:after="0" w:line="176" w:lineRule="exact"/>
              <w:rPr>
                <w:sz w:val="20"/>
                <w:szCs w:val="20"/>
                <w:color w:val="auto"/>
              </w:rPr>
            </w:pPr>
            <w:r>
              <w:rPr>
                <w:rFonts w:ascii="Arial" w:cs="Arial" w:eastAsia="Arial" w:hAnsi="Arial"/>
                <w:sz w:val="18"/>
                <w:szCs w:val="18"/>
                <w:color w:val="auto"/>
                <w:w w:val="92"/>
              </w:rPr>
              <w:t>Master Services Agreements entered into as of August 31, 2018 and amended on February 2, 2023 between the</w:t>
            </w:r>
          </w:p>
        </w:tc>
        <w:tc>
          <w:tcPr>
            <w:tcW w:w="0" w:type="dxa"/>
            <w:vAlign w:val="bottom"/>
          </w:tcPr>
          <w:p>
            <w:pPr>
              <w:spacing w:after="0"/>
              <w:rPr>
                <w:sz w:val="1"/>
                <w:szCs w:val="1"/>
                <w:color w:val="auto"/>
              </w:rPr>
            </w:pPr>
          </w:p>
        </w:tc>
      </w:tr>
      <w:tr>
        <w:trPr>
          <w:trHeight w:val="230"/>
        </w:trPr>
        <w:tc>
          <w:tcPr>
            <w:tcW w:w="2700" w:type="dxa"/>
            <w:vAlign w:val="bottom"/>
          </w:tcPr>
          <w:p>
            <w:pPr>
              <w:spacing w:after="0"/>
              <w:rPr>
                <w:sz w:val="20"/>
                <w:szCs w:val="20"/>
                <w:color w:val="auto"/>
              </w:rPr>
            </w:pPr>
          </w:p>
        </w:tc>
        <w:tc>
          <w:tcPr>
            <w:tcW w:w="8540" w:type="dxa"/>
            <w:vAlign w:val="bottom"/>
          </w:tcPr>
          <w:p>
            <w:pPr>
              <w:ind w:left="220"/>
              <w:spacing w:after="0"/>
              <w:rPr>
                <w:sz w:val="20"/>
                <w:szCs w:val="20"/>
                <w:color w:val="auto"/>
              </w:rPr>
            </w:pPr>
            <w:r>
              <w:rPr>
                <w:rFonts w:ascii="Arial" w:cs="Arial" w:eastAsia="Arial" w:hAnsi="Arial"/>
                <w:sz w:val="18"/>
                <w:szCs w:val="18"/>
                <w:color w:val="auto"/>
              </w:rPr>
              <w:t>Company, Clearway, Inc., Clearway Energy Operating LLC and CEG</w:t>
            </w:r>
          </w:p>
        </w:tc>
        <w:tc>
          <w:tcPr>
            <w:tcW w:w="0" w:type="dxa"/>
            <w:vAlign w:val="bottom"/>
          </w:tcPr>
          <w:p>
            <w:pPr>
              <w:spacing w:after="0"/>
              <w:rPr>
                <w:sz w:val="1"/>
                <w:szCs w:val="1"/>
                <w:color w:val="auto"/>
              </w:rPr>
            </w:pPr>
          </w:p>
        </w:tc>
      </w:tr>
      <w:tr>
        <w:trPr>
          <w:trHeight w:val="241"/>
        </w:trPr>
        <w:tc>
          <w:tcPr>
            <w:tcW w:w="2700" w:type="dxa"/>
            <w:vAlign w:val="bottom"/>
          </w:tcPr>
          <w:p>
            <w:pPr>
              <w:ind w:left="20"/>
              <w:spacing w:after="0"/>
              <w:rPr>
                <w:sz w:val="20"/>
                <w:szCs w:val="20"/>
                <w:color w:val="auto"/>
              </w:rPr>
            </w:pPr>
            <w:r>
              <w:rPr>
                <w:rFonts w:ascii="Arial" w:cs="Arial" w:eastAsia="Arial" w:hAnsi="Arial"/>
                <w:sz w:val="18"/>
                <w:szCs w:val="18"/>
                <w:color w:val="auto"/>
              </w:rPr>
              <w:t>Clearway, Inc.</w:t>
            </w:r>
          </w:p>
        </w:tc>
        <w:tc>
          <w:tcPr>
            <w:tcW w:w="8540" w:type="dxa"/>
            <w:vAlign w:val="bottom"/>
          </w:tcPr>
          <w:p>
            <w:pPr>
              <w:ind w:left="220"/>
              <w:spacing w:after="0"/>
              <w:rPr>
                <w:sz w:val="20"/>
                <w:szCs w:val="20"/>
                <w:color w:val="auto"/>
              </w:rPr>
            </w:pPr>
            <w:r>
              <w:rPr>
                <w:rFonts w:ascii="Arial" w:cs="Arial" w:eastAsia="Arial" w:hAnsi="Arial"/>
                <w:sz w:val="18"/>
                <w:szCs w:val="18"/>
                <w:color w:val="auto"/>
              </w:rPr>
              <w:t>Clearway Energy, Inc., the holder of the Company’s Class A and Class C units</w:t>
            </w:r>
          </w:p>
        </w:tc>
        <w:tc>
          <w:tcPr>
            <w:tcW w:w="0" w:type="dxa"/>
            <w:vAlign w:val="bottom"/>
          </w:tcPr>
          <w:p>
            <w:pPr>
              <w:spacing w:after="0"/>
              <w:rPr>
                <w:sz w:val="1"/>
                <w:szCs w:val="1"/>
                <w:color w:val="auto"/>
              </w:rPr>
            </w:pPr>
          </w:p>
        </w:tc>
      </w:tr>
      <w:tr>
        <w:trPr>
          <w:trHeight w:val="176"/>
        </w:trPr>
        <w:tc>
          <w:tcPr>
            <w:tcW w:w="2700" w:type="dxa"/>
            <w:vAlign w:val="bottom"/>
          </w:tcPr>
          <w:p>
            <w:pPr>
              <w:ind w:left="20"/>
              <w:spacing w:after="0" w:line="176" w:lineRule="exact"/>
              <w:rPr>
                <w:sz w:val="20"/>
                <w:szCs w:val="20"/>
                <w:color w:val="auto"/>
              </w:rPr>
            </w:pPr>
            <w:r>
              <w:rPr>
                <w:rFonts w:ascii="Arial" w:cs="Arial" w:eastAsia="Arial" w:hAnsi="Arial"/>
                <w:sz w:val="18"/>
                <w:szCs w:val="18"/>
                <w:color w:val="auto"/>
              </w:rPr>
              <w:t>Clearway Energy Group LLC</w:t>
            </w:r>
          </w:p>
        </w:tc>
        <w:tc>
          <w:tcPr>
            <w:tcW w:w="8540" w:type="dxa"/>
            <w:vAlign w:val="bottom"/>
          </w:tcPr>
          <w:p>
            <w:pPr>
              <w:ind w:left="220"/>
              <w:spacing w:after="0" w:line="176" w:lineRule="exact"/>
              <w:rPr>
                <w:sz w:val="20"/>
                <w:szCs w:val="20"/>
                <w:color w:val="auto"/>
              </w:rPr>
            </w:pPr>
            <w:r>
              <w:rPr>
                <w:rFonts w:ascii="Arial" w:cs="Arial" w:eastAsia="Arial" w:hAnsi="Arial"/>
                <w:sz w:val="18"/>
                <w:szCs w:val="18"/>
                <w:color w:val="auto"/>
                <w:w w:val="90"/>
              </w:rPr>
              <w:t>The holder of all of Clearway, Inc.’s Class B and Class D common stock, the Company’s Class B and Class D units</w:t>
            </w:r>
          </w:p>
        </w:tc>
        <w:tc>
          <w:tcPr>
            <w:tcW w:w="0" w:type="dxa"/>
            <w:vAlign w:val="bottom"/>
          </w:tcPr>
          <w:p>
            <w:pPr>
              <w:spacing w:after="0"/>
              <w:rPr>
                <w:sz w:val="1"/>
                <w:szCs w:val="1"/>
                <w:color w:val="auto"/>
              </w:rPr>
            </w:pPr>
          </w:p>
        </w:tc>
      </w:tr>
      <w:tr>
        <w:trPr>
          <w:trHeight w:val="230"/>
        </w:trPr>
        <w:tc>
          <w:tcPr>
            <w:tcW w:w="2700" w:type="dxa"/>
            <w:vAlign w:val="bottom"/>
          </w:tcPr>
          <w:p>
            <w:pPr>
              <w:spacing w:after="0"/>
              <w:rPr>
                <w:sz w:val="20"/>
                <w:szCs w:val="20"/>
                <w:color w:val="auto"/>
              </w:rPr>
            </w:pPr>
          </w:p>
        </w:tc>
        <w:tc>
          <w:tcPr>
            <w:tcW w:w="8540" w:type="dxa"/>
            <w:vAlign w:val="bottom"/>
          </w:tcPr>
          <w:p>
            <w:pPr>
              <w:ind w:left="220"/>
              <w:spacing w:after="0"/>
              <w:rPr>
                <w:sz w:val="20"/>
                <w:szCs w:val="20"/>
                <w:color w:val="auto"/>
              </w:rPr>
            </w:pPr>
            <w:r>
              <w:rPr>
                <w:rFonts w:ascii="Arial" w:cs="Arial" w:eastAsia="Arial" w:hAnsi="Arial"/>
                <w:sz w:val="18"/>
                <w:szCs w:val="18"/>
                <w:color w:val="auto"/>
              </w:rPr>
              <w:t>and, from time to time, possibly shares of Clearway, Inc.’s Class A and/or Class C common stock</w:t>
            </w:r>
          </w:p>
        </w:tc>
        <w:tc>
          <w:tcPr>
            <w:tcW w:w="0" w:type="dxa"/>
            <w:vAlign w:val="bottom"/>
          </w:tcPr>
          <w:p>
            <w:pPr>
              <w:spacing w:after="0"/>
              <w:rPr>
                <w:sz w:val="1"/>
                <w:szCs w:val="1"/>
                <w:color w:val="auto"/>
              </w:rPr>
            </w:pPr>
          </w:p>
        </w:tc>
      </w:tr>
      <w:tr>
        <w:trPr>
          <w:trHeight w:val="241"/>
        </w:trPr>
        <w:tc>
          <w:tcPr>
            <w:tcW w:w="2700" w:type="dxa"/>
            <w:vAlign w:val="bottom"/>
          </w:tcPr>
          <w:p>
            <w:pPr>
              <w:ind w:left="20"/>
              <w:spacing w:after="0"/>
              <w:rPr>
                <w:sz w:val="20"/>
                <w:szCs w:val="20"/>
                <w:color w:val="auto"/>
              </w:rPr>
            </w:pPr>
            <w:r>
              <w:rPr>
                <w:rFonts w:ascii="Arial" w:cs="Arial" w:eastAsia="Arial" w:hAnsi="Arial"/>
                <w:sz w:val="18"/>
                <w:szCs w:val="18"/>
                <w:color w:val="auto"/>
              </w:rPr>
              <w:t>Clearway Energy Operating LLC</w:t>
            </w:r>
          </w:p>
        </w:tc>
        <w:tc>
          <w:tcPr>
            <w:tcW w:w="8540" w:type="dxa"/>
            <w:vAlign w:val="bottom"/>
          </w:tcPr>
          <w:p>
            <w:pPr>
              <w:ind w:left="220"/>
              <w:spacing w:after="0"/>
              <w:rPr>
                <w:sz w:val="20"/>
                <w:szCs w:val="20"/>
                <w:color w:val="auto"/>
              </w:rPr>
            </w:pPr>
            <w:r>
              <w:rPr>
                <w:rFonts w:ascii="Arial" w:cs="Arial" w:eastAsia="Arial" w:hAnsi="Arial"/>
                <w:sz w:val="18"/>
                <w:szCs w:val="18"/>
                <w:color w:val="auto"/>
              </w:rPr>
              <w:t>The holder of the project assets that are owned by the Company</w:t>
            </w: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rPr>
                <w:sz w:val="20"/>
                <w:szCs w:val="20"/>
                <w:color w:val="auto"/>
              </w:rPr>
            </w:pPr>
            <w:r>
              <w:rPr>
                <w:rFonts w:ascii="Arial" w:cs="Arial" w:eastAsia="Arial" w:hAnsi="Arial"/>
                <w:sz w:val="18"/>
                <w:szCs w:val="18"/>
                <w:color w:val="auto"/>
              </w:rPr>
              <w:t>Clearway Renew</w:t>
            </w:r>
          </w:p>
        </w:tc>
        <w:tc>
          <w:tcPr>
            <w:tcW w:w="8540" w:type="dxa"/>
            <w:vAlign w:val="bottom"/>
          </w:tcPr>
          <w:p>
            <w:pPr>
              <w:ind w:left="220"/>
              <w:spacing w:after="0"/>
              <w:rPr>
                <w:sz w:val="20"/>
                <w:szCs w:val="20"/>
                <w:color w:val="auto"/>
              </w:rPr>
            </w:pPr>
            <w:r>
              <w:rPr>
                <w:rFonts w:ascii="Arial" w:cs="Arial" w:eastAsia="Arial" w:hAnsi="Arial"/>
                <w:sz w:val="18"/>
                <w:szCs w:val="18"/>
                <w:color w:val="auto"/>
              </w:rPr>
              <w:t>Clearway Renew LLC, a subsidiary of CEG</w:t>
            </w: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rPr>
                <w:sz w:val="20"/>
                <w:szCs w:val="20"/>
                <w:color w:val="auto"/>
              </w:rPr>
            </w:pPr>
            <w:r>
              <w:rPr>
                <w:rFonts w:ascii="Arial" w:cs="Arial" w:eastAsia="Arial" w:hAnsi="Arial"/>
                <w:sz w:val="18"/>
                <w:szCs w:val="18"/>
                <w:color w:val="auto"/>
              </w:rPr>
              <w:t>Company</w:t>
            </w:r>
          </w:p>
        </w:tc>
        <w:tc>
          <w:tcPr>
            <w:tcW w:w="8540" w:type="dxa"/>
            <w:vAlign w:val="bottom"/>
          </w:tcPr>
          <w:p>
            <w:pPr>
              <w:ind w:left="220"/>
              <w:spacing w:after="0"/>
              <w:rPr>
                <w:sz w:val="20"/>
                <w:szCs w:val="20"/>
                <w:color w:val="auto"/>
              </w:rPr>
            </w:pPr>
            <w:r>
              <w:rPr>
                <w:rFonts w:ascii="Arial" w:cs="Arial" w:eastAsia="Arial" w:hAnsi="Arial"/>
                <w:sz w:val="18"/>
                <w:szCs w:val="18"/>
                <w:color w:val="auto"/>
              </w:rPr>
              <w:t>Clearway Energy LLC, together with its consolidated subsidiaries</w:t>
            </w: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rPr>
                <w:sz w:val="20"/>
                <w:szCs w:val="20"/>
                <w:color w:val="auto"/>
              </w:rPr>
            </w:pPr>
            <w:r>
              <w:rPr>
                <w:rFonts w:ascii="Arial" w:cs="Arial" w:eastAsia="Arial" w:hAnsi="Arial"/>
                <w:sz w:val="18"/>
                <w:szCs w:val="18"/>
                <w:color w:val="auto"/>
              </w:rPr>
              <w:t>CVSR</w:t>
            </w:r>
          </w:p>
        </w:tc>
        <w:tc>
          <w:tcPr>
            <w:tcW w:w="8540" w:type="dxa"/>
            <w:vAlign w:val="bottom"/>
          </w:tcPr>
          <w:p>
            <w:pPr>
              <w:ind w:left="220"/>
              <w:spacing w:after="0"/>
              <w:rPr>
                <w:sz w:val="20"/>
                <w:szCs w:val="20"/>
                <w:color w:val="auto"/>
              </w:rPr>
            </w:pPr>
            <w:r>
              <w:rPr>
                <w:rFonts w:ascii="Arial" w:cs="Arial" w:eastAsia="Arial" w:hAnsi="Arial"/>
                <w:sz w:val="18"/>
                <w:szCs w:val="18"/>
                <w:color w:val="auto"/>
              </w:rPr>
              <w:t>California Valley Solar Ranch</w:t>
            </w:r>
          </w:p>
        </w:tc>
        <w:tc>
          <w:tcPr>
            <w:tcW w:w="0" w:type="dxa"/>
            <w:vAlign w:val="bottom"/>
          </w:tcPr>
          <w:p>
            <w:pPr>
              <w:spacing w:after="0"/>
              <w:rPr>
                <w:sz w:val="1"/>
                <w:szCs w:val="1"/>
                <w:color w:val="auto"/>
              </w:rPr>
            </w:pPr>
          </w:p>
        </w:tc>
      </w:tr>
      <w:tr>
        <w:trPr>
          <w:trHeight w:val="242"/>
        </w:trPr>
        <w:tc>
          <w:tcPr>
            <w:tcW w:w="2700" w:type="dxa"/>
            <w:vAlign w:val="bottom"/>
          </w:tcPr>
          <w:p>
            <w:pPr>
              <w:ind w:left="20"/>
              <w:spacing w:after="0"/>
              <w:rPr>
                <w:sz w:val="20"/>
                <w:szCs w:val="20"/>
                <w:color w:val="auto"/>
              </w:rPr>
            </w:pPr>
            <w:r>
              <w:rPr>
                <w:rFonts w:ascii="Arial" w:cs="Arial" w:eastAsia="Arial" w:hAnsi="Arial"/>
                <w:sz w:val="18"/>
                <w:szCs w:val="18"/>
                <w:color w:val="auto"/>
              </w:rPr>
              <w:t>CVSR Holdco</w:t>
            </w:r>
          </w:p>
        </w:tc>
        <w:tc>
          <w:tcPr>
            <w:tcW w:w="8540" w:type="dxa"/>
            <w:vAlign w:val="bottom"/>
          </w:tcPr>
          <w:p>
            <w:pPr>
              <w:ind w:left="220"/>
              <w:spacing w:after="0"/>
              <w:rPr>
                <w:sz w:val="20"/>
                <w:szCs w:val="20"/>
                <w:color w:val="auto"/>
              </w:rPr>
            </w:pPr>
            <w:r>
              <w:rPr>
                <w:rFonts w:ascii="Arial" w:cs="Arial" w:eastAsia="Arial" w:hAnsi="Arial"/>
                <w:sz w:val="18"/>
                <w:szCs w:val="18"/>
                <w:color w:val="auto"/>
              </w:rPr>
              <w:t>CVSR Holdco LLC, the indirect owner of CVSR</w:t>
            </w:r>
          </w:p>
        </w:tc>
        <w:tc>
          <w:tcPr>
            <w:tcW w:w="0" w:type="dxa"/>
            <w:vAlign w:val="bottom"/>
          </w:tcPr>
          <w:p>
            <w:pPr>
              <w:spacing w:after="0"/>
              <w:rPr>
                <w:sz w:val="1"/>
                <w:szCs w:val="1"/>
                <w:color w:val="auto"/>
              </w:rPr>
            </w:pPr>
          </w:p>
        </w:tc>
      </w:tr>
      <w:tr>
        <w:trPr>
          <w:trHeight w:val="176"/>
        </w:trPr>
        <w:tc>
          <w:tcPr>
            <w:tcW w:w="2700" w:type="dxa"/>
            <w:vAlign w:val="bottom"/>
          </w:tcPr>
          <w:p>
            <w:pPr>
              <w:ind w:left="20"/>
              <w:spacing w:after="0" w:line="176" w:lineRule="exact"/>
              <w:rPr>
                <w:sz w:val="20"/>
                <w:szCs w:val="20"/>
                <w:color w:val="auto"/>
              </w:rPr>
            </w:pPr>
            <w:r>
              <w:rPr>
                <w:rFonts w:ascii="Arial" w:cs="Arial" w:eastAsia="Arial" w:hAnsi="Arial"/>
                <w:sz w:val="18"/>
                <w:szCs w:val="18"/>
                <w:color w:val="auto"/>
              </w:rPr>
              <w:t>Distributed Solar</w:t>
            </w:r>
          </w:p>
        </w:tc>
        <w:tc>
          <w:tcPr>
            <w:tcW w:w="8540" w:type="dxa"/>
            <w:vAlign w:val="bottom"/>
          </w:tcPr>
          <w:p>
            <w:pPr>
              <w:ind w:left="220"/>
              <w:spacing w:after="0" w:line="176" w:lineRule="exact"/>
              <w:rPr>
                <w:sz w:val="20"/>
                <w:szCs w:val="20"/>
                <w:color w:val="auto"/>
              </w:rPr>
            </w:pPr>
            <w:r>
              <w:rPr>
                <w:rFonts w:ascii="Arial" w:cs="Arial" w:eastAsia="Arial" w:hAnsi="Arial"/>
                <w:sz w:val="18"/>
                <w:szCs w:val="18"/>
                <w:color w:val="auto"/>
                <w:w w:val="92"/>
              </w:rPr>
              <w:t>Solar power projects, typically less than 20 MW in size (on an alternating current, or AC, basis), that primarily sell</w:t>
            </w:r>
          </w:p>
        </w:tc>
        <w:tc>
          <w:tcPr>
            <w:tcW w:w="0" w:type="dxa"/>
            <w:vAlign w:val="bottom"/>
          </w:tcPr>
          <w:p>
            <w:pPr>
              <w:spacing w:after="0"/>
              <w:rPr>
                <w:sz w:val="1"/>
                <w:szCs w:val="1"/>
                <w:color w:val="auto"/>
              </w:rPr>
            </w:pPr>
          </w:p>
        </w:tc>
      </w:tr>
      <w:tr>
        <w:trPr>
          <w:trHeight w:val="230"/>
        </w:trPr>
        <w:tc>
          <w:tcPr>
            <w:tcW w:w="2700" w:type="dxa"/>
            <w:vAlign w:val="bottom"/>
          </w:tcPr>
          <w:p>
            <w:pPr>
              <w:spacing w:after="0"/>
              <w:rPr>
                <w:sz w:val="20"/>
                <w:szCs w:val="20"/>
                <w:color w:val="auto"/>
              </w:rPr>
            </w:pPr>
          </w:p>
        </w:tc>
        <w:tc>
          <w:tcPr>
            <w:tcW w:w="8540" w:type="dxa"/>
            <w:vAlign w:val="bottom"/>
          </w:tcPr>
          <w:p>
            <w:pPr>
              <w:ind w:left="220"/>
              <w:spacing w:after="0"/>
              <w:rPr>
                <w:sz w:val="20"/>
                <w:szCs w:val="20"/>
                <w:color w:val="auto"/>
              </w:rPr>
            </w:pPr>
            <w:r>
              <w:rPr>
                <w:rFonts w:ascii="Arial" w:cs="Arial" w:eastAsia="Arial" w:hAnsi="Arial"/>
                <w:sz w:val="18"/>
                <w:szCs w:val="18"/>
                <w:color w:val="auto"/>
                <w:w w:val="92"/>
              </w:rPr>
              <w:t>power produced to customers for usage on site, or are interconnected to sell power into the local distribution grid</w:t>
            </w:r>
          </w:p>
        </w:tc>
        <w:tc>
          <w:tcPr>
            <w:tcW w:w="0" w:type="dxa"/>
            <w:vAlign w:val="bottom"/>
          </w:tcPr>
          <w:p>
            <w:pPr>
              <w:spacing w:after="0"/>
              <w:rPr>
                <w:sz w:val="1"/>
                <w:szCs w:val="1"/>
                <w:color w:val="auto"/>
              </w:rPr>
            </w:pPr>
          </w:p>
        </w:tc>
      </w:tr>
      <w:tr>
        <w:trPr>
          <w:trHeight w:val="241"/>
        </w:trPr>
        <w:tc>
          <w:tcPr>
            <w:tcW w:w="2700" w:type="dxa"/>
            <w:vAlign w:val="bottom"/>
          </w:tcPr>
          <w:p>
            <w:pPr>
              <w:ind w:left="20"/>
              <w:spacing w:after="0"/>
              <w:rPr>
                <w:sz w:val="20"/>
                <w:szCs w:val="20"/>
                <w:color w:val="auto"/>
              </w:rPr>
            </w:pPr>
            <w:r>
              <w:rPr>
                <w:rFonts w:ascii="Arial" w:cs="Arial" w:eastAsia="Arial" w:hAnsi="Arial"/>
                <w:sz w:val="18"/>
                <w:szCs w:val="18"/>
                <w:color w:val="auto"/>
              </w:rPr>
              <w:t>Drop Down Assets</w:t>
            </w:r>
          </w:p>
        </w:tc>
        <w:tc>
          <w:tcPr>
            <w:tcW w:w="8540" w:type="dxa"/>
            <w:vAlign w:val="bottom"/>
          </w:tcPr>
          <w:p>
            <w:pPr>
              <w:ind w:left="220"/>
              <w:spacing w:after="0"/>
              <w:rPr>
                <w:sz w:val="20"/>
                <w:szCs w:val="20"/>
                <w:color w:val="auto"/>
              </w:rPr>
            </w:pPr>
            <w:r>
              <w:rPr>
                <w:rFonts w:ascii="Arial" w:cs="Arial" w:eastAsia="Arial" w:hAnsi="Arial"/>
                <w:sz w:val="18"/>
                <w:szCs w:val="18"/>
                <w:color w:val="auto"/>
              </w:rPr>
              <w:t>Assets under common control acquired by the Company from CEG</w:t>
            </w: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rPr>
                <w:sz w:val="20"/>
                <w:szCs w:val="20"/>
                <w:color w:val="auto"/>
              </w:rPr>
            </w:pPr>
            <w:r>
              <w:rPr>
                <w:rFonts w:ascii="Arial" w:cs="Arial" w:eastAsia="Arial" w:hAnsi="Arial"/>
                <w:sz w:val="18"/>
                <w:szCs w:val="18"/>
                <w:color w:val="auto"/>
              </w:rPr>
              <w:t>Exchange Act</w:t>
            </w:r>
          </w:p>
        </w:tc>
        <w:tc>
          <w:tcPr>
            <w:tcW w:w="8540" w:type="dxa"/>
            <w:vAlign w:val="bottom"/>
          </w:tcPr>
          <w:p>
            <w:pPr>
              <w:ind w:left="220"/>
              <w:spacing w:after="0"/>
              <w:rPr>
                <w:sz w:val="20"/>
                <w:szCs w:val="20"/>
                <w:color w:val="auto"/>
              </w:rPr>
            </w:pPr>
            <w:r>
              <w:rPr>
                <w:rFonts w:ascii="Arial" w:cs="Arial" w:eastAsia="Arial" w:hAnsi="Arial"/>
                <w:sz w:val="18"/>
                <w:szCs w:val="18"/>
                <w:color w:val="auto"/>
              </w:rPr>
              <w:t>The Securities Exchange Act of 1934, as amended</w:t>
            </w: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rPr>
                <w:sz w:val="20"/>
                <w:szCs w:val="20"/>
                <w:color w:val="auto"/>
              </w:rPr>
            </w:pPr>
            <w:r>
              <w:rPr>
                <w:rFonts w:ascii="Arial" w:cs="Arial" w:eastAsia="Arial" w:hAnsi="Arial"/>
                <w:sz w:val="18"/>
                <w:szCs w:val="18"/>
                <w:color w:val="auto"/>
              </w:rPr>
              <w:t>FASB</w:t>
            </w:r>
          </w:p>
        </w:tc>
        <w:tc>
          <w:tcPr>
            <w:tcW w:w="8540" w:type="dxa"/>
            <w:vAlign w:val="bottom"/>
          </w:tcPr>
          <w:p>
            <w:pPr>
              <w:ind w:left="220"/>
              <w:spacing w:after="0"/>
              <w:rPr>
                <w:sz w:val="20"/>
                <w:szCs w:val="20"/>
                <w:color w:val="auto"/>
              </w:rPr>
            </w:pPr>
            <w:r>
              <w:rPr>
                <w:rFonts w:ascii="Arial" w:cs="Arial" w:eastAsia="Arial" w:hAnsi="Arial"/>
                <w:sz w:val="18"/>
                <w:szCs w:val="18"/>
                <w:color w:val="auto"/>
              </w:rPr>
              <w:t>Financial Accounting Standards Board</w:t>
            </w:r>
          </w:p>
        </w:tc>
        <w:tc>
          <w:tcPr>
            <w:tcW w:w="0" w:type="dxa"/>
            <w:vAlign w:val="bottom"/>
          </w:tcPr>
          <w:p>
            <w:pPr>
              <w:spacing w:after="0"/>
              <w:rPr>
                <w:sz w:val="1"/>
                <w:szCs w:val="1"/>
                <w:color w:val="auto"/>
              </w:rPr>
            </w:pPr>
          </w:p>
        </w:tc>
      </w:tr>
      <w:tr>
        <w:trPr>
          <w:trHeight w:val="242"/>
        </w:trPr>
        <w:tc>
          <w:tcPr>
            <w:tcW w:w="2700" w:type="dxa"/>
            <w:vAlign w:val="bottom"/>
          </w:tcPr>
          <w:p>
            <w:pPr>
              <w:ind w:left="20"/>
              <w:spacing w:after="0"/>
              <w:rPr>
                <w:sz w:val="20"/>
                <w:szCs w:val="20"/>
                <w:color w:val="auto"/>
              </w:rPr>
            </w:pPr>
            <w:r>
              <w:rPr>
                <w:rFonts w:ascii="Arial" w:cs="Arial" w:eastAsia="Arial" w:hAnsi="Arial"/>
                <w:sz w:val="18"/>
                <w:szCs w:val="18"/>
                <w:color w:val="auto"/>
              </w:rPr>
              <w:t>GAAP</w:t>
            </w:r>
          </w:p>
        </w:tc>
        <w:tc>
          <w:tcPr>
            <w:tcW w:w="8540" w:type="dxa"/>
            <w:vAlign w:val="bottom"/>
          </w:tcPr>
          <w:p>
            <w:pPr>
              <w:ind w:left="220"/>
              <w:spacing w:after="0"/>
              <w:rPr>
                <w:sz w:val="20"/>
                <w:szCs w:val="20"/>
                <w:color w:val="auto"/>
              </w:rPr>
            </w:pPr>
            <w:r>
              <w:rPr>
                <w:rFonts w:ascii="Arial" w:cs="Arial" w:eastAsia="Arial" w:hAnsi="Arial"/>
                <w:sz w:val="18"/>
                <w:szCs w:val="18"/>
                <w:color w:val="auto"/>
              </w:rPr>
              <w:t>Accounting principles generally accepted in the U.S.</w:t>
            </w: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rPr>
                <w:sz w:val="20"/>
                <w:szCs w:val="20"/>
                <w:color w:val="auto"/>
              </w:rPr>
            </w:pPr>
            <w:r>
              <w:rPr>
                <w:rFonts w:ascii="Arial" w:cs="Arial" w:eastAsia="Arial" w:hAnsi="Arial"/>
                <w:sz w:val="18"/>
                <w:szCs w:val="18"/>
                <w:color w:val="auto"/>
              </w:rPr>
              <w:t>GenConn</w:t>
            </w:r>
          </w:p>
        </w:tc>
        <w:tc>
          <w:tcPr>
            <w:tcW w:w="8540" w:type="dxa"/>
            <w:vAlign w:val="bottom"/>
          </w:tcPr>
          <w:p>
            <w:pPr>
              <w:ind w:left="220"/>
              <w:spacing w:after="0"/>
              <w:rPr>
                <w:sz w:val="20"/>
                <w:szCs w:val="20"/>
                <w:color w:val="auto"/>
              </w:rPr>
            </w:pPr>
            <w:r>
              <w:rPr>
                <w:rFonts w:ascii="Arial" w:cs="Arial" w:eastAsia="Arial" w:hAnsi="Arial"/>
                <w:sz w:val="18"/>
                <w:szCs w:val="18"/>
                <w:color w:val="auto"/>
              </w:rPr>
              <w:t>GenConn Energy LLC</w:t>
            </w:r>
          </w:p>
        </w:tc>
        <w:tc>
          <w:tcPr>
            <w:tcW w:w="0" w:type="dxa"/>
            <w:vAlign w:val="bottom"/>
          </w:tcPr>
          <w:p>
            <w:pPr>
              <w:spacing w:after="0"/>
              <w:rPr>
                <w:sz w:val="1"/>
                <w:szCs w:val="1"/>
                <w:color w:val="auto"/>
              </w:rPr>
            </w:pPr>
          </w:p>
        </w:tc>
      </w:tr>
      <w:tr>
        <w:trPr>
          <w:trHeight w:val="864"/>
        </w:trPr>
        <w:tc>
          <w:tcPr>
            <w:tcW w:w="2700" w:type="dxa"/>
            <w:vAlign w:val="bottom"/>
          </w:tcPr>
          <w:p>
            <w:pPr>
              <w:spacing w:after="0"/>
              <w:rPr>
                <w:sz w:val="24"/>
                <w:szCs w:val="24"/>
                <w:color w:val="auto"/>
              </w:rPr>
            </w:pPr>
          </w:p>
        </w:tc>
        <w:tc>
          <w:tcPr>
            <w:tcW w:w="8540" w:type="dxa"/>
            <w:vAlign w:val="bottom"/>
          </w:tcPr>
          <w:p>
            <w:pPr>
              <w:ind w:left="288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15"/>
        </w:trPr>
        <w:tc>
          <w:tcPr>
            <w:tcW w:w="2700" w:type="dxa"/>
            <w:vAlign w:val="bottom"/>
            <w:tcBorders>
              <w:bottom w:val="single" w:sz="8" w:color="9A9A9A"/>
            </w:tcBorders>
          </w:tcPr>
          <w:p>
            <w:pPr>
              <w:spacing w:after="0"/>
              <w:rPr>
                <w:sz w:val="10"/>
                <w:szCs w:val="10"/>
                <w:color w:val="auto"/>
              </w:rPr>
            </w:pPr>
          </w:p>
        </w:tc>
        <w:tc>
          <w:tcPr>
            <w:tcW w:w="85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GIP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Global Infrastructure Partners</w:t>
      </w:r>
    </w:p>
    <w:p>
      <w:pPr>
        <w:spacing w:after="0" w:line="46" w:lineRule="exact"/>
        <w:rPr>
          <w:sz w:val="20"/>
          <w:szCs w:val="20"/>
          <w:color w:val="auto"/>
        </w:rPr>
      </w:pPr>
    </w:p>
    <w:p>
      <w:pPr>
        <w:sectPr>
          <w:pgSz w:w="11900" w:h="16838" w:orient="portrait"/>
          <w:cols w:equalWidth="0" w:num="2">
            <w:col w:w="2180" w:space="720"/>
            <w:col w:w="8300"/>
          </w:cols>
          <w:pgMar w:left="340" w:top="935" w:right="359" w:bottom="1440" w:gutter="0" w:footer="0" w:header="0"/>
        </w:sectPr>
      </w:pPr>
    </w:p>
    <w:p>
      <w:pPr>
        <w:spacing w:after="0"/>
        <w:rPr>
          <w:sz w:val="20"/>
          <w:szCs w:val="20"/>
          <w:color w:val="auto"/>
        </w:rPr>
      </w:pPr>
      <w:r>
        <w:rPr>
          <w:rFonts w:ascii="Arial" w:cs="Arial" w:eastAsia="Arial" w:hAnsi="Arial"/>
          <w:sz w:val="18"/>
          <w:szCs w:val="18"/>
          <w:color w:val="auto"/>
        </w:rPr>
        <w:t>HLBV</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Hypothetical Liquidation at Book Value</w:t>
      </w:r>
    </w:p>
    <w:p>
      <w:pPr>
        <w:spacing w:after="0" w:line="57" w:lineRule="exact"/>
        <w:rPr>
          <w:sz w:val="20"/>
          <w:szCs w:val="20"/>
          <w:color w:val="auto"/>
        </w:rPr>
      </w:pPr>
    </w:p>
    <w:p>
      <w:pPr>
        <w:sectPr>
          <w:pgSz w:w="11900" w:h="16838" w:orient="portrait"/>
          <w:cols w:equalWidth="0" w:num="2">
            <w:col w:w="2180" w:space="720"/>
            <w:col w:w="8300"/>
          </w:cols>
          <w:pgMar w:left="340" w:top="935" w:right="359" w:bottom="1440" w:gutter="0" w:footer="0" w:header="0"/>
          <w:type w:val="continuous"/>
        </w:sectPr>
      </w:pPr>
    </w:p>
    <w:p>
      <w:pPr>
        <w:spacing w:after="0"/>
        <w:rPr>
          <w:sz w:val="20"/>
          <w:szCs w:val="20"/>
          <w:color w:val="auto"/>
        </w:rPr>
      </w:pPr>
      <w:r>
        <w:rPr>
          <w:rFonts w:ascii="Arial" w:cs="Arial" w:eastAsia="Arial" w:hAnsi="Arial"/>
          <w:sz w:val="18"/>
          <w:szCs w:val="18"/>
          <w:color w:val="auto"/>
        </w:rPr>
        <w:t>KKR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KKR Thor Bidco, LLC, an affiliate of Kohlberg Kravis Roberts &amp; Co. L.P.</w:t>
      </w:r>
    </w:p>
    <w:p>
      <w:pPr>
        <w:spacing w:after="0" w:line="45" w:lineRule="exact"/>
        <w:rPr>
          <w:sz w:val="20"/>
          <w:szCs w:val="20"/>
          <w:color w:val="auto"/>
        </w:rPr>
      </w:pPr>
    </w:p>
    <w:p>
      <w:pPr>
        <w:sectPr>
          <w:pgSz w:w="11900" w:h="16838" w:orient="portrait"/>
          <w:cols w:equalWidth="0" w:num="2">
            <w:col w:w="2180" w:space="720"/>
            <w:col w:w="8300"/>
          </w:cols>
          <w:pgMar w:left="340" w:top="935" w:right="359" w:bottom="1440" w:gutter="0" w:footer="0" w:header="0"/>
          <w:type w:val="continuous"/>
        </w:sectPr>
      </w:pPr>
    </w:p>
    <w:p>
      <w:pPr>
        <w:spacing w:after="0"/>
        <w:rPr>
          <w:sz w:val="20"/>
          <w:szCs w:val="20"/>
          <w:color w:val="auto"/>
        </w:rPr>
      </w:pPr>
      <w:r>
        <w:rPr>
          <w:rFonts w:ascii="Arial" w:cs="Arial" w:eastAsia="Arial" w:hAnsi="Arial"/>
          <w:sz w:val="17"/>
          <w:szCs w:val="17"/>
          <w:color w:val="auto"/>
        </w:rPr>
        <w:t>LIBOR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London Inter-Bank Offered Rate</w:t>
      </w:r>
    </w:p>
    <w:p>
      <w:pPr>
        <w:spacing w:after="0" w:line="45" w:lineRule="exact"/>
        <w:rPr>
          <w:sz w:val="20"/>
          <w:szCs w:val="20"/>
          <w:color w:val="auto"/>
        </w:rPr>
      </w:pPr>
    </w:p>
    <w:p>
      <w:pPr>
        <w:sectPr>
          <w:pgSz w:w="11900" w:h="16838" w:orient="portrait"/>
          <w:cols w:equalWidth="0" w:num="2">
            <w:col w:w="2180" w:space="720"/>
            <w:col w:w="8300"/>
          </w:cols>
          <w:pgMar w:left="340" w:top="935" w:right="359" w:bottom="1440" w:gutter="0" w:footer="0" w:header="0"/>
          <w:type w:val="continuous"/>
        </w:sectPr>
      </w:pPr>
    </w:p>
    <w:p>
      <w:pPr>
        <w:spacing w:after="0"/>
        <w:rPr>
          <w:sz w:val="20"/>
          <w:szCs w:val="20"/>
          <w:color w:val="auto"/>
        </w:rPr>
      </w:pPr>
      <w:r>
        <w:rPr>
          <w:rFonts w:ascii="Arial" w:cs="Arial" w:eastAsia="Arial" w:hAnsi="Arial"/>
          <w:sz w:val="16"/>
          <w:szCs w:val="16"/>
          <w:color w:val="auto"/>
        </w:rPr>
        <w:t>Mesquite Star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Mesquite Star Special LLC</w:t>
      </w:r>
    </w:p>
    <w:p>
      <w:pPr>
        <w:spacing w:after="0" w:line="58" w:lineRule="exact"/>
        <w:rPr>
          <w:sz w:val="20"/>
          <w:szCs w:val="20"/>
          <w:color w:val="auto"/>
        </w:rPr>
      </w:pPr>
    </w:p>
    <w:p>
      <w:pPr>
        <w:sectPr>
          <w:pgSz w:w="11900" w:h="16838" w:orient="portrait"/>
          <w:cols w:equalWidth="0" w:num="2">
            <w:col w:w="2180" w:space="720"/>
            <w:col w:w="8300"/>
          </w:cols>
          <w:pgMar w:left="340" w:top="935" w:right="359" w:bottom="1440" w:gutter="0" w:footer="0" w:header="0"/>
          <w:type w:val="continuous"/>
        </w:sectPr>
      </w:pPr>
    </w:p>
    <w:p>
      <w:pPr>
        <w:spacing w:after="0"/>
        <w:rPr>
          <w:sz w:val="20"/>
          <w:szCs w:val="20"/>
          <w:color w:val="auto"/>
        </w:rPr>
      </w:pPr>
      <w:r>
        <w:rPr>
          <w:rFonts w:ascii="Arial" w:cs="Arial" w:eastAsia="Arial" w:hAnsi="Arial"/>
          <w:sz w:val="17"/>
          <w:szCs w:val="17"/>
          <w:color w:val="auto"/>
        </w:rPr>
        <w:t>Mt. Storm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NedPower Mount Storm LLC</w:t>
      </w:r>
    </w:p>
    <w:p>
      <w:pPr>
        <w:spacing w:after="0" w:line="46" w:lineRule="exact"/>
        <w:rPr>
          <w:sz w:val="20"/>
          <w:szCs w:val="20"/>
          <w:color w:val="auto"/>
        </w:rPr>
      </w:pPr>
    </w:p>
    <w:p>
      <w:pPr>
        <w:sectPr>
          <w:pgSz w:w="11900" w:h="16838" w:orient="portrait"/>
          <w:cols w:equalWidth="0" w:num="2">
            <w:col w:w="2180" w:space="720"/>
            <w:col w:w="8300"/>
          </w:cols>
          <w:pgMar w:left="340" w:top="935" w:right="359" w:bottom="1440" w:gutter="0" w:footer="0" w:header="0"/>
          <w:type w:val="continuous"/>
        </w:sectPr>
      </w:pPr>
    </w:p>
    <w:p>
      <w:pPr>
        <w:spacing w:after="0"/>
        <w:rPr>
          <w:sz w:val="20"/>
          <w:szCs w:val="20"/>
          <w:color w:val="auto"/>
        </w:rPr>
      </w:pPr>
      <w:r>
        <w:rPr>
          <w:rFonts w:ascii="Arial" w:cs="Arial" w:eastAsia="Arial" w:hAnsi="Arial"/>
          <w:sz w:val="18"/>
          <w:szCs w:val="18"/>
          <w:color w:val="auto"/>
        </w:rPr>
        <w:t>MW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Megawatt</w:t>
      </w:r>
    </w:p>
    <w:p>
      <w:pPr>
        <w:spacing w:after="0" w:line="45" w:lineRule="exact"/>
        <w:rPr>
          <w:sz w:val="20"/>
          <w:szCs w:val="20"/>
          <w:color w:val="auto"/>
        </w:rPr>
      </w:pPr>
    </w:p>
    <w:p>
      <w:pPr>
        <w:sectPr>
          <w:pgSz w:w="11900" w:h="16838" w:orient="portrait"/>
          <w:cols w:equalWidth="0" w:num="2">
            <w:col w:w="2180" w:space="720"/>
            <w:col w:w="8300"/>
          </w:cols>
          <w:pgMar w:left="340" w:top="935" w:right="359" w:bottom="1440" w:gutter="0" w:footer="0" w:header="0"/>
          <w:type w:val="continuous"/>
        </w:sectPr>
      </w:pPr>
    </w:p>
    <w:p>
      <w:pPr>
        <w:spacing w:after="0"/>
        <w:rPr>
          <w:sz w:val="20"/>
          <w:szCs w:val="20"/>
          <w:color w:val="auto"/>
        </w:rPr>
      </w:pPr>
      <w:r>
        <w:rPr>
          <w:rFonts w:ascii="Arial" w:cs="Arial" w:eastAsia="Arial" w:hAnsi="Arial"/>
          <w:sz w:val="18"/>
          <w:szCs w:val="18"/>
          <w:color w:val="auto"/>
        </w:rPr>
        <w:t>MWh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Saleable megawatt hours, net of internal/parasitic load megawatt-hours</w:t>
      </w:r>
    </w:p>
    <w:p>
      <w:pPr>
        <w:spacing w:after="0" w:line="57" w:lineRule="exact"/>
        <w:rPr>
          <w:sz w:val="20"/>
          <w:szCs w:val="20"/>
          <w:color w:val="auto"/>
        </w:rPr>
      </w:pPr>
    </w:p>
    <w:p>
      <w:pPr>
        <w:sectPr>
          <w:pgSz w:w="11900" w:h="16838" w:orient="portrait"/>
          <w:cols w:equalWidth="0" w:num="2">
            <w:col w:w="2180" w:space="720"/>
            <w:col w:w="8300"/>
          </w:cols>
          <w:pgMar w:left="340" w:top="935" w:right="359" w:bottom="1440" w:gutter="0" w:footer="0" w:header="0"/>
          <w:type w:val="continuous"/>
        </w:sectPr>
      </w:pPr>
    </w:p>
    <w:p>
      <w:pPr>
        <w:spacing w:after="0"/>
        <w:rPr>
          <w:sz w:val="20"/>
          <w:szCs w:val="20"/>
          <w:color w:val="auto"/>
        </w:rPr>
      </w:pPr>
      <w:r>
        <w:rPr>
          <w:rFonts w:ascii="Arial" w:cs="Arial" w:eastAsia="Arial" w:hAnsi="Arial"/>
          <w:sz w:val="18"/>
          <w:szCs w:val="18"/>
          <w:color w:val="auto"/>
        </w:rPr>
        <w:t>MWt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Megawatts Thermal Equivalent</w:t>
      </w:r>
    </w:p>
    <w:p>
      <w:pPr>
        <w:spacing w:after="0" w:line="45" w:lineRule="exact"/>
        <w:rPr>
          <w:sz w:val="20"/>
          <w:szCs w:val="20"/>
          <w:color w:val="auto"/>
        </w:rPr>
      </w:pPr>
    </w:p>
    <w:p>
      <w:pPr>
        <w:sectPr>
          <w:pgSz w:w="11900" w:h="16838" w:orient="portrait"/>
          <w:cols w:equalWidth="0" w:num="2">
            <w:col w:w="2180" w:space="720"/>
            <w:col w:w="8300"/>
          </w:cols>
          <w:pgMar w:left="340" w:top="935" w:right="359" w:bottom="1440" w:gutter="0" w:footer="0" w:header="0"/>
          <w:type w:val="continuous"/>
        </w:sectPr>
      </w:pPr>
    </w:p>
    <w:p>
      <w:pPr>
        <w:spacing w:after="0"/>
        <w:rPr>
          <w:sz w:val="20"/>
          <w:szCs w:val="20"/>
          <w:color w:val="auto"/>
        </w:rPr>
      </w:pPr>
      <w:r>
        <w:rPr>
          <w:rFonts w:ascii="Arial" w:cs="Arial" w:eastAsia="Arial" w:hAnsi="Arial"/>
          <w:sz w:val="16"/>
          <w:szCs w:val="16"/>
          <w:color w:val="auto"/>
        </w:rPr>
        <w:t>Net Exposure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Counterparty credit exposure to Clearway, Inc. net of collateral</w:t>
      </w:r>
    </w:p>
    <w:p>
      <w:pPr>
        <w:spacing w:after="0" w:line="46" w:lineRule="exact"/>
        <w:rPr>
          <w:sz w:val="20"/>
          <w:szCs w:val="20"/>
          <w:color w:val="auto"/>
        </w:rPr>
      </w:pPr>
    </w:p>
    <w:p>
      <w:pPr>
        <w:sectPr>
          <w:pgSz w:w="11900" w:h="16838" w:orient="portrait"/>
          <w:cols w:equalWidth="0" w:num="2">
            <w:col w:w="2180" w:space="720"/>
            <w:col w:w="8300"/>
          </w:cols>
          <w:pgMar w:left="340" w:top="935" w:right="359" w:bottom="1440" w:gutter="0" w:footer="0" w:header="0"/>
          <w:type w:val="continuous"/>
        </w:sectPr>
      </w:pPr>
    </w:p>
    <w:p>
      <w:pPr>
        <w:spacing w:after="0"/>
        <w:rPr>
          <w:sz w:val="20"/>
          <w:szCs w:val="20"/>
          <w:color w:val="auto"/>
        </w:rPr>
      </w:pPr>
      <w:r>
        <w:rPr>
          <w:rFonts w:ascii="Arial" w:cs="Arial" w:eastAsia="Arial" w:hAnsi="Arial"/>
          <w:sz w:val="16"/>
          <w:szCs w:val="16"/>
          <w:color w:val="auto"/>
        </w:rPr>
        <w:t>NPNS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Normal Purchases and Normal Sales</w:t>
      </w:r>
    </w:p>
    <w:p>
      <w:pPr>
        <w:spacing w:after="0" w:line="58" w:lineRule="exact"/>
        <w:rPr>
          <w:sz w:val="20"/>
          <w:szCs w:val="20"/>
          <w:color w:val="auto"/>
        </w:rPr>
      </w:pPr>
    </w:p>
    <w:p>
      <w:pPr>
        <w:sectPr>
          <w:pgSz w:w="11900" w:h="16838" w:orient="portrait"/>
          <w:cols w:equalWidth="0" w:num="2">
            <w:col w:w="2180" w:space="720"/>
            <w:col w:w="8300"/>
          </w:cols>
          <w:pgMar w:left="340" w:top="935" w:right="359" w:bottom="1440" w:gutter="0" w:footer="0" w:header="0"/>
          <w:type w:val="continuous"/>
        </w:sectPr>
      </w:pPr>
    </w:p>
    <w:p>
      <w:pPr>
        <w:spacing w:after="0"/>
        <w:rPr>
          <w:sz w:val="20"/>
          <w:szCs w:val="20"/>
          <w:color w:val="auto"/>
        </w:rPr>
      </w:pPr>
      <w:r>
        <w:rPr>
          <w:rFonts w:ascii="Arial" w:cs="Arial" w:eastAsia="Arial" w:hAnsi="Arial"/>
          <w:sz w:val="17"/>
          <w:szCs w:val="17"/>
          <w:color w:val="auto"/>
        </w:rPr>
        <w:t>OCI/OCL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Other comprehensive income/loss</w:t>
      </w:r>
    </w:p>
    <w:p>
      <w:pPr>
        <w:spacing w:after="0" w:line="46" w:lineRule="exact"/>
        <w:rPr>
          <w:sz w:val="20"/>
          <w:szCs w:val="20"/>
          <w:color w:val="auto"/>
        </w:rPr>
      </w:pPr>
    </w:p>
    <w:p>
      <w:pPr>
        <w:sectPr>
          <w:pgSz w:w="11900" w:h="16838" w:orient="portrait"/>
          <w:cols w:equalWidth="0" w:num="2">
            <w:col w:w="2180" w:space="720"/>
            <w:col w:w="8300"/>
          </w:cols>
          <w:pgMar w:left="340" w:top="935" w:right="359" w:bottom="1440" w:gutter="0" w:footer="0" w:header="0"/>
          <w:type w:val="continuous"/>
        </w:sectPr>
      </w:pPr>
    </w:p>
    <w:p>
      <w:pPr>
        <w:spacing w:after="0"/>
        <w:rPr>
          <w:sz w:val="20"/>
          <w:szCs w:val="20"/>
          <w:color w:val="auto"/>
        </w:rPr>
      </w:pPr>
      <w:r>
        <w:rPr>
          <w:rFonts w:ascii="Arial" w:cs="Arial" w:eastAsia="Arial" w:hAnsi="Arial"/>
          <w:sz w:val="18"/>
          <w:szCs w:val="18"/>
          <w:color w:val="auto"/>
        </w:rPr>
        <w:t>O&amp;M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Operations and Maintenance</w:t>
      </w:r>
    </w:p>
    <w:p>
      <w:pPr>
        <w:spacing w:after="0" w:line="45" w:lineRule="exact"/>
        <w:rPr>
          <w:sz w:val="20"/>
          <w:szCs w:val="20"/>
          <w:color w:val="auto"/>
        </w:rPr>
      </w:pPr>
    </w:p>
    <w:p>
      <w:pPr>
        <w:sectPr>
          <w:pgSz w:w="11900" w:h="16838" w:orient="portrait"/>
          <w:cols w:equalWidth="0" w:num="2">
            <w:col w:w="2180" w:space="720"/>
            <w:col w:w="8300"/>
          </w:cols>
          <w:pgMar w:left="340" w:top="935" w:right="359" w:bottom="1440" w:gutter="0" w:footer="0" w:header="0"/>
          <w:type w:val="continuous"/>
        </w:sectPr>
      </w:pPr>
    </w:p>
    <w:p>
      <w:pPr>
        <w:spacing w:after="0"/>
        <w:rPr>
          <w:sz w:val="20"/>
          <w:szCs w:val="20"/>
          <w:color w:val="auto"/>
        </w:rPr>
      </w:pPr>
      <w:r>
        <w:rPr>
          <w:rFonts w:ascii="Arial" w:cs="Arial" w:eastAsia="Arial" w:hAnsi="Arial"/>
          <w:sz w:val="17"/>
          <w:szCs w:val="17"/>
          <w:color w:val="auto"/>
        </w:rPr>
        <w:t>PG&amp;E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Pacific Gas and Electric Company</w:t>
      </w:r>
    </w:p>
    <w:p>
      <w:pPr>
        <w:spacing w:after="0" w:line="58" w:lineRule="exact"/>
        <w:rPr>
          <w:sz w:val="20"/>
          <w:szCs w:val="20"/>
          <w:color w:val="auto"/>
        </w:rPr>
      </w:pPr>
    </w:p>
    <w:p>
      <w:pPr>
        <w:sectPr>
          <w:pgSz w:w="11900" w:h="16838" w:orient="portrait"/>
          <w:cols w:equalWidth="0" w:num="2">
            <w:col w:w="2180" w:space="720"/>
            <w:col w:w="8300"/>
          </w:cols>
          <w:pgMar w:left="340" w:top="935" w:right="359" w:bottom="1440" w:gutter="0" w:footer="0" w:header="0"/>
          <w:type w:val="continuous"/>
        </w:sectPr>
      </w:pPr>
    </w:p>
    <w:p>
      <w:pPr>
        <w:spacing w:after="0"/>
        <w:rPr>
          <w:sz w:val="20"/>
          <w:szCs w:val="20"/>
          <w:color w:val="auto"/>
        </w:rPr>
      </w:pPr>
      <w:r>
        <w:rPr>
          <w:rFonts w:ascii="Arial" w:cs="Arial" w:eastAsia="Arial" w:hAnsi="Arial"/>
          <w:sz w:val="15"/>
          <w:szCs w:val="15"/>
          <w:color w:val="auto"/>
        </w:rPr>
        <w:t>PPA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Power Purchase Agreement</w:t>
      </w:r>
    </w:p>
    <w:p>
      <w:pPr>
        <w:spacing w:after="0" w:line="58" w:lineRule="exact"/>
        <w:rPr>
          <w:sz w:val="20"/>
          <w:szCs w:val="20"/>
          <w:color w:val="auto"/>
        </w:rPr>
      </w:pPr>
    </w:p>
    <w:p>
      <w:pPr>
        <w:sectPr>
          <w:pgSz w:w="11900" w:h="16838" w:orient="portrait"/>
          <w:cols w:equalWidth="0" w:num="2">
            <w:col w:w="2180" w:space="720"/>
            <w:col w:w="8300"/>
          </w:cols>
          <w:pgMar w:left="340" w:top="935" w:right="359" w:bottom="1440" w:gutter="0" w:footer="0" w:header="0"/>
          <w:type w:val="continuous"/>
        </w:sectPr>
      </w:pPr>
    </w:p>
    <w:p>
      <w:pPr>
        <w:spacing w:after="0"/>
        <w:rPr>
          <w:sz w:val="20"/>
          <w:szCs w:val="20"/>
          <w:color w:val="auto"/>
        </w:rPr>
      </w:pPr>
      <w:r>
        <w:rPr>
          <w:rFonts w:ascii="Arial" w:cs="Arial" w:eastAsia="Arial" w:hAnsi="Arial"/>
          <w:sz w:val="18"/>
          <w:szCs w:val="18"/>
          <w:color w:val="auto"/>
        </w:rPr>
        <w:t>RA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Resource adequacy</w:t>
      </w:r>
    </w:p>
    <w:p>
      <w:pPr>
        <w:spacing w:after="0" w:line="57" w:lineRule="exact"/>
        <w:rPr>
          <w:sz w:val="20"/>
          <w:szCs w:val="20"/>
          <w:color w:val="auto"/>
        </w:rPr>
      </w:pPr>
    </w:p>
    <w:p>
      <w:pPr>
        <w:sectPr>
          <w:pgSz w:w="11900" w:h="16838" w:orient="portrait"/>
          <w:cols w:equalWidth="0" w:num="2">
            <w:col w:w="2180" w:space="720"/>
            <w:col w:w="8300"/>
          </w:cols>
          <w:pgMar w:left="340" w:top="935" w:right="359" w:bottom="1440" w:gutter="0" w:footer="0" w:header="0"/>
          <w:type w:val="continuous"/>
        </w:sectPr>
      </w:pPr>
    </w:p>
    <w:p>
      <w:pPr>
        <w:spacing w:after="0"/>
        <w:rPr>
          <w:sz w:val="20"/>
          <w:szCs w:val="20"/>
          <w:color w:val="auto"/>
        </w:rPr>
      </w:pPr>
      <w:r>
        <w:rPr>
          <w:rFonts w:ascii="Arial" w:cs="Arial" w:eastAsia="Arial" w:hAnsi="Arial"/>
          <w:sz w:val="17"/>
          <w:szCs w:val="17"/>
          <w:color w:val="auto"/>
        </w:rPr>
        <w:t>RENOM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Clearway Renewable Operation &amp; Maintenance LLC</w:t>
      </w:r>
    </w:p>
    <w:p>
      <w:pPr>
        <w:spacing w:after="0" w:line="58" w:lineRule="exact"/>
        <w:rPr>
          <w:sz w:val="20"/>
          <w:szCs w:val="20"/>
          <w:color w:val="auto"/>
        </w:rPr>
      </w:pPr>
    </w:p>
    <w:p>
      <w:pPr>
        <w:sectPr>
          <w:pgSz w:w="11900" w:h="16838" w:orient="portrait"/>
          <w:cols w:equalWidth="0" w:num="2">
            <w:col w:w="2180" w:space="720"/>
            <w:col w:w="8300"/>
          </w:cols>
          <w:pgMar w:left="340" w:top="935" w:right="359" w:bottom="1440" w:gutter="0" w:footer="0" w:header="0"/>
          <w:type w:val="continuous"/>
        </w:sectPr>
      </w:pPr>
    </w:p>
    <w:p>
      <w:pPr>
        <w:spacing w:after="0"/>
        <w:rPr>
          <w:sz w:val="20"/>
          <w:szCs w:val="20"/>
          <w:color w:val="auto"/>
        </w:rPr>
      </w:pPr>
      <w:r>
        <w:rPr>
          <w:rFonts w:ascii="Arial" w:cs="Arial" w:eastAsia="Arial" w:hAnsi="Arial"/>
          <w:sz w:val="16"/>
          <w:szCs w:val="16"/>
          <w:color w:val="auto"/>
        </w:rPr>
        <w:t>Rosie Central BESS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Rosie BESS Devco LLC</w:t>
      </w:r>
    </w:p>
    <w:p>
      <w:pPr>
        <w:spacing w:after="0" w:line="46" w:lineRule="exact"/>
        <w:rPr>
          <w:sz w:val="20"/>
          <w:szCs w:val="20"/>
          <w:color w:val="auto"/>
        </w:rPr>
      </w:pPr>
    </w:p>
    <w:p>
      <w:pPr>
        <w:sectPr>
          <w:pgSz w:w="11900" w:h="16838" w:orient="portrait"/>
          <w:cols w:equalWidth="0" w:num="2">
            <w:col w:w="2180" w:space="720"/>
            <w:col w:w="8300"/>
          </w:cols>
          <w:pgMar w:left="340" w:top="935" w:right="359" w:bottom="1440" w:gutter="0" w:footer="0" w:header="0"/>
          <w:type w:val="continuous"/>
        </w:sectPr>
      </w:pPr>
    </w:p>
    <w:p>
      <w:pPr>
        <w:spacing w:after="0"/>
        <w:rPr>
          <w:sz w:val="20"/>
          <w:szCs w:val="20"/>
          <w:color w:val="auto"/>
        </w:rPr>
      </w:pPr>
      <w:r>
        <w:rPr>
          <w:rFonts w:ascii="Arial" w:cs="Arial" w:eastAsia="Arial" w:hAnsi="Arial"/>
          <w:sz w:val="16"/>
          <w:szCs w:val="16"/>
          <w:color w:val="auto"/>
        </w:rPr>
        <w:t>SCE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Southern California Edison</w:t>
      </w:r>
    </w:p>
    <w:p>
      <w:pPr>
        <w:spacing w:after="0" w:line="46" w:lineRule="exact"/>
        <w:rPr>
          <w:sz w:val="20"/>
          <w:szCs w:val="20"/>
          <w:color w:val="auto"/>
        </w:rPr>
      </w:pPr>
    </w:p>
    <w:p>
      <w:pPr>
        <w:sectPr>
          <w:pgSz w:w="11900" w:h="16838" w:orient="portrait"/>
          <w:cols w:equalWidth="0" w:num="2">
            <w:col w:w="2180" w:space="720"/>
            <w:col w:w="8300"/>
          </w:cols>
          <w:pgMar w:left="340" w:top="935" w:right="359" w:bottom="1440" w:gutter="0" w:footer="0" w:header="0"/>
          <w:type w:val="continuous"/>
        </w:sectPr>
      </w:pPr>
    </w:p>
    <w:p>
      <w:pPr>
        <w:spacing w:after="0"/>
        <w:rPr>
          <w:sz w:val="20"/>
          <w:szCs w:val="20"/>
          <w:color w:val="auto"/>
        </w:rPr>
      </w:pPr>
      <w:r>
        <w:rPr>
          <w:rFonts w:ascii="Arial" w:cs="Arial" w:eastAsia="Arial" w:hAnsi="Arial"/>
          <w:sz w:val="16"/>
          <w:szCs w:val="16"/>
          <w:color w:val="auto"/>
        </w:rPr>
        <w:t>SEC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U.S. Securities and Exchange Commission</w:t>
      </w:r>
    </w:p>
    <w:p>
      <w:pPr>
        <w:spacing w:after="0" w:line="58" w:lineRule="exact"/>
        <w:rPr>
          <w:sz w:val="20"/>
          <w:szCs w:val="20"/>
          <w:color w:val="auto"/>
        </w:rPr>
      </w:pPr>
    </w:p>
    <w:p>
      <w:pPr>
        <w:sectPr>
          <w:pgSz w:w="11900" w:h="16838" w:orient="portrait"/>
          <w:cols w:equalWidth="0" w:num="2">
            <w:col w:w="2180" w:space="720"/>
            <w:col w:w="8300"/>
          </w:cols>
          <w:pgMar w:left="340" w:top="935" w:right="359" w:bottom="1440" w:gutter="0" w:footer="0" w:header="0"/>
          <w:type w:val="continuous"/>
        </w:sectPr>
      </w:pPr>
    </w:p>
    <w:p>
      <w:pPr>
        <w:spacing w:after="0"/>
        <w:rPr>
          <w:sz w:val="20"/>
          <w:szCs w:val="20"/>
          <w:color w:val="auto"/>
        </w:rPr>
      </w:pPr>
      <w:r>
        <w:rPr>
          <w:rFonts w:ascii="Arial" w:cs="Arial" w:eastAsia="Arial" w:hAnsi="Arial"/>
          <w:sz w:val="16"/>
          <w:szCs w:val="16"/>
          <w:color w:val="auto"/>
        </w:rPr>
        <w:t>Senior Notes</w:t>
      </w:r>
    </w:p>
    <w:p>
      <w:pPr>
        <w:spacing w:after="0" w:line="20" w:lineRule="exact"/>
        <w:rPr>
          <w:sz w:val="20"/>
          <w:szCs w:val="20"/>
          <w:color w:val="auto"/>
        </w:rPr>
      </w:pPr>
      <w:r>
        <w:rPr>
          <w:sz w:val="20"/>
          <w:szCs w:val="20"/>
          <w:color w:val="auto"/>
        </w:rPr>
        <w:br w:type="column"/>
      </w:r>
    </w:p>
    <w:p>
      <w:pPr>
        <w:jc w:val="center"/>
        <w:ind w:right="2100"/>
        <w:spacing w:after="0"/>
        <w:rPr>
          <w:sz w:val="20"/>
          <w:szCs w:val="20"/>
          <w:color w:val="auto"/>
        </w:rPr>
      </w:pPr>
      <w:r>
        <w:rPr>
          <w:rFonts w:ascii="Arial" w:cs="Arial" w:eastAsia="Arial" w:hAnsi="Arial"/>
          <w:sz w:val="16"/>
          <w:szCs w:val="16"/>
          <w:color w:val="auto"/>
        </w:rPr>
        <w:t>Collectively, the 2028 Senior Notes, the 2031 Senior Notes and the 2032 Senior Notes</w:t>
      </w:r>
    </w:p>
    <w:p>
      <w:pPr>
        <w:spacing w:after="0" w:line="46" w:lineRule="exact"/>
        <w:rPr>
          <w:sz w:val="20"/>
          <w:szCs w:val="20"/>
          <w:color w:val="auto"/>
        </w:rPr>
      </w:pPr>
    </w:p>
    <w:p>
      <w:pPr>
        <w:sectPr>
          <w:pgSz w:w="11900" w:h="16838" w:orient="portrait"/>
          <w:cols w:equalWidth="0" w:num="2">
            <w:col w:w="2180" w:space="720"/>
            <w:col w:w="8300"/>
          </w:cols>
          <w:pgMar w:left="340" w:top="935" w:right="359" w:bottom="1440" w:gutter="0" w:footer="0" w:header="0"/>
          <w:type w:val="continuous"/>
        </w:sectPr>
      </w:pPr>
    </w:p>
    <w:p>
      <w:pPr>
        <w:spacing w:after="0"/>
        <w:rPr>
          <w:sz w:val="20"/>
          <w:szCs w:val="20"/>
          <w:color w:val="auto"/>
        </w:rPr>
      </w:pPr>
      <w:r>
        <w:rPr>
          <w:rFonts w:ascii="Arial" w:cs="Arial" w:eastAsia="Arial" w:hAnsi="Arial"/>
          <w:sz w:val="16"/>
          <w:szCs w:val="16"/>
          <w:color w:val="auto"/>
        </w:rPr>
        <w:t>SOFR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Secured Overnight Financing Rate</w:t>
      </w:r>
    </w:p>
    <w:p>
      <w:pPr>
        <w:spacing w:after="0" w:line="46" w:lineRule="exact"/>
        <w:rPr>
          <w:sz w:val="20"/>
          <w:szCs w:val="20"/>
          <w:color w:val="auto"/>
        </w:rPr>
      </w:pPr>
    </w:p>
    <w:p>
      <w:pPr>
        <w:sectPr>
          <w:pgSz w:w="11900" w:h="16838" w:orient="portrait"/>
          <w:cols w:equalWidth="0" w:num="2">
            <w:col w:w="2180" w:space="720"/>
            <w:col w:w="8300"/>
          </w:cols>
          <w:pgMar w:left="340" w:top="935" w:right="359" w:bottom="1440" w:gutter="0" w:footer="0" w:header="0"/>
          <w:type w:val="continuous"/>
        </w:sectPr>
      </w:pPr>
    </w:p>
    <w:p>
      <w:pPr>
        <w:spacing w:after="0"/>
        <w:rPr>
          <w:sz w:val="20"/>
          <w:szCs w:val="20"/>
          <w:color w:val="auto"/>
        </w:rPr>
      </w:pPr>
      <w:r>
        <w:rPr>
          <w:rFonts w:ascii="Arial" w:cs="Arial" w:eastAsia="Arial" w:hAnsi="Arial"/>
          <w:sz w:val="13"/>
          <w:szCs w:val="13"/>
          <w:color w:val="auto"/>
        </w:rPr>
        <w:t>SPP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Solar Power Partners</w:t>
      </w:r>
    </w:p>
    <w:p>
      <w:pPr>
        <w:spacing w:after="0" w:line="70" w:lineRule="exact"/>
        <w:rPr>
          <w:sz w:val="20"/>
          <w:szCs w:val="20"/>
          <w:color w:val="auto"/>
        </w:rPr>
      </w:pPr>
    </w:p>
    <w:p>
      <w:pPr>
        <w:sectPr>
          <w:pgSz w:w="11900" w:h="16838" w:orient="portrait"/>
          <w:cols w:equalWidth="0" w:num="2">
            <w:col w:w="2180" w:space="720"/>
            <w:col w:w="8300"/>
          </w:cols>
          <w:pgMar w:left="340" w:top="935" w:right="359" w:bottom="1440" w:gutter="0" w:footer="0" w:header="0"/>
          <w:type w:val="continuous"/>
        </w:sectPr>
      </w:pPr>
    </w:p>
    <w:p>
      <w:pPr>
        <w:spacing w:after="0"/>
        <w:rPr>
          <w:sz w:val="20"/>
          <w:szCs w:val="20"/>
          <w:color w:val="auto"/>
        </w:rPr>
      </w:pPr>
      <w:r>
        <w:rPr>
          <w:rFonts w:ascii="Arial" w:cs="Arial" w:eastAsia="Arial" w:hAnsi="Arial"/>
          <w:sz w:val="16"/>
          <w:szCs w:val="16"/>
          <w:color w:val="auto"/>
        </w:rPr>
        <w:t>SREC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Solar Renewable Energy Credit</w:t>
      </w:r>
    </w:p>
    <w:p>
      <w:pPr>
        <w:spacing w:after="0" w:line="46" w:lineRule="exact"/>
        <w:rPr>
          <w:sz w:val="20"/>
          <w:szCs w:val="20"/>
          <w:color w:val="auto"/>
        </w:rPr>
      </w:pPr>
    </w:p>
    <w:p>
      <w:pPr>
        <w:sectPr>
          <w:pgSz w:w="11900" w:h="16838" w:orient="portrait"/>
          <w:cols w:equalWidth="0" w:num="2">
            <w:col w:w="2180" w:space="720"/>
            <w:col w:w="8300"/>
          </w:cols>
          <w:pgMar w:left="340" w:top="935" w:right="359" w:bottom="1440" w:gutter="0" w:footer="0" w:header="0"/>
          <w:type w:val="continuous"/>
        </w:sectPr>
      </w:pPr>
    </w:p>
    <w:p>
      <w:pPr>
        <w:spacing w:after="0"/>
        <w:rPr>
          <w:sz w:val="20"/>
          <w:szCs w:val="20"/>
          <w:color w:val="auto"/>
        </w:rPr>
      </w:pPr>
      <w:r>
        <w:rPr>
          <w:rFonts w:ascii="Arial" w:cs="Arial" w:eastAsia="Arial" w:hAnsi="Arial"/>
          <w:sz w:val="16"/>
          <w:szCs w:val="16"/>
          <w:color w:val="auto"/>
        </w:rPr>
        <w:t>Thermal Business</w:t>
      </w:r>
    </w:p>
    <w:p>
      <w:pPr>
        <w:spacing w:after="0" w:line="20" w:lineRule="exact"/>
        <w:rPr>
          <w:sz w:val="20"/>
          <w:szCs w:val="20"/>
          <w:color w:val="auto"/>
        </w:rPr>
      </w:pPr>
      <w:r>
        <w:rPr>
          <w:sz w:val="20"/>
          <w:szCs w:val="20"/>
          <w:color w:val="auto"/>
        </w:rPr>
        <w:br w:type="column"/>
      </w:r>
    </w:p>
    <w:p>
      <w:pPr>
        <w:jc w:val="both"/>
        <w:spacing w:after="0" w:line="229" w:lineRule="auto"/>
        <w:rPr>
          <w:sz w:val="20"/>
          <w:szCs w:val="20"/>
          <w:color w:val="auto"/>
        </w:rPr>
      </w:pPr>
      <w:r>
        <w:rPr>
          <w:rFonts w:ascii="Arial" w:cs="Arial" w:eastAsia="Arial" w:hAnsi="Arial"/>
          <w:sz w:val="18"/>
          <w:szCs w:val="18"/>
          <w:color w:val="auto"/>
        </w:rPr>
        <w:t>The Company’s thermal business, which consists of thermal infrastructure assets that provide steam, hot water and/or chilled water, and in some instances electricity, to commercial businesses, universities, hospitals and governmental units</w:t>
      </w:r>
    </w:p>
    <w:p>
      <w:pPr>
        <w:spacing w:after="0" w:line="2" w:lineRule="exact"/>
        <w:rPr>
          <w:sz w:val="20"/>
          <w:szCs w:val="20"/>
          <w:color w:val="auto"/>
        </w:rPr>
      </w:pPr>
    </w:p>
    <w:p>
      <w:pPr>
        <w:sectPr>
          <w:pgSz w:w="11900" w:h="16838" w:orient="portrait"/>
          <w:cols w:equalWidth="0" w:num="2">
            <w:col w:w="2180" w:space="720"/>
            <w:col w:w="8300"/>
          </w:cols>
          <w:pgMar w:left="340" w:top="935" w:right="359" w:bottom="1440" w:gutter="0" w:footer="0" w:header="0"/>
          <w:type w:val="continuous"/>
        </w:sectPr>
      </w:pPr>
    </w:p>
    <w:p>
      <w:pPr>
        <w:spacing w:after="0"/>
        <w:rPr>
          <w:sz w:val="20"/>
          <w:szCs w:val="20"/>
          <w:color w:val="auto"/>
        </w:rPr>
      </w:pPr>
      <w:r>
        <w:rPr>
          <w:rFonts w:ascii="Arial" w:cs="Arial" w:eastAsia="Arial" w:hAnsi="Arial"/>
          <w:sz w:val="16"/>
          <w:szCs w:val="16"/>
          <w:color w:val="auto"/>
        </w:rPr>
        <w:t>TotalEnergies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TotalEnergies SE</w:t>
      </w:r>
    </w:p>
    <w:p>
      <w:pPr>
        <w:spacing w:after="0" w:line="57" w:lineRule="exact"/>
        <w:rPr>
          <w:sz w:val="20"/>
          <w:szCs w:val="20"/>
          <w:color w:val="auto"/>
        </w:rPr>
      </w:pPr>
    </w:p>
    <w:p>
      <w:pPr>
        <w:sectPr>
          <w:pgSz w:w="11900" w:h="16838" w:orient="portrait"/>
          <w:cols w:equalWidth="0" w:num="2">
            <w:col w:w="2180" w:space="720"/>
            <w:col w:w="8300"/>
          </w:cols>
          <w:pgMar w:left="340" w:top="935" w:right="359" w:bottom="1440" w:gutter="0" w:footer="0" w:header="0"/>
          <w:type w:val="continuous"/>
        </w:sectPr>
      </w:pPr>
    </w:p>
    <w:p>
      <w:pPr>
        <w:spacing w:after="0"/>
        <w:rPr>
          <w:sz w:val="20"/>
          <w:szCs w:val="20"/>
          <w:color w:val="auto"/>
        </w:rPr>
      </w:pPr>
      <w:r>
        <w:rPr>
          <w:rFonts w:ascii="Arial" w:cs="Arial" w:eastAsia="Arial" w:hAnsi="Arial"/>
          <w:sz w:val="16"/>
          <w:szCs w:val="16"/>
          <w:color w:val="auto"/>
        </w:rPr>
        <w:t>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United States of America</w:t>
      </w:r>
    </w:p>
    <w:p>
      <w:pPr>
        <w:spacing w:after="0" w:line="58" w:lineRule="exact"/>
        <w:rPr>
          <w:sz w:val="20"/>
          <w:szCs w:val="20"/>
          <w:color w:val="auto"/>
        </w:rPr>
      </w:pPr>
    </w:p>
    <w:p>
      <w:pPr>
        <w:sectPr>
          <w:pgSz w:w="11900" w:h="16838" w:orient="portrait"/>
          <w:cols w:equalWidth="0" w:num="2">
            <w:col w:w="2180" w:space="720"/>
            <w:col w:w="8300"/>
          </w:cols>
          <w:pgMar w:left="340" w:top="935" w:right="359" w:bottom="1440" w:gutter="0" w:footer="0" w:header="0"/>
          <w:type w:val="continuous"/>
        </w:sectPr>
      </w:pPr>
    </w:p>
    <w:p>
      <w:pPr>
        <w:spacing w:after="0"/>
        <w:rPr>
          <w:sz w:val="20"/>
          <w:szCs w:val="20"/>
          <w:color w:val="auto"/>
        </w:rPr>
      </w:pPr>
      <w:r>
        <w:rPr>
          <w:rFonts w:ascii="Arial" w:cs="Arial" w:eastAsia="Arial" w:hAnsi="Arial"/>
          <w:sz w:val="16"/>
          <w:szCs w:val="16"/>
          <w:color w:val="auto"/>
        </w:rPr>
        <w:t>Utah Solar Portfolio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Seven utility-scale solar farms located in Utah, representing 530 MW of capacity</w:t>
      </w:r>
    </w:p>
    <w:p>
      <w:pPr>
        <w:spacing w:after="0" w:line="46" w:lineRule="exact"/>
        <w:rPr>
          <w:sz w:val="20"/>
          <w:szCs w:val="20"/>
          <w:color w:val="auto"/>
        </w:rPr>
      </w:pPr>
    </w:p>
    <w:p>
      <w:pPr>
        <w:sectPr>
          <w:pgSz w:w="11900" w:h="16838" w:orient="portrait"/>
          <w:cols w:equalWidth="0" w:num="2">
            <w:col w:w="2180" w:space="720"/>
            <w:col w:w="8300"/>
          </w:cols>
          <w:pgMar w:left="340" w:top="935" w:right="359" w:bottom="1440" w:gutter="0" w:footer="0" w:header="0"/>
          <w:type w:val="continuous"/>
        </w:sectPr>
      </w:pPr>
    </w:p>
    <w:p>
      <w:pPr>
        <w:spacing w:after="0"/>
        <w:rPr>
          <w:sz w:val="20"/>
          <w:szCs w:val="20"/>
          <w:color w:val="auto"/>
        </w:rPr>
      </w:pPr>
      <w:r>
        <w:rPr>
          <w:rFonts w:ascii="Arial" w:cs="Arial" w:eastAsia="Arial" w:hAnsi="Arial"/>
          <w:sz w:val="17"/>
          <w:szCs w:val="17"/>
          <w:color w:val="auto"/>
        </w:rPr>
        <w:t>Utility Scale Solar</w:t>
      </w:r>
    </w:p>
    <w:p>
      <w:pPr>
        <w:spacing w:after="0" w:line="20" w:lineRule="exact"/>
        <w:rPr>
          <w:sz w:val="20"/>
          <w:szCs w:val="20"/>
          <w:color w:val="auto"/>
        </w:rPr>
      </w:pPr>
      <w:r>
        <w:rPr>
          <w:sz w:val="20"/>
          <w:szCs w:val="20"/>
          <w:color w:val="auto"/>
        </w:rPr>
        <w:br w:type="column"/>
      </w:r>
    </w:p>
    <w:p>
      <w:pPr>
        <w:spacing w:after="0" w:line="234" w:lineRule="auto"/>
        <w:rPr>
          <w:sz w:val="20"/>
          <w:szCs w:val="20"/>
          <w:color w:val="auto"/>
        </w:rPr>
      </w:pPr>
      <w:r>
        <w:rPr>
          <w:rFonts w:ascii="Arial" w:cs="Arial" w:eastAsia="Arial" w:hAnsi="Arial"/>
          <w:sz w:val="18"/>
          <w:szCs w:val="18"/>
          <w:color w:val="auto"/>
        </w:rPr>
        <w:t>Solar power projects, typically 20 MW or greater in size (on an alternating current, or AC, basis), that are interconnected into the transmission or distribution grid to sell power at a wholesale level</w:t>
      </w:r>
    </w:p>
    <w:p>
      <w:pPr>
        <w:spacing w:after="0" w:line="14" w:lineRule="exact"/>
        <w:rPr>
          <w:sz w:val="20"/>
          <w:szCs w:val="20"/>
          <w:color w:val="auto"/>
        </w:rPr>
      </w:pPr>
    </w:p>
    <w:p>
      <w:pPr>
        <w:sectPr>
          <w:pgSz w:w="11900" w:h="16838" w:orient="portrait"/>
          <w:cols w:equalWidth="0" w:num="2">
            <w:col w:w="2180" w:space="720"/>
            <w:col w:w="8300"/>
          </w:cols>
          <w:pgMar w:left="340" w:top="935" w:right="359" w:bottom="1440" w:gutter="0" w:footer="0" w:header="0"/>
          <w:type w:val="continuous"/>
        </w:sectPr>
      </w:pPr>
    </w:p>
    <w:p>
      <w:pPr>
        <w:spacing w:after="0"/>
        <w:rPr>
          <w:sz w:val="20"/>
          <w:szCs w:val="20"/>
          <w:color w:val="auto"/>
        </w:rPr>
      </w:pPr>
      <w:r>
        <w:rPr>
          <w:rFonts w:ascii="Arial" w:cs="Arial" w:eastAsia="Arial" w:hAnsi="Arial"/>
          <w:sz w:val="18"/>
          <w:szCs w:val="18"/>
          <w:color w:val="auto"/>
        </w:rPr>
        <w:t>VIE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Variable Interest Entity</w:t>
      </w:r>
    </w:p>
    <w:p>
      <w:pPr>
        <w:spacing w:after="0" w:line="222" w:lineRule="exact"/>
        <w:rPr>
          <w:sz w:val="20"/>
          <w:szCs w:val="20"/>
          <w:color w:val="auto"/>
        </w:rPr>
      </w:pPr>
    </w:p>
    <w:p>
      <w:pPr>
        <w:sectPr>
          <w:pgSz w:w="11900" w:h="16838" w:orient="portrait"/>
          <w:cols w:equalWidth="0" w:num="2">
            <w:col w:w="2180" w:space="720"/>
            <w:col w:w="8300"/>
          </w:cols>
          <w:pgMar w:left="340" w:top="935"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107315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935" w:right="35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CLEARWAY ENERGY LLC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20" w:type="dxa"/>
            <w:vAlign w:val="bottom"/>
            <w:gridSpan w:val="4"/>
          </w:tcPr>
          <w:p>
            <w:pPr>
              <w:jc w:val="right"/>
              <w:ind w:right="411"/>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00" w:type="dxa"/>
            <w:vAlign w:val="bottom"/>
            <w:gridSpan w:val="4"/>
          </w:tcPr>
          <w:p>
            <w:pPr>
              <w:jc w:val="right"/>
              <w:ind w:right="49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
        </w:trPr>
        <w:tc>
          <w:tcPr>
            <w:tcW w:w="54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5440" w:type="dxa"/>
            <w:vAlign w:val="bottom"/>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4"/>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tcPr>
          <w:p>
            <w:pPr>
              <w:ind w:left="220"/>
              <w:spacing w:after="0"/>
              <w:rPr>
                <w:sz w:val="20"/>
                <w:szCs w:val="20"/>
                <w:color w:val="auto"/>
              </w:rPr>
            </w:pPr>
            <w:r>
              <w:rPr>
                <w:rFonts w:ascii="Arial" w:cs="Arial" w:eastAsia="Arial" w:hAnsi="Arial"/>
                <w:sz w:val="18"/>
                <w:szCs w:val="18"/>
                <w:color w:val="auto"/>
              </w:rPr>
              <w:t>Total operating revenues</w:t>
            </w:r>
          </w:p>
        </w:tc>
        <w:tc>
          <w:tcPr>
            <w:tcW w:w="300" w:type="dxa"/>
            <w:vAlign w:val="bottom"/>
          </w:tcPr>
          <w:p>
            <w:pPr>
              <w:jc w:val="right"/>
              <w:ind w:right="110"/>
              <w:spacing w:after="0"/>
              <w:rPr>
                <w:sz w:val="20"/>
                <w:szCs w:val="20"/>
                <w:color w:val="auto"/>
              </w:rPr>
            </w:pPr>
            <w:r>
              <w:rPr>
                <w:rFonts w:ascii="Arial" w:cs="Arial" w:eastAsia="Arial" w:hAnsi="Arial"/>
                <w:sz w:val="18"/>
                <w:szCs w:val="18"/>
                <w:color w:val="474747"/>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474747"/>
              </w:rPr>
              <w:t>406</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368</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694</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23"/>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Costs and Expenses</w:t>
            </w:r>
          </w:p>
        </w:tc>
        <w:tc>
          <w:tcPr>
            <w:tcW w:w="3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5440" w:type="dxa"/>
            <w:vAlign w:val="bottom"/>
          </w:tcPr>
          <w:p>
            <w:pPr>
              <w:ind w:left="140"/>
              <w:spacing w:after="0" w:line="189" w:lineRule="exact"/>
              <w:rPr>
                <w:sz w:val="20"/>
                <w:szCs w:val="20"/>
                <w:color w:val="auto"/>
              </w:rPr>
            </w:pPr>
            <w:r>
              <w:rPr>
                <w:rFonts w:ascii="Arial" w:cs="Arial" w:eastAsia="Arial" w:hAnsi="Arial"/>
                <w:sz w:val="18"/>
                <w:szCs w:val="18"/>
                <w:color w:val="auto"/>
                <w:w w:val="91"/>
              </w:rPr>
              <w:t>Cost of operations, exclusive of depreciation, amortization and accretion</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300"/>
              <w:spacing w:after="0"/>
              <w:rPr>
                <w:sz w:val="20"/>
                <w:szCs w:val="20"/>
                <w:color w:val="auto"/>
              </w:rPr>
            </w:pPr>
            <w:r>
              <w:rPr>
                <w:rFonts w:ascii="Arial" w:cs="Arial" w:eastAsia="Arial" w:hAnsi="Arial"/>
                <w:sz w:val="18"/>
                <w:szCs w:val="18"/>
                <w:color w:val="auto"/>
              </w:rPr>
              <w:t>shown separately below</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474747"/>
              </w:rPr>
              <w:t>118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amortization and accretion</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474747"/>
              </w:rPr>
              <w:t>128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37"/>
        </w:trPr>
        <w:tc>
          <w:tcPr>
            <w:tcW w:w="5440" w:type="dxa"/>
            <w:vAlign w:val="bottom"/>
          </w:tcPr>
          <w:p>
            <w:pPr>
              <w:ind w:left="14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474747"/>
              </w:rPr>
              <w:t>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6"/>
        </w:trPr>
        <w:tc>
          <w:tcPr>
            <w:tcW w:w="5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Transaction and integration costs</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474747"/>
              </w:rPr>
              <w:t>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5440" w:type="dxa"/>
            <w:vAlign w:val="bottom"/>
          </w:tcPr>
          <w:p>
            <w:pPr>
              <w:ind w:left="140"/>
              <w:spacing w:after="0"/>
              <w:rPr>
                <w:sz w:val="20"/>
                <w:szCs w:val="20"/>
                <w:color w:val="auto"/>
              </w:rPr>
            </w:pPr>
            <w:r>
              <w:rPr>
                <w:rFonts w:ascii="Arial" w:cs="Arial" w:eastAsia="Arial" w:hAnsi="Arial"/>
                <w:sz w:val="18"/>
                <w:szCs w:val="18"/>
                <w:color w:val="auto"/>
              </w:rPr>
              <w:t>Development costs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474747"/>
              </w:rPr>
              <w:t>—</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6"/>
        </w:trPr>
        <w:tc>
          <w:tcPr>
            <w:tcW w:w="5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operating costs and expenses</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474747"/>
              </w:rPr>
              <w:t>257</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30"/>
        </w:trPr>
        <w:tc>
          <w:tcPr>
            <w:tcW w:w="54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Gain on sale of business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474747"/>
              </w:rPr>
              <w:t>—</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1,291</w:t>
            </w:r>
          </w:p>
        </w:tc>
        <w:tc>
          <w:tcPr>
            <w:tcW w:w="0" w:type="dxa"/>
            <w:vAlign w:val="bottom"/>
          </w:tcPr>
          <w:p>
            <w:pPr>
              <w:spacing w:after="0"/>
              <w:rPr>
                <w:sz w:val="1"/>
                <w:szCs w:val="1"/>
                <w:color w:val="auto"/>
              </w:rPr>
            </w:pPr>
          </w:p>
        </w:tc>
      </w:tr>
      <w:tr>
        <w:trPr>
          <w:trHeight w:val="223"/>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474747"/>
              </w:rPr>
              <w:t>149</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1,408</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1,355</w:t>
            </w:r>
          </w:p>
        </w:tc>
        <w:tc>
          <w:tcPr>
            <w:tcW w:w="0" w:type="dxa"/>
            <w:vAlign w:val="bottom"/>
          </w:tcPr>
          <w:p>
            <w:pPr>
              <w:spacing w:after="0"/>
              <w:rPr>
                <w:sz w:val="1"/>
                <w:szCs w:val="1"/>
                <w:color w:val="auto"/>
              </w:rPr>
            </w:pPr>
          </w:p>
        </w:tc>
      </w:tr>
      <w:tr>
        <w:trPr>
          <w:trHeight w:val="223"/>
        </w:trPr>
        <w:tc>
          <w:tcPr>
            <w:tcW w:w="5440" w:type="dxa"/>
            <w:vAlign w:val="bottom"/>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 in earnings of unconsolidated affiliates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474747"/>
              </w:rPr>
              <w:t>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7"/>
        </w:trPr>
        <w:tc>
          <w:tcPr>
            <w:tcW w:w="5440" w:type="dxa"/>
            <w:vAlign w:val="bottom"/>
          </w:tcPr>
          <w:p>
            <w:pPr>
              <w:ind w:left="140"/>
              <w:spacing w:after="0"/>
              <w:rPr>
                <w:sz w:val="20"/>
                <w:szCs w:val="20"/>
                <w:color w:val="auto"/>
              </w:rPr>
            </w:pPr>
            <w:r>
              <w:rPr>
                <w:rFonts w:ascii="Arial" w:cs="Arial" w:eastAsia="Arial" w:hAnsi="Arial"/>
                <w:sz w:val="18"/>
                <w:szCs w:val="18"/>
                <w:color w:val="auto"/>
              </w:rPr>
              <w:t>Other income, net</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474747"/>
              </w:rPr>
              <w:t>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6"/>
        </w:trPr>
        <w:tc>
          <w:tcPr>
            <w:tcW w:w="5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on debt extinguishment</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474747"/>
              </w:rPr>
              <w:t>—</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544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474747"/>
              </w:rPr>
              <w:t>(55)</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36"/>
        </w:trPr>
        <w:tc>
          <w:tcPr>
            <w:tcW w:w="5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other expense, net</w:t>
            </w:r>
          </w:p>
        </w:tc>
        <w:tc>
          <w:tcPr>
            <w:tcW w:w="3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474747"/>
              </w:rPr>
              <w:t>(43)</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23"/>
        </w:trPr>
        <w:tc>
          <w:tcPr>
            <w:tcW w:w="544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474747"/>
              </w:rPr>
              <w:t>106</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1,376</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1,278</w:t>
            </w:r>
          </w:p>
        </w:tc>
        <w:tc>
          <w:tcPr>
            <w:tcW w:w="0" w:type="dxa"/>
            <w:vAlign w:val="bottom"/>
          </w:tcPr>
          <w:p>
            <w:pPr>
              <w:spacing w:after="0"/>
              <w:rPr>
                <w:sz w:val="1"/>
                <w:szCs w:val="1"/>
                <w:color w:val="auto"/>
              </w:rPr>
            </w:pPr>
          </w:p>
        </w:tc>
      </w:tr>
      <w:tr>
        <w:trPr>
          <w:trHeight w:val="169"/>
        </w:trPr>
        <w:tc>
          <w:tcPr>
            <w:tcW w:w="5440" w:type="dxa"/>
            <w:vAlign w:val="bottom"/>
            <w:shd w:val="clear" w:color="auto" w:fill="CCEEFF"/>
          </w:tcPr>
          <w:p>
            <w:pPr>
              <w:ind w:left="140"/>
              <w:spacing w:after="0" w:line="169" w:lineRule="exact"/>
              <w:rPr>
                <w:sz w:val="20"/>
                <w:szCs w:val="20"/>
                <w:color w:val="auto"/>
              </w:rPr>
            </w:pPr>
            <w:r>
              <w:rPr>
                <w:rFonts w:ascii="Arial" w:cs="Arial" w:eastAsia="Arial" w:hAnsi="Arial"/>
                <w:sz w:val="18"/>
                <w:szCs w:val="18"/>
                <w:color w:val="auto"/>
                <w:w w:val="95"/>
              </w:rPr>
              <w:t>Less: Net loss attributable to noncontrolling interests and redeemable</w:t>
            </w:r>
          </w:p>
        </w:tc>
        <w:tc>
          <w:tcPr>
            <w:tcW w:w="30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474747"/>
              </w:rPr>
              <w:t>—</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noncontrolling interests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Pr>
          <w:p>
            <w:pPr>
              <w:ind w:left="20"/>
              <w:spacing w:after="0"/>
              <w:rPr>
                <w:sz w:val="20"/>
                <w:szCs w:val="20"/>
                <w:color w:val="auto"/>
              </w:rPr>
            </w:pPr>
            <w:r>
              <w:rPr>
                <w:rFonts w:ascii="Arial" w:cs="Arial" w:eastAsia="Arial" w:hAnsi="Arial"/>
                <w:sz w:val="18"/>
                <w:szCs w:val="18"/>
                <w:b w:val="1"/>
                <w:bCs w:val="1"/>
                <w:color w:val="auto"/>
              </w:rPr>
              <w:t>Net Income Attributable to Clearway Energy LLC</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1,382</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1,324</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91" w:right="3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CLEARWAY ENERGY LLC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gridSpan w:val="4"/>
          </w:tcPr>
          <w:p>
            <w:pPr>
              <w:jc w:val="right"/>
              <w:ind w:right="433"/>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00" w:type="dxa"/>
            <w:vAlign w:val="bottom"/>
            <w:gridSpan w:val="4"/>
          </w:tcPr>
          <w:p>
            <w:pPr>
              <w:jc w:val="right"/>
              <w:ind w:right="493"/>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
        </w:trPr>
        <w:tc>
          <w:tcPr>
            <w:tcW w:w="54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5440" w:type="dxa"/>
            <w:vAlign w:val="bottom"/>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8"/>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center"/>
              <w:ind w:left="655"/>
              <w:spacing w:after="0"/>
              <w:rPr>
                <w:sz w:val="20"/>
                <w:szCs w:val="20"/>
                <w:color w:val="auto"/>
              </w:rPr>
            </w:pPr>
            <w:r>
              <w:rPr>
                <w:rFonts w:ascii="Arial" w:cs="Arial" w:eastAsia="Arial" w:hAnsi="Arial"/>
                <w:sz w:val="18"/>
                <w:szCs w:val="18"/>
                <w:color w:val="auto"/>
                <w:w w:val="89"/>
              </w:rPr>
              <w:t>54</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w:t>
            </w:r>
          </w:p>
        </w:tc>
        <w:tc>
          <w:tcPr>
            <w:tcW w:w="0" w:type="dxa"/>
            <w:vAlign w:val="bottom"/>
          </w:tcPr>
          <w:p>
            <w:pPr>
              <w:spacing w:after="0"/>
              <w:rPr>
                <w:sz w:val="1"/>
                <w:szCs w:val="1"/>
                <w:color w:val="auto"/>
              </w:rPr>
            </w:pPr>
          </w:p>
        </w:tc>
      </w:tr>
      <w:tr>
        <w:trPr>
          <w:trHeight w:val="229"/>
        </w:trPr>
        <w:tc>
          <w:tcPr>
            <w:tcW w:w="544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95"/>
              </w:rPr>
              <w:t>Unrealized gain on derivatives and changes in accumulated OCI/OCL</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center"/>
              <w:ind w:left="655"/>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6"/>
        </w:trPr>
        <w:tc>
          <w:tcPr>
            <w:tcW w:w="54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comprehensive income</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left="655"/>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left="655"/>
              <w:spacing w:after="0"/>
              <w:rPr>
                <w:sz w:val="20"/>
                <w:szCs w:val="20"/>
                <w:color w:val="auto"/>
              </w:rPr>
            </w:pPr>
            <w:r>
              <w:rPr>
                <w:rFonts w:ascii="Arial" w:cs="Arial" w:eastAsia="Arial" w:hAnsi="Arial"/>
                <w:sz w:val="18"/>
                <w:szCs w:val="18"/>
                <w:color w:val="auto"/>
                <w:w w:val="89"/>
              </w:rPr>
              <w:t>54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w:t>
            </w:r>
          </w:p>
        </w:tc>
        <w:tc>
          <w:tcPr>
            <w:tcW w:w="0" w:type="dxa"/>
            <w:vAlign w:val="bottom"/>
          </w:tcPr>
          <w:p>
            <w:pPr>
              <w:spacing w:after="0"/>
              <w:rPr>
                <w:sz w:val="1"/>
                <w:szCs w:val="1"/>
                <w:color w:val="auto"/>
              </w:rPr>
            </w:pPr>
          </w:p>
        </w:tc>
      </w:tr>
      <w:tr>
        <w:trPr>
          <w:trHeight w:val="175"/>
        </w:trPr>
        <w:tc>
          <w:tcPr>
            <w:tcW w:w="5440" w:type="dxa"/>
            <w:vAlign w:val="bottom"/>
          </w:tcPr>
          <w:p>
            <w:pPr>
              <w:ind w:left="140"/>
              <w:spacing w:after="0" w:line="176" w:lineRule="exact"/>
              <w:rPr>
                <w:sz w:val="20"/>
                <w:szCs w:val="20"/>
                <w:color w:val="auto"/>
              </w:rPr>
            </w:pPr>
            <w:r>
              <w:rPr>
                <w:rFonts w:ascii="Arial" w:cs="Arial" w:eastAsia="Arial" w:hAnsi="Arial"/>
                <w:sz w:val="18"/>
                <w:szCs w:val="18"/>
                <w:color w:val="auto"/>
              </w:rPr>
              <w:t>Less: Comprehensive income (loss) attributable to noncontrolling</w:t>
            </w:r>
          </w:p>
        </w:tc>
        <w:tc>
          <w:tcPr>
            <w:tcW w:w="3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vMerge w:val="restart"/>
          </w:tcPr>
          <w:p>
            <w:pPr>
              <w:jc w:val="center"/>
              <w:ind w:left="615"/>
              <w:spacing w:after="0"/>
              <w:rPr>
                <w:sz w:val="20"/>
                <w:szCs w:val="20"/>
                <w:color w:val="auto"/>
              </w:rPr>
            </w:pPr>
            <w:r>
              <w:rPr>
                <w:rFonts w:ascii="Arial" w:cs="Arial" w:eastAsia="Arial" w:hAnsi="Arial"/>
                <w:sz w:val="18"/>
                <w:szCs w:val="18"/>
                <w:color w:val="auto"/>
                <w:w w:val="93"/>
              </w:rPr>
              <w:t>(30)</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5440" w:type="dxa"/>
            <w:vAlign w:val="bottom"/>
          </w:tcPr>
          <w:p>
            <w:pPr>
              <w:ind w:left="300"/>
              <w:spacing w:after="0"/>
              <w:rPr>
                <w:sz w:val="20"/>
                <w:szCs w:val="20"/>
                <w:color w:val="auto"/>
              </w:rPr>
            </w:pPr>
            <w:r>
              <w:rPr>
                <w:rFonts w:ascii="Arial" w:cs="Arial" w:eastAsia="Arial" w:hAnsi="Arial"/>
                <w:sz w:val="18"/>
                <w:szCs w:val="18"/>
                <w:color w:val="auto"/>
              </w:rPr>
              <w:t>interests and redeemable noncontrolling interests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 Attributable to Clearway Energy LLC</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center"/>
              <w:ind w:left="655"/>
              <w:spacing w:after="0"/>
              <w:rPr>
                <w:sz w:val="20"/>
                <w:szCs w:val="20"/>
                <w:color w:val="auto"/>
              </w:rPr>
            </w:pPr>
            <w:r>
              <w:rPr>
                <w:rFonts w:ascii="Arial" w:cs="Arial" w:eastAsia="Arial" w:hAnsi="Arial"/>
                <w:sz w:val="18"/>
                <w:szCs w:val="18"/>
                <w:color w:val="auto"/>
                <w:w w:val="89"/>
              </w:rPr>
              <w:t>84</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91" w:right="3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CLEARWAY ENERGY LLC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80" w:type="dxa"/>
            <w:vAlign w:val="bottom"/>
          </w:tcPr>
          <w:p>
            <w:pPr>
              <w:ind w:left="20"/>
              <w:spacing w:after="0"/>
              <w:rPr>
                <w:sz w:val="20"/>
                <w:szCs w:val="20"/>
                <w:color w:val="auto"/>
              </w:rPr>
            </w:pPr>
            <w:r>
              <w:rPr>
                <w:rFonts w:ascii="Arial" w:cs="Arial" w:eastAsia="Arial" w:hAnsi="Arial"/>
                <w:sz w:val="18"/>
                <w:szCs w:val="18"/>
                <w:b w:val="1"/>
                <w:bCs w:val="1"/>
                <w:color w:val="auto"/>
              </w:rPr>
              <w:t>(In millions)</w:t>
            </w:r>
          </w:p>
        </w:tc>
        <w:tc>
          <w:tcPr>
            <w:tcW w:w="2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June 30, 2023</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w w:val="98"/>
              </w:rPr>
              <w:t>December 31, 2022</w:t>
            </w:r>
          </w:p>
        </w:tc>
        <w:tc>
          <w:tcPr>
            <w:tcW w:w="0" w:type="dxa"/>
            <w:vAlign w:val="bottom"/>
          </w:tcPr>
          <w:p>
            <w:pPr>
              <w:spacing w:after="0"/>
              <w:rPr>
                <w:sz w:val="1"/>
                <w:szCs w:val="1"/>
                <w:color w:val="auto"/>
              </w:rPr>
            </w:pPr>
          </w:p>
        </w:tc>
      </w:tr>
      <w:tr>
        <w:trPr>
          <w:trHeight w:val="219"/>
        </w:trPr>
        <w:tc>
          <w:tcPr>
            <w:tcW w:w="7580" w:type="dxa"/>
            <w:vAlign w:val="bottom"/>
          </w:tcPr>
          <w:p>
            <w:pPr>
              <w:ind w:left="3440"/>
              <w:spacing w:after="0"/>
              <w:rPr>
                <w:sz w:val="20"/>
                <w:szCs w:val="20"/>
                <w:color w:val="auto"/>
              </w:rPr>
            </w:pPr>
            <w:r>
              <w:rPr>
                <w:rFonts w:ascii="Arial" w:cs="Arial" w:eastAsia="Arial" w:hAnsi="Arial"/>
                <w:sz w:val="18"/>
                <w:szCs w:val="18"/>
                <w:b w:val="1"/>
                <w:bCs w:val="1"/>
                <w:color w:val="auto"/>
              </w:rPr>
              <w:t>ASSETS</w:t>
            </w:r>
          </w:p>
        </w:tc>
        <w:tc>
          <w:tcPr>
            <w:tcW w:w="280" w:type="dxa"/>
            <w:vAlign w:val="bottom"/>
          </w:tcPr>
          <w:p>
            <w:pPr>
              <w:spacing w:after="0"/>
              <w:rPr>
                <w:sz w:val="19"/>
                <w:szCs w:val="19"/>
                <w:color w:val="auto"/>
              </w:rPr>
            </w:pPr>
          </w:p>
        </w:tc>
        <w:tc>
          <w:tcPr>
            <w:tcW w:w="1460" w:type="dxa"/>
            <w:vAlign w:val="bottom"/>
          </w:tcPr>
          <w:p>
            <w:pPr>
              <w:jc w:val="right"/>
              <w:ind w:right="411"/>
              <w:spacing w:after="0"/>
              <w:rPr>
                <w:sz w:val="20"/>
                <w:szCs w:val="20"/>
                <w:color w:val="auto"/>
              </w:rPr>
            </w:pPr>
            <w:r>
              <w:rPr>
                <w:rFonts w:ascii="Arial" w:cs="Arial" w:eastAsia="Arial" w:hAnsi="Arial"/>
                <w:sz w:val="14"/>
                <w:szCs w:val="14"/>
                <w:b w:val="1"/>
                <w:bCs w:val="1"/>
                <w:color w:val="auto"/>
              </w:rPr>
              <w:t>(Unaudited)</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Assets</w:t>
            </w:r>
          </w:p>
        </w:tc>
        <w:tc>
          <w:tcPr>
            <w:tcW w:w="2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58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547</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43"/>
        </w:trPr>
        <w:tc>
          <w:tcPr>
            <w:tcW w:w="7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cash</w:t>
            </w:r>
          </w:p>
        </w:tc>
        <w:tc>
          <w:tcPr>
            <w:tcW w:w="28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29"/>
        </w:trPr>
        <w:tc>
          <w:tcPr>
            <w:tcW w:w="7580" w:type="dxa"/>
            <w:vAlign w:val="bottom"/>
          </w:tcPr>
          <w:p>
            <w:pPr>
              <w:ind w:left="180"/>
              <w:spacing w:after="0"/>
              <w:rPr>
                <w:sz w:val="20"/>
                <w:szCs w:val="20"/>
                <w:color w:val="auto"/>
              </w:rPr>
            </w:pPr>
            <w:r>
              <w:rPr>
                <w:rFonts w:ascii="Arial" w:cs="Arial" w:eastAsia="Arial" w:hAnsi="Arial"/>
                <w:sz w:val="18"/>
                <w:szCs w:val="18"/>
                <w:color w:val="auto"/>
              </w:rPr>
              <w:t>Accounts receivable — trade</w:t>
            </w: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215</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 — affiliates</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580" w:type="dxa"/>
            <w:vAlign w:val="bottom"/>
          </w:tcPr>
          <w:p>
            <w:pPr>
              <w:ind w:left="180"/>
              <w:spacing w:after="0"/>
              <w:rPr>
                <w:sz w:val="20"/>
                <w:szCs w:val="20"/>
                <w:color w:val="auto"/>
              </w:rPr>
            </w:pPr>
            <w:r>
              <w:rPr>
                <w:rFonts w:ascii="Arial" w:cs="Arial" w:eastAsia="Arial" w:hAnsi="Arial"/>
                <w:sz w:val="18"/>
                <w:szCs w:val="18"/>
                <w:color w:val="auto"/>
              </w:rPr>
              <w:t>Inventory</w:t>
            </w:r>
          </w:p>
        </w:tc>
        <w:tc>
          <w:tcPr>
            <w:tcW w:w="2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6"/>
        </w:trPr>
        <w:tc>
          <w:tcPr>
            <w:tcW w:w="7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Derivative instruments</w:t>
            </w:r>
          </w:p>
        </w:tc>
        <w:tc>
          <w:tcPr>
            <w:tcW w:w="28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7580" w:type="dxa"/>
            <w:vAlign w:val="bottom"/>
          </w:tcPr>
          <w:p>
            <w:pPr>
              <w:ind w:left="180"/>
              <w:spacing w:after="0"/>
              <w:rPr>
                <w:sz w:val="20"/>
                <w:szCs w:val="20"/>
                <w:color w:val="auto"/>
              </w:rPr>
            </w:pPr>
            <w:r>
              <w:rPr>
                <w:rFonts w:ascii="Arial" w:cs="Arial" w:eastAsia="Arial" w:hAnsi="Arial"/>
                <w:sz w:val="18"/>
                <w:szCs w:val="18"/>
                <w:color w:val="auto"/>
              </w:rPr>
              <w:t>Prepayments and other current assets</w:t>
            </w: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7"/>
        </w:trPr>
        <w:tc>
          <w:tcPr>
            <w:tcW w:w="7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28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14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1,276</w:t>
            </w:r>
          </w:p>
        </w:tc>
        <w:tc>
          <w:tcPr>
            <w:tcW w:w="0" w:type="dxa"/>
            <w:vAlign w:val="bottom"/>
          </w:tcPr>
          <w:p>
            <w:pPr>
              <w:spacing w:after="0"/>
              <w:rPr>
                <w:sz w:val="1"/>
                <w:szCs w:val="1"/>
                <w:color w:val="auto"/>
              </w:rPr>
            </w:pPr>
          </w:p>
        </w:tc>
      </w:tr>
      <w:tr>
        <w:trPr>
          <w:trHeight w:val="223"/>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Property, plant and equipment, net</w:t>
            </w: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7,748</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7,421</w:t>
            </w:r>
          </w:p>
        </w:tc>
        <w:tc>
          <w:tcPr>
            <w:tcW w:w="0" w:type="dxa"/>
            <w:vAlign w:val="bottom"/>
          </w:tcPr>
          <w:p>
            <w:pPr>
              <w:spacing w:after="0"/>
              <w:rPr>
                <w:sz w:val="1"/>
                <w:szCs w:val="1"/>
                <w:color w:val="auto"/>
              </w:rPr>
            </w:pPr>
          </w:p>
        </w:tc>
      </w:tr>
      <w:tr>
        <w:trPr>
          <w:trHeight w:val="223"/>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Assets</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80" w:type="dxa"/>
            <w:vAlign w:val="bottom"/>
          </w:tcPr>
          <w:p>
            <w:pPr>
              <w:ind w:left="180"/>
              <w:spacing w:after="0"/>
              <w:rPr>
                <w:sz w:val="20"/>
                <w:szCs w:val="20"/>
                <w:color w:val="auto"/>
              </w:rPr>
            </w:pPr>
            <w:r>
              <w:rPr>
                <w:rFonts w:ascii="Arial" w:cs="Arial" w:eastAsia="Arial" w:hAnsi="Arial"/>
                <w:sz w:val="18"/>
                <w:szCs w:val="18"/>
                <w:color w:val="auto"/>
              </w:rPr>
              <w:t>Equity investments in affiliates</w:t>
            </w: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352</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Intangible assets for power purchase agreements, net</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2,397</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2,488</w:t>
            </w:r>
          </w:p>
        </w:tc>
        <w:tc>
          <w:tcPr>
            <w:tcW w:w="0" w:type="dxa"/>
            <w:vAlign w:val="bottom"/>
          </w:tcPr>
          <w:p>
            <w:pPr>
              <w:spacing w:after="0"/>
              <w:rPr>
                <w:sz w:val="1"/>
                <w:szCs w:val="1"/>
                <w:color w:val="auto"/>
              </w:rPr>
            </w:pPr>
          </w:p>
        </w:tc>
      </w:tr>
      <w:tr>
        <w:trPr>
          <w:trHeight w:val="237"/>
        </w:trPr>
        <w:tc>
          <w:tcPr>
            <w:tcW w:w="7580" w:type="dxa"/>
            <w:vAlign w:val="bottom"/>
          </w:tcPr>
          <w:p>
            <w:pPr>
              <w:ind w:left="180"/>
              <w:spacing w:after="0"/>
              <w:rPr>
                <w:sz w:val="20"/>
                <w:szCs w:val="20"/>
                <w:color w:val="auto"/>
              </w:rPr>
            </w:pPr>
            <w:r>
              <w:rPr>
                <w:rFonts w:ascii="Arial" w:cs="Arial" w:eastAsia="Arial" w:hAnsi="Arial"/>
                <w:sz w:val="18"/>
                <w:szCs w:val="18"/>
                <w:color w:val="auto"/>
              </w:rPr>
              <w:t>Other intangible assets, net</w:t>
            </w:r>
          </w:p>
        </w:tc>
        <w:tc>
          <w:tcPr>
            <w:tcW w:w="2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74</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36"/>
        </w:trPr>
        <w:tc>
          <w:tcPr>
            <w:tcW w:w="7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Derivative instruments</w:t>
            </w:r>
          </w:p>
        </w:tc>
        <w:tc>
          <w:tcPr>
            <w:tcW w:w="28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9"/>
        </w:trPr>
        <w:tc>
          <w:tcPr>
            <w:tcW w:w="7580" w:type="dxa"/>
            <w:vAlign w:val="bottom"/>
          </w:tcPr>
          <w:p>
            <w:pPr>
              <w:ind w:left="180"/>
              <w:spacing w:after="0"/>
              <w:rPr>
                <w:sz w:val="20"/>
                <w:szCs w:val="20"/>
                <w:color w:val="auto"/>
              </w:rPr>
            </w:pPr>
            <w:r>
              <w:rPr>
                <w:rFonts w:ascii="Arial" w:cs="Arial" w:eastAsia="Arial" w:hAnsi="Arial"/>
                <w:sz w:val="18"/>
                <w:szCs w:val="18"/>
                <w:color w:val="auto"/>
              </w:rPr>
              <w:t>Right-of-use assets, net</w:t>
            </w: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550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43"/>
        </w:trPr>
        <w:tc>
          <w:tcPr>
            <w:tcW w:w="7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non-current assets</w:t>
            </w:r>
          </w:p>
        </w:tc>
        <w:tc>
          <w:tcPr>
            <w:tcW w:w="28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4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23"/>
        </w:trPr>
        <w:tc>
          <w:tcPr>
            <w:tcW w:w="7580" w:type="dxa"/>
            <w:vAlign w:val="bottom"/>
          </w:tcPr>
          <w:p>
            <w:pPr>
              <w:ind w:left="340"/>
              <w:spacing w:after="0"/>
              <w:rPr>
                <w:sz w:val="20"/>
                <w:szCs w:val="20"/>
                <w:color w:val="auto"/>
              </w:rPr>
            </w:pPr>
            <w:r>
              <w:rPr>
                <w:rFonts w:ascii="Arial" w:cs="Arial" w:eastAsia="Arial" w:hAnsi="Arial"/>
                <w:sz w:val="18"/>
                <w:szCs w:val="18"/>
                <w:color w:val="auto"/>
              </w:rPr>
              <w:t>Total other assets</w:t>
            </w: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3,587</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3,615</w:t>
            </w:r>
          </w:p>
        </w:tc>
        <w:tc>
          <w:tcPr>
            <w:tcW w:w="0" w:type="dxa"/>
            <w:vAlign w:val="bottom"/>
          </w:tcPr>
          <w:p>
            <w:pPr>
              <w:spacing w:after="0"/>
              <w:rPr>
                <w:sz w:val="1"/>
                <w:szCs w:val="1"/>
                <w:color w:val="auto"/>
              </w:rPr>
            </w:pPr>
          </w:p>
        </w:tc>
      </w:tr>
      <w:tr>
        <w:trPr>
          <w:trHeight w:val="243"/>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12,618</w:t>
            </w:r>
          </w:p>
        </w:tc>
        <w:tc>
          <w:tcPr>
            <w:tcW w:w="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12,312</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bottom w:val="single" w:sz="8" w:color="CCEEFF"/>
            </w:tcBorders>
            <w:vMerge w:val="restart"/>
          </w:tcPr>
          <w:p>
            <w:pPr>
              <w:ind w:left="2120"/>
              <w:spacing w:after="0"/>
              <w:rPr>
                <w:sz w:val="20"/>
                <w:szCs w:val="20"/>
                <w:color w:val="auto"/>
              </w:rPr>
            </w:pPr>
            <w:r>
              <w:rPr>
                <w:rFonts w:ascii="Arial" w:cs="Arial" w:eastAsia="Arial" w:hAnsi="Arial"/>
                <w:sz w:val="18"/>
                <w:szCs w:val="18"/>
                <w:b w:val="1"/>
                <w:bCs w:val="1"/>
                <w:color w:val="auto"/>
              </w:rPr>
              <w:t>LIABILITIES AND MEMBERS’ EQUITY</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5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2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580" w:type="dxa"/>
            <w:vAlign w:val="bottom"/>
          </w:tcPr>
          <w:p>
            <w:pPr>
              <w:ind w:left="180"/>
              <w:spacing w:after="0"/>
              <w:rPr>
                <w:sz w:val="20"/>
                <w:szCs w:val="20"/>
                <w:color w:val="auto"/>
              </w:rPr>
            </w:pPr>
            <w:r>
              <w:rPr>
                <w:rFonts w:ascii="Arial" w:cs="Arial" w:eastAsia="Arial" w:hAnsi="Arial"/>
                <w:sz w:val="18"/>
                <w:szCs w:val="18"/>
                <w:color w:val="auto"/>
              </w:rPr>
              <w:t>Current portion of long-term debt — external</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330</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43"/>
        </w:trPr>
        <w:tc>
          <w:tcPr>
            <w:tcW w:w="7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long-term debt — affiliate</w:t>
            </w:r>
          </w:p>
        </w:tc>
        <w:tc>
          <w:tcPr>
            <w:tcW w:w="28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7580" w:type="dxa"/>
            <w:vAlign w:val="bottom"/>
          </w:tcPr>
          <w:p>
            <w:pPr>
              <w:ind w:left="180"/>
              <w:spacing w:after="0"/>
              <w:rPr>
                <w:sz w:val="20"/>
                <w:szCs w:val="20"/>
                <w:color w:val="auto"/>
              </w:rPr>
            </w:pPr>
            <w:r>
              <w:rPr>
                <w:rFonts w:ascii="Arial" w:cs="Arial" w:eastAsia="Arial" w:hAnsi="Arial"/>
                <w:sz w:val="18"/>
                <w:szCs w:val="18"/>
                <w:color w:val="auto"/>
              </w:rPr>
              <w:t>Accounts payable — trade</w:t>
            </w: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 — affiliates</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7"/>
        </w:trPr>
        <w:tc>
          <w:tcPr>
            <w:tcW w:w="7580" w:type="dxa"/>
            <w:vAlign w:val="bottom"/>
          </w:tcPr>
          <w:p>
            <w:pPr>
              <w:ind w:left="180"/>
              <w:spacing w:after="0"/>
              <w:rPr>
                <w:sz w:val="20"/>
                <w:szCs w:val="20"/>
                <w:color w:val="auto"/>
              </w:rPr>
            </w:pPr>
            <w:r>
              <w:rPr>
                <w:rFonts w:ascii="Arial" w:cs="Arial" w:eastAsia="Arial" w:hAnsi="Arial"/>
                <w:sz w:val="18"/>
                <w:szCs w:val="18"/>
                <w:color w:val="auto"/>
              </w:rPr>
              <w:t>Derivative instruments</w:t>
            </w:r>
          </w:p>
        </w:tc>
        <w:tc>
          <w:tcPr>
            <w:tcW w:w="2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6"/>
        </w:trPr>
        <w:tc>
          <w:tcPr>
            <w:tcW w:w="7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interest expense</w:t>
            </w:r>
          </w:p>
        </w:tc>
        <w:tc>
          <w:tcPr>
            <w:tcW w:w="28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0"/>
        </w:trPr>
        <w:tc>
          <w:tcPr>
            <w:tcW w:w="7580" w:type="dxa"/>
            <w:vAlign w:val="bottom"/>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36"/>
        </w:trPr>
        <w:tc>
          <w:tcPr>
            <w:tcW w:w="7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4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19"/>
        </w:trPr>
        <w:tc>
          <w:tcPr>
            <w:tcW w:w="7580" w:type="dxa"/>
            <w:vAlign w:val="bottom"/>
          </w:tcPr>
          <w:p>
            <w:pPr>
              <w:ind w:left="20"/>
              <w:spacing w:after="0"/>
              <w:rPr>
                <w:sz w:val="20"/>
                <w:szCs w:val="20"/>
                <w:color w:val="auto"/>
              </w:rPr>
            </w:pPr>
            <w:r>
              <w:rPr>
                <w:rFonts w:ascii="Arial" w:cs="Arial" w:eastAsia="Arial" w:hAnsi="Arial"/>
                <w:sz w:val="18"/>
                <w:szCs w:val="18"/>
                <w:b w:val="1"/>
                <w:bCs w:val="1"/>
                <w:color w:val="auto"/>
              </w:rPr>
              <w:t>Other Liabilities</w:t>
            </w:r>
          </w:p>
        </w:tc>
        <w:tc>
          <w:tcPr>
            <w:tcW w:w="2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debt — external</w:t>
            </w:r>
          </w:p>
        </w:tc>
        <w:tc>
          <w:tcPr>
            <w:tcW w:w="28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6,708</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6,491</w:t>
            </w:r>
          </w:p>
        </w:tc>
        <w:tc>
          <w:tcPr>
            <w:tcW w:w="0" w:type="dxa"/>
            <w:vAlign w:val="bottom"/>
          </w:tcPr>
          <w:p>
            <w:pPr>
              <w:spacing w:after="0"/>
              <w:rPr>
                <w:sz w:val="1"/>
                <w:szCs w:val="1"/>
                <w:color w:val="auto"/>
              </w:rPr>
            </w:pPr>
          </w:p>
        </w:tc>
      </w:tr>
      <w:tr>
        <w:trPr>
          <w:trHeight w:val="230"/>
        </w:trPr>
        <w:tc>
          <w:tcPr>
            <w:tcW w:w="758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Derivative instruments</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37"/>
        </w:trPr>
        <w:tc>
          <w:tcPr>
            <w:tcW w:w="7580" w:type="dxa"/>
            <w:vAlign w:val="bottom"/>
          </w:tcPr>
          <w:p>
            <w:pPr>
              <w:ind w:left="180"/>
              <w:spacing w:after="0"/>
              <w:rPr>
                <w:sz w:val="20"/>
                <w:szCs w:val="20"/>
                <w:color w:val="auto"/>
              </w:rPr>
            </w:pPr>
            <w:r>
              <w:rPr>
                <w:rFonts w:ascii="Arial" w:cs="Arial" w:eastAsia="Arial" w:hAnsi="Arial"/>
                <w:sz w:val="18"/>
                <w:szCs w:val="18"/>
                <w:color w:val="auto"/>
              </w:rPr>
              <w:t>Long-term lease liabilities</w:t>
            </w:r>
          </w:p>
        </w:tc>
        <w:tc>
          <w:tcPr>
            <w:tcW w:w="2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578</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36"/>
        </w:trPr>
        <w:tc>
          <w:tcPr>
            <w:tcW w:w="7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non-current liabilities</w:t>
            </w:r>
          </w:p>
        </w:tc>
        <w:tc>
          <w:tcPr>
            <w:tcW w:w="28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23"/>
        </w:trPr>
        <w:tc>
          <w:tcPr>
            <w:tcW w:w="7580" w:type="dxa"/>
            <w:vAlign w:val="bottom"/>
          </w:tcPr>
          <w:p>
            <w:pPr>
              <w:ind w:left="340"/>
              <w:spacing w:after="0"/>
              <w:rPr>
                <w:sz w:val="20"/>
                <w:szCs w:val="20"/>
                <w:color w:val="auto"/>
              </w:rPr>
            </w:pPr>
            <w:r>
              <w:rPr>
                <w:rFonts w:ascii="Arial" w:cs="Arial" w:eastAsia="Arial" w:hAnsi="Arial"/>
                <w:sz w:val="18"/>
                <w:szCs w:val="18"/>
                <w:color w:val="auto"/>
              </w:rPr>
              <w:t>Total other liabilities</w:t>
            </w: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7,757</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7,543</w:t>
            </w:r>
          </w:p>
        </w:tc>
        <w:tc>
          <w:tcPr>
            <w:tcW w:w="0" w:type="dxa"/>
            <w:vAlign w:val="bottom"/>
          </w:tcPr>
          <w:p>
            <w:pPr>
              <w:spacing w:after="0"/>
              <w:rPr>
                <w:sz w:val="1"/>
                <w:szCs w:val="1"/>
                <w:color w:val="auto"/>
              </w:rPr>
            </w:pPr>
          </w:p>
        </w:tc>
      </w:tr>
      <w:tr>
        <w:trPr>
          <w:trHeight w:val="237"/>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w:t>
            </w:r>
          </w:p>
        </w:tc>
        <w:tc>
          <w:tcPr>
            <w:tcW w:w="28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8,366</w:t>
            </w:r>
          </w:p>
        </w:tc>
        <w:tc>
          <w:tcPr>
            <w:tcW w:w="14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8,145</w:t>
            </w:r>
          </w:p>
        </w:tc>
        <w:tc>
          <w:tcPr>
            <w:tcW w:w="0" w:type="dxa"/>
            <w:vAlign w:val="bottom"/>
          </w:tcPr>
          <w:p>
            <w:pPr>
              <w:spacing w:after="0"/>
              <w:rPr>
                <w:sz w:val="1"/>
                <w:szCs w:val="1"/>
                <w:color w:val="auto"/>
              </w:rPr>
            </w:pPr>
          </w:p>
        </w:tc>
      </w:tr>
      <w:tr>
        <w:trPr>
          <w:trHeight w:val="223"/>
        </w:trPr>
        <w:tc>
          <w:tcPr>
            <w:tcW w:w="7580" w:type="dxa"/>
            <w:vAlign w:val="bottom"/>
          </w:tcPr>
          <w:p>
            <w:pPr>
              <w:ind w:left="20"/>
              <w:spacing w:after="0"/>
              <w:rPr>
                <w:sz w:val="20"/>
                <w:szCs w:val="20"/>
                <w:color w:val="auto"/>
              </w:rPr>
            </w:pPr>
            <w:r>
              <w:rPr>
                <w:rFonts w:ascii="Arial" w:cs="Arial" w:eastAsia="Arial" w:hAnsi="Arial"/>
                <w:sz w:val="18"/>
                <w:szCs w:val="18"/>
                <w:b w:val="1"/>
                <w:bCs w:val="1"/>
                <w:color w:val="auto"/>
              </w:rPr>
              <w:t>Redeemable noncontrolling interest in subsidiaries</w:t>
            </w: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Commitments and Contingencies</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b w:val="1"/>
                <w:bCs w:val="1"/>
                <w:color w:val="auto"/>
              </w:rPr>
              <w:t>Members’ Equity</w:t>
            </w:r>
          </w:p>
        </w:tc>
        <w:tc>
          <w:tcPr>
            <w:tcW w:w="2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Contributed capital</w:t>
            </w:r>
          </w:p>
        </w:tc>
        <w:tc>
          <w:tcPr>
            <w:tcW w:w="28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w:t>
            </w:r>
          </w:p>
        </w:tc>
        <w:tc>
          <w:tcPr>
            <w:tcW w:w="0" w:type="dxa"/>
            <w:vAlign w:val="bottom"/>
          </w:tcPr>
          <w:p>
            <w:pPr>
              <w:spacing w:after="0"/>
              <w:rPr>
                <w:sz w:val="1"/>
                <w:szCs w:val="1"/>
                <w:color w:val="auto"/>
              </w:rPr>
            </w:pPr>
          </w:p>
        </w:tc>
      </w:tr>
      <w:tr>
        <w:trPr>
          <w:trHeight w:val="229"/>
        </w:trPr>
        <w:tc>
          <w:tcPr>
            <w:tcW w:w="758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1,126</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1,240</w:t>
            </w: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75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Noncontrolling interest</w:t>
            </w:r>
          </w:p>
        </w:tc>
        <w:tc>
          <w:tcPr>
            <w:tcW w:w="2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1,815</w:t>
            </w:r>
          </w:p>
        </w:tc>
        <w:tc>
          <w:tcPr>
            <w:tcW w:w="1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1,591</w:t>
            </w:r>
          </w:p>
        </w:tc>
        <w:tc>
          <w:tcPr>
            <w:tcW w:w="0" w:type="dxa"/>
            <w:vAlign w:val="bottom"/>
          </w:tcPr>
          <w:p>
            <w:pPr>
              <w:spacing w:after="0"/>
              <w:rPr>
                <w:sz w:val="1"/>
                <w:szCs w:val="1"/>
                <w:color w:val="auto"/>
              </w:rPr>
            </w:pPr>
          </w:p>
        </w:tc>
      </w:tr>
      <w:tr>
        <w:trPr>
          <w:trHeight w:val="223"/>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Members’ Equity</w:t>
            </w:r>
          </w:p>
        </w:tc>
        <w:tc>
          <w:tcPr>
            <w:tcW w:w="2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4,237</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4,160</w:t>
            </w:r>
          </w:p>
        </w:tc>
        <w:tc>
          <w:tcPr>
            <w:tcW w:w="0" w:type="dxa"/>
            <w:vAlign w:val="bottom"/>
          </w:tcPr>
          <w:p>
            <w:pPr>
              <w:spacing w:after="0"/>
              <w:rPr>
                <w:sz w:val="1"/>
                <w:szCs w:val="1"/>
                <w:color w:val="auto"/>
              </w:rPr>
            </w:pPr>
          </w:p>
        </w:tc>
      </w:tr>
      <w:tr>
        <w:trPr>
          <w:trHeight w:val="223"/>
        </w:trPr>
        <w:tc>
          <w:tcPr>
            <w:tcW w:w="758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Members’ Equity</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12,618</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12,312</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00"/>
          </w:cols>
          <w:pgMar w:left="340" w:top="891"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107315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91" w:right="359" w:bottom="1440" w:gutter="0" w:footer="0" w:header="0"/>
          <w:type w:val="continuous"/>
        </w:sectPr>
      </w:pPr>
    </w:p>
    <w:bookmarkStart w:id="8" w:name="page9"/>
    <w:bookmarkEnd w:id="8"/>
    <w:p>
      <w:pPr>
        <w:ind w:left="4820"/>
        <w:spacing w:after="0"/>
        <w:rPr>
          <w:sz w:val="20"/>
          <w:szCs w:val="20"/>
          <w:color w:val="auto"/>
        </w:rPr>
      </w:pPr>
      <w:r>
        <w:rPr>
          <w:rFonts w:ascii="Arial" w:cs="Arial" w:eastAsia="Arial" w:hAnsi="Arial"/>
          <w:sz w:val="18"/>
          <w:szCs w:val="18"/>
          <w:b w:val="1"/>
          <w:bCs w:val="1"/>
          <w:color w:val="auto"/>
        </w:rPr>
        <w:t>CLEARWAY ENERGY LLC</w:t>
      </w:r>
    </w:p>
    <w:p>
      <w:pPr>
        <w:spacing w:after="0" w:line="63"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40" w:type="dxa"/>
            <w:vAlign w:val="bottom"/>
            <w:gridSpan w:val="4"/>
          </w:tcPr>
          <w:p>
            <w:pPr>
              <w:jc w:val="right"/>
              <w:ind w:right="53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
        </w:trPr>
        <w:tc>
          <w:tcPr>
            <w:tcW w:w="84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8400" w:type="dxa"/>
            <w:vAlign w:val="bottom"/>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4"/>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54</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1,278</w:t>
            </w:r>
          </w:p>
        </w:tc>
        <w:tc>
          <w:tcPr>
            <w:tcW w:w="0" w:type="dxa"/>
            <w:vAlign w:val="bottom"/>
          </w:tcPr>
          <w:p>
            <w:pPr>
              <w:spacing w:after="0"/>
              <w:rPr>
                <w:sz w:val="1"/>
                <w:szCs w:val="1"/>
                <w:color w:val="auto"/>
              </w:rPr>
            </w:pPr>
          </w:p>
        </w:tc>
      </w:tr>
      <w:tr>
        <w:trPr>
          <w:trHeight w:val="243"/>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400" w:type="dxa"/>
            <w:vAlign w:val="bottom"/>
          </w:tcPr>
          <w:p>
            <w:pPr>
              <w:ind w:left="360"/>
              <w:spacing w:after="0"/>
              <w:rPr>
                <w:sz w:val="20"/>
                <w:szCs w:val="20"/>
                <w:color w:val="auto"/>
              </w:rPr>
            </w:pPr>
            <w:r>
              <w:rPr>
                <w:rFonts w:ascii="Arial" w:cs="Arial" w:eastAsia="Arial" w:hAnsi="Arial"/>
                <w:sz w:val="18"/>
                <w:szCs w:val="18"/>
                <w:color w:val="auto"/>
              </w:rPr>
              <w:t>Equity in earnings of unconsolidated affiliates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Distributions from unconsolidated affiliates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7"/>
        </w:trPr>
        <w:tc>
          <w:tcPr>
            <w:tcW w:w="8400" w:type="dxa"/>
            <w:vAlign w:val="bottom"/>
          </w:tcPr>
          <w:p>
            <w:pPr>
              <w:ind w:left="360"/>
              <w:spacing w:after="0"/>
              <w:rPr>
                <w:sz w:val="20"/>
                <w:szCs w:val="20"/>
                <w:color w:val="auto"/>
              </w:rPr>
            </w:pPr>
            <w:r>
              <w:rPr>
                <w:rFonts w:ascii="Arial" w:cs="Arial" w:eastAsia="Arial" w:hAnsi="Arial"/>
                <w:sz w:val="18"/>
                <w:szCs w:val="18"/>
                <w:color w:val="auto"/>
              </w:rPr>
              <w:t>Depreciation, amortization and accretion</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36"/>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financing costs and debt discounts</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8400" w:type="dxa"/>
            <w:vAlign w:val="bottom"/>
          </w:tcPr>
          <w:p>
            <w:pPr>
              <w:ind w:left="360"/>
              <w:spacing w:after="0"/>
              <w:rPr>
                <w:sz w:val="20"/>
                <w:szCs w:val="20"/>
                <w:color w:val="auto"/>
              </w:rPr>
            </w:pPr>
            <w:r>
              <w:rPr>
                <w:rFonts w:ascii="Arial" w:cs="Arial" w:eastAsia="Arial" w:hAnsi="Arial"/>
                <w:sz w:val="18"/>
                <w:szCs w:val="18"/>
                <w:color w:val="auto"/>
              </w:rPr>
              <w:t>Amortization of intangibles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43"/>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debt extinguishment</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8400" w:type="dxa"/>
            <w:vAlign w:val="bottom"/>
          </w:tcPr>
          <w:p>
            <w:pPr>
              <w:ind w:left="360"/>
              <w:spacing w:after="0"/>
              <w:rPr>
                <w:sz w:val="20"/>
                <w:szCs w:val="20"/>
                <w:color w:val="auto"/>
              </w:rPr>
            </w:pPr>
            <w:r>
              <w:rPr>
                <w:rFonts w:ascii="Arial" w:cs="Arial" w:eastAsia="Arial" w:hAnsi="Arial"/>
                <w:sz w:val="18"/>
                <w:szCs w:val="18"/>
                <w:color w:val="auto"/>
              </w:rPr>
              <w:t>Gain on sale of business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(1,291)</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Reduction in carrying amount of right-of-use assets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7"/>
        </w:trPr>
        <w:tc>
          <w:tcPr>
            <w:tcW w:w="8400" w:type="dxa"/>
            <w:vAlign w:val="bottom"/>
          </w:tcPr>
          <w:p>
            <w:pPr>
              <w:ind w:left="360"/>
              <w:spacing w:after="0"/>
              <w:rPr>
                <w:sz w:val="20"/>
                <w:szCs w:val="20"/>
                <w:color w:val="auto"/>
              </w:rPr>
            </w:pPr>
            <w:r>
              <w:rPr>
                <w:rFonts w:ascii="Arial" w:cs="Arial" w:eastAsia="Arial" w:hAnsi="Arial"/>
                <w:sz w:val="18"/>
                <w:szCs w:val="18"/>
                <w:color w:val="auto"/>
              </w:rPr>
              <w:t>Changes in derivative instruments and amortization of accumulated OCI/OCL</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36"/>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used in changes in other working capital:</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400" w:type="dxa"/>
            <w:vAlign w:val="bottom"/>
          </w:tcPr>
          <w:p>
            <w:pPr>
              <w:ind w:left="360"/>
              <w:spacing w:after="0"/>
              <w:rPr>
                <w:sz w:val="20"/>
                <w:szCs w:val="20"/>
                <w:color w:val="auto"/>
              </w:rPr>
            </w:pPr>
            <w:r>
              <w:rPr>
                <w:rFonts w:ascii="Arial" w:cs="Arial" w:eastAsia="Arial" w:hAnsi="Arial"/>
                <w:sz w:val="18"/>
                <w:szCs w:val="18"/>
                <w:color w:val="auto"/>
              </w:rPr>
              <w:t>Changes in prepaid and accrued liabilities for tolling agreements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43"/>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other working capital</w:t>
            </w: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3"/>
        </w:trPr>
        <w:tc>
          <w:tcPr>
            <w:tcW w:w="8400" w:type="dxa"/>
            <w:vAlign w:val="bottom"/>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23"/>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00" w:type="dxa"/>
            <w:vAlign w:val="bottom"/>
          </w:tcPr>
          <w:p>
            <w:pPr>
              <w:ind w:left="360"/>
              <w:spacing w:after="0"/>
              <w:rPr>
                <w:sz w:val="20"/>
                <w:szCs w:val="20"/>
                <w:color w:val="auto"/>
              </w:rPr>
            </w:pPr>
            <w:r>
              <w:rPr>
                <w:rFonts w:ascii="Arial" w:cs="Arial" w:eastAsia="Arial" w:hAnsi="Arial"/>
                <w:sz w:val="18"/>
                <w:szCs w:val="18"/>
                <w:color w:val="auto"/>
              </w:rPr>
              <w:t>Acquisition of Drop Down Assets, net of cash acquired</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43"/>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 expenditures</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30"/>
        </w:trPr>
        <w:tc>
          <w:tcPr>
            <w:tcW w:w="8400" w:type="dxa"/>
            <w:vAlign w:val="bottom"/>
          </w:tcPr>
          <w:p>
            <w:pPr>
              <w:ind w:left="360"/>
              <w:spacing w:after="0"/>
              <w:rPr>
                <w:sz w:val="20"/>
                <w:szCs w:val="20"/>
                <w:color w:val="auto"/>
              </w:rPr>
            </w:pPr>
            <w:r>
              <w:rPr>
                <w:rFonts w:ascii="Arial" w:cs="Arial" w:eastAsia="Arial" w:hAnsi="Arial"/>
                <w:sz w:val="18"/>
                <w:szCs w:val="18"/>
                <w:color w:val="auto"/>
              </w:rPr>
              <w:t>Return of investment from unconsolidated affiliates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Investments in unconsolidated affiliates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400" w:type="dxa"/>
            <w:vAlign w:val="bottom"/>
          </w:tcPr>
          <w:p>
            <w:pPr>
              <w:ind w:left="360"/>
              <w:spacing w:after="0"/>
              <w:rPr>
                <w:sz w:val="20"/>
                <w:szCs w:val="20"/>
                <w:color w:val="auto"/>
              </w:rPr>
            </w:pPr>
            <w:r>
              <w:rPr>
                <w:rFonts w:ascii="Arial" w:cs="Arial" w:eastAsia="Arial" w:hAnsi="Arial"/>
                <w:sz w:val="18"/>
                <w:szCs w:val="18"/>
                <w:color w:val="auto"/>
              </w:rPr>
              <w:t>Proceeds from sale of business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1,457</w:t>
            </w:r>
          </w:p>
        </w:tc>
        <w:tc>
          <w:tcPr>
            <w:tcW w:w="0" w:type="dxa"/>
            <w:vAlign w:val="bottom"/>
          </w:tcPr>
          <w:p>
            <w:pPr>
              <w:spacing w:after="0"/>
              <w:rPr>
                <w:sz w:val="1"/>
                <w:szCs w:val="1"/>
                <w:color w:val="auto"/>
              </w:rPr>
            </w:pPr>
          </w:p>
        </w:tc>
      </w:tr>
      <w:tr>
        <w:trPr>
          <w:trHeight w:val="223"/>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in) Provided by Investing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0" w:type="dxa"/>
            <w:vAlign w:val="bottom"/>
          </w:tcPr>
          <w:p>
            <w:pPr>
              <w:spacing w:after="0"/>
              <w:rPr>
                <w:sz w:val="1"/>
                <w:szCs w:val="1"/>
                <w:color w:val="auto"/>
              </w:rPr>
            </w:pPr>
          </w:p>
        </w:tc>
      </w:tr>
      <w:tr>
        <w:trPr>
          <w:trHeight w:val="223"/>
        </w:trPr>
        <w:tc>
          <w:tcPr>
            <w:tcW w:w="840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Contributions from noncontrolling interests, net of distributions</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8400" w:type="dxa"/>
            <w:vAlign w:val="bottom"/>
          </w:tcPr>
          <w:p>
            <w:pPr>
              <w:ind w:left="360"/>
              <w:spacing w:after="0"/>
              <w:rPr>
                <w:sz w:val="20"/>
                <w:szCs w:val="20"/>
                <w:color w:val="auto"/>
              </w:rPr>
            </w:pPr>
            <w:r>
              <w:rPr>
                <w:rFonts w:ascii="Arial" w:cs="Arial" w:eastAsia="Arial" w:hAnsi="Arial"/>
                <w:sz w:val="18"/>
                <w:szCs w:val="18"/>
                <w:color w:val="auto"/>
              </w:rPr>
              <w:t>Contributions from (distributions to) CEG, net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Payments of distributions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37"/>
        </w:trPr>
        <w:tc>
          <w:tcPr>
            <w:tcW w:w="8400" w:type="dxa"/>
            <w:vAlign w:val="bottom"/>
          </w:tcPr>
          <w:p>
            <w:pPr>
              <w:ind w:left="360"/>
              <w:spacing w:after="0"/>
              <w:rPr>
                <w:sz w:val="20"/>
                <w:szCs w:val="20"/>
                <w:color w:val="auto"/>
              </w:rPr>
            </w:pPr>
            <w:r>
              <w:rPr>
                <w:rFonts w:ascii="Arial" w:cs="Arial" w:eastAsia="Arial" w:hAnsi="Arial"/>
                <w:sz w:val="18"/>
                <w:szCs w:val="18"/>
                <w:color w:val="auto"/>
              </w:rPr>
              <w:t>Tax-related distributions</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Distributions to CEG of escrowed amounts</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0"/>
        </w:trPr>
        <w:tc>
          <w:tcPr>
            <w:tcW w:w="8400" w:type="dxa"/>
            <w:vAlign w:val="bottom"/>
          </w:tcPr>
          <w:p>
            <w:pPr>
              <w:ind w:left="360"/>
              <w:spacing w:after="0"/>
              <w:rPr>
                <w:sz w:val="20"/>
                <w:szCs w:val="20"/>
                <w:color w:val="auto"/>
              </w:rPr>
            </w:pPr>
            <w:r>
              <w:rPr>
                <w:rFonts w:ascii="Arial" w:cs="Arial" w:eastAsia="Arial" w:hAnsi="Arial"/>
                <w:sz w:val="18"/>
                <w:szCs w:val="18"/>
                <w:color w:val="auto"/>
              </w:rPr>
              <w:t>Proceeds from the revolving credit facility</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Payments for the revolving credit facility</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37"/>
        </w:trPr>
        <w:tc>
          <w:tcPr>
            <w:tcW w:w="8400" w:type="dxa"/>
            <w:vAlign w:val="bottom"/>
          </w:tcPr>
          <w:p>
            <w:pPr>
              <w:ind w:left="360"/>
              <w:spacing w:after="0"/>
              <w:rPr>
                <w:sz w:val="20"/>
                <w:szCs w:val="20"/>
                <w:color w:val="auto"/>
              </w:rPr>
            </w:pPr>
            <w:r>
              <w:rPr>
                <w:rFonts w:ascii="Arial" w:cs="Arial" w:eastAsia="Arial" w:hAnsi="Arial"/>
                <w:sz w:val="18"/>
                <w:szCs w:val="18"/>
                <w:color w:val="auto"/>
              </w:rPr>
              <w:t>Proceeds from the issuance of long-term debt — external</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36"/>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Payments of debt issuance costs</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8400" w:type="dxa"/>
            <w:vAlign w:val="bottom"/>
          </w:tcPr>
          <w:p>
            <w:pPr>
              <w:ind w:left="360"/>
              <w:spacing w:after="0"/>
              <w:rPr>
                <w:sz w:val="20"/>
                <w:szCs w:val="20"/>
                <w:color w:val="auto"/>
              </w:rPr>
            </w:pPr>
            <w:r>
              <w:rPr>
                <w:rFonts w:ascii="Arial" w:cs="Arial" w:eastAsia="Arial" w:hAnsi="Arial"/>
                <w:sz w:val="18"/>
                <w:szCs w:val="18"/>
                <w:color w:val="auto"/>
              </w:rPr>
              <w:t>Payments for long-term debt — external</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43"/>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Payments for long-term debt — affiliate</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8400" w:type="dxa"/>
            <w:vAlign w:val="bottom"/>
          </w:tcPr>
          <w:p>
            <w:pPr>
              <w:ind w:left="36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in Financing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0" w:type="dxa"/>
            <w:vAlign w:val="bottom"/>
          </w:tcPr>
          <w:p>
            <w:pPr>
              <w:spacing w:after="0"/>
              <w:rPr>
                <w:sz w:val="1"/>
                <w:szCs w:val="1"/>
                <w:color w:val="auto"/>
              </w:rPr>
            </w:pPr>
          </w:p>
        </w:tc>
      </w:tr>
      <w:tr>
        <w:trPr>
          <w:trHeight w:val="223"/>
        </w:trPr>
        <w:tc>
          <w:tcPr>
            <w:tcW w:w="8400" w:type="dxa"/>
            <w:vAlign w:val="bottom"/>
          </w:tcPr>
          <w:p>
            <w:pPr>
              <w:ind w:left="20"/>
              <w:spacing w:after="0"/>
              <w:rPr>
                <w:sz w:val="20"/>
                <w:szCs w:val="20"/>
                <w:color w:val="auto"/>
              </w:rPr>
            </w:pPr>
            <w:r>
              <w:rPr>
                <w:rFonts w:ascii="Arial" w:cs="Arial" w:eastAsia="Arial" w:hAnsi="Arial"/>
                <w:sz w:val="18"/>
                <w:szCs w:val="18"/>
                <w:b w:val="1"/>
                <w:bCs w:val="1"/>
                <w:color w:val="auto"/>
              </w:rPr>
              <w:t>Net (Decrease) Increase in Cash, Cash Equivalents and Restricted Cash</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43"/>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Cash Equivalents and Restricted Cash at Beginning of Period</w:t>
            </w: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23"/>
        </w:trPr>
        <w:tc>
          <w:tcPr>
            <w:tcW w:w="8400" w:type="dxa"/>
            <w:vAlign w:val="bottom"/>
          </w:tcPr>
          <w:p>
            <w:pPr>
              <w:ind w:left="20"/>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1,288</w:t>
            </w:r>
          </w:p>
        </w:tc>
        <w:tc>
          <w:tcPr>
            <w:tcW w:w="0" w:type="dxa"/>
            <w:vAlign w:val="bottom"/>
          </w:tcPr>
          <w:p>
            <w:pPr>
              <w:spacing w:after="0"/>
              <w:rPr>
                <w:sz w:val="1"/>
                <w:szCs w:val="1"/>
                <w:color w:val="auto"/>
              </w:rPr>
            </w:pPr>
          </w:p>
        </w:tc>
      </w:tr>
      <w:tr>
        <w:trPr>
          <w:trHeight w:val="21"/>
        </w:trPr>
        <w:tc>
          <w:tcPr>
            <w:tcW w:w="8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9" w:name="page10"/>
    <w:bookmarkEnd w:id="9"/>
    <w:p>
      <w:pPr>
        <w:ind w:left="4480"/>
        <w:spacing w:after="0"/>
        <w:rPr>
          <w:sz w:val="20"/>
          <w:szCs w:val="20"/>
          <w:color w:val="auto"/>
        </w:rPr>
      </w:pPr>
      <w:r>
        <w:rPr>
          <w:rFonts w:ascii="Arial" w:cs="Arial" w:eastAsia="Arial" w:hAnsi="Arial"/>
          <w:sz w:val="18"/>
          <w:szCs w:val="18"/>
          <w:b w:val="1"/>
          <w:bCs w:val="1"/>
          <w:color w:val="auto"/>
        </w:rPr>
        <w:t>CLEARWAY ENERGY LLC</w:t>
      </w:r>
    </w:p>
    <w:p>
      <w:pPr>
        <w:spacing w:after="0" w:line="171"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CONSOLIDATED STATEMENTS OF MEMBERS’ EQUITY</w:t>
      </w:r>
    </w:p>
    <w:p>
      <w:pPr>
        <w:spacing w:after="0" w:line="17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For the Six Months Ended June 30, 2023</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center"/>
              <w:ind w:right="61"/>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vMerge w:val="restart"/>
          </w:tcPr>
          <w:p>
            <w:pPr>
              <w:jc w:val="center"/>
              <w:ind w:right="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4"/>
        </w:trPr>
        <w:tc>
          <w:tcPr>
            <w:tcW w:w="4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Contributed</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center"/>
              <w:ind w:right="61"/>
              <w:spacing w:after="0" w:line="145"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w w:val="94"/>
              </w:rPr>
              <w:t>Noncontrolling</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4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Retained Earnings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center"/>
              <w:ind w:right="61"/>
              <w:spacing w:after="0" w:line="139"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center"/>
              <w:ind w:right="80"/>
              <w:spacing w:after="0" w:line="139" w:lineRule="exact"/>
              <w:rPr>
                <w:sz w:val="20"/>
                <w:szCs w:val="20"/>
                <w:color w:val="auto"/>
              </w:rPr>
            </w:pPr>
            <w:r>
              <w:rPr>
                <w:rFonts w:ascii="Arial" w:cs="Arial" w:eastAsia="Arial" w:hAnsi="Arial"/>
                <w:sz w:val="14"/>
                <w:szCs w:val="14"/>
                <w:b w:val="1"/>
                <w:bCs w:val="1"/>
                <w:color w:val="auto"/>
                <w:w w:val="97"/>
              </w:rPr>
              <w:t>Members’</w:t>
            </w:r>
          </w:p>
        </w:tc>
        <w:tc>
          <w:tcPr>
            <w:tcW w:w="0" w:type="dxa"/>
            <w:vAlign w:val="bottom"/>
          </w:tcPr>
          <w:p>
            <w:pPr>
              <w:spacing w:after="0"/>
              <w:rPr>
                <w:sz w:val="1"/>
                <w:szCs w:val="1"/>
                <w:color w:val="auto"/>
              </w:rPr>
            </w:pPr>
          </w:p>
        </w:tc>
      </w:tr>
      <w:tr>
        <w:trPr>
          <w:trHeight w:val="186"/>
        </w:trPr>
        <w:tc>
          <w:tcPr>
            <w:tcW w:w="46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26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center"/>
              <w:ind w:right="61"/>
              <w:spacing w:after="0"/>
              <w:rPr>
                <w:sz w:val="20"/>
                <w:szCs w:val="20"/>
                <w:color w:val="auto"/>
              </w:rPr>
            </w:pPr>
            <w:r>
              <w:rPr>
                <w:rFonts w:ascii="Arial" w:cs="Arial" w:eastAsia="Arial" w:hAnsi="Arial"/>
                <w:sz w:val="14"/>
                <w:szCs w:val="14"/>
                <w:b w:val="1"/>
                <w:bCs w:val="1"/>
                <w:color w:val="auto"/>
                <w:w w:val="89"/>
              </w:rPr>
              <w:t>Income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320"/>
              <w:spacing w:after="0"/>
              <w:rPr>
                <w:sz w:val="20"/>
                <w:szCs w:val="20"/>
                <w:color w:val="auto"/>
              </w:rPr>
            </w:pPr>
            <w:r>
              <w:rPr>
                <w:rFonts w:ascii="Arial" w:cs="Arial" w:eastAsia="Arial" w:hAnsi="Arial"/>
                <w:sz w:val="14"/>
                <w:szCs w:val="14"/>
                <w:b w:val="1"/>
                <w:bCs w:val="1"/>
                <w:color w:val="auto"/>
              </w:rPr>
              <w:t>Interest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center"/>
              <w:ind w:right="6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6"/>
        </w:trPr>
        <w:tc>
          <w:tcPr>
            <w:tcW w:w="46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Balances at December 31, 2022</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1,308</w:t>
            </w:r>
          </w:p>
        </w:tc>
        <w:tc>
          <w:tcPr>
            <w:tcW w:w="560" w:type="dxa"/>
            <w:vAlign w:val="bottom"/>
            <w:gridSpan w:val="2"/>
            <w:shd w:val="clear" w:color="auto" w:fill="CCEEFF"/>
          </w:tcPr>
          <w:p>
            <w:pPr>
              <w:jc w:val="right"/>
              <w:ind w:right="268"/>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1,591</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4,160</w:t>
            </w:r>
          </w:p>
        </w:tc>
        <w:tc>
          <w:tcPr>
            <w:tcW w:w="0" w:type="dxa"/>
            <w:vAlign w:val="bottom"/>
          </w:tcPr>
          <w:p>
            <w:pPr>
              <w:spacing w:after="0"/>
              <w:rPr>
                <w:sz w:val="1"/>
                <w:szCs w:val="1"/>
                <w:color w:val="auto"/>
              </w:rPr>
            </w:pPr>
          </w:p>
        </w:tc>
      </w:tr>
      <w:tr>
        <w:trPr>
          <w:trHeight w:val="213"/>
        </w:trPr>
        <w:tc>
          <w:tcPr>
            <w:tcW w:w="4680" w:type="dxa"/>
            <w:vAlign w:val="bottom"/>
          </w:tcPr>
          <w:p>
            <w:pPr>
              <w:ind w:left="120"/>
              <w:spacing w:after="0"/>
              <w:rPr>
                <w:sz w:val="20"/>
                <w:szCs w:val="20"/>
                <w:color w:val="auto"/>
              </w:rPr>
            </w:pPr>
            <w:r>
              <w:rPr>
                <w:rFonts w:ascii="Arial" w:cs="Arial" w:eastAsia="Arial" w:hAnsi="Arial"/>
                <w:sz w:val="16"/>
                <w:szCs w:val="16"/>
                <w:color w:val="auto"/>
              </w:rPr>
              <w:t>Net loss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19"/>
        </w:trPr>
        <w:tc>
          <w:tcPr>
            <w:tcW w:w="4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Unrealized loss on derivatives and changes in accumulated OCI</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3"/>
        </w:trPr>
        <w:tc>
          <w:tcPr>
            <w:tcW w:w="4680" w:type="dxa"/>
            <w:vAlign w:val="bottom"/>
          </w:tcPr>
          <w:p>
            <w:pPr>
              <w:ind w:left="120"/>
              <w:spacing w:after="0"/>
              <w:rPr>
                <w:sz w:val="20"/>
                <w:szCs w:val="20"/>
                <w:color w:val="auto"/>
              </w:rPr>
            </w:pPr>
            <w:r>
              <w:rPr>
                <w:rFonts w:ascii="Arial" w:cs="Arial" w:eastAsia="Arial" w:hAnsi="Arial"/>
                <w:sz w:val="16"/>
                <w:szCs w:val="16"/>
                <w:color w:val="auto"/>
              </w:rPr>
              <w:t>Contributions from CEG, net of distributions, cash</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9"/>
        </w:trPr>
        <w:tc>
          <w:tcPr>
            <w:tcW w:w="468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4"/>
              </w:rPr>
              <w:t>Contributions from noncontrolling interests, net of distributions, cash</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r>
        <w:trPr>
          <w:trHeight w:val="213"/>
        </w:trPr>
        <w:tc>
          <w:tcPr>
            <w:tcW w:w="4680" w:type="dxa"/>
            <w:vAlign w:val="bottom"/>
          </w:tcPr>
          <w:p>
            <w:pPr>
              <w:ind w:left="120"/>
              <w:spacing w:after="0"/>
              <w:rPr>
                <w:sz w:val="20"/>
                <w:szCs w:val="20"/>
                <w:color w:val="auto"/>
              </w:rPr>
            </w:pPr>
            <w:r>
              <w:rPr>
                <w:rFonts w:ascii="Arial" w:cs="Arial" w:eastAsia="Arial" w:hAnsi="Arial"/>
                <w:sz w:val="16"/>
                <w:szCs w:val="16"/>
                <w:color w:val="auto"/>
              </w:rPr>
              <w:t>Transfers of assets under common control</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9"/>
        </w:trPr>
        <w:tc>
          <w:tcPr>
            <w:tcW w:w="4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Distributions paid to Clearway, Inc.</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16"/>
        </w:trPr>
        <w:tc>
          <w:tcPr>
            <w:tcW w:w="4680" w:type="dxa"/>
            <w:vAlign w:val="bottom"/>
          </w:tcPr>
          <w:p>
            <w:pPr>
              <w:ind w:left="120"/>
              <w:spacing w:after="0"/>
              <w:rPr>
                <w:sz w:val="20"/>
                <w:szCs w:val="20"/>
                <w:color w:val="auto"/>
              </w:rPr>
            </w:pPr>
            <w:r>
              <w:rPr>
                <w:rFonts w:ascii="Arial" w:cs="Arial" w:eastAsia="Arial" w:hAnsi="Arial"/>
                <w:sz w:val="16"/>
                <w:szCs w:val="16"/>
                <w:color w:val="auto"/>
              </w:rPr>
              <w:t>Distributions paid to CEG Class B and Class D unit holders</w:t>
            </w: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23"/>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Balances at March 31, 2023</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4,264</w:t>
            </w:r>
          </w:p>
        </w:tc>
        <w:tc>
          <w:tcPr>
            <w:tcW w:w="0" w:type="dxa"/>
            <w:vAlign w:val="bottom"/>
          </w:tcPr>
          <w:p>
            <w:pPr>
              <w:spacing w:after="0"/>
              <w:rPr>
                <w:sz w:val="1"/>
                <w:szCs w:val="1"/>
                <w:color w:val="auto"/>
              </w:rPr>
            </w:pPr>
          </w:p>
        </w:tc>
      </w:tr>
      <w:tr>
        <w:trPr>
          <w:trHeight w:val="213"/>
        </w:trPr>
        <w:tc>
          <w:tcPr>
            <w:tcW w:w="4680" w:type="dxa"/>
            <w:vAlign w:val="bottom"/>
          </w:tcPr>
          <w:p>
            <w:pPr>
              <w:ind w:left="100"/>
              <w:spacing w:after="0"/>
              <w:rPr>
                <w:sz w:val="20"/>
                <w:szCs w:val="20"/>
                <w:color w:val="auto"/>
              </w:rPr>
            </w:pPr>
            <w:r>
              <w:rPr>
                <w:rFonts w:ascii="Arial" w:cs="Arial" w:eastAsia="Arial" w:hAnsi="Arial"/>
                <w:sz w:val="16"/>
                <w:szCs w:val="16"/>
                <w:color w:val="auto"/>
              </w:rPr>
              <w:t>Net income (loss)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9"/>
        </w:trPr>
        <w:tc>
          <w:tcPr>
            <w:tcW w:w="46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Unrealized gain on derivatives</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3"/>
        </w:trPr>
        <w:tc>
          <w:tcPr>
            <w:tcW w:w="4680" w:type="dxa"/>
            <w:vAlign w:val="bottom"/>
          </w:tcPr>
          <w:p>
            <w:pPr>
              <w:ind w:left="100"/>
              <w:spacing w:after="0"/>
              <w:rPr>
                <w:sz w:val="20"/>
                <w:szCs w:val="20"/>
                <w:color w:val="auto"/>
              </w:rPr>
            </w:pPr>
            <w:r>
              <w:rPr>
                <w:rFonts w:ascii="Arial" w:cs="Arial" w:eastAsia="Arial" w:hAnsi="Arial"/>
                <w:sz w:val="16"/>
                <w:szCs w:val="16"/>
                <w:color w:val="auto"/>
              </w:rPr>
              <w:t>Distributions to CEG, cash</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9"/>
        </w:trPr>
        <w:tc>
          <w:tcPr>
            <w:tcW w:w="468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8"/>
              </w:rPr>
              <w:t>Distributions to noncontrolling interests, net of contributions, cash</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3"/>
        </w:trPr>
        <w:tc>
          <w:tcPr>
            <w:tcW w:w="4680" w:type="dxa"/>
            <w:vAlign w:val="bottom"/>
          </w:tcPr>
          <w:p>
            <w:pPr>
              <w:ind w:left="100"/>
              <w:spacing w:after="0"/>
              <w:rPr>
                <w:sz w:val="20"/>
                <w:szCs w:val="20"/>
                <w:color w:val="auto"/>
              </w:rPr>
            </w:pPr>
            <w:r>
              <w:rPr>
                <w:rFonts w:ascii="Arial" w:cs="Arial" w:eastAsia="Arial" w:hAnsi="Arial"/>
                <w:sz w:val="16"/>
                <w:szCs w:val="16"/>
                <w:color w:val="auto"/>
              </w:rPr>
              <w:t>Tax-related distributions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19"/>
        </w:trPr>
        <w:tc>
          <w:tcPr>
            <w:tcW w:w="46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Distributions paid to Clearway, Inc.</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16"/>
        </w:trPr>
        <w:tc>
          <w:tcPr>
            <w:tcW w:w="4680" w:type="dxa"/>
            <w:vAlign w:val="bottom"/>
          </w:tcPr>
          <w:p>
            <w:pPr>
              <w:ind w:left="100"/>
              <w:spacing w:after="0"/>
              <w:rPr>
                <w:sz w:val="20"/>
                <w:szCs w:val="20"/>
                <w:color w:val="auto"/>
              </w:rPr>
            </w:pPr>
            <w:r>
              <w:rPr>
                <w:rFonts w:ascii="Arial" w:cs="Arial" w:eastAsia="Arial" w:hAnsi="Arial"/>
                <w:sz w:val="16"/>
                <w:szCs w:val="16"/>
                <w:color w:val="auto"/>
              </w:rPr>
              <w:t>Distributions paid to CEG Class B and Class D unit holders</w:t>
            </w: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Balances at June 30, 2023</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1,275</w:t>
            </w:r>
          </w:p>
        </w:tc>
        <w:tc>
          <w:tcPr>
            <w:tcW w:w="560" w:type="dxa"/>
            <w:vAlign w:val="bottom"/>
            <w:gridSpan w:val="2"/>
            <w:shd w:val="clear" w:color="auto" w:fill="CCEEFF"/>
          </w:tcPr>
          <w:p>
            <w:pPr>
              <w:jc w:val="right"/>
              <w:ind w:right="268"/>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1,126</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1,815</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4,237</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91" w:right="35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CLEARWAY ENERGY LLC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MEMBERS' EQUITY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Retained Earnings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vMerge w:val="restart"/>
          </w:tcPr>
          <w:p>
            <w:pPr>
              <w:jc w:val="center"/>
              <w:ind w:right="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4"/>
        </w:trPr>
        <w:tc>
          <w:tcPr>
            <w:tcW w:w="4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w w:val="98"/>
              </w:rPr>
              <w:t>Contributed</w:t>
            </w: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center"/>
              <w:ind w:right="100"/>
              <w:spacing w:after="0" w:line="145"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w w:val="94"/>
              </w:rPr>
              <w:t>Noncontrolling</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46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80"/>
              <w:spacing w:after="0" w:line="139" w:lineRule="exact"/>
              <w:rPr>
                <w:sz w:val="20"/>
                <w:szCs w:val="20"/>
                <w:color w:val="auto"/>
              </w:rPr>
            </w:pPr>
            <w:r>
              <w:rPr>
                <w:rFonts w:ascii="Arial" w:cs="Arial" w:eastAsia="Arial" w:hAnsi="Arial"/>
                <w:sz w:val="14"/>
                <w:szCs w:val="14"/>
                <w:b w:val="1"/>
                <w:bCs w:val="1"/>
                <w:color w:val="auto"/>
                <w:w w:val="92"/>
              </w:rPr>
              <w:t>(Accumulated</w:t>
            </w:r>
          </w:p>
        </w:tc>
        <w:tc>
          <w:tcPr>
            <w:tcW w:w="100" w:type="dxa"/>
            <w:vAlign w:val="bottom"/>
          </w:tcPr>
          <w:p>
            <w:pPr>
              <w:spacing w:after="0"/>
              <w:rPr>
                <w:sz w:val="12"/>
                <w:szCs w:val="12"/>
                <w:color w:val="auto"/>
              </w:rPr>
            </w:pPr>
          </w:p>
        </w:tc>
        <w:tc>
          <w:tcPr>
            <w:tcW w:w="1400" w:type="dxa"/>
            <w:vAlign w:val="bottom"/>
            <w:gridSpan w:val="2"/>
          </w:tcPr>
          <w:p>
            <w:pPr>
              <w:jc w:val="center"/>
              <w:spacing w:after="0" w:line="139" w:lineRule="exact"/>
              <w:rPr>
                <w:sz w:val="20"/>
                <w:szCs w:val="20"/>
                <w:color w:val="auto"/>
              </w:rPr>
            </w:pPr>
            <w:r>
              <w:rPr>
                <w:rFonts w:ascii="Arial" w:cs="Arial" w:eastAsia="Arial" w:hAnsi="Arial"/>
                <w:sz w:val="14"/>
                <w:szCs w:val="14"/>
                <w:b w:val="1"/>
                <w:bCs w:val="1"/>
                <w:color w:val="auto"/>
                <w:w w:val="91"/>
              </w:rPr>
              <w:t>Comprehensive(Loss)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center"/>
              <w:ind w:right="60"/>
              <w:spacing w:after="0" w:line="139" w:lineRule="exact"/>
              <w:rPr>
                <w:sz w:val="20"/>
                <w:szCs w:val="20"/>
                <w:color w:val="auto"/>
              </w:rPr>
            </w:pPr>
            <w:r>
              <w:rPr>
                <w:rFonts w:ascii="Arial" w:cs="Arial" w:eastAsia="Arial" w:hAnsi="Arial"/>
                <w:sz w:val="14"/>
                <w:szCs w:val="14"/>
                <w:b w:val="1"/>
                <w:bCs w:val="1"/>
                <w:color w:val="auto"/>
                <w:w w:val="94"/>
              </w:rPr>
              <w:t>Members’</w:t>
            </w:r>
          </w:p>
        </w:tc>
        <w:tc>
          <w:tcPr>
            <w:tcW w:w="0" w:type="dxa"/>
            <w:vAlign w:val="bottom"/>
          </w:tcPr>
          <w:p>
            <w:pPr>
              <w:spacing w:after="0"/>
              <w:rPr>
                <w:sz w:val="1"/>
                <w:szCs w:val="1"/>
                <w:color w:val="auto"/>
              </w:rPr>
            </w:pPr>
          </w:p>
        </w:tc>
      </w:tr>
      <w:tr>
        <w:trPr>
          <w:trHeight w:val="186"/>
        </w:trPr>
        <w:tc>
          <w:tcPr>
            <w:tcW w:w="46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26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center"/>
              <w:ind w:right="80"/>
              <w:spacing w:after="0"/>
              <w:rPr>
                <w:sz w:val="20"/>
                <w:szCs w:val="20"/>
                <w:color w:val="auto"/>
              </w:rPr>
            </w:pPr>
            <w:r>
              <w:rPr>
                <w:rFonts w:ascii="Arial" w:cs="Arial" w:eastAsia="Arial" w:hAnsi="Arial"/>
                <w:sz w:val="14"/>
                <w:szCs w:val="14"/>
                <w:b w:val="1"/>
                <w:bCs w:val="1"/>
                <w:color w:val="auto"/>
                <w:w w:val="96"/>
              </w:rPr>
              <w:t>Deficit)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center"/>
              <w:ind w:right="100"/>
              <w:spacing w:after="0"/>
              <w:rPr>
                <w:sz w:val="20"/>
                <w:szCs w:val="20"/>
                <w:color w:val="auto"/>
              </w:rPr>
            </w:pPr>
            <w:r>
              <w:rPr>
                <w:rFonts w:ascii="Arial" w:cs="Arial" w:eastAsia="Arial" w:hAnsi="Arial"/>
                <w:sz w:val="14"/>
                <w:szCs w:val="14"/>
                <w:b w:val="1"/>
                <w:bCs w:val="1"/>
                <w:color w:val="auto"/>
                <w:w w:val="93"/>
              </w:rPr>
              <w:t>Income</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320"/>
              <w:spacing w:after="0"/>
              <w:rPr>
                <w:sz w:val="20"/>
                <w:szCs w:val="20"/>
                <w:color w:val="auto"/>
              </w:rPr>
            </w:pPr>
            <w:r>
              <w:rPr>
                <w:rFonts w:ascii="Arial" w:cs="Arial" w:eastAsia="Arial" w:hAnsi="Arial"/>
                <w:sz w:val="14"/>
                <w:szCs w:val="14"/>
                <w:b w:val="1"/>
                <w:bCs w:val="1"/>
                <w:color w:val="auto"/>
              </w:rPr>
              <w:t>Interest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center"/>
              <w:ind w:right="6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6"/>
        </w:trPr>
        <w:tc>
          <w:tcPr>
            <w:tcW w:w="4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Balances at December 31, 2021</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30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3,217</w:t>
            </w:r>
          </w:p>
        </w:tc>
        <w:tc>
          <w:tcPr>
            <w:tcW w:w="0" w:type="dxa"/>
            <w:vAlign w:val="bottom"/>
          </w:tcPr>
          <w:p>
            <w:pPr>
              <w:spacing w:after="0"/>
              <w:rPr>
                <w:sz w:val="1"/>
                <w:szCs w:val="1"/>
                <w:color w:val="auto"/>
              </w:rPr>
            </w:pPr>
          </w:p>
        </w:tc>
      </w:tr>
      <w:tr>
        <w:trPr>
          <w:trHeight w:val="213"/>
        </w:trPr>
        <w:tc>
          <w:tcPr>
            <w:tcW w:w="4620" w:type="dxa"/>
            <w:vAlign w:val="bottom"/>
          </w:tcPr>
          <w:p>
            <w:pPr>
              <w:ind w:left="120"/>
              <w:spacing w:after="0"/>
              <w:rPr>
                <w:sz w:val="20"/>
                <w:szCs w:val="20"/>
                <w:color w:val="auto"/>
              </w:rPr>
            </w:pPr>
            <w:r>
              <w:rPr>
                <w:rFonts w:ascii="Arial" w:cs="Arial" w:eastAsia="Arial" w:hAnsi="Arial"/>
                <w:sz w:val="16"/>
                <w:szCs w:val="16"/>
                <w:color w:val="auto"/>
              </w:rPr>
              <w:t>Net loss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9"/>
        </w:trPr>
        <w:tc>
          <w:tcPr>
            <w:tcW w:w="46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Unrealized gain on derivatives</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3"/>
        </w:trPr>
        <w:tc>
          <w:tcPr>
            <w:tcW w:w="4620" w:type="dxa"/>
            <w:vAlign w:val="bottom"/>
          </w:tcPr>
          <w:p>
            <w:pPr>
              <w:ind w:left="120"/>
              <w:spacing w:after="0"/>
              <w:rPr>
                <w:sz w:val="20"/>
                <w:szCs w:val="20"/>
                <w:color w:val="auto"/>
              </w:rPr>
            </w:pPr>
            <w:r>
              <w:rPr>
                <w:rFonts w:ascii="Arial" w:cs="Arial" w:eastAsia="Arial" w:hAnsi="Arial"/>
                <w:sz w:val="16"/>
                <w:szCs w:val="16"/>
                <w:color w:val="auto"/>
              </w:rPr>
              <w:t>Distributions to CEG, net of contributions, cash</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69"/>
        </w:trPr>
        <w:tc>
          <w:tcPr>
            <w:tcW w:w="4620" w:type="dxa"/>
            <w:vAlign w:val="bottom"/>
            <w:shd w:val="clear" w:color="auto" w:fill="CCEEFF"/>
          </w:tcPr>
          <w:p>
            <w:pPr>
              <w:ind w:left="120"/>
              <w:spacing w:after="0" w:line="169" w:lineRule="exact"/>
              <w:rPr>
                <w:sz w:val="20"/>
                <w:szCs w:val="20"/>
                <w:color w:val="auto"/>
              </w:rPr>
            </w:pPr>
            <w:r>
              <w:rPr>
                <w:rFonts w:ascii="Arial" w:cs="Arial" w:eastAsia="Arial" w:hAnsi="Arial"/>
                <w:sz w:val="16"/>
                <w:szCs w:val="16"/>
                <w:color w:val="auto"/>
              </w:rPr>
              <w:t>Contributions from noncontrolling interests, net of distributions,</w:t>
            </w:r>
          </w:p>
        </w:tc>
        <w:tc>
          <w:tcPr>
            <w:tcW w:w="14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125"/>
        </w:trPr>
        <w:tc>
          <w:tcPr>
            <w:tcW w:w="4620" w:type="dxa"/>
            <w:vAlign w:val="bottom"/>
            <w:vMerge w:val="restart"/>
            <w:shd w:val="clear" w:color="auto" w:fill="CCEEFF"/>
          </w:tcPr>
          <w:p>
            <w:pPr>
              <w:ind w:left="120"/>
              <w:spacing w:after="0"/>
              <w:rPr>
                <w:sz w:val="20"/>
                <w:szCs w:val="20"/>
                <w:color w:val="auto"/>
              </w:rPr>
            </w:pPr>
            <w:r>
              <w:rPr>
                <w:rFonts w:ascii="Arial" w:cs="Arial" w:eastAsia="Arial" w:hAnsi="Arial"/>
                <w:sz w:val="16"/>
                <w:szCs w:val="16"/>
                <w:color w:val="auto"/>
              </w:rPr>
              <w:t>cash</w:t>
            </w:r>
          </w:p>
        </w:tc>
        <w:tc>
          <w:tcPr>
            <w:tcW w:w="140" w:type="dxa"/>
            <w:vAlign w:val="bottom"/>
            <w:shd w:val="clear" w:color="auto" w:fill="CCEEFF"/>
          </w:tcPr>
          <w:p>
            <w:pPr>
              <w:spacing w:after="0"/>
              <w:rPr>
                <w:sz w:val="10"/>
                <w:szCs w:val="10"/>
                <w:color w:val="auto"/>
              </w:rPr>
            </w:pPr>
          </w:p>
        </w:tc>
        <w:tc>
          <w:tcPr>
            <w:tcW w:w="100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0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4620" w:type="dxa"/>
            <w:vAlign w:val="bottom"/>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4620" w:type="dxa"/>
            <w:vAlign w:val="bottom"/>
          </w:tcPr>
          <w:p>
            <w:pPr>
              <w:ind w:left="120"/>
              <w:spacing w:after="0"/>
              <w:rPr>
                <w:sz w:val="20"/>
                <w:szCs w:val="20"/>
                <w:color w:val="auto"/>
              </w:rPr>
            </w:pPr>
            <w:r>
              <w:rPr>
                <w:rFonts w:ascii="Arial" w:cs="Arial" w:eastAsia="Arial" w:hAnsi="Arial"/>
                <w:sz w:val="16"/>
                <w:szCs w:val="16"/>
                <w:color w:val="auto"/>
              </w:rPr>
              <w:t>Transfers of assets under common control</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9"/>
        </w:trPr>
        <w:tc>
          <w:tcPr>
            <w:tcW w:w="46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Distributions paid to Clearway, Inc.</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6"/>
        </w:trPr>
        <w:tc>
          <w:tcPr>
            <w:tcW w:w="4620" w:type="dxa"/>
            <w:vAlign w:val="bottom"/>
          </w:tcPr>
          <w:p>
            <w:pPr>
              <w:ind w:left="120"/>
              <w:spacing w:after="0"/>
              <w:rPr>
                <w:sz w:val="20"/>
                <w:szCs w:val="20"/>
                <w:color w:val="auto"/>
              </w:rPr>
            </w:pPr>
            <w:r>
              <w:rPr>
                <w:rFonts w:ascii="Arial" w:cs="Arial" w:eastAsia="Arial" w:hAnsi="Arial"/>
                <w:sz w:val="16"/>
                <w:szCs w:val="16"/>
                <w:color w:val="auto"/>
              </w:rPr>
              <w:t>Distributions paid to CEG Class B and Class D unit holders</w:t>
            </w: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23"/>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Balances at March 31, 2022</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3,051</w:t>
            </w:r>
          </w:p>
        </w:tc>
        <w:tc>
          <w:tcPr>
            <w:tcW w:w="0" w:type="dxa"/>
            <w:vAlign w:val="bottom"/>
          </w:tcPr>
          <w:p>
            <w:pPr>
              <w:spacing w:after="0"/>
              <w:rPr>
                <w:sz w:val="1"/>
                <w:szCs w:val="1"/>
                <w:color w:val="auto"/>
              </w:rPr>
            </w:pPr>
          </w:p>
        </w:tc>
      </w:tr>
      <w:tr>
        <w:trPr>
          <w:trHeight w:val="213"/>
        </w:trPr>
        <w:tc>
          <w:tcPr>
            <w:tcW w:w="4620" w:type="dxa"/>
            <w:vAlign w:val="bottom"/>
          </w:tcPr>
          <w:p>
            <w:pPr>
              <w:ind w:left="100"/>
              <w:spacing w:after="0"/>
              <w:rPr>
                <w:sz w:val="20"/>
                <w:szCs w:val="20"/>
                <w:color w:val="auto"/>
              </w:rPr>
            </w:pPr>
            <w:r>
              <w:rPr>
                <w:rFonts w:ascii="Arial" w:cs="Arial" w:eastAsia="Arial" w:hAnsi="Arial"/>
                <w:sz w:val="16"/>
                <w:szCs w:val="16"/>
                <w:color w:val="auto"/>
              </w:rPr>
              <w:t>Net income (loss)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1,382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1,372</w:t>
            </w:r>
          </w:p>
        </w:tc>
        <w:tc>
          <w:tcPr>
            <w:tcW w:w="0" w:type="dxa"/>
            <w:vAlign w:val="bottom"/>
          </w:tcPr>
          <w:p>
            <w:pPr>
              <w:spacing w:after="0"/>
              <w:rPr>
                <w:sz w:val="1"/>
                <w:szCs w:val="1"/>
                <w:color w:val="auto"/>
              </w:rPr>
            </w:pPr>
          </w:p>
        </w:tc>
      </w:tr>
      <w:tr>
        <w:trPr>
          <w:trHeight w:val="219"/>
        </w:trPr>
        <w:tc>
          <w:tcPr>
            <w:tcW w:w="46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Unrealized gain on derivatives</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3"/>
        </w:trPr>
        <w:tc>
          <w:tcPr>
            <w:tcW w:w="4620" w:type="dxa"/>
            <w:vAlign w:val="bottom"/>
          </w:tcPr>
          <w:p>
            <w:pPr>
              <w:ind w:left="100"/>
              <w:spacing w:after="0"/>
              <w:rPr>
                <w:sz w:val="20"/>
                <w:szCs w:val="20"/>
                <w:color w:val="auto"/>
              </w:rPr>
            </w:pPr>
            <w:r>
              <w:rPr>
                <w:rFonts w:ascii="Arial" w:cs="Arial" w:eastAsia="Arial" w:hAnsi="Arial"/>
                <w:sz w:val="16"/>
                <w:szCs w:val="16"/>
                <w:color w:val="auto"/>
              </w:rPr>
              <w:t>Contributions from (distributions to) CEG, cash</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9"/>
        </w:trPr>
        <w:tc>
          <w:tcPr>
            <w:tcW w:w="462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7"/>
              </w:rPr>
              <w:t>Distributions to noncontrolling interests, net of contributions, cash</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3"/>
        </w:trPr>
        <w:tc>
          <w:tcPr>
            <w:tcW w:w="4620" w:type="dxa"/>
            <w:vAlign w:val="bottom"/>
          </w:tcPr>
          <w:p>
            <w:pPr>
              <w:ind w:left="100"/>
              <w:spacing w:after="0"/>
              <w:rPr>
                <w:sz w:val="20"/>
                <w:szCs w:val="20"/>
                <w:color w:val="auto"/>
              </w:rPr>
            </w:pPr>
            <w:r>
              <w:rPr>
                <w:rFonts w:ascii="Arial" w:cs="Arial" w:eastAsia="Arial" w:hAnsi="Arial"/>
                <w:sz w:val="16"/>
                <w:szCs w:val="16"/>
                <w:color w:val="auto"/>
              </w:rPr>
              <w:t>Distributions paid to Clearway, Inc.</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19"/>
        </w:trPr>
        <w:tc>
          <w:tcPr>
            <w:tcW w:w="46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Distributions paid to CEG Class B and Class D unit holders</w:t>
            </w: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0"/>
        </w:trPr>
        <w:tc>
          <w:tcPr>
            <w:tcW w:w="4620" w:type="dxa"/>
            <w:vAlign w:val="bottom"/>
          </w:tcPr>
          <w:p>
            <w:pPr>
              <w:ind w:left="20"/>
              <w:spacing w:after="0"/>
              <w:rPr>
                <w:sz w:val="20"/>
                <w:szCs w:val="20"/>
                <w:color w:val="auto"/>
              </w:rPr>
            </w:pPr>
            <w:r>
              <w:rPr>
                <w:rFonts w:ascii="Arial" w:cs="Arial" w:eastAsia="Arial" w:hAnsi="Arial"/>
                <w:sz w:val="18"/>
                <w:szCs w:val="18"/>
                <w:b w:val="1"/>
                <w:bCs w:val="1"/>
                <w:color w:val="auto"/>
              </w:rPr>
              <w:t>Balances at June 30, 2022</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1,341</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1,342</w:t>
            </w:r>
          </w:p>
        </w:tc>
        <w:tc>
          <w:tcPr>
            <w:tcW w:w="300" w:type="dxa"/>
            <w:vAlign w:val="bottom"/>
            <w:gridSpan w:val="2"/>
          </w:tcPr>
          <w:p>
            <w:pPr>
              <w:jc w:val="right"/>
              <w:ind w:right="28"/>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1,640</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4,329</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91" w:right="35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CLEARWAY ENERGY LLC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 — </w:t>
      </w:r>
      <w:r>
        <w:rPr>
          <w:rFonts w:ascii="Arial" w:cs="Arial" w:eastAsia="Arial" w:hAnsi="Arial"/>
          <w:sz w:val="18"/>
          <w:szCs w:val="18"/>
          <w:b w:val="1"/>
          <w:bCs w:val="1"/>
          <w:i w:val="1"/>
          <w:iCs w:val="1"/>
          <w:color w:val="auto"/>
        </w:rPr>
        <w:t>Nature of Business</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Clearway Energy LLC, together with its consolidated subsidiaries, or the Company, is an energy infrastructure investor with a focus on investments in clean energy and owner of modern, sustainable and long-term contracted assets across North America. The Company is sponsored by GIP and TotalEnergies through the portfolio company, Clearway Energy Group LLC, or CEG, which is equally owned by GIP and TotalEnergies. GIP is an independent infrastructure fund manager that makes equity and debt investments in infrastructure assets and businesses. TotalEnergies is a global multi-energy company.</w:t>
      </w:r>
    </w:p>
    <w:p>
      <w:pPr>
        <w:spacing w:after="0" w:line="134"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 xml:space="preserve">The Company is one of the largest renewable energy owners in the U.S. with over 5,500 net MW of installed wind and solar generation projects. The Company’s over 8,000 net MW of assets also includes approximately 2,500 net MW of environmentally-sound, highly efficient natural gas-fired generation facilities. Through this environmentally-sound, diversified and primarily contracted portfolio, the Company endeavors to increase distributions to its unit holders. </w:t>
      </w:r>
      <w:r>
        <w:rPr>
          <w:rFonts w:ascii="Arial" w:cs="Arial" w:eastAsia="Arial" w:hAnsi="Arial"/>
          <w:sz w:val="16"/>
          <w:szCs w:val="16"/>
          <w:color w:val="231F20"/>
        </w:rPr>
        <w:t>The majority</w:t>
      </w:r>
      <w:r>
        <w:rPr>
          <w:rFonts w:ascii="Arial" w:cs="Arial" w:eastAsia="Arial" w:hAnsi="Arial"/>
          <w:sz w:val="16"/>
          <w:szCs w:val="16"/>
          <w:color w:val="auto"/>
        </w:rPr>
        <w:t xml:space="preserve"> of the Company’s revenues are derived from long-term contractual arrangements for the output or capacity from these assets.</w:t>
      </w:r>
    </w:p>
    <w:p>
      <w:pPr>
        <w:spacing w:after="0" w:line="10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231F20"/>
        </w:rPr>
        <w:t>Clearway Energy, Inc., or Clearway, Inc., consolidates the results of the Company through its controlling interest, with CEG’s interest shown as contributed capital in the Company’s consolidated financial statements. The holders of Clearway, Inc.’s outstanding shares of Class A and Class C common stock are entitled to dividends as declared. CEG receives its distributions from the Company through its ownership of the Company’s Class B and Class D units.</w:t>
      </w:r>
    </w:p>
    <w:p>
      <w:pPr>
        <w:spacing w:after="0" w:line="13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June 30, 2023, Clearway, Inc. owned 57.90% of the economic interests of the Company, with CEG owning 42.10% of the economic interests of the Company.</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2" w:name="page13"/>
    <w:bookmarkEnd w:id="12"/>
    <w:p>
      <w:pPr>
        <w:ind w:left="420"/>
        <w:spacing w:after="0"/>
        <w:rPr>
          <w:sz w:val="20"/>
          <w:szCs w:val="20"/>
          <w:color w:val="auto"/>
        </w:rPr>
      </w:pPr>
      <w:r>
        <w:rPr>
          <w:rFonts w:ascii="Arial" w:cs="Arial" w:eastAsia="Arial" w:hAnsi="Arial"/>
          <w:sz w:val="18"/>
          <w:szCs w:val="18"/>
          <w:color w:val="auto"/>
        </w:rPr>
        <w:t>The following table represents a summarized structure of the Company as of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5863590" cy="43116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863590" cy="4311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71"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The accompanying unaudited interim consolidated financial statements have been prepared in accordance with the SEC’s regulations for interim financial information and with the instructions to Form 10-Q. Accordingly, they do not include all of the information and notes required by GAAP for complete financial statements. The following notes should be read in conjunction with the accounting policies and other disclosures as set forth in the notes to the consolidated financial statements included in the Company’s 2022 Form 10-K. Interim results are not necessarily indicative of results for a full year.</w:t>
      </w:r>
    </w:p>
    <w:p>
      <w:pPr>
        <w:spacing w:after="0" w:line="103"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 the opinion of management, the accompanying unaudited interim consolidated financial statements contain all material adjustments consisting of normal and recurring accruals necessary to present fairly the Company’s consolidated financial position as of June 30, 2023, and results of operations, comprehensive income and cash flows for the three and six months ended June 30, 2023 and 2022.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w:t>
      </w:r>
      <w:r>
        <w:rPr>
          <w:rFonts w:ascii="Arial" w:cs="Arial" w:eastAsia="Arial" w:hAnsi="Arial"/>
          <w:sz w:val="18"/>
          <w:szCs w:val="18"/>
          <w:color w:val="auto"/>
        </w:rPr>
        <w:t>—</w:t>
      </w:r>
      <w:r>
        <w:rPr>
          <w:rFonts w:ascii="Arial" w:cs="Arial" w:eastAsia="Arial" w:hAnsi="Arial"/>
          <w:sz w:val="18"/>
          <w:szCs w:val="18"/>
          <w:b w:val="1"/>
          <w:bCs w:val="1"/>
          <w:color w:val="auto"/>
        </w:rPr>
        <w:t xml:space="preserve">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preparation of consolidated financial statements in accordance with GAAP requires management to make estimates and assumptions. These estimates and assumptions impact the reported amounts of assets and liabilities and disclosures of contingent assets and liabilities as of the date of the consolidated financial statements. They also impact the reported amounts of net earnings during the reporting periods. Actual results could be different from these estimates.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71"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Cash and cash equivalents include highly liquid investments with an original maturity of three months or less at the time of purchase. Cash and cash equivalents held at project subsidiaries was $134 million and $121 million as of June 30, 2023 and December 31, 2022, respectively.</w:t>
      </w:r>
    </w:p>
    <w:p>
      <w:pPr>
        <w:spacing w:after="0" w:line="9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consolidated balance sheets that sum to the total of the same such amounts shown in the consolidated statements of cash flows: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0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2023</w:t>
            </w: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6"/>
                <w:szCs w:val="16"/>
                <w:b w:val="1"/>
                <w:bCs w:val="1"/>
                <w:color w:val="auto"/>
              </w:rPr>
              <w:t>December 31, 2022</w:t>
            </w:r>
          </w:p>
        </w:tc>
      </w:tr>
      <w:tr>
        <w:trPr>
          <w:trHeight w:val="210"/>
        </w:trPr>
        <w:tc>
          <w:tcPr>
            <w:tcW w:w="74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80" w:type="dxa"/>
            <w:vAlign w:val="bottom"/>
            <w:gridSpan w:val="3"/>
          </w:tcPr>
          <w:p>
            <w:pPr>
              <w:ind w:left="60"/>
              <w:spacing w:after="0"/>
              <w:rPr>
                <w:sz w:val="20"/>
                <w:szCs w:val="20"/>
                <w:color w:val="auto"/>
              </w:rPr>
            </w:pPr>
            <w:r>
              <w:rPr>
                <w:rFonts w:ascii="Arial" w:cs="Arial" w:eastAsia="Arial" w:hAnsi="Arial"/>
                <w:sz w:val="16"/>
                <w:szCs w:val="16"/>
                <w:b w:val="1"/>
                <w:bCs w:val="1"/>
                <w:color w:val="auto"/>
              </w:rPr>
              <w:t>(In millions)</w:t>
            </w:r>
          </w:p>
        </w:tc>
        <w:tc>
          <w:tcPr>
            <w:tcW w:w="920" w:type="dxa"/>
            <w:vAlign w:val="bottom"/>
          </w:tcPr>
          <w:p>
            <w:pPr>
              <w:spacing w:after="0"/>
              <w:rPr>
                <w:sz w:val="18"/>
                <w:szCs w:val="18"/>
                <w:color w:val="auto"/>
              </w:rPr>
            </w:pPr>
          </w:p>
        </w:tc>
      </w:tr>
      <w:tr>
        <w:trPr>
          <w:trHeight w:val="232"/>
        </w:trPr>
        <w:tc>
          <w:tcPr>
            <w:tcW w:w="7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440" w:type="dxa"/>
            <w:vAlign w:val="bottom"/>
            <w:shd w:val="clear" w:color="auto" w:fill="CCEEFF"/>
          </w:tcPr>
          <w:p>
            <w:pPr>
              <w:jc w:val="right"/>
              <w:ind w:right="1253"/>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547</w:t>
            </w:r>
          </w:p>
        </w:tc>
        <w:tc>
          <w:tcPr>
            <w:tcW w:w="1060" w:type="dxa"/>
            <w:vAlign w:val="bottom"/>
            <w:gridSpan w:val="2"/>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r>
      <w:tr>
        <w:trPr>
          <w:trHeight w:val="229"/>
        </w:trPr>
        <w:tc>
          <w:tcPr>
            <w:tcW w:w="740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14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w:t>
            </w:r>
          </w:p>
        </w:tc>
      </w:tr>
      <w:tr>
        <w:trPr>
          <w:trHeight w:val="257"/>
        </w:trPr>
        <w:tc>
          <w:tcPr>
            <w:tcW w:w="74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5"/>
              </w:rPr>
              <w:t>Cash, cash equivalents and restricted cash shown in the consolidated statements of cash flows</w:t>
            </w:r>
          </w:p>
        </w:tc>
        <w:tc>
          <w:tcPr>
            <w:tcW w:w="1440" w:type="dxa"/>
            <w:vAlign w:val="bottom"/>
            <w:shd w:val="clear" w:color="auto" w:fill="CCEEFF"/>
          </w:tcPr>
          <w:p>
            <w:pPr>
              <w:jc w:val="right"/>
              <w:ind w:right="1253"/>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918</w:t>
            </w:r>
          </w:p>
        </w:tc>
        <w:tc>
          <w:tcPr>
            <w:tcW w:w="1060" w:type="dxa"/>
            <w:vAlign w:val="bottom"/>
            <w:gridSpan w:val="2"/>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Restricted cash consists primarily of funds held to satisfy the requirements of certain debt agreements and funds held within the Company’s projects that are restricted in their use. As of June 30, 2023, these restricted funds were comprised of $104 million designated to fund operating expenses, $168 million designated for current debt service payments and $85 million restricted for reserves including debt service, performance obligations and other reserves as well as capital expenditures. The remaining $14 million is held in distributions reserve accounts.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Depreciation and Accumulated Amortization</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presents the accumulated depreciation included in property, plant and equipment, net, and accumulated amortization included in intangible assets, net:</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395"/>
              <w:spacing w:after="0"/>
              <w:rPr>
                <w:sz w:val="20"/>
                <w:szCs w:val="20"/>
                <w:color w:val="auto"/>
              </w:rPr>
            </w:pPr>
            <w:r>
              <w:rPr>
                <w:rFonts w:ascii="Arial" w:cs="Arial" w:eastAsia="Arial" w:hAnsi="Arial"/>
                <w:sz w:val="16"/>
                <w:szCs w:val="16"/>
                <w:b w:val="1"/>
                <w:bCs w:val="1"/>
                <w:color w:val="auto"/>
              </w:rPr>
              <w:t>June 30, 2023</w:t>
            </w:r>
          </w:p>
        </w:tc>
        <w:tc>
          <w:tcPr>
            <w:tcW w:w="2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93"/>
              <w:spacing w:after="0"/>
              <w:rPr>
                <w:sz w:val="20"/>
                <w:szCs w:val="20"/>
                <w:color w:val="auto"/>
              </w:rPr>
            </w:pPr>
            <w:r>
              <w:rPr>
                <w:rFonts w:ascii="Arial" w:cs="Arial" w:eastAsia="Arial" w:hAnsi="Arial"/>
                <w:sz w:val="16"/>
                <w:szCs w:val="16"/>
                <w:b w:val="1"/>
                <w:bCs w:val="1"/>
                <w:color w:val="auto"/>
                <w:w w:val="95"/>
              </w:rPr>
              <w:t>December 31, 2022</w:t>
            </w:r>
          </w:p>
        </w:tc>
      </w:tr>
      <w:tr>
        <w:trPr>
          <w:trHeight w:val="210"/>
        </w:trPr>
        <w:tc>
          <w:tcPr>
            <w:tcW w:w="7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560" w:type="dxa"/>
            <w:vAlign w:val="bottom"/>
            <w:gridSpan w:val="3"/>
          </w:tcPr>
          <w:p>
            <w:pPr>
              <w:jc w:val="right"/>
              <w:ind w:right="1413"/>
              <w:spacing w:after="0"/>
              <w:rPr>
                <w:sz w:val="20"/>
                <w:szCs w:val="20"/>
                <w:color w:val="auto"/>
              </w:rPr>
            </w:pPr>
            <w:r>
              <w:rPr>
                <w:rFonts w:ascii="Arial" w:cs="Arial" w:eastAsia="Arial" w:hAnsi="Arial"/>
                <w:sz w:val="16"/>
                <w:szCs w:val="16"/>
                <w:b w:val="1"/>
                <w:bCs w:val="1"/>
                <w:color w:val="auto"/>
              </w:rPr>
              <w:t>(In millions)</w:t>
            </w:r>
          </w:p>
        </w:tc>
      </w:tr>
      <w:tr>
        <w:trPr>
          <w:trHeight w:val="232"/>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 Accumulated Depreciation</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3,232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3,024</w:t>
            </w: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color w:val="auto"/>
              </w:rPr>
              <w:t>Intangible Assets Accumulated Amortization</w:t>
            </w:r>
          </w:p>
        </w:tc>
        <w:tc>
          <w:tcPr>
            <w:tcW w:w="280" w:type="dxa"/>
            <w:vAlign w:val="bottom"/>
          </w:tcPr>
          <w:p>
            <w:pPr>
              <w:spacing w:after="0"/>
              <w:rPr>
                <w:sz w:val="20"/>
                <w:szCs w:val="20"/>
                <w:color w:val="auto"/>
              </w:rPr>
            </w:pPr>
          </w:p>
        </w:tc>
        <w:tc>
          <w:tcPr>
            <w:tcW w:w="1600" w:type="dxa"/>
            <w:vAlign w:val="bottom"/>
          </w:tcPr>
          <w:p>
            <w:pPr>
              <w:jc w:val="right"/>
              <w:ind w:right="15"/>
              <w:spacing w:after="0"/>
              <w:rPr>
                <w:sz w:val="20"/>
                <w:szCs w:val="20"/>
                <w:color w:val="auto"/>
              </w:rPr>
            </w:pPr>
            <w:r>
              <w:rPr>
                <w:rFonts w:ascii="Arial" w:cs="Arial" w:eastAsia="Arial" w:hAnsi="Arial"/>
                <w:sz w:val="18"/>
                <w:szCs w:val="18"/>
                <w:color w:val="auto"/>
              </w:rPr>
              <w:t>972</w:t>
            </w:r>
          </w:p>
        </w:tc>
        <w:tc>
          <w:tcPr>
            <w:tcW w:w="2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877</w:t>
            </w:r>
          </w:p>
        </w:tc>
      </w:tr>
    </w:tbl>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lists distributions paid on the Company's Class A, B, C and D units during the six months ended June 30, 2023:</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00" w:type="dxa"/>
            <w:vAlign w:val="bottom"/>
          </w:tcPr>
          <w:p>
            <w:pPr>
              <w:spacing w:after="0"/>
              <w:rPr>
                <w:sz w:val="16"/>
                <w:szCs w:val="16"/>
                <w:color w:val="auto"/>
              </w:rPr>
            </w:pPr>
          </w:p>
        </w:tc>
        <w:tc>
          <w:tcPr>
            <w:tcW w:w="136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Second Quarter 2023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ind w:right="19"/>
              <w:spacing w:after="0"/>
              <w:rPr>
                <w:sz w:val="20"/>
                <w:szCs w:val="20"/>
                <w:color w:val="auto"/>
              </w:rPr>
            </w:pPr>
            <w:r>
              <w:rPr>
                <w:rFonts w:ascii="Arial" w:cs="Arial" w:eastAsia="Arial" w:hAnsi="Arial"/>
                <w:sz w:val="14"/>
                <w:szCs w:val="14"/>
                <w:b w:val="1"/>
                <w:bCs w:val="1"/>
                <w:color w:val="auto"/>
                <w:w w:val="95"/>
              </w:rPr>
              <w:t>First Quarter 2023</w:t>
            </w:r>
          </w:p>
        </w:tc>
      </w:tr>
      <w:tr>
        <w:trPr>
          <w:trHeight w:val="25"/>
        </w:trPr>
        <w:tc>
          <w:tcPr>
            <w:tcW w:w="84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3"/>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Distributions per Class A, B, C and D unit</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0.3818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0.3745</w:t>
            </w:r>
          </w:p>
        </w:tc>
      </w:tr>
    </w:tbl>
    <w:p>
      <w:pPr>
        <w:spacing w:after="0" w:line="24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August 7, 2023, the Company declared a distribution on its Class A, Class B, Class C and Class D units of $0.3891 per unit payable on September 15, 2023 to unit holders of record as of September 1, 2023.</w:t>
      </w:r>
    </w:p>
    <w:p>
      <w:pPr>
        <w:spacing w:after="0" w:line="116"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 addition to the quarterly distributions, the Company paid $45 million in additional distributions, $26 million of which was distributed to Clearway, Inc. and $19 million of which was distributed to CEG, during the second quarter of 2023 in order for Clearway, Inc. to make certain additional tax payments primarily associated with the sale of the Thermal Business.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Redeemable Noncontrolling Interests</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To the extent that a third party has the right to redeem their interests for cash or other assets, the Company has included the noncontrolling interest attributable to the third party as a component of temporary equity in the mezzanine section of the consolidated balance sheet. The following table reflects the changes in the Company’s redeemable noncontrolling interest balance:</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7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ind w:right="712"/>
              <w:spacing w:after="0"/>
              <w:rPr>
                <w:sz w:val="20"/>
                <w:szCs w:val="20"/>
                <w:color w:val="auto"/>
              </w:rPr>
            </w:pPr>
            <w:r>
              <w:rPr>
                <w:rFonts w:ascii="Arial" w:cs="Arial" w:eastAsia="Arial" w:hAnsi="Arial"/>
                <w:sz w:val="16"/>
                <w:szCs w:val="16"/>
                <w:b w:val="1"/>
                <w:bCs w:val="1"/>
                <w:color w:val="auto"/>
              </w:rPr>
              <w:t>(In millions)</w:t>
            </w:r>
          </w:p>
        </w:tc>
      </w:tr>
      <w:tr>
        <w:trPr>
          <w:trHeight w:val="226"/>
        </w:trPr>
        <w:tc>
          <w:tcPr>
            <w:tcW w:w="8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2022</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8780" w:type="dxa"/>
            <w:vAlign w:val="bottom"/>
          </w:tcPr>
          <w:p>
            <w:pPr>
              <w:ind w:left="140"/>
              <w:spacing w:after="0"/>
              <w:rPr>
                <w:sz w:val="20"/>
                <w:szCs w:val="20"/>
                <w:color w:val="auto"/>
              </w:rPr>
            </w:pPr>
            <w:r>
              <w:rPr>
                <w:rFonts w:ascii="Arial" w:cs="Arial" w:eastAsia="Arial" w:hAnsi="Arial"/>
                <w:sz w:val="18"/>
                <w:szCs w:val="18"/>
                <w:color w:val="auto"/>
              </w:rPr>
              <w:t>Cash distributions to redeemable noncontrolling interests</w:t>
            </w:r>
          </w:p>
        </w:tc>
        <w:tc>
          <w:tcPr>
            <w:tcW w:w="4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8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Comprehensive income attributable to redeemable noncontrolling interests</w:t>
            </w:r>
          </w:p>
        </w:tc>
        <w:tc>
          <w:tcPr>
            <w:tcW w:w="460" w:type="dxa"/>
            <w:vAlign w:val="bottom"/>
            <w:tcBorders>
              <w:bottom w:val="single" w:sz="8" w:color="auto"/>
            </w:tcBorders>
            <w:shd w:val="clear" w:color="auto" w:fill="CCEEFF"/>
          </w:tcPr>
          <w:p>
            <w:pPr>
              <w:spacing w:after="0"/>
              <w:rPr>
                <w:sz w:val="21"/>
                <w:szCs w:val="21"/>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8780" w:type="dxa"/>
            <w:vAlign w:val="bottom"/>
          </w:tcPr>
          <w:p>
            <w:pPr>
              <w:ind w:left="20"/>
              <w:spacing w:after="0"/>
              <w:rPr>
                <w:sz w:val="20"/>
                <w:szCs w:val="20"/>
                <w:color w:val="auto"/>
              </w:rPr>
            </w:pPr>
            <w:r>
              <w:rPr>
                <w:rFonts w:ascii="Arial" w:cs="Arial" w:eastAsia="Arial" w:hAnsi="Arial"/>
                <w:sz w:val="18"/>
                <w:szCs w:val="18"/>
                <w:b w:val="1"/>
                <w:bCs w:val="1"/>
                <w:color w:val="auto"/>
              </w:rPr>
              <w:t>Balance at June 30, 2023</w:t>
            </w: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87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Disaggregated Revenues</w:t>
      </w:r>
    </w:p>
    <w:p>
      <w:pPr>
        <w:spacing w:after="0" w:line="17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following tables represent the Company’s disaggregation of revenue from contracts with customers along with the reportable segment for each category:</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8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rPr>
              <w:t>Three months ended June 30, 2023</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1"/>
                <w:szCs w:val="11"/>
                <w:color w:val="auto"/>
              </w:rPr>
            </w:pPr>
          </w:p>
        </w:tc>
        <w:tc>
          <w:tcPr>
            <w:tcW w:w="1320" w:type="dxa"/>
            <w:vAlign w:val="bottom"/>
          </w:tcPr>
          <w:p>
            <w:pPr>
              <w:jc w:val="right"/>
              <w:ind w:right="274"/>
              <w:spacing w:after="0" w:line="129" w:lineRule="exact"/>
              <w:rPr>
                <w:sz w:val="20"/>
                <w:szCs w:val="20"/>
                <w:color w:val="auto"/>
              </w:rPr>
            </w:pPr>
            <w:r>
              <w:rPr>
                <w:rFonts w:ascii="Arial" w:cs="Arial" w:eastAsia="Arial" w:hAnsi="Arial"/>
                <w:sz w:val="14"/>
                <w:szCs w:val="14"/>
                <w:b w:val="1"/>
                <w:bCs w:val="1"/>
                <w:color w:val="auto"/>
              </w:rPr>
              <w:t>Conventional</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Renewables</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vMerge w:val="restart"/>
          </w:tcPr>
          <w:p>
            <w:pPr>
              <w:jc w:val="right"/>
              <w:ind w:right="5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8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right"/>
              <w:ind w:right="334"/>
              <w:spacing w:after="0"/>
              <w:rPr>
                <w:sz w:val="20"/>
                <w:szCs w:val="20"/>
                <w:color w:val="auto"/>
              </w:rPr>
            </w:pPr>
            <w:r>
              <w:rPr>
                <w:rFonts w:ascii="Arial" w:cs="Arial" w:eastAsia="Arial" w:hAnsi="Arial"/>
                <w:sz w:val="14"/>
                <w:szCs w:val="14"/>
                <w:b w:val="1"/>
                <w:bCs w:val="1"/>
                <w:color w:val="auto"/>
              </w:rPr>
              <w:t>Generation</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4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0"/>
        </w:trPr>
        <w:tc>
          <w:tcPr>
            <w:tcW w:w="20" w:type="dxa"/>
            <w:vAlign w:val="bottom"/>
            <w:shd w:val="clear" w:color="auto" w:fill="CCEEFF"/>
          </w:tcPr>
          <w:p>
            <w:pPr>
              <w:spacing w:after="0"/>
              <w:rPr>
                <w:sz w:val="24"/>
                <w:szCs w:val="24"/>
                <w:color w:val="auto"/>
              </w:rPr>
            </w:pPr>
          </w:p>
        </w:tc>
        <w:tc>
          <w:tcPr>
            <w:tcW w:w="6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Energy revenue </w:t>
            </w:r>
            <w:r>
              <w:rPr>
                <w:rFonts w:ascii="Arial" w:cs="Arial" w:eastAsia="Arial" w:hAnsi="Arial"/>
                <w:sz w:val="23"/>
                <w:szCs w:val="23"/>
                <w:color w:val="auto"/>
                <w:vertAlign w:val="superscript"/>
              </w:rPr>
              <w:t>(a)</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333333"/>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3</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33333"/>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275</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6380" w:type="dxa"/>
            <w:vAlign w:val="bottom"/>
            <w:gridSpan w:val="3"/>
          </w:tcPr>
          <w:p>
            <w:pPr>
              <w:spacing w:after="0"/>
              <w:rPr>
                <w:sz w:val="20"/>
                <w:szCs w:val="20"/>
                <w:color w:val="auto"/>
              </w:rPr>
            </w:pPr>
            <w:r>
              <w:rPr>
                <w:rFonts w:ascii="Arial" w:cs="Arial" w:eastAsia="Arial" w:hAnsi="Arial"/>
                <w:sz w:val="18"/>
                <w:szCs w:val="18"/>
                <w:color w:val="auto"/>
              </w:rPr>
              <w:t xml:space="preserve">Capacity revenue </w:t>
            </w:r>
            <w:r>
              <w:rPr>
                <w:rFonts w:ascii="Arial" w:cs="Arial" w:eastAsia="Arial" w:hAnsi="Arial"/>
                <w:sz w:val="23"/>
                <w:szCs w:val="23"/>
                <w:color w:val="auto"/>
                <w:vertAlign w:val="superscript"/>
              </w:rPr>
              <w:t>(a)</w:t>
            </w:r>
          </w:p>
        </w:tc>
        <w:tc>
          <w:tcPr>
            <w:tcW w:w="2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380" w:type="dxa"/>
            <w:vAlign w:val="bottom"/>
            <w:gridSpan w:val="3"/>
            <w:shd w:val="clear" w:color="auto" w:fill="CCEEFF"/>
          </w:tcPr>
          <w:p>
            <w:pPr>
              <w:spacing w:after="0" w:line="230" w:lineRule="exact"/>
              <w:rPr>
                <w:sz w:val="20"/>
                <w:szCs w:val="20"/>
                <w:color w:val="auto"/>
              </w:rPr>
            </w:pPr>
            <w:r>
              <w:rPr>
                <w:rFonts w:ascii="Arial" w:cs="Arial" w:eastAsia="Arial" w:hAnsi="Arial"/>
                <w:sz w:val="18"/>
                <w:szCs w:val="18"/>
                <w:color w:val="auto"/>
              </w:rPr>
              <w:t xml:space="preserve">Other revenue </w:t>
            </w:r>
            <w:r>
              <w:rPr>
                <w:rFonts w:ascii="Arial" w:cs="Arial" w:eastAsia="Arial" w:hAnsi="Arial"/>
                <w:sz w:val="23"/>
                <w:szCs w:val="23"/>
                <w:color w:val="auto"/>
                <w:vertAlign w:val="superscript"/>
              </w:rPr>
              <w:t>(a)</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21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27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gridSpan w:val="3"/>
          </w:tcPr>
          <w:p>
            <w:pPr>
              <w:spacing w:after="0"/>
              <w:rPr>
                <w:sz w:val="20"/>
                <w:szCs w:val="20"/>
                <w:color w:val="auto"/>
              </w:rPr>
            </w:pPr>
            <w:r>
              <w:rPr>
                <w:rFonts w:ascii="Arial" w:cs="Arial" w:eastAsia="Arial" w:hAnsi="Arial"/>
                <w:sz w:val="18"/>
                <w:szCs w:val="18"/>
                <w:color w:val="auto"/>
              </w:rPr>
              <w:t>Contract amortization</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333333"/>
              </w:rPr>
              <w:t>(5)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333333"/>
              </w:rPr>
              <w:t>(42)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6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Mark-to-market for economic hedges</w:t>
            </w:r>
          </w:p>
        </w:tc>
        <w:tc>
          <w:tcPr>
            <w:tcW w:w="22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gridSpan w:val="3"/>
          </w:tcPr>
          <w:p>
            <w:pPr>
              <w:ind w:left="120"/>
              <w:spacing w:after="0"/>
              <w:rPr>
                <w:sz w:val="20"/>
                <w:szCs w:val="20"/>
                <w:color w:val="auto"/>
              </w:rPr>
            </w:pPr>
            <w:r>
              <w:rPr>
                <w:rFonts w:ascii="Arial" w:cs="Arial" w:eastAsia="Arial" w:hAnsi="Arial"/>
                <w:sz w:val="18"/>
                <w:szCs w:val="18"/>
                <w:color w:val="auto"/>
              </w:rPr>
              <w:t>Total operating revenues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Less: Mark-to-market for economic hedges</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80" w:type="dxa"/>
            <w:vAlign w:val="bottom"/>
            <w:gridSpan w:val="3"/>
          </w:tcPr>
          <w:p>
            <w:pPr>
              <w:spacing w:after="0"/>
              <w:rPr>
                <w:sz w:val="20"/>
                <w:szCs w:val="20"/>
                <w:color w:val="auto"/>
              </w:rPr>
            </w:pPr>
            <w:r>
              <w:rPr>
                <w:rFonts w:ascii="Arial" w:cs="Arial" w:eastAsia="Arial" w:hAnsi="Arial"/>
                <w:sz w:val="18"/>
                <w:szCs w:val="18"/>
                <w:color w:val="auto"/>
              </w:rPr>
              <w:t>Less: Lease revenue</w:t>
            </w: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333333"/>
              </w:rPr>
              <w:t>(104)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333333"/>
              </w:rPr>
              <w:t>(237)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63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Less: Contract amortization</w:t>
            </w:r>
          </w:p>
        </w:tc>
        <w:tc>
          <w:tcPr>
            <w:tcW w:w="22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gridSpan w:val="3"/>
          </w:tcPr>
          <w:p>
            <w:pPr>
              <w:ind w:left="100"/>
              <w:spacing w:after="0"/>
              <w:rPr>
                <w:sz w:val="20"/>
                <w:szCs w:val="20"/>
                <w:color w:val="auto"/>
              </w:rPr>
            </w:pPr>
            <w:r>
              <w:rPr>
                <w:rFonts w:ascii="Arial" w:cs="Arial" w:eastAsia="Arial" w:hAnsi="Arial"/>
                <w:sz w:val="18"/>
                <w:szCs w:val="18"/>
                <w:color w:val="auto"/>
              </w:rPr>
              <w:t>Total revenue from contracts with customers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16</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70</w:t>
            </w: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4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240" w:hanging="151"/>
        <w:spacing w:after="0"/>
        <w:tabs>
          <w:tab w:leader="none" w:pos="240" w:val="left"/>
        </w:tabs>
        <w:numPr>
          <w:ilvl w:val="0"/>
          <w:numId w:val="4"/>
        </w:numPr>
        <w:rPr>
          <w:rFonts w:ascii="Arial" w:cs="Arial" w:eastAsia="Arial" w:hAnsi="Arial"/>
          <w:sz w:val="18"/>
          <w:szCs w:val="18"/>
          <w:color w:val="auto"/>
          <w:vertAlign w:val="superscript"/>
        </w:rPr>
      </w:pPr>
      <w:r>
        <w:rPr>
          <w:rFonts w:ascii="Arial" w:cs="Arial" w:eastAsia="Arial" w:hAnsi="Arial"/>
          <w:sz w:val="13"/>
          <w:szCs w:val="13"/>
          <w:color w:val="auto"/>
        </w:rPr>
        <w:t>The following amounts of energy, capacity and other revenue relate to leases and are accounted for under ASC 842:</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4"/>
                <w:szCs w:val="14"/>
                <w:color w:val="auto"/>
              </w:rPr>
            </w:pPr>
          </w:p>
        </w:tc>
        <w:tc>
          <w:tcPr>
            <w:tcW w:w="1320" w:type="dxa"/>
            <w:vAlign w:val="bottom"/>
          </w:tcPr>
          <w:p>
            <w:pPr>
              <w:jc w:val="right"/>
              <w:ind w:right="276"/>
              <w:spacing w:after="0"/>
              <w:rPr>
                <w:sz w:val="20"/>
                <w:szCs w:val="20"/>
                <w:color w:val="auto"/>
              </w:rPr>
            </w:pPr>
            <w:r>
              <w:rPr>
                <w:rFonts w:ascii="Arial" w:cs="Arial" w:eastAsia="Arial" w:hAnsi="Arial"/>
                <w:sz w:val="14"/>
                <w:szCs w:val="14"/>
                <w:b w:val="1"/>
                <w:bCs w:val="1"/>
                <w:color w:val="auto"/>
              </w:rPr>
              <w:t>Conventional</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Renewables</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8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right"/>
              <w:ind w:right="336"/>
              <w:spacing w:after="0"/>
              <w:rPr>
                <w:sz w:val="20"/>
                <w:szCs w:val="20"/>
                <w:color w:val="auto"/>
              </w:rPr>
            </w:pPr>
            <w:r>
              <w:rPr>
                <w:rFonts w:ascii="Arial" w:cs="Arial" w:eastAsia="Arial" w:hAnsi="Arial"/>
                <w:sz w:val="14"/>
                <w:szCs w:val="14"/>
                <w:b w:val="1"/>
                <w:bCs w:val="1"/>
                <w:color w:val="auto"/>
              </w:rPr>
              <w:t>Generation</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4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Energy revenue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80" w:type="dxa"/>
            <w:vAlign w:val="bottom"/>
            <w:gridSpan w:val="3"/>
          </w:tcPr>
          <w:p>
            <w:pPr>
              <w:spacing w:after="0"/>
              <w:rPr>
                <w:sz w:val="20"/>
                <w:szCs w:val="20"/>
                <w:color w:val="auto"/>
              </w:rPr>
            </w:pPr>
            <w:r>
              <w:rPr>
                <w:rFonts w:ascii="Arial" w:cs="Arial" w:eastAsia="Arial" w:hAnsi="Arial"/>
                <w:sz w:val="18"/>
                <w:szCs w:val="18"/>
                <w:color w:val="auto"/>
              </w:rPr>
              <w:t>Capacity revenue</w:t>
            </w: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6380" w:type="dxa"/>
            <w:vAlign w:val="bottom"/>
            <w:gridSpan w:val="3"/>
            <w:shd w:val="clear" w:color="auto" w:fill="CCEEFF"/>
          </w:tcPr>
          <w:p>
            <w:pPr>
              <w:spacing w:after="0" w:line="236" w:lineRule="exact"/>
              <w:rPr>
                <w:sz w:val="20"/>
                <w:szCs w:val="20"/>
                <w:color w:val="auto"/>
              </w:rPr>
            </w:pPr>
            <w:r>
              <w:rPr>
                <w:rFonts w:ascii="Arial" w:cs="Arial" w:eastAsia="Arial" w:hAnsi="Arial"/>
                <w:sz w:val="18"/>
                <w:szCs w:val="18"/>
                <w:color w:val="auto"/>
              </w:rPr>
              <w:t xml:space="preserve">Other revenue </w:t>
            </w:r>
            <w:r>
              <w:rPr>
                <w:rFonts w:ascii="Arial" w:cs="Arial" w:eastAsia="Arial" w:hAnsi="Arial"/>
                <w:sz w:val="23"/>
                <w:szCs w:val="23"/>
                <w:color w:val="auto"/>
                <w:vertAlign w:val="superscript"/>
              </w:rPr>
              <w:t>(b)</w:t>
            </w:r>
          </w:p>
        </w:tc>
        <w:tc>
          <w:tcPr>
            <w:tcW w:w="22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gridSpan w:val="3"/>
          </w:tcPr>
          <w:p>
            <w:pPr>
              <w:ind w:left="1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4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jc w:val="both"/>
        <w:ind w:left="80" w:firstLine="9"/>
        <w:spacing w:after="0" w:line="292" w:lineRule="auto"/>
        <w:tabs>
          <w:tab w:leader="none" w:pos="247" w:val="left"/>
        </w:tabs>
        <w:numPr>
          <w:ilvl w:val="0"/>
          <w:numId w:val="5"/>
        </w:numPr>
        <w:rPr>
          <w:rFonts w:ascii="Arial" w:cs="Arial" w:eastAsia="Arial" w:hAnsi="Arial"/>
          <w:sz w:val="19"/>
          <w:szCs w:val="19"/>
          <w:color w:val="auto"/>
          <w:vertAlign w:val="superscript"/>
        </w:rPr>
      </w:pPr>
      <w:r>
        <w:rPr>
          <w:rFonts w:ascii="Arial" w:cs="Arial" w:eastAsia="Arial" w:hAnsi="Arial"/>
          <w:sz w:val="13"/>
          <w:szCs w:val="13"/>
          <w:color w:val="auto"/>
        </w:rPr>
        <w:t>On May 31, 2023, the Marsh Landing Black Start addition reached commercial operations and the Company will receive an annual fixed fee over a five-year term under the related agreement. The agreement was determined to be a sales-type lease resulting in the Company recording a lease receivable of $21 million included in total operating revenues, offset by net investment costs of $13 million included in cost of operations, resulting in a net pre-tax profit of $8 million.</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40" w:type="dxa"/>
            <w:vAlign w:val="bottom"/>
            <w:gridSpan w:val="3"/>
          </w:tcPr>
          <w:p>
            <w:pPr>
              <w:jc w:val="right"/>
              <w:ind w:right="48"/>
              <w:spacing w:after="0"/>
              <w:rPr>
                <w:sz w:val="20"/>
                <w:szCs w:val="20"/>
                <w:color w:val="auto"/>
              </w:rPr>
            </w:pPr>
            <w:r>
              <w:rPr>
                <w:rFonts w:ascii="Arial" w:cs="Arial" w:eastAsia="Arial" w:hAnsi="Arial"/>
                <w:sz w:val="14"/>
                <w:szCs w:val="14"/>
                <w:b w:val="1"/>
                <w:bCs w:val="1"/>
                <w:color w:val="auto"/>
                <w:w w:val="98"/>
              </w:rPr>
              <w:t>Three months ended June 30, 2022</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1"/>
                <w:szCs w:val="11"/>
                <w:color w:val="auto"/>
              </w:rPr>
            </w:pPr>
          </w:p>
        </w:tc>
        <w:tc>
          <w:tcPr>
            <w:tcW w:w="1280" w:type="dxa"/>
            <w:vAlign w:val="bottom"/>
          </w:tcPr>
          <w:p>
            <w:pPr>
              <w:jc w:val="right"/>
              <w:ind w:right="253"/>
              <w:spacing w:after="0" w:line="129" w:lineRule="exact"/>
              <w:rPr>
                <w:sz w:val="20"/>
                <w:szCs w:val="20"/>
                <w:color w:val="auto"/>
              </w:rPr>
            </w:pPr>
            <w:r>
              <w:rPr>
                <w:rFonts w:ascii="Arial" w:cs="Arial" w:eastAsia="Arial" w:hAnsi="Arial"/>
                <w:sz w:val="14"/>
                <w:szCs w:val="14"/>
                <w:b w:val="1"/>
                <w:bCs w:val="1"/>
                <w:color w:val="auto"/>
              </w:rPr>
              <w:t>Conventional</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Renewables</w:t>
            </w:r>
          </w:p>
        </w:tc>
        <w:tc>
          <w:tcPr>
            <w:tcW w:w="120" w:type="dxa"/>
            <w:vAlign w:val="bottom"/>
          </w:tcPr>
          <w:p>
            <w:pPr>
              <w:spacing w:after="0"/>
              <w:rPr>
                <w:sz w:val="11"/>
                <w:szCs w:val="11"/>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Thermal</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ind w:right="313"/>
              <w:spacing w:after="0"/>
              <w:rPr>
                <w:sz w:val="20"/>
                <w:szCs w:val="20"/>
                <w:color w:val="auto"/>
              </w:rPr>
            </w:pPr>
            <w:r>
              <w:rPr>
                <w:rFonts w:ascii="Arial" w:cs="Arial" w:eastAsia="Arial" w:hAnsi="Arial"/>
                <w:sz w:val="14"/>
                <w:szCs w:val="14"/>
                <w:b w:val="1"/>
                <w:bCs w:val="1"/>
                <w:color w:val="auto"/>
              </w:rPr>
              <w:t>Generation</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20" w:type="dxa"/>
            <w:vAlign w:val="bottom"/>
            <w:shd w:val="clear" w:color="auto" w:fill="CCEEFF"/>
          </w:tcPr>
          <w:p>
            <w:pPr>
              <w:spacing w:after="0"/>
              <w:rPr>
                <w:sz w:val="24"/>
                <w:szCs w:val="24"/>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Energy revenue </w:t>
            </w:r>
            <w:r>
              <w:rPr>
                <w:rFonts w:ascii="Arial" w:cs="Arial" w:eastAsia="Arial" w:hAnsi="Arial"/>
                <w:sz w:val="23"/>
                <w:szCs w:val="23"/>
                <w:color w:val="auto"/>
                <w:vertAlign w:val="superscript"/>
              </w:rPr>
              <w:t>(a)</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333333"/>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3</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33333"/>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306</w:t>
            </w:r>
          </w:p>
        </w:tc>
        <w:tc>
          <w:tcPr>
            <w:tcW w:w="1220" w:type="dxa"/>
            <w:vAlign w:val="bottom"/>
            <w:gridSpan w:val="2"/>
            <w:shd w:val="clear" w:color="auto" w:fill="CCEEFF"/>
          </w:tcPr>
          <w:p>
            <w:pPr>
              <w:jc w:val="right"/>
              <w:ind w:right="928"/>
              <w:spacing w:after="0"/>
              <w:rPr>
                <w:sz w:val="20"/>
                <w:szCs w:val="20"/>
                <w:color w:val="auto"/>
              </w:rPr>
            </w:pPr>
            <w:r>
              <w:rPr>
                <w:rFonts w:ascii="Arial" w:cs="Arial" w:eastAsia="Arial" w:hAnsi="Arial"/>
                <w:sz w:val="18"/>
                <w:szCs w:val="18"/>
                <w:color w:val="333333"/>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11</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333333"/>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320</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 xml:space="preserve">Capacity revenue </w:t>
            </w:r>
            <w:r>
              <w:rPr>
                <w:rFonts w:ascii="Arial" w:cs="Arial" w:eastAsia="Arial" w:hAnsi="Arial"/>
                <w:sz w:val="23"/>
                <w:szCs w:val="23"/>
                <w:color w:val="auto"/>
                <w:vertAlign w:val="superscript"/>
              </w:rPr>
              <w:t>(a)</w:t>
            </w:r>
          </w:p>
        </w:tc>
        <w:tc>
          <w:tcPr>
            <w:tcW w:w="2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333333"/>
              </w:rPr>
              <w:t>111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revenue</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27</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30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Contract amortization</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333333"/>
              </w:rPr>
              <w:t>(6)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333333"/>
              </w:rPr>
              <w:t>(35)</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333333"/>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333333"/>
              </w:rPr>
              <w:t>(41)</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Mark-to-market for economic hedges</w:t>
            </w: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33333"/>
              </w:rPr>
              <w:t>(52)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gridSpan w:val="2"/>
          </w:tcPr>
          <w:p>
            <w:pPr>
              <w:ind w:left="120"/>
              <w:spacing w:after="0"/>
              <w:rPr>
                <w:sz w:val="20"/>
                <w:szCs w:val="20"/>
                <w:color w:val="auto"/>
              </w:rPr>
            </w:pPr>
            <w:r>
              <w:rPr>
                <w:rFonts w:ascii="Arial" w:cs="Arial" w:eastAsia="Arial" w:hAnsi="Arial"/>
                <w:sz w:val="18"/>
                <w:szCs w:val="18"/>
                <w:color w:val="auto"/>
              </w:rPr>
              <w:t>Total operating revenues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247</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Mark-to-market for economic hedges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52</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Less: Lease revenue</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333333"/>
              </w:rPr>
              <w:t>(377)</w:t>
            </w: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5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Less: Contract amortization</w:t>
            </w:r>
          </w:p>
        </w:tc>
        <w:tc>
          <w:tcPr>
            <w:tcW w:w="20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33333"/>
              </w:rPr>
              <w:t>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33333"/>
              </w:rPr>
              <w:t>35</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33333"/>
              </w:rPr>
              <w:t>—</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33333"/>
              </w:rPr>
              <w:t>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gridSpan w:val="2"/>
          </w:tcPr>
          <w:p>
            <w:pPr>
              <w:ind w:left="120"/>
              <w:spacing w:after="0"/>
              <w:rPr>
                <w:sz w:val="20"/>
                <w:szCs w:val="20"/>
                <w:color w:val="auto"/>
              </w:rPr>
            </w:pPr>
            <w:r>
              <w:rPr>
                <w:rFonts w:ascii="Arial" w:cs="Arial" w:eastAsia="Arial" w:hAnsi="Arial"/>
                <w:sz w:val="18"/>
                <w:szCs w:val="18"/>
                <w:color w:val="auto"/>
              </w:rPr>
              <w:t>Total revenue from contracts with customers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66</w:t>
            </w:r>
          </w:p>
        </w:tc>
        <w:tc>
          <w:tcPr>
            <w:tcW w:w="1220" w:type="dxa"/>
            <w:vAlign w:val="bottom"/>
            <w:gridSpan w:val="2"/>
          </w:tcPr>
          <w:p>
            <w:pPr>
              <w:jc w:val="right"/>
              <w:ind w:right="928"/>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18</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38874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240" w:lineRule="exact"/>
        <w:rPr>
          <w:sz w:val="20"/>
          <w:szCs w:val="20"/>
          <w:color w:val="auto"/>
        </w:rPr>
      </w:pPr>
    </w:p>
    <w:p>
      <w:pPr>
        <w:ind w:left="240" w:hanging="151"/>
        <w:spacing w:after="0"/>
        <w:tabs>
          <w:tab w:leader="none" w:pos="240" w:val="left"/>
        </w:tabs>
        <w:numPr>
          <w:ilvl w:val="0"/>
          <w:numId w:val="6"/>
        </w:numPr>
        <w:rPr>
          <w:rFonts w:ascii="Arial" w:cs="Arial" w:eastAsia="Arial" w:hAnsi="Arial"/>
          <w:sz w:val="18"/>
          <w:szCs w:val="18"/>
          <w:color w:val="auto"/>
          <w:vertAlign w:val="superscript"/>
        </w:rPr>
      </w:pPr>
      <w:r>
        <w:rPr>
          <w:rFonts w:ascii="Arial" w:cs="Arial" w:eastAsia="Arial" w:hAnsi="Arial"/>
          <w:sz w:val="13"/>
          <w:szCs w:val="13"/>
          <w:color w:val="auto"/>
        </w:rPr>
        <w:t>The following amounts of energy and capacity revenue relate to leases and are accounted for under ASC 842:</w:t>
      </w:r>
    </w:p>
    <w:p>
      <w:pPr>
        <w:spacing w:after="0" w:line="6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60" w:type="dxa"/>
            <w:vAlign w:val="bottom"/>
            <w:vMerge w:val="restart"/>
          </w:tcPr>
          <w:p>
            <w:pPr>
              <w:spacing w:after="0"/>
              <w:rPr>
                <w:sz w:val="20"/>
                <w:szCs w:val="20"/>
                <w:color w:val="auto"/>
              </w:rPr>
            </w:pPr>
            <w:r>
              <w:rPr>
                <w:rFonts w:ascii="Arial" w:cs="Arial" w:eastAsia="Arial" w:hAnsi="Arial"/>
                <w:sz w:val="14"/>
                <w:szCs w:val="14"/>
                <w:b w:val="1"/>
                <w:bCs w:val="1"/>
                <w:color w:val="auto"/>
                <w:w w:val="94"/>
              </w:rPr>
              <w:t>(In millions)</w:t>
            </w:r>
          </w:p>
        </w:tc>
        <w:tc>
          <w:tcPr>
            <w:tcW w:w="562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2"/>
              </w:rPr>
              <w:t>Conventional</w:t>
            </w:r>
          </w:p>
        </w:tc>
        <w:tc>
          <w:tcPr>
            <w:tcW w:w="120" w:type="dxa"/>
            <w:vAlign w:val="bottom"/>
          </w:tcPr>
          <w:p>
            <w:pPr>
              <w:spacing w:after="0"/>
              <w:rPr>
                <w:sz w:val="14"/>
                <w:szCs w:val="14"/>
                <w:color w:val="auto"/>
              </w:rPr>
            </w:pPr>
          </w:p>
        </w:tc>
        <w:tc>
          <w:tcPr>
            <w:tcW w:w="154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Renewables</w:t>
            </w:r>
          </w:p>
        </w:tc>
        <w:tc>
          <w:tcPr>
            <w:tcW w:w="120" w:type="dxa"/>
            <w:vAlign w:val="bottom"/>
          </w:tcPr>
          <w:p>
            <w:pPr>
              <w:spacing w:after="0"/>
              <w:rPr>
                <w:sz w:val="14"/>
                <w:szCs w:val="14"/>
                <w:color w:val="auto"/>
              </w:rPr>
            </w:pPr>
          </w:p>
        </w:tc>
        <w:tc>
          <w:tcPr>
            <w:tcW w:w="152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7"/>
        </w:trPr>
        <w:tc>
          <w:tcPr>
            <w:tcW w:w="760" w:type="dxa"/>
            <w:vAlign w:val="bottom"/>
            <w:tcBorders>
              <w:bottom w:val="single" w:sz="8" w:color="auto"/>
            </w:tcBorders>
            <w:vMerge w:val="continue"/>
          </w:tcPr>
          <w:p>
            <w:pPr>
              <w:spacing w:after="0"/>
              <w:rPr>
                <w:sz w:val="14"/>
                <w:szCs w:val="14"/>
                <w:color w:val="auto"/>
              </w:rPr>
            </w:pPr>
          </w:p>
        </w:tc>
        <w:tc>
          <w:tcPr>
            <w:tcW w:w="562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4"/>
              </w:rPr>
              <w:t>Generation</w:t>
            </w:r>
          </w:p>
        </w:tc>
        <w:tc>
          <w:tcPr>
            <w:tcW w:w="12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6380" w:type="dxa"/>
            <w:vAlign w:val="bottom"/>
            <w:gridSpan w:val="3"/>
          </w:tcPr>
          <w:p>
            <w:pPr>
              <w:spacing w:after="0"/>
              <w:rPr>
                <w:sz w:val="20"/>
                <w:szCs w:val="20"/>
                <w:color w:val="auto"/>
              </w:rPr>
            </w:pPr>
            <w:r>
              <w:rPr>
                <w:rFonts w:ascii="Arial" w:cs="Arial" w:eastAsia="Arial" w:hAnsi="Arial"/>
                <w:sz w:val="18"/>
                <w:szCs w:val="18"/>
                <w:color w:val="auto"/>
              </w:rPr>
              <w:t>Energy revenue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w:t>
            </w:r>
          </w:p>
        </w:tc>
        <w:tc>
          <w:tcPr>
            <w:tcW w:w="380" w:type="dxa"/>
            <w:vAlign w:val="bottom"/>
            <w:gridSpan w:val="3"/>
          </w:tcPr>
          <w:p>
            <w:pPr>
              <w:jc w:val="right"/>
              <w:ind w:right="87"/>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268</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tcPr>
          <w:p>
            <w:pPr>
              <w:spacing w:after="0"/>
              <w:rPr>
                <w:sz w:val="21"/>
                <w:szCs w:val="21"/>
                <w:color w:val="auto"/>
              </w:rPr>
            </w:pPr>
          </w:p>
        </w:tc>
        <w:tc>
          <w:tcPr>
            <w:tcW w:w="638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Capacity revenue</w:t>
            </w:r>
          </w:p>
        </w:tc>
        <w:tc>
          <w:tcPr>
            <w:tcW w:w="2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38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gridSpan w:val="2"/>
            <w:shd w:val="clear" w:color="auto" w:fill="CCEEFF"/>
          </w:tcPr>
          <w:p>
            <w:pPr>
              <w:jc w:val="right"/>
              <w:ind w:right="87"/>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1"/>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7"/>
          </w:tcPr>
          <w:p>
            <w:pPr>
              <w:jc w:val="right"/>
              <w:ind w:right="190"/>
              <w:spacing w:after="0"/>
              <w:rPr>
                <w:sz w:val="20"/>
                <w:szCs w:val="20"/>
                <w:color w:val="auto"/>
              </w:rPr>
            </w:pPr>
            <w:r>
              <w:rPr>
                <w:rFonts w:ascii="Arial" w:cs="Arial" w:eastAsia="Arial" w:hAnsi="Arial"/>
                <w:sz w:val="14"/>
                <w:szCs w:val="14"/>
                <w:b w:val="1"/>
                <w:bCs w:val="1"/>
                <w:color w:val="auto"/>
              </w:rPr>
              <w:t>Six months ended June 30, 2023</w:t>
            </w: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2"/>
                <w:szCs w:val="12"/>
                <w:color w:val="auto"/>
              </w:rPr>
            </w:pPr>
          </w:p>
        </w:tc>
        <w:tc>
          <w:tcPr>
            <w:tcW w:w="1320" w:type="dxa"/>
            <w:vAlign w:val="bottom"/>
          </w:tcPr>
          <w:p>
            <w:pPr>
              <w:jc w:val="right"/>
              <w:ind w:right="273"/>
              <w:spacing w:after="0" w:line="139" w:lineRule="exact"/>
              <w:rPr>
                <w:sz w:val="20"/>
                <w:szCs w:val="20"/>
                <w:color w:val="auto"/>
              </w:rPr>
            </w:pPr>
            <w:r>
              <w:rPr>
                <w:rFonts w:ascii="Arial" w:cs="Arial" w:eastAsia="Arial" w:hAnsi="Arial"/>
                <w:sz w:val="14"/>
                <w:szCs w:val="14"/>
                <w:b w:val="1"/>
                <w:bCs w:val="1"/>
                <w:color w:val="auto"/>
              </w:rPr>
              <w:t>Conventional</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Renewables</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vMerge w:val="restart"/>
          </w:tcPr>
          <w:p>
            <w:pPr>
              <w:jc w:val="right"/>
              <w:ind w:right="5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38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jc w:val="right"/>
              <w:ind w:right="333"/>
              <w:spacing w:after="0" w:line="158" w:lineRule="exact"/>
              <w:rPr>
                <w:sz w:val="20"/>
                <w:szCs w:val="20"/>
                <w:color w:val="auto"/>
              </w:rPr>
            </w:pPr>
            <w:r>
              <w:rPr>
                <w:rFonts w:ascii="Arial" w:cs="Arial" w:eastAsia="Arial" w:hAnsi="Arial"/>
                <w:sz w:val="14"/>
                <w:szCs w:val="14"/>
                <w:b w:val="1"/>
                <w:bCs w:val="1"/>
                <w:color w:val="auto"/>
              </w:rPr>
              <w:t>Generation</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4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380" w:type="dxa"/>
            <w:vAlign w:val="bottom"/>
            <w:gridSpan w:val="3"/>
            <w:shd w:val="clear" w:color="auto" w:fill="CCEEFF"/>
          </w:tcPr>
          <w:p>
            <w:pPr>
              <w:spacing w:after="0" w:line="223" w:lineRule="exact"/>
              <w:rPr>
                <w:sz w:val="20"/>
                <w:szCs w:val="20"/>
                <w:color w:val="auto"/>
              </w:rPr>
            </w:pPr>
            <w:r>
              <w:rPr>
                <w:rFonts w:ascii="Arial" w:cs="Arial" w:eastAsia="Arial" w:hAnsi="Arial"/>
                <w:sz w:val="18"/>
                <w:szCs w:val="18"/>
                <w:color w:val="auto"/>
              </w:rPr>
              <w:t xml:space="preserve">Energy revenue </w:t>
            </w:r>
            <w:r>
              <w:rPr>
                <w:rFonts w:ascii="Arial" w:cs="Arial" w:eastAsia="Arial" w:hAnsi="Arial"/>
                <w:sz w:val="23"/>
                <w:szCs w:val="23"/>
                <w:color w:val="auto"/>
                <w:vertAlign w:val="superscript"/>
              </w:rPr>
              <w:t>(a)</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gridSpan w:val="2"/>
            <w:shd w:val="clear" w:color="auto" w:fill="CCEEFF"/>
          </w:tcPr>
          <w:p>
            <w:pPr>
              <w:spacing w:after="0"/>
              <w:rPr>
                <w:sz w:val="19"/>
                <w:szCs w:val="19"/>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gridSpan w:val="3"/>
          </w:tcPr>
          <w:p>
            <w:pPr>
              <w:spacing w:after="0" w:line="230" w:lineRule="exact"/>
              <w:rPr>
                <w:sz w:val="20"/>
                <w:szCs w:val="20"/>
                <w:color w:val="auto"/>
              </w:rPr>
            </w:pPr>
            <w:r>
              <w:rPr>
                <w:rFonts w:ascii="Arial" w:cs="Arial" w:eastAsia="Arial" w:hAnsi="Arial"/>
                <w:sz w:val="18"/>
                <w:szCs w:val="18"/>
                <w:color w:val="auto"/>
              </w:rPr>
              <w:t xml:space="preserve">Capacity revenue </w:t>
            </w:r>
            <w:r>
              <w:rPr>
                <w:rFonts w:ascii="Arial" w:cs="Arial" w:eastAsia="Arial" w:hAnsi="Arial"/>
                <w:sz w:val="23"/>
                <w:szCs w:val="23"/>
                <w:color w:val="auto"/>
                <w:vertAlign w:val="superscript"/>
              </w:rPr>
              <w:t>(a)</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380" w:type="dxa"/>
            <w:vAlign w:val="bottom"/>
            <w:gridSpan w:val="3"/>
            <w:shd w:val="clear" w:color="auto" w:fill="CCEEFF"/>
          </w:tcPr>
          <w:p>
            <w:pPr>
              <w:spacing w:after="0" w:line="230" w:lineRule="exact"/>
              <w:rPr>
                <w:sz w:val="20"/>
                <w:szCs w:val="20"/>
                <w:color w:val="auto"/>
              </w:rPr>
            </w:pPr>
            <w:r>
              <w:rPr>
                <w:rFonts w:ascii="Arial" w:cs="Arial" w:eastAsia="Arial" w:hAnsi="Arial"/>
                <w:sz w:val="18"/>
                <w:szCs w:val="18"/>
                <w:color w:val="auto"/>
              </w:rPr>
              <w:t xml:space="preserve">Other revenue </w:t>
            </w:r>
            <w:r>
              <w:rPr>
                <w:rFonts w:ascii="Arial" w:cs="Arial" w:eastAsia="Arial" w:hAnsi="Arial"/>
                <w:sz w:val="23"/>
                <w:szCs w:val="23"/>
                <w:color w:val="auto"/>
                <w:vertAlign w:val="superscript"/>
              </w:rPr>
              <w:t>(a)</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80" w:type="dxa"/>
            <w:vAlign w:val="bottom"/>
            <w:gridSpan w:val="3"/>
          </w:tcPr>
          <w:p>
            <w:pPr>
              <w:spacing w:after="0"/>
              <w:rPr>
                <w:sz w:val="20"/>
                <w:szCs w:val="20"/>
                <w:color w:val="auto"/>
              </w:rPr>
            </w:pPr>
            <w:r>
              <w:rPr>
                <w:rFonts w:ascii="Arial" w:cs="Arial" w:eastAsia="Arial" w:hAnsi="Arial"/>
                <w:sz w:val="18"/>
                <w:szCs w:val="18"/>
                <w:color w:val="auto"/>
              </w:rPr>
              <w:t>Contract amortization</w:t>
            </w: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63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Mark-to-market for economic hedges</w:t>
            </w:r>
          </w:p>
        </w:tc>
        <w:tc>
          <w:tcPr>
            <w:tcW w:w="22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gridSpan w:val="3"/>
          </w:tcPr>
          <w:p>
            <w:pPr>
              <w:ind w:left="120"/>
              <w:spacing w:after="0"/>
              <w:rPr>
                <w:sz w:val="20"/>
                <w:szCs w:val="20"/>
                <w:color w:val="auto"/>
              </w:rPr>
            </w:pPr>
            <w:r>
              <w:rPr>
                <w:rFonts w:ascii="Arial" w:cs="Arial" w:eastAsia="Arial" w:hAnsi="Arial"/>
                <w:sz w:val="18"/>
                <w:szCs w:val="18"/>
                <w:color w:val="auto"/>
              </w:rPr>
              <w:t>Total operating revenues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6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Less: Mark-to-market for economic hedges</w:t>
            </w:r>
          </w:p>
        </w:tc>
        <w:tc>
          <w:tcPr>
            <w:tcW w:w="2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80" w:type="dxa"/>
            <w:vAlign w:val="bottom"/>
            <w:gridSpan w:val="3"/>
          </w:tcPr>
          <w:p>
            <w:pPr>
              <w:spacing w:after="0"/>
              <w:rPr>
                <w:sz w:val="20"/>
                <w:szCs w:val="20"/>
                <w:color w:val="auto"/>
              </w:rPr>
            </w:pPr>
            <w:r>
              <w:rPr>
                <w:rFonts w:ascii="Arial" w:cs="Arial" w:eastAsia="Arial" w:hAnsi="Arial"/>
                <w:sz w:val="18"/>
                <w:szCs w:val="18"/>
                <w:color w:val="auto"/>
              </w:rPr>
              <w:t>Less: Lease revenue</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19"/>
                <w:szCs w:val="19"/>
                <w:color w:val="auto"/>
              </w:rPr>
            </w:pPr>
          </w:p>
        </w:tc>
        <w:tc>
          <w:tcPr>
            <w:tcW w:w="63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Less: Contract amortization</w:t>
            </w: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80" w:type="dxa"/>
            <w:vAlign w:val="bottom"/>
            <w:gridSpan w:val="3"/>
          </w:tcPr>
          <w:p>
            <w:pPr>
              <w:ind w:left="100"/>
              <w:spacing w:after="0"/>
              <w:rPr>
                <w:sz w:val="20"/>
                <w:szCs w:val="20"/>
                <w:color w:val="auto"/>
              </w:rPr>
            </w:pPr>
            <w:r>
              <w:rPr>
                <w:rFonts w:ascii="Arial" w:cs="Arial" w:eastAsia="Arial" w:hAnsi="Arial"/>
                <w:sz w:val="18"/>
                <w:szCs w:val="18"/>
                <w:color w:val="auto"/>
              </w:rPr>
              <w:t>Total revenue from contracts with customers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16</w:t>
            </w:r>
          </w:p>
        </w:tc>
        <w:tc>
          <w:tcPr>
            <w:tcW w:w="380" w:type="dxa"/>
            <w:vAlign w:val="bottom"/>
            <w:gridSpan w:val="3"/>
          </w:tcPr>
          <w:p>
            <w:pPr>
              <w:jc w:val="right"/>
              <w:ind w:right="87"/>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129</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4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240" w:hanging="151"/>
        <w:spacing w:after="0"/>
        <w:tabs>
          <w:tab w:leader="none" w:pos="240" w:val="left"/>
        </w:tabs>
        <w:numPr>
          <w:ilvl w:val="0"/>
          <w:numId w:val="7"/>
        </w:numPr>
        <w:rPr>
          <w:rFonts w:ascii="Arial" w:cs="Arial" w:eastAsia="Arial" w:hAnsi="Arial"/>
          <w:sz w:val="18"/>
          <w:szCs w:val="18"/>
          <w:color w:val="auto"/>
          <w:vertAlign w:val="superscript"/>
        </w:rPr>
      </w:pPr>
      <w:r>
        <w:rPr>
          <w:rFonts w:ascii="Arial" w:cs="Arial" w:eastAsia="Arial" w:hAnsi="Arial"/>
          <w:sz w:val="13"/>
          <w:szCs w:val="13"/>
          <w:color w:val="auto"/>
        </w:rPr>
        <w:t>The following amounts of energy, capacity and other revenue relate to leases and are accounted for under ASC 842:</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4"/>
                <w:szCs w:val="14"/>
                <w:color w:val="auto"/>
              </w:rPr>
            </w:pPr>
          </w:p>
        </w:tc>
        <w:tc>
          <w:tcPr>
            <w:tcW w:w="1320" w:type="dxa"/>
            <w:vAlign w:val="bottom"/>
          </w:tcPr>
          <w:p>
            <w:pPr>
              <w:jc w:val="right"/>
              <w:ind w:right="276"/>
              <w:spacing w:after="0"/>
              <w:rPr>
                <w:sz w:val="20"/>
                <w:szCs w:val="20"/>
                <w:color w:val="auto"/>
              </w:rPr>
            </w:pPr>
            <w:r>
              <w:rPr>
                <w:rFonts w:ascii="Arial" w:cs="Arial" w:eastAsia="Arial" w:hAnsi="Arial"/>
                <w:sz w:val="14"/>
                <w:szCs w:val="14"/>
                <w:b w:val="1"/>
                <w:bCs w:val="1"/>
                <w:color w:val="auto"/>
              </w:rPr>
              <w:t>Conventional</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Renewables</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38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jc w:val="right"/>
              <w:ind w:right="336"/>
              <w:spacing w:after="0" w:line="158" w:lineRule="exact"/>
              <w:rPr>
                <w:sz w:val="20"/>
                <w:szCs w:val="20"/>
                <w:color w:val="auto"/>
              </w:rPr>
            </w:pPr>
            <w:r>
              <w:rPr>
                <w:rFonts w:ascii="Arial" w:cs="Arial" w:eastAsia="Arial" w:hAnsi="Arial"/>
                <w:sz w:val="14"/>
                <w:szCs w:val="14"/>
                <w:b w:val="1"/>
                <w:bCs w:val="1"/>
                <w:color w:val="auto"/>
              </w:rPr>
              <w:t>Generation</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6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Energy revenue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gridSpan w:val="3"/>
          </w:tcPr>
          <w:p>
            <w:pPr>
              <w:spacing w:after="0"/>
              <w:rPr>
                <w:sz w:val="20"/>
                <w:szCs w:val="20"/>
                <w:color w:val="auto"/>
              </w:rPr>
            </w:pPr>
            <w:r>
              <w:rPr>
                <w:rFonts w:ascii="Arial" w:cs="Arial" w:eastAsia="Arial" w:hAnsi="Arial"/>
                <w:sz w:val="18"/>
                <w:szCs w:val="18"/>
                <w:color w:val="auto"/>
              </w:rPr>
              <w:t>Capacity revenue</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19"/>
                <w:szCs w:val="19"/>
                <w:color w:val="auto"/>
              </w:rPr>
            </w:pPr>
          </w:p>
        </w:tc>
        <w:tc>
          <w:tcPr>
            <w:tcW w:w="6380" w:type="dxa"/>
            <w:vAlign w:val="bottom"/>
            <w:tcBorders>
              <w:bottom w:val="single" w:sz="8" w:color="CCEEFF"/>
            </w:tcBorders>
            <w:gridSpan w:val="3"/>
            <w:shd w:val="clear" w:color="auto" w:fill="CCEEFF"/>
          </w:tcPr>
          <w:p>
            <w:pPr>
              <w:spacing w:after="0" w:line="230" w:lineRule="exact"/>
              <w:rPr>
                <w:sz w:val="20"/>
                <w:szCs w:val="20"/>
                <w:color w:val="auto"/>
              </w:rPr>
            </w:pPr>
            <w:r>
              <w:rPr>
                <w:rFonts w:ascii="Arial" w:cs="Arial" w:eastAsia="Arial" w:hAnsi="Arial"/>
                <w:sz w:val="18"/>
                <w:szCs w:val="18"/>
                <w:color w:val="auto"/>
              </w:rPr>
              <w:t xml:space="preserve">Other revenue </w:t>
            </w:r>
            <w:r>
              <w:rPr>
                <w:rFonts w:ascii="Arial" w:cs="Arial" w:eastAsia="Arial" w:hAnsi="Arial"/>
                <w:sz w:val="23"/>
                <w:szCs w:val="23"/>
                <w:color w:val="auto"/>
                <w:vertAlign w:val="superscript"/>
              </w:rPr>
              <w:t>(b)</w:t>
            </w: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380" w:type="dxa"/>
            <w:vAlign w:val="bottom"/>
            <w:gridSpan w:val="3"/>
          </w:tcPr>
          <w:p>
            <w:pPr>
              <w:ind w:left="120"/>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205</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393</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4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260" w:hanging="171"/>
        <w:spacing w:after="0"/>
        <w:tabs>
          <w:tab w:leader="none" w:pos="260" w:val="left"/>
        </w:tabs>
        <w:numPr>
          <w:ilvl w:val="0"/>
          <w:numId w:val="8"/>
        </w:numPr>
        <w:rPr>
          <w:rFonts w:ascii="Arial" w:cs="Arial" w:eastAsia="Arial" w:hAnsi="Arial"/>
          <w:sz w:val="20"/>
          <w:szCs w:val="20"/>
          <w:color w:val="auto"/>
          <w:vertAlign w:val="superscript"/>
        </w:rPr>
      </w:pPr>
      <w:r>
        <w:rPr>
          <w:rFonts w:ascii="Arial" w:cs="Arial" w:eastAsia="Arial" w:hAnsi="Arial"/>
          <w:sz w:val="14"/>
          <w:szCs w:val="14"/>
          <w:color w:val="auto"/>
        </w:rPr>
        <w:t>Includes revenue recognized for the Marsh Landing Black Start addition that reached commercial operations on May 31, 2023, as described above.</w:t>
      </w:r>
    </w:p>
    <w:p>
      <w:pPr>
        <w:spacing w:after="0" w:line="200" w:lineRule="exact"/>
        <w:rPr>
          <w:rFonts w:ascii="Arial" w:cs="Arial" w:eastAsia="Arial" w:hAnsi="Arial"/>
          <w:sz w:val="20"/>
          <w:szCs w:val="20"/>
          <w:color w:val="auto"/>
          <w:vertAlign w:val="superscript"/>
        </w:rPr>
      </w:pPr>
    </w:p>
    <w:p>
      <w:pPr>
        <w:spacing w:after="0" w:line="345" w:lineRule="exact"/>
        <w:rPr>
          <w:rFonts w:ascii="Arial" w:cs="Arial" w:eastAsia="Arial" w:hAnsi="Arial"/>
          <w:sz w:val="20"/>
          <w:szCs w:val="20"/>
          <w:color w:val="auto"/>
          <w:vertAlign w:val="superscript"/>
        </w:rPr>
      </w:pPr>
    </w:p>
    <w:p>
      <w:pPr>
        <w:ind w:left="5540"/>
        <w:spacing w:after="0"/>
        <w:rPr>
          <w:rFonts w:ascii="Arial" w:cs="Arial" w:eastAsia="Arial" w:hAnsi="Arial"/>
          <w:sz w:val="20"/>
          <w:szCs w:val="20"/>
          <w:color w:val="auto"/>
          <w:vertAlign w:val="superscript"/>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40" w:type="dxa"/>
            <w:vAlign w:val="bottom"/>
            <w:gridSpan w:val="3"/>
          </w:tcPr>
          <w:p>
            <w:pPr>
              <w:jc w:val="right"/>
              <w:ind w:right="116"/>
              <w:spacing w:after="0"/>
              <w:rPr>
                <w:sz w:val="20"/>
                <w:szCs w:val="20"/>
                <w:color w:val="auto"/>
              </w:rPr>
            </w:pPr>
            <w:r>
              <w:rPr>
                <w:rFonts w:ascii="Arial" w:cs="Arial" w:eastAsia="Arial" w:hAnsi="Arial"/>
                <w:sz w:val="14"/>
                <w:szCs w:val="14"/>
                <w:b w:val="1"/>
                <w:bCs w:val="1"/>
                <w:color w:val="auto"/>
              </w:rPr>
              <w:t>Six months ended June 30, 2022</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1"/>
                <w:szCs w:val="11"/>
                <w:color w:val="auto"/>
              </w:rPr>
            </w:pPr>
          </w:p>
        </w:tc>
        <w:tc>
          <w:tcPr>
            <w:tcW w:w="1280" w:type="dxa"/>
            <w:vAlign w:val="bottom"/>
          </w:tcPr>
          <w:p>
            <w:pPr>
              <w:jc w:val="right"/>
              <w:ind w:right="253"/>
              <w:spacing w:after="0" w:line="129" w:lineRule="exact"/>
              <w:rPr>
                <w:sz w:val="20"/>
                <w:szCs w:val="20"/>
                <w:color w:val="auto"/>
              </w:rPr>
            </w:pPr>
            <w:r>
              <w:rPr>
                <w:rFonts w:ascii="Arial" w:cs="Arial" w:eastAsia="Arial" w:hAnsi="Arial"/>
                <w:sz w:val="14"/>
                <w:szCs w:val="14"/>
                <w:b w:val="1"/>
                <w:bCs w:val="1"/>
                <w:color w:val="auto"/>
              </w:rPr>
              <w:t>Conventional</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Renewables</w:t>
            </w:r>
          </w:p>
        </w:tc>
        <w:tc>
          <w:tcPr>
            <w:tcW w:w="120" w:type="dxa"/>
            <w:vAlign w:val="bottom"/>
          </w:tcPr>
          <w:p>
            <w:pPr>
              <w:spacing w:after="0"/>
              <w:rPr>
                <w:sz w:val="11"/>
                <w:szCs w:val="11"/>
                <w:color w:val="auto"/>
              </w:rPr>
            </w:pPr>
          </w:p>
        </w:tc>
        <w:tc>
          <w:tcPr>
            <w:tcW w:w="110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rPr>
              <w:t>Thermal</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2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ind w:right="313"/>
              <w:spacing w:after="0"/>
              <w:rPr>
                <w:sz w:val="20"/>
                <w:szCs w:val="20"/>
                <w:color w:val="auto"/>
              </w:rPr>
            </w:pPr>
            <w:r>
              <w:rPr>
                <w:rFonts w:ascii="Arial" w:cs="Arial" w:eastAsia="Arial" w:hAnsi="Arial"/>
                <w:sz w:val="14"/>
                <w:szCs w:val="14"/>
                <w:b w:val="1"/>
                <w:bCs w:val="1"/>
                <w:color w:val="auto"/>
              </w:rPr>
              <w:t>Generation</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020" w:type="dxa"/>
            <w:vAlign w:val="bottom"/>
            <w:gridSpan w:val="3"/>
            <w:shd w:val="clear" w:color="auto" w:fill="CCEEFF"/>
          </w:tcPr>
          <w:p>
            <w:pPr>
              <w:spacing w:after="0" w:line="223" w:lineRule="exact"/>
              <w:rPr>
                <w:sz w:val="20"/>
                <w:szCs w:val="20"/>
                <w:color w:val="auto"/>
              </w:rPr>
            </w:pPr>
            <w:r>
              <w:rPr>
                <w:rFonts w:ascii="Arial" w:cs="Arial" w:eastAsia="Arial" w:hAnsi="Arial"/>
                <w:sz w:val="18"/>
                <w:szCs w:val="18"/>
                <w:color w:val="auto"/>
              </w:rPr>
              <w:t xml:space="preserve">Energy revenue </w:t>
            </w:r>
            <w:r>
              <w:rPr>
                <w:rFonts w:ascii="Arial" w:cs="Arial" w:eastAsia="Arial" w:hAnsi="Arial"/>
                <w:sz w:val="23"/>
                <w:szCs w:val="23"/>
                <w:color w:val="auto"/>
                <w:vertAlign w:val="superscript"/>
              </w:rPr>
              <w:t>(a)</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6"/>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gridSpan w:val="3"/>
          </w:tcPr>
          <w:p>
            <w:pPr>
              <w:spacing w:after="0" w:line="243" w:lineRule="exact"/>
              <w:rPr>
                <w:sz w:val="20"/>
                <w:szCs w:val="20"/>
                <w:color w:val="auto"/>
              </w:rPr>
            </w:pPr>
            <w:r>
              <w:rPr>
                <w:rFonts w:ascii="Arial" w:cs="Arial" w:eastAsia="Arial" w:hAnsi="Arial"/>
                <w:sz w:val="18"/>
                <w:szCs w:val="18"/>
                <w:color w:val="auto"/>
              </w:rPr>
              <w:t xml:space="preserve">Capacity revenue </w:t>
            </w:r>
            <w:r>
              <w:rPr>
                <w:rFonts w:ascii="Arial" w:cs="Arial" w:eastAsia="Arial" w:hAnsi="Arial"/>
                <w:sz w:val="23"/>
                <w:szCs w:val="23"/>
                <w:color w:val="auto"/>
                <w:vertAlign w:val="superscript"/>
              </w:rPr>
              <w:t>(a)</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revenue</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20" w:type="dxa"/>
            <w:vAlign w:val="bottom"/>
            <w:gridSpan w:val="3"/>
          </w:tcPr>
          <w:p>
            <w:pPr>
              <w:spacing w:after="0"/>
              <w:rPr>
                <w:sz w:val="20"/>
                <w:szCs w:val="20"/>
                <w:color w:val="auto"/>
              </w:rPr>
            </w:pPr>
            <w:r>
              <w:rPr>
                <w:rFonts w:ascii="Arial" w:cs="Arial" w:eastAsia="Arial" w:hAnsi="Arial"/>
                <w:sz w:val="18"/>
                <w:szCs w:val="18"/>
                <w:color w:val="auto"/>
              </w:rPr>
              <w:t>Contract amortization</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5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Mark-to-market for economic hedges</w:t>
            </w: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20" w:type="dxa"/>
            <w:vAlign w:val="bottom"/>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gridSpan w:val="3"/>
          </w:tcPr>
          <w:p>
            <w:pPr>
              <w:ind w:left="120"/>
              <w:spacing w:after="0"/>
              <w:rPr>
                <w:sz w:val="20"/>
                <w:szCs w:val="20"/>
                <w:color w:val="auto"/>
              </w:rPr>
            </w:pPr>
            <w:r>
              <w:rPr>
                <w:rFonts w:ascii="Arial" w:cs="Arial" w:eastAsia="Arial" w:hAnsi="Arial"/>
                <w:sz w:val="18"/>
                <w:szCs w:val="18"/>
                <w:color w:val="auto"/>
              </w:rPr>
              <w:t>Total operating revenues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242424"/>
              </w:rPr>
              <w:t>211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242424"/>
              </w:rPr>
              <w:t>294</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242424"/>
              </w:rPr>
              <w:t>77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Less: Mark-to-market for economic hedges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20" w:type="dxa"/>
            <w:vAlign w:val="bottom"/>
            <w:gridSpan w:val="3"/>
          </w:tcPr>
          <w:p>
            <w:pPr>
              <w:spacing w:after="0"/>
              <w:rPr>
                <w:sz w:val="20"/>
                <w:szCs w:val="20"/>
                <w:color w:val="auto"/>
              </w:rPr>
            </w:pPr>
            <w:r>
              <w:rPr>
                <w:rFonts w:ascii="Arial" w:cs="Arial" w:eastAsia="Arial" w:hAnsi="Arial"/>
                <w:sz w:val="18"/>
                <w:szCs w:val="18"/>
                <w:color w:val="auto"/>
              </w:rPr>
              <w:t>Less: Lease revenue</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(430)</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ind w:left="120"/>
              <w:spacing w:after="0"/>
              <w:rPr>
                <w:sz w:val="20"/>
                <w:szCs w:val="20"/>
                <w:color w:val="auto"/>
              </w:rPr>
            </w:pPr>
            <w:r>
              <w:rPr>
                <w:rFonts w:ascii="Arial" w:cs="Arial" w:eastAsia="Arial" w:hAnsi="Arial"/>
                <w:sz w:val="18"/>
                <w:szCs w:val="18"/>
                <w:color w:val="auto"/>
                <w:w w:val="99"/>
              </w:rPr>
              <w:t>(1)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5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Less: Contract amortization</w:t>
            </w:r>
          </w:p>
        </w:tc>
        <w:tc>
          <w:tcPr>
            <w:tcW w:w="20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gridSpan w:val="3"/>
          </w:tcPr>
          <w:p>
            <w:pPr>
              <w:ind w:left="100"/>
              <w:spacing w:after="0"/>
              <w:rPr>
                <w:sz w:val="20"/>
                <w:szCs w:val="20"/>
                <w:color w:val="auto"/>
              </w:rPr>
            </w:pPr>
            <w:r>
              <w:rPr>
                <w:rFonts w:ascii="Arial" w:cs="Arial" w:eastAsia="Arial" w:hAnsi="Arial"/>
                <w:sz w:val="18"/>
                <w:szCs w:val="18"/>
                <w:color w:val="auto"/>
              </w:rPr>
              <w:t>Total revenue from contracts with customers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19"/>
                <w:szCs w:val="19"/>
                <w:color w:val="auto"/>
              </w:rPr>
            </w:pPr>
          </w:p>
        </w:tc>
        <w:tc>
          <w:tcPr>
            <w:tcW w:w="1100" w:type="dxa"/>
            <w:vAlign w:val="bottom"/>
            <w:tcBorders>
              <w:bottom w:val="single" w:sz="8" w:color="auto"/>
            </w:tcBorders>
          </w:tcPr>
          <w:p>
            <w:pPr>
              <w:jc w:val="right"/>
              <w:ind w:right="916"/>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2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240" w:hanging="151"/>
        <w:spacing w:after="0"/>
        <w:tabs>
          <w:tab w:leader="none" w:pos="240" w:val="left"/>
        </w:tabs>
        <w:numPr>
          <w:ilvl w:val="0"/>
          <w:numId w:val="9"/>
        </w:numPr>
        <w:rPr>
          <w:rFonts w:ascii="Arial" w:cs="Arial" w:eastAsia="Arial" w:hAnsi="Arial"/>
          <w:sz w:val="18"/>
          <w:szCs w:val="18"/>
          <w:color w:val="auto"/>
          <w:vertAlign w:val="superscript"/>
        </w:rPr>
      </w:pPr>
      <w:r>
        <w:rPr>
          <w:rFonts w:ascii="Arial" w:cs="Arial" w:eastAsia="Arial" w:hAnsi="Arial"/>
          <w:sz w:val="13"/>
          <w:szCs w:val="13"/>
          <w:color w:val="auto"/>
        </w:rPr>
        <w:t>The following amounts of energy and capacity revenue relate to leases and are accounted for under ASC 842:</w:t>
      </w:r>
    </w:p>
    <w:p>
      <w:pPr>
        <w:spacing w:after="0" w:line="52"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ind w:right="257"/>
              <w:spacing w:after="0"/>
              <w:rPr>
                <w:sz w:val="20"/>
                <w:szCs w:val="20"/>
                <w:color w:val="auto"/>
              </w:rPr>
            </w:pPr>
            <w:r>
              <w:rPr>
                <w:rFonts w:ascii="Arial" w:cs="Arial" w:eastAsia="Arial" w:hAnsi="Arial"/>
                <w:sz w:val="14"/>
                <w:szCs w:val="14"/>
                <w:b w:val="1"/>
                <w:bCs w:val="1"/>
                <w:color w:val="auto"/>
              </w:rPr>
              <w:t>Conventional</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502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4"/>
                <w:szCs w:val="14"/>
                <w:color w:val="auto"/>
              </w:rPr>
            </w:pPr>
          </w:p>
        </w:tc>
        <w:tc>
          <w:tcPr>
            <w:tcW w:w="1280" w:type="dxa"/>
            <w:vAlign w:val="bottom"/>
          </w:tcPr>
          <w:p>
            <w:pPr>
              <w:jc w:val="right"/>
              <w:ind w:right="317"/>
              <w:spacing w:after="0"/>
              <w:rPr>
                <w:sz w:val="20"/>
                <w:szCs w:val="20"/>
                <w:color w:val="auto"/>
              </w:rPr>
            </w:pPr>
            <w:r>
              <w:rPr>
                <w:rFonts w:ascii="Arial" w:cs="Arial" w:eastAsia="Arial" w:hAnsi="Arial"/>
                <w:sz w:val="14"/>
                <w:szCs w:val="14"/>
                <w:b w:val="1"/>
                <w:bCs w:val="1"/>
                <w:color w:val="auto"/>
              </w:rPr>
              <w:t>Generation</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ind w:right="295"/>
              <w:spacing w:after="0"/>
              <w:rPr>
                <w:sz w:val="20"/>
                <w:szCs w:val="20"/>
                <w:color w:val="auto"/>
              </w:rPr>
            </w:pPr>
            <w:r>
              <w:rPr>
                <w:rFonts w:ascii="Arial" w:cs="Arial" w:eastAsia="Arial" w:hAnsi="Arial"/>
                <w:sz w:val="14"/>
                <w:szCs w:val="14"/>
                <w:b w:val="1"/>
                <w:bCs w:val="1"/>
                <w:color w:val="auto"/>
              </w:rPr>
              <w:t>Renewables</w:t>
            </w:r>
          </w:p>
        </w:tc>
        <w:tc>
          <w:tcPr>
            <w:tcW w:w="120" w:type="dxa"/>
            <w:vAlign w:val="bottom"/>
          </w:tcPr>
          <w:p>
            <w:pPr>
              <w:spacing w:after="0"/>
              <w:rPr>
                <w:sz w:val="14"/>
                <w:szCs w:val="14"/>
                <w:color w:val="auto"/>
              </w:rPr>
            </w:pPr>
          </w:p>
        </w:tc>
        <w:tc>
          <w:tcPr>
            <w:tcW w:w="1100" w:type="dxa"/>
            <w:vAlign w:val="bottom"/>
          </w:tcPr>
          <w:p>
            <w:pPr>
              <w:jc w:val="right"/>
              <w:ind w:right="19"/>
              <w:spacing w:after="0"/>
              <w:rPr>
                <w:sz w:val="20"/>
                <w:szCs w:val="20"/>
                <w:color w:val="auto"/>
              </w:rPr>
            </w:pPr>
            <w:r>
              <w:rPr>
                <w:rFonts w:ascii="Arial" w:cs="Arial" w:eastAsia="Arial" w:hAnsi="Arial"/>
                <w:sz w:val="14"/>
                <w:szCs w:val="14"/>
                <w:b w:val="1"/>
                <w:bCs w:val="1"/>
                <w:color w:val="auto"/>
              </w:rPr>
              <w:t>Thermal</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ind w:right="475"/>
              <w:spacing w:after="0"/>
              <w:rPr>
                <w:sz w:val="20"/>
                <w:szCs w:val="20"/>
                <w:color w:val="auto"/>
              </w:rPr>
            </w:pPr>
            <w:r>
              <w:rPr>
                <w:rFonts w:ascii="Arial" w:cs="Arial" w:eastAsia="Arial" w:hAnsi="Arial"/>
                <w:sz w:val="14"/>
                <w:szCs w:val="14"/>
                <w:b w:val="1"/>
                <w:bCs w:val="1"/>
                <w:color w:val="auto"/>
              </w:rPr>
              <w:t>Total</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Energy revenue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r>
      <w:tr>
        <w:trPr>
          <w:trHeight w:val="229"/>
        </w:trPr>
        <w:tc>
          <w:tcPr>
            <w:tcW w:w="20" w:type="dxa"/>
            <w:vAlign w:val="bottom"/>
          </w:tcPr>
          <w:p>
            <w:pPr>
              <w:spacing w:after="0"/>
              <w:rPr>
                <w:sz w:val="19"/>
                <w:szCs w:val="19"/>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Capacity revenue</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r>
      <w:tr>
        <w:trPr>
          <w:trHeight w:val="257"/>
        </w:trPr>
        <w:tc>
          <w:tcPr>
            <w:tcW w:w="20" w:type="dxa"/>
            <w:vAlign w:val="bottom"/>
            <w:shd w:val="clear" w:color="auto" w:fill="CCEEFF"/>
          </w:tcPr>
          <w:p>
            <w:pPr>
              <w:spacing w:after="0"/>
              <w:rPr>
                <w:sz w:val="22"/>
                <w:szCs w:val="22"/>
                <w:color w:val="auto"/>
              </w:rPr>
            </w:pPr>
          </w:p>
        </w:tc>
        <w:tc>
          <w:tcPr>
            <w:tcW w:w="5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220" w:type="dxa"/>
            <w:vAlign w:val="bottom"/>
            <w:gridSpan w:val="2"/>
            <w:shd w:val="clear" w:color="auto" w:fill="CCEEFF"/>
          </w:tcPr>
          <w:p>
            <w:pPr>
              <w:jc w:val="right"/>
              <w:ind w:right="919"/>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Contract Balances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reflects the contract assets and liabilities included on the Company’s consolidated balance sheets: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0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2023</w:t>
            </w: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6"/>
                <w:szCs w:val="16"/>
                <w:b w:val="1"/>
                <w:bCs w:val="1"/>
                <w:color w:val="auto"/>
              </w:rPr>
              <w:t>December 31, 2022</w:t>
            </w:r>
          </w:p>
        </w:tc>
      </w:tr>
      <w:tr>
        <w:trPr>
          <w:trHeight w:val="210"/>
        </w:trPr>
        <w:tc>
          <w:tcPr>
            <w:tcW w:w="74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80" w:type="dxa"/>
            <w:vAlign w:val="bottom"/>
            <w:gridSpan w:val="3"/>
          </w:tcPr>
          <w:p>
            <w:pPr>
              <w:jc w:val="right"/>
              <w:ind w:right="499"/>
              <w:spacing w:after="0"/>
              <w:rPr>
                <w:sz w:val="20"/>
                <w:szCs w:val="20"/>
                <w:color w:val="auto"/>
              </w:rPr>
            </w:pPr>
            <w:r>
              <w:rPr>
                <w:rFonts w:ascii="Arial" w:cs="Arial" w:eastAsia="Arial" w:hAnsi="Arial"/>
                <w:sz w:val="16"/>
                <w:szCs w:val="16"/>
                <w:b w:val="1"/>
                <w:bCs w:val="1"/>
                <w:color w:val="auto"/>
                <w:w w:val="97"/>
              </w:rPr>
              <w:t>(In millions)</w:t>
            </w:r>
          </w:p>
        </w:tc>
        <w:tc>
          <w:tcPr>
            <w:tcW w:w="920" w:type="dxa"/>
            <w:vAlign w:val="bottom"/>
          </w:tcPr>
          <w:p>
            <w:pPr>
              <w:spacing w:after="0"/>
              <w:rPr>
                <w:sz w:val="18"/>
                <w:szCs w:val="18"/>
                <w:color w:val="auto"/>
              </w:rPr>
            </w:pPr>
          </w:p>
        </w:tc>
      </w:tr>
      <w:tr>
        <w:trPr>
          <w:trHeight w:val="246"/>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 net - Contracts with customers</w:t>
            </w:r>
          </w:p>
        </w:tc>
        <w:tc>
          <w:tcPr>
            <w:tcW w:w="1440" w:type="dxa"/>
            <w:vAlign w:val="bottom"/>
            <w:shd w:val="clear" w:color="auto" w:fill="CCEEFF"/>
          </w:tcPr>
          <w:p>
            <w:pPr>
              <w:jc w:val="right"/>
              <w:ind w:right="1253"/>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60" w:type="dxa"/>
            <w:vAlign w:val="bottom"/>
            <w:gridSpan w:val="2"/>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color w:val="auto"/>
              </w:rPr>
              <w:t>Accounts receivable, net - Leases</w:t>
            </w:r>
          </w:p>
        </w:tc>
        <w:tc>
          <w:tcPr>
            <w:tcW w:w="14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r>
      <w:tr>
        <w:trPr>
          <w:trHeight w:val="243"/>
        </w:trPr>
        <w:tc>
          <w:tcPr>
            <w:tcW w:w="7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accounts receivable, net</w:t>
            </w:r>
          </w:p>
        </w:tc>
        <w:tc>
          <w:tcPr>
            <w:tcW w:w="1440" w:type="dxa"/>
            <w:vAlign w:val="bottom"/>
            <w:shd w:val="clear" w:color="auto" w:fill="CCEEFF"/>
          </w:tcPr>
          <w:p>
            <w:pPr>
              <w:jc w:val="right"/>
              <w:ind w:right="1253"/>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60" w:type="dxa"/>
            <w:vAlign w:val="bottom"/>
            <w:gridSpan w:val="2"/>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171" w:lineRule="exact"/>
        <w:rPr>
          <w:sz w:val="20"/>
          <w:szCs w:val="20"/>
          <w:color w:val="auto"/>
        </w:rPr>
      </w:pPr>
    </w:p>
    <w:p>
      <w:pPr>
        <w:jc w:val="both"/>
        <w:ind w:right="80" w:firstLine="405"/>
        <w:spacing w:after="0" w:line="271" w:lineRule="auto"/>
        <w:rPr>
          <w:sz w:val="20"/>
          <w:szCs w:val="20"/>
          <w:color w:val="auto"/>
        </w:rPr>
      </w:pPr>
      <w:r>
        <w:rPr>
          <w:rFonts w:ascii="Arial" w:cs="Arial" w:eastAsia="Arial" w:hAnsi="Arial"/>
          <w:sz w:val="17"/>
          <w:szCs w:val="17"/>
          <w:color w:val="auto"/>
        </w:rPr>
        <w:t xml:space="preserve">In March 2020, the FASB issued ASU No. 2020-4, </w:t>
      </w:r>
      <w:r>
        <w:rPr>
          <w:rFonts w:ascii="Arial" w:cs="Arial" w:eastAsia="Arial" w:hAnsi="Arial"/>
          <w:sz w:val="17"/>
          <w:szCs w:val="17"/>
          <w:i w:val="1"/>
          <w:iCs w:val="1"/>
          <w:color w:val="auto"/>
        </w:rPr>
        <w:t>Facilitation of the Effects of Reference Rate Reform on Financial Reporting</w:t>
      </w:r>
      <w:r>
        <w:rPr>
          <w:rFonts w:ascii="Arial" w:cs="Arial" w:eastAsia="Arial" w:hAnsi="Arial"/>
          <w:sz w:val="17"/>
          <w:szCs w:val="17"/>
          <w:color w:val="auto"/>
        </w:rPr>
        <w:t xml:space="preserve">. The amendments provide for optional expedients and exceptions for applying GAAP to contracts, hedging relationships and other transactions affected by reference rate reform if certain criteria are met. These amendments apply only to contracts that reference LIBOR or another reference rate expected to be discontinued because of reference rate reform, which affects certain of the Company’s debt and interest rate swap agreements. The guidance is effective for all entities as of March 20, 2020 through December 31, 2022. In December 2022, the FASB issued ASU No. 2022-6, </w:t>
      </w:r>
      <w:r>
        <w:rPr>
          <w:rFonts w:ascii="Arial" w:cs="Arial" w:eastAsia="Arial" w:hAnsi="Arial"/>
          <w:sz w:val="17"/>
          <w:szCs w:val="17"/>
          <w:i w:val="1"/>
          <w:iCs w:val="1"/>
          <w:color w:val="auto"/>
        </w:rPr>
        <w:t>Deferral of the Sunset Date of Reference Rate</w:t>
      </w:r>
      <w:r>
        <w:rPr>
          <w:rFonts w:ascii="Arial" w:cs="Arial" w:eastAsia="Arial" w:hAnsi="Arial"/>
          <w:sz w:val="17"/>
          <w:szCs w:val="17"/>
          <w:color w:val="auto"/>
        </w:rPr>
        <w:t xml:space="preserve"> </w:t>
      </w:r>
      <w:r>
        <w:rPr>
          <w:rFonts w:ascii="Arial" w:cs="Arial" w:eastAsia="Arial" w:hAnsi="Arial"/>
          <w:sz w:val="17"/>
          <w:szCs w:val="17"/>
          <w:i w:val="1"/>
          <w:iCs w:val="1"/>
          <w:color w:val="auto"/>
        </w:rPr>
        <w:t>Reform</w:t>
      </w:r>
      <w:r>
        <w:rPr>
          <w:rFonts w:ascii="Arial" w:cs="Arial" w:eastAsia="Arial" w:hAnsi="Arial"/>
          <w:sz w:val="17"/>
          <w:szCs w:val="17"/>
          <w:color w:val="auto"/>
        </w:rPr>
        <w:t>, to extend the end of the transition period to December 31, 2024. As of July 14, 2023, the Company has amended all of the applicable contracts that</w:t>
      </w:r>
      <w:r>
        <w:rPr>
          <w:rFonts w:ascii="Arial" w:cs="Arial" w:eastAsia="Arial" w:hAnsi="Arial"/>
          <w:sz w:val="17"/>
          <w:szCs w:val="17"/>
          <w:i w:val="1"/>
          <w:iCs w:val="1"/>
          <w:color w:val="auto"/>
        </w:rPr>
        <w:t xml:space="preserve"> </w:t>
      </w:r>
      <w:r>
        <w:rPr>
          <w:rFonts w:ascii="Arial" w:cs="Arial" w:eastAsia="Arial" w:hAnsi="Arial"/>
          <w:sz w:val="17"/>
          <w:szCs w:val="17"/>
          <w:color w:val="auto"/>
        </w:rPr>
        <w:t>previously used LIBOR as a reference rate and elected to apply the practical expedient to certain modified cash flow interest rate swap and debt agreements. The adoption did not have a material impact on the Company’s financial statements.</w:t>
      </w:r>
    </w:p>
    <w:p>
      <w:pPr>
        <w:spacing w:after="0" w:line="200" w:lineRule="exact"/>
        <w:rPr>
          <w:sz w:val="20"/>
          <w:szCs w:val="20"/>
          <w:color w:val="auto"/>
        </w:rPr>
      </w:pPr>
    </w:p>
    <w:p>
      <w:pPr>
        <w:spacing w:after="0" w:line="31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927" w:right="2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 xml:space="preserve">Note 3 — </w:t>
      </w:r>
      <w:r>
        <w:rPr>
          <w:rFonts w:ascii="Arial" w:cs="Arial" w:eastAsia="Arial" w:hAnsi="Arial"/>
          <w:sz w:val="18"/>
          <w:szCs w:val="18"/>
          <w:b w:val="1"/>
          <w:bCs w:val="1"/>
          <w:i w:val="1"/>
          <w:iCs w:val="1"/>
          <w:color w:val="auto"/>
        </w:rPr>
        <w:t>Acquisitions and Dispositions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171" w:lineRule="exact"/>
        <w:rPr>
          <w:sz w:val="20"/>
          <w:szCs w:val="20"/>
          <w:color w:val="auto"/>
        </w:rPr>
      </w:pPr>
    </w:p>
    <w:p>
      <w:pPr>
        <w:jc w:val="both"/>
        <w:ind w:firstLine="405"/>
        <w:spacing w:after="0" w:line="285" w:lineRule="auto"/>
        <w:rPr>
          <w:sz w:val="20"/>
          <w:szCs w:val="20"/>
          <w:color w:val="auto"/>
        </w:rPr>
      </w:pPr>
      <w:r>
        <w:rPr>
          <w:rFonts w:ascii="Arial" w:cs="Arial" w:eastAsia="Arial" w:hAnsi="Arial"/>
          <w:sz w:val="16"/>
          <w:szCs w:val="16"/>
          <w:b w:val="1"/>
          <w:bCs w:val="1"/>
          <w:i w:val="1"/>
          <w:iCs w:val="1"/>
          <w:color w:val="auto"/>
        </w:rPr>
        <w:t xml:space="preserve">Daggett 3 Drop Down </w:t>
      </w:r>
      <w:r>
        <w:rPr>
          <w:rFonts w:ascii="Arial" w:cs="Arial" w:eastAsia="Arial" w:hAnsi="Arial"/>
          <w:sz w:val="16"/>
          <w:szCs w:val="16"/>
          <w:color w:val="auto"/>
        </w:rPr>
        <w:t>— On February 17, 2023, the Company, through its indirect subsidiary, Daggett Solar Investment LLC, acquired the Class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membership interests in Daggett TargetCo LLC, the indirect owner of the Daggett 3 solar project, a 300 MW solar project with matching storage capacity that is currently under construction, located in San Bernardino, California, from Clearway Renew, a subsidiary of CEG, for cash consideration of $21 million. Simultaneously, a cash equity investor acquired the Class B membership interests in Daggett TargetCo LLC from Clearway Renew for cash consideration of $129 million. The Company and the cash equity investor then contributed their Class A and B membership interests, respectively, into Daggett Renewable Holdco LLC, a partnership between the Company and the cash equity investor, which consolidates Daggett TargetCo LLC. Daggett TargetCo LLC consolidates, as the indirect owner of the primary beneficiary, a tax equity fund, Daggett TE Holdco LLC, which owns the Daggett 3 solar project, as further described in Note 4, </w:t>
      </w:r>
      <w:r>
        <w:rPr>
          <w:rFonts w:ascii="Arial" w:cs="Arial" w:eastAsia="Arial" w:hAnsi="Arial"/>
          <w:sz w:val="16"/>
          <w:szCs w:val="16"/>
          <w:i w:val="1"/>
          <w:iCs w:val="1"/>
          <w:color w:val="auto"/>
        </w:rPr>
        <w:t>Investments Accounted for by the Equity Method and Variable Interest Entities.</w:t>
      </w:r>
      <w:r>
        <w:rPr>
          <w:rFonts w:ascii="Arial" w:cs="Arial" w:eastAsia="Arial" w:hAnsi="Arial"/>
          <w:sz w:val="16"/>
          <w:szCs w:val="16"/>
          <w:color w:val="auto"/>
        </w:rPr>
        <w:t xml:space="preserve"> Daggett 3 has PPAs with investment-grade counterparties that have a 15-year weighted average contract duration that commence when the underlying operating assets reach commercial operations, which is expected to occur in the second half of 2023. The Daggett 3 operations are reflected in the Company’s Renewables segment and the acquisition was funded with existing sources of liquidity. The acquisition was determined to be an asset acquisition and the Company consolidates Daggett 3 on a prospective basis in its financial statements. The assets and liabilities transferred to the Company relate to interests under common control and were recorded at historical cost in accordance with ASC 805-50, </w:t>
      </w:r>
      <w:r>
        <w:rPr>
          <w:rFonts w:ascii="Arial" w:cs="Arial" w:eastAsia="Arial" w:hAnsi="Arial"/>
          <w:sz w:val="16"/>
          <w:szCs w:val="16"/>
          <w:i w:val="1"/>
          <w:iCs w:val="1"/>
          <w:color w:val="auto"/>
        </w:rPr>
        <w:t>Business Combinations - Related Issues</w:t>
      </w:r>
      <w:r>
        <w:rPr>
          <w:rFonts w:ascii="Arial" w:cs="Arial" w:eastAsia="Arial" w:hAnsi="Arial"/>
          <w:sz w:val="16"/>
          <w:szCs w:val="16"/>
          <w:color w:val="auto"/>
        </w:rPr>
        <w:t>. The difference between the cash paid of $21 million and the historical cost of the Company’s net assets acquired of $15 million was recorded as an adjustment to CEG’s contributed capital balance. In addition, the Company reflected $21 million of the Company’s purchase price, which was contributed back to the Company by CEG to pay down the acquired long-term debt, in the line item contributions from CEG, net of distributions in the consolidated statements of members’ equity.</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summary of assets and liabilities transferred in connection with the acquisition as of February 17, 2023:</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18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4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611"/>
              <w:spacing w:after="0"/>
              <w:rPr>
                <w:sz w:val="20"/>
                <w:szCs w:val="20"/>
                <w:color w:val="auto"/>
              </w:rPr>
            </w:pPr>
            <w:r>
              <w:rPr>
                <w:rFonts w:ascii="Arial" w:cs="Arial" w:eastAsia="Arial" w:hAnsi="Arial"/>
                <w:sz w:val="16"/>
                <w:szCs w:val="16"/>
                <w:b w:val="1"/>
                <w:bCs w:val="1"/>
                <w:color w:val="auto"/>
              </w:rPr>
              <w:t>Daggett 3</w:t>
            </w:r>
          </w:p>
        </w:tc>
      </w:tr>
      <w:tr>
        <w:trPr>
          <w:trHeight w:val="223"/>
        </w:trPr>
        <w:tc>
          <w:tcPr>
            <w:tcW w:w="9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Restricted cash</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37"/>
        </w:trPr>
        <w:tc>
          <w:tcPr>
            <w:tcW w:w="9180" w:type="dxa"/>
            <w:vAlign w:val="bottom"/>
          </w:tcPr>
          <w:p>
            <w:pPr>
              <w:ind w:left="140"/>
              <w:spacing w:after="0"/>
              <w:rPr>
                <w:sz w:val="20"/>
                <w:szCs w:val="20"/>
                <w:color w:val="auto"/>
              </w:rPr>
            </w:pPr>
            <w:r>
              <w:rPr>
                <w:rFonts w:ascii="Arial" w:cs="Arial" w:eastAsia="Arial" w:hAnsi="Arial"/>
                <w:sz w:val="18"/>
                <w:szCs w:val="18"/>
                <w:color w:val="auto"/>
              </w:rPr>
              <w:t>Property, plant and equipment</w:t>
            </w:r>
          </w:p>
        </w:tc>
        <w:tc>
          <w:tcPr>
            <w:tcW w:w="4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534</w:t>
            </w:r>
          </w:p>
        </w:tc>
      </w:tr>
      <w:tr>
        <w:trPr>
          <w:trHeight w:val="236"/>
        </w:trPr>
        <w:tc>
          <w:tcPr>
            <w:tcW w:w="9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Right-of-use-assets, net</w:t>
            </w:r>
          </w:p>
        </w:tc>
        <w:tc>
          <w:tcPr>
            <w:tcW w:w="42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91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Derivative assets</w:t>
            </w:r>
          </w:p>
        </w:tc>
        <w:tc>
          <w:tcPr>
            <w:tcW w:w="4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r>
      <w:tr>
        <w:trPr>
          <w:trHeight w:val="223"/>
        </w:trPr>
        <w:tc>
          <w:tcPr>
            <w:tcW w:w="91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assets acquired</w:t>
            </w:r>
          </w:p>
        </w:tc>
        <w:tc>
          <w:tcPr>
            <w:tcW w:w="4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r>
      <w:tr>
        <w:trPr>
          <w:trHeight w:val="270"/>
        </w:trPr>
        <w:tc>
          <w:tcPr>
            <w:tcW w:w="9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229"/>
        </w:trPr>
        <w:tc>
          <w:tcPr>
            <w:tcW w:w="918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Long-term debt </w:t>
            </w:r>
            <w:r>
              <w:rPr>
                <w:rFonts w:ascii="Arial" w:cs="Arial" w:eastAsia="Arial" w:hAnsi="Arial"/>
                <w:sz w:val="23"/>
                <w:szCs w:val="23"/>
                <w:color w:val="auto"/>
                <w:vertAlign w:val="superscript"/>
              </w:rPr>
              <w:t>(a)</w:t>
            </w:r>
          </w:p>
        </w:tc>
        <w:tc>
          <w:tcPr>
            <w:tcW w:w="4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r>
      <w:tr>
        <w:trPr>
          <w:trHeight w:val="237"/>
        </w:trPr>
        <w:tc>
          <w:tcPr>
            <w:tcW w:w="9180" w:type="dxa"/>
            <w:vAlign w:val="bottom"/>
          </w:tcPr>
          <w:p>
            <w:pPr>
              <w:ind w:left="140"/>
              <w:spacing w:after="0"/>
              <w:rPr>
                <w:sz w:val="20"/>
                <w:szCs w:val="20"/>
                <w:color w:val="auto"/>
              </w:rPr>
            </w:pPr>
            <w:r>
              <w:rPr>
                <w:rFonts w:ascii="Arial" w:cs="Arial" w:eastAsia="Arial" w:hAnsi="Arial"/>
                <w:sz w:val="18"/>
                <w:szCs w:val="18"/>
                <w:color w:val="auto"/>
              </w:rPr>
              <w:t>Long-term lease liabilities</w:t>
            </w:r>
          </w:p>
        </w:tc>
        <w:tc>
          <w:tcPr>
            <w:tcW w:w="4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6"/>
        </w:trPr>
        <w:tc>
          <w:tcPr>
            <w:tcW w:w="9180" w:type="dxa"/>
            <w:vAlign w:val="bottom"/>
            <w:tcBorders>
              <w:bottom w:val="single" w:sz="8" w:color="CCEEFF"/>
            </w:tcBorders>
            <w:shd w:val="clear" w:color="auto" w:fill="CCEEFF"/>
          </w:tcPr>
          <w:p>
            <w:pPr>
              <w:ind w:left="140"/>
              <w:spacing w:after="0" w:line="236" w:lineRule="exact"/>
              <w:rPr>
                <w:sz w:val="20"/>
                <w:szCs w:val="20"/>
                <w:color w:val="auto"/>
              </w:rPr>
            </w:pPr>
            <w:r>
              <w:rPr>
                <w:rFonts w:ascii="Arial" w:cs="Arial" w:eastAsia="Arial" w:hAnsi="Arial"/>
                <w:sz w:val="18"/>
                <w:szCs w:val="18"/>
                <w:color w:val="auto"/>
              </w:rPr>
              <w:t xml:space="preserve">Other current and non-current liabilities </w:t>
            </w:r>
            <w:r>
              <w:rPr>
                <w:rFonts w:ascii="Arial" w:cs="Arial" w:eastAsia="Arial" w:hAnsi="Arial"/>
                <w:sz w:val="23"/>
                <w:szCs w:val="23"/>
                <w:color w:val="auto"/>
                <w:vertAlign w:val="superscript"/>
              </w:rPr>
              <w:t>(b)</w:t>
            </w:r>
          </w:p>
        </w:tc>
        <w:tc>
          <w:tcPr>
            <w:tcW w:w="420" w:type="dxa"/>
            <w:vAlign w:val="bottom"/>
            <w:tcBorders>
              <w:bottom w:val="single" w:sz="8" w:color="auto"/>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23"/>
        </w:trPr>
        <w:tc>
          <w:tcPr>
            <w:tcW w:w="9180" w:type="dxa"/>
            <w:vAlign w:val="bottom"/>
          </w:tcPr>
          <w:p>
            <w:pPr>
              <w:ind w:left="260"/>
              <w:spacing w:after="0"/>
              <w:rPr>
                <w:sz w:val="20"/>
                <w:szCs w:val="20"/>
                <w:color w:val="auto"/>
              </w:rPr>
            </w:pPr>
            <w:r>
              <w:rPr>
                <w:rFonts w:ascii="Arial" w:cs="Arial" w:eastAsia="Arial" w:hAnsi="Arial"/>
                <w:sz w:val="18"/>
                <w:szCs w:val="18"/>
                <w:color w:val="auto"/>
              </w:rPr>
              <w:t>Total liabilities assumed</w:t>
            </w:r>
          </w:p>
        </w:tc>
        <w:tc>
          <w:tcPr>
            <w:tcW w:w="4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w:t>
            </w:r>
          </w:p>
        </w:tc>
      </w:tr>
      <w:tr>
        <w:trPr>
          <w:trHeight w:val="261"/>
        </w:trPr>
        <w:tc>
          <w:tcPr>
            <w:tcW w:w="9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assets acquired</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91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138874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231" w:lineRule="exact"/>
        <w:rPr>
          <w:sz w:val="20"/>
          <w:szCs w:val="20"/>
          <w:color w:val="auto"/>
        </w:rPr>
      </w:pPr>
    </w:p>
    <w:p>
      <w:pPr>
        <w:ind w:left="80" w:firstLine="9"/>
        <w:spacing w:after="0" w:line="239" w:lineRule="auto"/>
        <w:tabs>
          <w:tab w:leader="none" w:pos="244" w:val="left"/>
        </w:tabs>
        <w:numPr>
          <w:ilvl w:val="0"/>
          <w:numId w:val="10"/>
        </w:numPr>
        <w:rPr>
          <w:rFonts w:ascii="Arial" w:cs="Arial" w:eastAsia="Arial" w:hAnsi="Arial"/>
          <w:sz w:val="18"/>
          <w:szCs w:val="18"/>
          <w:color w:val="auto"/>
          <w:vertAlign w:val="superscript"/>
        </w:rPr>
      </w:pPr>
      <w:r>
        <w:rPr>
          <w:rFonts w:ascii="Arial" w:cs="Arial" w:eastAsia="Arial" w:hAnsi="Arial"/>
          <w:sz w:val="12"/>
          <w:szCs w:val="12"/>
          <w:color w:val="auto"/>
        </w:rPr>
        <w:t xml:space="preserve">Includes a $181 million construction loan, $75 million sponsor equity bridge loan and $229 million tax equity bridge loan, offset by $5 million in unamortized debt issuance costs. See Note 7, </w:t>
      </w:r>
      <w:r>
        <w:rPr>
          <w:rFonts w:ascii="Arial" w:cs="Arial" w:eastAsia="Arial" w:hAnsi="Arial"/>
          <w:sz w:val="12"/>
          <w:szCs w:val="12"/>
          <w:i w:val="1"/>
          <w:iCs w:val="1"/>
          <w:color w:val="auto"/>
        </w:rPr>
        <w:t>Long-term Debt</w:t>
      </w:r>
      <w:r>
        <w:rPr>
          <w:rFonts w:ascii="Arial" w:cs="Arial" w:eastAsia="Arial" w:hAnsi="Arial"/>
          <w:sz w:val="12"/>
          <w:szCs w:val="12"/>
          <w:color w:val="auto"/>
        </w:rPr>
        <w:t>, for further discussion of the long-term debt assumed in the acquisition.</w:t>
      </w:r>
    </w:p>
    <w:p>
      <w:pPr>
        <w:spacing w:after="0" w:line="47" w:lineRule="exact"/>
        <w:rPr>
          <w:rFonts w:ascii="Arial" w:cs="Arial" w:eastAsia="Arial" w:hAnsi="Arial"/>
          <w:sz w:val="18"/>
          <w:szCs w:val="18"/>
          <w:color w:val="auto"/>
          <w:vertAlign w:val="superscript"/>
        </w:rPr>
      </w:pPr>
    </w:p>
    <w:p>
      <w:pPr>
        <w:ind w:left="80" w:firstLine="9"/>
        <w:spacing w:after="0" w:line="219" w:lineRule="auto"/>
        <w:tabs>
          <w:tab w:leader="none" w:pos="262" w:val="left"/>
        </w:tabs>
        <w:numPr>
          <w:ilvl w:val="0"/>
          <w:numId w:val="10"/>
        </w:numPr>
        <w:rPr>
          <w:rFonts w:ascii="Arial" w:cs="Arial" w:eastAsia="Arial" w:hAnsi="Arial"/>
          <w:sz w:val="21"/>
          <w:szCs w:val="21"/>
          <w:color w:val="auto"/>
          <w:vertAlign w:val="superscript"/>
        </w:rPr>
      </w:pPr>
      <w:r>
        <w:rPr>
          <w:rFonts w:ascii="Arial" w:cs="Arial" w:eastAsia="Arial" w:hAnsi="Arial"/>
          <w:sz w:val="13"/>
          <w:szCs w:val="13"/>
          <w:color w:val="auto"/>
        </w:rPr>
        <w:t>Includes $32 million of project costs that were subsequently funded by CEG. Subsequent to the acquisition date, CEG funded an additional $11 million in project costs. The combined $43 million funded by CEG will be repaid with the proceeds received when the project reaches substantial completion, which is expected to occur in the second half of 2023.</w:t>
      </w:r>
    </w:p>
    <w:p>
      <w:pPr>
        <w:spacing w:after="0" w:line="157" w:lineRule="exact"/>
        <w:rPr>
          <w:sz w:val="20"/>
          <w:szCs w:val="20"/>
          <w:color w:val="auto"/>
        </w:rPr>
      </w:pPr>
    </w:p>
    <w:p>
      <w:pPr>
        <w:ind w:right="4620"/>
        <w:spacing w:after="0" w:line="440" w:lineRule="auto"/>
        <w:rPr>
          <w:sz w:val="20"/>
          <w:szCs w:val="20"/>
          <w:color w:val="auto"/>
        </w:rPr>
      </w:pPr>
      <w:r>
        <w:rPr>
          <w:rFonts w:ascii="Arial" w:cs="Arial" w:eastAsia="Arial" w:hAnsi="Arial"/>
          <w:sz w:val="18"/>
          <w:szCs w:val="18"/>
          <w:b w:val="1"/>
          <w:bCs w:val="1"/>
          <w:color w:val="auto"/>
        </w:rPr>
        <w:t xml:space="preserve">Note 4 — </w:t>
      </w:r>
      <w:r>
        <w:rPr>
          <w:rFonts w:ascii="Arial" w:cs="Arial" w:eastAsia="Arial" w:hAnsi="Arial"/>
          <w:sz w:val="18"/>
          <w:szCs w:val="18"/>
          <w:b w:val="1"/>
          <w:bCs w:val="1"/>
          <w:i w:val="1"/>
          <w:iCs w:val="1"/>
          <w:color w:val="auto"/>
        </w:rPr>
        <w:t>Investments Accounted for by the Equity Method and Variable Interest Entities</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Entities that are not Consolidated</w:t>
      </w:r>
    </w:p>
    <w:p>
      <w:pPr>
        <w:spacing w:after="0" w:line="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The Company has an interest in an entity that is considered a VIE under ASC 810, but for which it is not considered the primary beneficiary. The Company accounts for its interest in this entity and entities in which it has a significant investment under the equity method of accounting, as further described under Item 15 — Note 5, </w:t>
      </w:r>
      <w:r>
        <w:rPr>
          <w:rFonts w:ascii="Arial" w:cs="Arial" w:eastAsia="Arial" w:hAnsi="Arial"/>
          <w:sz w:val="18"/>
          <w:szCs w:val="18"/>
          <w:i w:val="1"/>
          <w:iCs w:val="1"/>
          <w:color w:val="auto"/>
        </w:rPr>
        <w:t>Investments Accounted for by the Equity Method and Variable Interest Entities,</w:t>
      </w:r>
      <w:r>
        <w:rPr>
          <w:rFonts w:ascii="Arial" w:cs="Arial" w:eastAsia="Arial" w:hAnsi="Arial"/>
          <w:sz w:val="18"/>
          <w:szCs w:val="18"/>
          <w:color w:val="auto"/>
        </w:rPr>
        <w:t xml:space="preserve"> </w:t>
      </w:r>
      <w:r>
        <w:rPr>
          <w:rFonts w:ascii="Arial" w:cs="Arial" w:eastAsia="Arial" w:hAnsi="Arial"/>
          <w:sz w:val="18"/>
          <w:szCs w:val="18"/>
          <w:color w:val="231F20"/>
        </w:rPr>
        <w:t>to the consolidated financial statements</w:t>
      </w:r>
      <w:r>
        <w:rPr>
          <w:rFonts w:ascii="Arial" w:cs="Arial" w:eastAsia="Arial" w:hAnsi="Arial"/>
          <w:sz w:val="18"/>
          <w:szCs w:val="18"/>
          <w:color w:val="auto"/>
        </w:rPr>
        <w:t xml:space="preserve"> </w:t>
      </w:r>
      <w:r>
        <w:rPr>
          <w:rFonts w:ascii="Arial" w:cs="Arial" w:eastAsia="Arial" w:hAnsi="Arial"/>
          <w:sz w:val="18"/>
          <w:szCs w:val="18"/>
          <w:color w:val="231F20"/>
        </w:rPr>
        <w:t xml:space="preserve">included in the Company’s </w:t>
      </w:r>
      <w:r>
        <w:rPr>
          <w:rFonts w:ascii="Arial" w:cs="Arial" w:eastAsia="Arial" w:hAnsi="Arial"/>
          <w:sz w:val="18"/>
          <w:szCs w:val="18"/>
          <w:color w:val="000000"/>
        </w:rPr>
        <w:t>2022</w:t>
      </w:r>
      <w:r>
        <w:rPr>
          <w:rFonts w:ascii="Arial" w:cs="Arial" w:eastAsia="Arial" w:hAnsi="Arial"/>
          <w:sz w:val="18"/>
          <w:szCs w:val="18"/>
          <w:color w:val="231F20"/>
        </w:rPr>
        <w:t xml:space="preserve"> Form 10</w:t>
      </w:r>
      <w:r>
        <w:rPr>
          <w:rFonts w:ascii="Arial" w:cs="Arial" w:eastAsia="Arial" w:hAnsi="Arial"/>
          <w:sz w:val="18"/>
          <w:szCs w:val="18"/>
          <w:color w:val="000000"/>
        </w:rPr>
        <w:t>-K.</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8" w:name="page19"/>
    <w:bookmarkEnd w:id="18"/>
    <w:p>
      <w:pPr>
        <w:jc w:val="both"/>
        <w:ind w:firstLine="405"/>
        <w:spacing w:after="0" w:line="272" w:lineRule="auto"/>
        <w:rPr>
          <w:sz w:val="20"/>
          <w:szCs w:val="20"/>
          <w:color w:val="auto"/>
        </w:rPr>
      </w:pPr>
      <w:r>
        <w:rPr>
          <w:rFonts w:ascii="Arial" w:cs="Arial" w:eastAsia="Arial" w:hAnsi="Arial"/>
          <w:sz w:val="17"/>
          <w:szCs w:val="17"/>
          <w:b w:val="1"/>
          <w:bCs w:val="1"/>
          <w:i w:val="1"/>
          <w:iCs w:val="1"/>
          <w:color w:val="auto"/>
        </w:rPr>
        <w:t xml:space="preserve">Rosie Central BESS — </w:t>
      </w:r>
      <w:r>
        <w:rPr>
          <w:rFonts w:ascii="Arial" w:cs="Arial" w:eastAsia="Arial" w:hAnsi="Arial"/>
          <w:sz w:val="17"/>
          <w:szCs w:val="17"/>
          <w:color w:val="auto"/>
        </w:rPr>
        <w:t>On June 30, 2023, the Company, through its indirect subsidiary, Rosie Class B LLC, the indirect owner of the Rosamond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Central solar project, became the owner of the Class B membership interests of Rosie BESS Devco LLC, or Rosie Central BESS, in order to facilitate and fund the construction of a 147 MW battery energy storage system, or BESS, that will be co-located at the Rosamond Central solar facility. Clearway Renew indirectly owns the Class A membership interests. The Company accounts for its investment in Rosie Central BESS as an equity method investment. The Company’s investment consists of $10 million contributed into Rosie Central BESS, funded through contributions from the Company and its cash equity investor in Rosie TargetCo LLC, which consolidates Rosie Class B LLC. On July 3, 2023, Rosie Class B LLC contributed an additional $20 million into Rosie Central BESS, as further described in Note 7</w:t>
      </w:r>
      <w:r>
        <w:rPr>
          <w:rFonts w:ascii="Arial" w:cs="Arial" w:eastAsia="Arial" w:hAnsi="Arial"/>
          <w:sz w:val="17"/>
          <w:szCs w:val="17"/>
          <w:i w:val="1"/>
          <w:iCs w:val="1"/>
          <w:color w:val="auto"/>
        </w:rPr>
        <w:t>, Long-term Debt</w:t>
      </w:r>
      <w:r>
        <w:rPr>
          <w:rFonts w:ascii="Arial" w:cs="Arial" w:eastAsia="Arial" w:hAnsi="Arial"/>
          <w:sz w:val="17"/>
          <w:szCs w:val="17"/>
          <w:color w:val="auto"/>
        </w:rPr>
        <w:t>.</w:t>
      </w:r>
    </w:p>
    <w:p>
      <w:pPr>
        <w:spacing w:after="0" w:line="12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Additionally, on June 30, 2023, Rosamond Central entered into an asset purchase agreement with Clearway Renew to acquire the BESS project assets at mechanical completion for a purchase price of $360 million, of which $72 million is payable at mechanical completion with the remaining $288 million payable at substantial completion. The Company will fund $17 million of the purchase price at mechanical completion and $67 million of the purchase price at substantial completion with the remaining purchase price funded through contributions from the cash equity investor in Rosie TargetCo LLC and the tax equity investor in Rosie TE Holdco LLC. The BESS project is anticipated to reach mechanical completion in the second half of 2023 and to reach substantial completion in the first half of 2024.</w:t>
      </w:r>
    </w:p>
    <w:p>
      <w:pPr>
        <w:spacing w:after="0" w:line="13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Company’s maximum exposure to loss as of June 30, 2023 is limited to its equity investment in the unconsolidated entities, as further summarized in the table below:</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2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Name</w:t>
            </w:r>
          </w:p>
        </w:tc>
        <w:tc>
          <w:tcPr>
            <w:tcW w:w="7000" w:type="dxa"/>
            <w:vAlign w:val="bottom"/>
            <w:tcBorders>
              <w:bottom w:val="single" w:sz="8" w:color="auto"/>
            </w:tcBorders>
          </w:tcPr>
          <w:p>
            <w:pPr>
              <w:jc w:val="center"/>
              <w:ind w:left="5451"/>
              <w:spacing w:after="0"/>
              <w:rPr>
                <w:sz w:val="20"/>
                <w:szCs w:val="20"/>
                <w:color w:val="auto"/>
              </w:rPr>
            </w:pPr>
            <w:r>
              <w:rPr>
                <w:rFonts w:ascii="Arial" w:cs="Arial" w:eastAsia="Arial" w:hAnsi="Arial"/>
                <w:sz w:val="16"/>
                <w:szCs w:val="16"/>
                <w:b w:val="1"/>
                <w:bCs w:val="1"/>
                <w:color w:val="auto"/>
                <w:w w:val="90"/>
              </w:rPr>
              <w:t>Economic Interest</w:t>
            </w:r>
          </w:p>
        </w:tc>
        <w:tc>
          <w:tcPr>
            <w:tcW w:w="2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w w:val="97"/>
              </w:rPr>
              <w:t>Investment Balance</w:t>
            </w:r>
          </w:p>
        </w:tc>
      </w:tr>
      <w:tr>
        <w:trPr>
          <w:trHeight w:val="210"/>
        </w:trPr>
        <w:tc>
          <w:tcPr>
            <w:tcW w:w="220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jc w:val="right"/>
              <w:ind w:right="512"/>
              <w:spacing w:after="0"/>
              <w:rPr>
                <w:sz w:val="20"/>
                <w:szCs w:val="20"/>
                <w:color w:val="auto"/>
              </w:rPr>
            </w:pPr>
            <w:r>
              <w:rPr>
                <w:rFonts w:ascii="Arial" w:cs="Arial" w:eastAsia="Arial" w:hAnsi="Arial"/>
                <w:sz w:val="16"/>
                <w:szCs w:val="16"/>
                <w:b w:val="1"/>
                <w:bCs w:val="1"/>
                <w:color w:val="auto"/>
              </w:rPr>
              <w:t>(In millions)</w:t>
            </w:r>
          </w:p>
        </w:tc>
      </w:tr>
      <w:tr>
        <w:trPr>
          <w:trHeight w:val="232"/>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Avenal</w:t>
            </w:r>
          </w:p>
        </w:tc>
        <w:tc>
          <w:tcPr>
            <w:tcW w:w="7000" w:type="dxa"/>
            <w:vAlign w:val="bottom"/>
            <w:shd w:val="clear" w:color="auto" w:fill="CCEEFF"/>
          </w:tcPr>
          <w:p>
            <w:pPr>
              <w:jc w:val="center"/>
              <w:ind w:left="5451"/>
              <w:spacing w:after="0"/>
              <w:rPr>
                <w:sz w:val="20"/>
                <w:szCs w:val="20"/>
                <w:color w:val="auto"/>
              </w:rPr>
            </w:pPr>
            <w:r>
              <w:rPr>
                <w:rFonts w:ascii="Arial" w:cs="Arial" w:eastAsia="Arial" w:hAnsi="Arial"/>
                <w:sz w:val="18"/>
                <w:szCs w:val="18"/>
                <w:color w:val="auto"/>
                <w:w w:val="94"/>
              </w:rPr>
              <w:t>50%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7"/>
        </w:trPr>
        <w:tc>
          <w:tcPr>
            <w:tcW w:w="2200" w:type="dxa"/>
            <w:vAlign w:val="bottom"/>
          </w:tcPr>
          <w:p>
            <w:pPr>
              <w:ind w:left="20"/>
              <w:spacing w:after="0"/>
              <w:rPr>
                <w:sz w:val="20"/>
                <w:szCs w:val="20"/>
                <w:color w:val="auto"/>
              </w:rPr>
            </w:pPr>
            <w:r>
              <w:rPr>
                <w:rFonts w:ascii="Arial" w:cs="Arial" w:eastAsia="Arial" w:hAnsi="Arial"/>
                <w:sz w:val="18"/>
                <w:szCs w:val="18"/>
                <w:color w:val="auto"/>
              </w:rPr>
              <w:t>Desert Sunlight</w:t>
            </w:r>
          </w:p>
        </w:tc>
        <w:tc>
          <w:tcPr>
            <w:tcW w:w="7000" w:type="dxa"/>
            <w:vAlign w:val="bottom"/>
          </w:tcPr>
          <w:p>
            <w:pPr>
              <w:jc w:val="center"/>
              <w:ind w:left="5451"/>
              <w:spacing w:after="0"/>
              <w:rPr>
                <w:sz w:val="20"/>
                <w:szCs w:val="20"/>
                <w:color w:val="auto"/>
              </w:rPr>
            </w:pPr>
            <w:r>
              <w:rPr>
                <w:rFonts w:ascii="Arial" w:cs="Arial" w:eastAsia="Arial" w:hAnsi="Arial"/>
                <w:sz w:val="18"/>
                <w:szCs w:val="18"/>
                <w:color w:val="auto"/>
                <w:w w:val="94"/>
              </w:rPr>
              <w:t>25%</w:t>
            </w:r>
          </w:p>
        </w:tc>
        <w:tc>
          <w:tcPr>
            <w:tcW w:w="2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227</w:t>
            </w:r>
          </w:p>
        </w:tc>
      </w:tr>
      <w:tr>
        <w:trPr>
          <w:trHeight w:val="236"/>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Elkhorn Ridge</w:t>
            </w:r>
          </w:p>
        </w:tc>
        <w:tc>
          <w:tcPr>
            <w:tcW w:w="7000" w:type="dxa"/>
            <w:vAlign w:val="bottom"/>
            <w:shd w:val="clear" w:color="auto" w:fill="CCEEFF"/>
          </w:tcPr>
          <w:p>
            <w:pPr>
              <w:jc w:val="center"/>
              <w:ind w:left="5451"/>
              <w:spacing w:after="0"/>
              <w:rPr>
                <w:sz w:val="20"/>
                <w:szCs w:val="20"/>
                <w:color w:val="auto"/>
              </w:rPr>
            </w:pPr>
            <w:r>
              <w:rPr>
                <w:rFonts w:ascii="Arial" w:cs="Arial" w:eastAsia="Arial" w:hAnsi="Arial"/>
                <w:sz w:val="18"/>
                <w:szCs w:val="18"/>
                <w:color w:val="auto"/>
                <w:w w:val="94"/>
              </w:rPr>
              <w:t>67%</w:t>
            </w:r>
          </w:p>
        </w:tc>
        <w:tc>
          <w:tcPr>
            <w:tcW w:w="220" w:type="dxa"/>
            <w:vAlign w:val="bottom"/>
            <w:shd w:val="clear" w:color="auto" w:fill="CCEEFF"/>
          </w:tcPr>
          <w:p>
            <w:pPr>
              <w:spacing w:after="0"/>
              <w:rPr>
                <w:sz w:val="20"/>
                <w:szCs w:val="20"/>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22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GenConn </w:t>
            </w:r>
            <w:r>
              <w:rPr>
                <w:rFonts w:ascii="Arial" w:cs="Arial" w:eastAsia="Arial" w:hAnsi="Arial"/>
                <w:sz w:val="23"/>
                <w:szCs w:val="23"/>
                <w:color w:val="auto"/>
                <w:vertAlign w:val="superscript"/>
              </w:rPr>
              <w:t>(a)</w:t>
            </w:r>
          </w:p>
        </w:tc>
        <w:tc>
          <w:tcPr>
            <w:tcW w:w="7000" w:type="dxa"/>
            <w:vAlign w:val="bottom"/>
          </w:tcPr>
          <w:p>
            <w:pPr>
              <w:jc w:val="center"/>
              <w:ind w:left="5451"/>
              <w:spacing w:after="0"/>
              <w:rPr>
                <w:sz w:val="20"/>
                <w:szCs w:val="20"/>
                <w:color w:val="auto"/>
              </w:rPr>
            </w:pPr>
            <w:r>
              <w:rPr>
                <w:rFonts w:ascii="Arial" w:cs="Arial" w:eastAsia="Arial" w:hAnsi="Arial"/>
                <w:sz w:val="18"/>
                <w:szCs w:val="18"/>
                <w:color w:val="auto"/>
                <w:w w:val="94"/>
              </w:rPr>
              <w:t>50%</w:t>
            </w: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43"/>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Rosie Central BESS</w:t>
            </w:r>
          </w:p>
        </w:tc>
        <w:tc>
          <w:tcPr>
            <w:tcW w:w="7000" w:type="dxa"/>
            <w:vAlign w:val="bottom"/>
            <w:shd w:val="clear" w:color="auto" w:fill="CCEEFF"/>
          </w:tcPr>
          <w:p>
            <w:pPr>
              <w:jc w:val="center"/>
              <w:ind w:left="5451"/>
              <w:spacing w:after="0"/>
              <w:rPr>
                <w:sz w:val="20"/>
                <w:szCs w:val="20"/>
                <w:color w:val="auto"/>
              </w:rPr>
            </w:pPr>
            <w:r>
              <w:rPr>
                <w:rFonts w:ascii="Arial" w:cs="Arial" w:eastAsia="Arial" w:hAnsi="Arial"/>
                <w:sz w:val="18"/>
                <w:szCs w:val="18"/>
                <w:color w:val="auto"/>
                <w:w w:val="94"/>
              </w:rPr>
              <w:t>50%</w:t>
            </w:r>
          </w:p>
        </w:tc>
        <w:tc>
          <w:tcPr>
            <w:tcW w:w="22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2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San Juan Mesa</w:t>
            </w:r>
          </w:p>
        </w:tc>
        <w:tc>
          <w:tcPr>
            <w:tcW w:w="7000" w:type="dxa"/>
            <w:vAlign w:val="bottom"/>
            <w:tcBorders>
              <w:bottom w:val="single" w:sz="8" w:color="CCEEFF"/>
            </w:tcBorders>
          </w:tcPr>
          <w:p>
            <w:pPr>
              <w:jc w:val="center"/>
              <w:ind w:left="5451"/>
              <w:spacing w:after="0"/>
              <w:rPr>
                <w:sz w:val="20"/>
                <w:szCs w:val="20"/>
                <w:color w:val="auto"/>
              </w:rPr>
            </w:pPr>
            <w:r>
              <w:rPr>
                <w:rFonts w:ascii="Arial" w:cs="Arial" w:eastAsia="Arial" w:hAnsi="Arial"/>
                <w:sz w:val="18"/>
                <w:szCs w:val="18"/>
                <w:color w:val="auto"/>
                <w:w w:val="94"/>
              </w:rPr>
              <w:t>75%</w:t>
            </w:r>
          </w:p>
        </w:tc>
        <w:tc>
          <w:tcPr>
            <w:tcW w:w="2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48"/>
        </w:trPr>
        <w:tc>
          <w:tcPr>
            <w:tcW w:w="220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7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r>
        <w:trPr>
          <w:trHeight w:val="136"/>
        </w:trPr>
        <w:tc>
          <w:tcPr>
            <w:tcW w:w="2200" w:type="dxa"/>
            <w:vAlign w:val="bottom"/>
            <w:tcBorders>
              <w:bottom w:val="single" w:sz="8" w:color="auto"/>
            </w:tcBorders>
          </w:tcPr>
          <w:p>
            <w:pPr>
              <w:spacing w:after="0"/>
              <w:rPr>
                <w:sz w:val="11"/>
                <w:szCs w:val="11"/>
                <w:color w:val="auto"/>
              </w:rPr>
            </w:pPr>
          </w:p>
        </w:tc>
        <w:tc>
          <w:tcPr>
            <w:tcW w:w="7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20" w:type="dxa"/>
            <w:vAlign w:val="bottom"/>
          </w:tcPr>
          <w:p>
            <w:pPr>
              <w:spacing w:after="0"/>
              <w:rPr>
                <w:sz w:val="11"/>
                <w:szCs w:val="11"/>
                <w:color w:val="auto"/>
              </w:rPr>
            </w:pPr>
          </w:p>
        </w:tc>
      </w:tr>
    </w:tbl>
    <w:p>
      <w:pPr>
        <w:spacing w:after="0" w:line="75" w:lineRule="exact"/>
        <w:rPr>
          <w:sz w:val="20"/>
          <w:szCs w:val="20"/>
          <w:color w:val="auto"/>
        </w:rPr>
      </w:pPr>
    </w:p>
    <w:p>
      <w:pPr>
        <w:ind w:left="80"/>
        <w:spacing w:after="0"/>
        <w:rPr>
          <w:sz w:val="20"/>
          <w:szCs w:val="20"/>
          <w:color w:val="auto"/>
        </w:rPr>
      </w:pPr>
      <w:r>
        <w:rPr>
          <w:rFonts w:ascii="Arial" w:cs="Arial" w:eastAsia="Arial" w:hAnsi="Arial"/>
          <w:sz w:val="23"/>
          <w:szCs w:val="23"/>
          <w:color w:val="auto"/>
          <w:vertAlign w:val="superscript"/>
        </w:rPr>
        <w:t>(a)</w:t>
      </w:r>
      <w:r>
        <w:rPr>
          <w:rFonts w:ascii="Arial" w:cs="Arial" w:eastAsia="Arial" w:hAnsi="Arial"/>
          <w:sz w:val="16"/>
          <w:szCs w:val="16"/>
          <w:color w:val="auto"/>
        </w:rPr>
        <w:t xml:space="preserve"> GenConn is a variable interest entity.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Entities that are Consolidated</w:t>
      </w:r>
    </w:p>
    <w:p>
      <w:pPr>
        <w:spacing w:after="0" w:line="171"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 xml:space="preserve">As further described under Item 15 — Note 5, </w:t>
      </w:r>
      <w:r>
        <w:rPr>
          <w:rFonts w:ascii="Arial" w:cs="Arial" w:eastAsia="Arial" w:hAnsi="Arial"/>
          <w:sz w:val="16"/>
          <w:szCs w:val="16"/>
          <w:i w:val="1"/>
          <w:iCs w:val="1"/>
          <w:color w:val="auto"/>
        </w:rPr>
        <w:t>Investments Accounted for by the Equity Method and Variable Interest Entities,</w:t>
      </w:r>
      <w:r>
        <w:rPr>
          <w:rFonts w:ascii="Arial" w:cs="Arial" w:eastAsia="Arial" w:hAnsi="Arial"/>
          <w:sz w:val="16"/>
          <w:szCs w:val="16"/>
          <w:color w:val="auto"/>
        </w:rPr>
        <w:t xml:space="preserve"> to the consolidated financial statements included in the Company’s 2022 Form 10-K, the Company has a controlling financial interest in certain entities which have been identified as VIEs under ASC 810, </w:t>
      </w:r>
      <w:r>
        <w:rPr>
          <w:rFonts w:ascii="Arial" w:cs="Arial" w:eastAsia="Arial" w:hAnsi="Arial"/>
          <w:sz w:val="16"/>
          <w:szCs w:val="16"/>
          <w:i w:val="1"/>
          <w:iCs w:val="1"/>
          <w:color w:val="auto"/>
        </w:rPr>
        <w:t>Consolidations</w:t>
      </w:r>
      <w:r>
        <w:rPr>
          <w:rFonts w:ascii="Arial" w:cs="Arial" w:eastAsia="Arial" w:hAnsi="Arial"/>
          <w:sz w:val="16"/>
          <w:szCs w:val="16"/>
          <w:color w:val="auto"/>
        </w:rPr>
        <w:t>, or ASC 810. These arrangements are primarily related to tax equity arrangements entered into with third parties in order to monetize certain tax credits associated with wind and solar facilities. The Company also has a controlling financial interest in certain partnership arrangements with third-party investors, which have also been identified as VIEs. Under the Company’s arrangements that have been identified as VIEs, the third-party investors are allocated earnings, tax attributes and distributable cash in accordance with the respective limited liability agreements. Many of these arrangements also provide a mechanism to facilitate achievement of the investor’s specified return by providing incremental cash distributions to the investor at a specified date if the specified return has not yet been achieved.</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discussion below describes material changes to VIEs during the six months ended June 30, 2023.</w:t>
      </w:r>
    </w:p>
    <w:p>
      <w:pPr>
        <w:spacing w:after="0" w:line="171"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b w:val="1"/>
          <w:bCs w:val="1"/>
          <w:i w:val="1"/>
          <w:iCs w:val="1"/>
          <w:color w:val="auto"/>
        </w:rPr>
        <w:t xml:space="preserve">Daggett Renewable Holdco LLC — </w:t>
      </w:r>
      <w:r>
        <w:rPr>
          <w:rFonts w:ascii="Arial" w:cs="Arial" w:eastAsia="Arial" w:hAnsi="Arial"/>
          <w:sz w:val="16"/>
          <w:szCs w:val="16"/>
          <w:color w:val="auto"/>
        </w:rPr>
        <w:t>As described in Note 3,</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Acquisitions and Dispositions</w:t>
      </w:r>
      <w:r>
        <w:rPr>
          <w:rFonts w:ascii="Arial" w:cs="Arial" w:eastAsia="Arial" w:hAnsi="Arial"/>
          <w:sz w:val="16"/>
          <w:szCs w:val="16"/>
          <w:color w:val="auto"/>
        </w:rPr>
        <w:t>, on February 17, 2023, Daggett Solar Investment LLC,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indirect subsidiary of the Company, acquired the Class A membership interests in Daggett TargetCo LLC while a cash equity investor acquired the Class B membership interests. The Company and the cash equity investor then contributed their Class A and B membership interests, respectively, into Daggett Renewable Holdco LLC, a partnership between the Company and the cash equity investor, and concurrently, Daggett TargetCo LLC became a wholly-owned subsidiary of Daggett Renewable Holdco LLC. The Company consolidates Daggett Renewable Holdco LLC as a VIE as the Company is the primary beneficiary, through its role as managing member. The Company recorded the noncontrolling interest of the cash equity investor in Daggett Renewable Holdco LLC at historical carrying amount, with the offset to contributed capital. Daggett TargetCo LLC consolidates, as the indirect owner of the primary beneficiary, a tax equity fund, Daggett TE Holdco LLC, which owns the Daggett 3 solar project. The tax equity investor’s interest is shown as noncontrolling interest and the HLBV method is utilized to allocate the income or losses of Daggett TE Holdco LLC.</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9" w:name="page20"/>
    <w:bookmarkEnd w:id="19"/>
    <w:p>
      <w:pPr>
        <w:ind w:left="420"/>
        <w:spacing w:after="0"/>
        <w:rPr>
          <w:sz w:val="20"/>
          <w:szCs w:val="20"/>
          <w:color w:val="auto"/>
        </w:rPr>
      </w:pPr>
      <w:r>
        <w:rPr>
          <w:rFonts w:ascii="Arial" w:cs="Arial" w:eastAsia="Arial" w:hAnsi="Arial"/>
          <w:sz w:val="18"/>
          <w:szCs w:val="18"/>
          <w:color w:val="auto"/>
        </w:rPr>
        <w:t>Summarized financial information for the Company’s consolidated VIEs consisted of the following as of June 30, 2023:</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right"/>
              <w:spacing w:after="0"/>
              <w:rPr>
                <w:sz w:val="20"/>
                <w:szCs w:val="20"/>
                <w:color w:val="auto"/>
              </w:rPr>
            </w:pPr>
            <w:r>
              <w:rPr>
                <w:rFonts w:ascii="Arial" w:cs="Arial" w:eastAsia="Arial" w:hAnsi="Arial"/>
                <w:sz w:val="13"/>
                <w:szCs w:val="13"/>
                <w:b w:val="1"/>
                <w:bCs w:val="1"/>
                <w:color w:val="auto"/>
                <w:w w:val="93"/>
              </w:rPr>
              <w:t>Buckthorn Holdings,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vMerge w:val="restart"/>
          </w:tcPr>
          <w:p>
            <w:pPr>
              <w:jc w:val="right"/>
              <w:ind w:right="113"/>
              <w:spacing w:after="0"/>
              <w:rPr>
                <w:sz w:val="20"/>
                <w:szCs w:val="20"/>
                <w:color w:val="auto"/>
              </w:rPr>
            </w:pPr>
            <w:r>
              <w:rPr>
                <w:rFonts w:ascii="Arial" w:cs="Arial" w:eastAsia="Arial" w:hAnsi="Arial"/>
                <w:sz w:val="13"/>
                <w:szCs w:val="13"/>
                <w:b w:val="1"/>
                <w:bCs w:val="1"/>
                <w:color w:val="auto"/>
                <w:w w:val="89"/>
              </w:rPr>
              <w:t xml:space="preserve">DGPV Funds </w:t>
            </w:r>
            <w:r>
              <w:rPr>
                <w:rFonts w:ascii="Arial" w:cs="Arial" w:eastAsia="Arial" w:hAnsi="Arial"/>
                <w:sz w:val="21"/>
                <w:szCs w:val="21"/>
                <w:b w:val="1"/>
                <w:bCs w:val="1"/>
                <w:color w:val="auto"/>
                <w:w w:val="89"/>
                <w:vertAlign w:val="superscript"/>
              </w:rPr>
              <w:t>(a)</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jc w:val="right"/>
              <w:ind w:right="35"/>
              <w:spacing w:after="0"/>
              <w:rPr>
                <w:sz w:val="20"/>
                <w:szCs w:val="20"/>
                <w:color w:val="auto"/>
              </w:rPr>
            </w:pPr>
            <w:r>
              <w:rPr>
                <w:rFonts w:ascii="Arial" w:cs="Arial" w:eastAsia="Arial" w:hAnsi="Arial"/>
                <w:sz w:val="13"/>
                <w:szCs w:val="13"/>
                <w:b w:val="1"/>
                <w:bCs w:val="1"/>
                <w:color w:val="auto"/>
                <w:w w:val="85"/>
              </w:rPr>
              <w:t>Daggett Renewable</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jc w:val="right"/>
              <w:ind w:right="195"/>
              <w:spacing w:after="0"/>
              <w:rPr>
                <w:sz w:val="20"/>
                <w:szCs w:val="20"/>
                <w:color w:val="auto"/>
              </w:rPr>
            </w:pPr>
            <w:r>
              <w:rPr>
                <w:rFonts w:ascii="Arial" w:cs="Arial" w:eastAsia="Arial" w:hAnsi="Arial"/>
                <w:sz w:val="13"/>
                <w:szCs w:val="13"/>
                <w:b w:val="1"/>
                <w:bCs w:val="1"/>
                <w:color w:val="auto"/>
              </w:rPr>
              <w:t>Langford TE</w:t>
            </w:r>
          </w:p>
        </w:tc>
        <w:tc>
          <w:tcPr>
            <w:tcW w:w="100" w:type="dxa"/>
            <w:vAlign w:val="bottom"/>
          </w:tcPr>
          <w:p>
            <w:pPr>
              <w:spacing w:after="0"/>
              <w:rPr>
                <w:sz w:val="13"/>
                <w:szCs w:val="13"/>
                <w:color w:val="auto"/>
              </w:rPr>
            </w:pPr>
          </w:p>
        </w:tc>
        <w:tc>
          <w:tcPr>
            <w:tcW w:w="1300" w:type="dxa"/>
            <w:vAlign w:val="bottom"/>
            <w:gridSpan w:val="2"/>
          </w:tcPr>
          <w:p>
            <w:pPr>
              <w:ind w:left="40"/>
              <w:spacing w:after="0"/>
              <w:rPr>
                <w:sz w:val="20"/>
                <w:szCs w:val="20"/>
                <w:color w:val="auto"/>
              </w:rPr>
            </w:pPr>
            <w:r>
              <w:rPr>
                <w:rFonts w:ascii="Arial" w:cs="Arial" w:eastAsia="Arial" w:hAnsi="Arial"/>
                <w:sz w:val="13"/>
                <w:szCs w:val="13"/>
                <w:b w:val="1"/>
                <w:bCs w:val="1"/>
                <w:color w:val="auto"/>
                <w:w w:val="87"/>
              </w:rPr>
              <w:t>Lighthouse Renewable</w:t>
            </w:r>
          </w:p>
        </w:tc>
        <w:tc>
          <w:tcPr>
            <w:tcW w:w="0" w:type="dxa"/>
            <w:vAlign w:val="bottom"/>
          </w:tcPr>
          <w:p>
            <w:pPr>
              <w:spacing w:after="0"/>
              <w:rPr>
                <w:sz w:val="1"/>
                <w:szCs w:val="1"/>
                <w:color w:val="auto"/>
              </w:rPr>
            </w:pPr>
          </w:p>
        </w:tc>
      </w:tr>
      <w:tr>
        <w:trPr>
          <w:trHeight w:val="189"/>
        </w:trPr>
        <w:tc>
          <w:tcPr>
            <w:tcW w:w="3060" w:type="dxa"/>
            <w:vAlign w:val="bottom"/>
            <w:tcBorders>
              <w:bottom w:val="single" w:sz="8" w:color="CCEEFF"/>
            </w:tcBorders>
            <w:gridSpan w:val="2"/>
            <w:vMerge w:val="continue"/>
          </w:tcPr>
          <w:p>
            <w:pPr>
              <w:spacing w:after="0"/>
              <w:rPr>
                <w:sz w:val="16"/>
                <w:szCs w:val="16"/>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7"/>
              </w:rPr>
              <w:t>Alta TE Holdco LLC</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33"/>
              <w:spacing w:after="0"/>
              <w:rPr>
                <w:sz w:val="20"/>
                <w:szCs w:val="20"/>
                <w:color w:val="auto"/>
              </w:rPr>
            </w:pPr>
            <w:r>
              <w:rPr>
                <w:rFonts w:ascii="Arial" w:cs="Arial" w:eastAsia="Arial" w:hAnsi="Arial"/>
                <w:sz w:val="13"/>
                <w:szCs w:val="13"/>
                <w:b w:val="1"/>
                <w:bCs w:val="1"/>
                <w:color w:val="auto"/>
              </w:rPr>
              <w:t>LLC</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35"/>
              <w:spacing w:after="0" w:line="189" w:lineRule="exact"/>
              <w:rPr>
                <w:sz w:val="20"/>
                <w:szCs w:val="20"/>
                <w:color w:val="auto"/>
              </w:rPr>
            </w:pPr>
            <w:r>
              <w:rPr>
                <w:rFonts w:ascii="Arial" w:cs="Arial" w:eastAsia="Arial" w:hAnsi="Arial"/>
                <w:sz w:val="13"/>
                <w:szCs w:val="13"/>
                <w:b w:val="1"/>
                <w:bCs w:val="1"/>
                <w:color w:val="auto"/>
                <w:w w:val="97"/>
              </w:rPr>
              <w:t xml:space="preserve">Holdco LLC </w:t>
            </w:r>
            <w:r>
              <w:rPr>
                <w:rFonts w:ascii="Arial" w:cs="Arial" w:eastAsia="Arial" w:hAnsi="Arial"/>
                <w:sz w:val="21"/>
                <w:szCs w:val="21"/>
                <w:b w:val="1"/>
                <w:bCs w:val="1"/>
                <w:color w:val="auto"/>
                <w:w w:val="97"/>
                <w:vertAlign w:val="superscript"/>
              </w:rPr>
              <w:t>(b)</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75"/>
              <w:spacing w:after="0"/>
              <w:rPr>
                <w:sz w:val="20"/>
                <w:szCs w:val="20"/>
                <w:color w:val="auto"/>
              </w:rPr>
            </w:pPr>
            <w:r>
              <w:rPr>
                <w:rFonts w:ascii="Arial" w:cs="Arial" w:eastAsia="Arial" w:hAnsi="Arial"/>
                <w:sz w:val="13"/>
                <w:szCs w:val="13"/>
                <w:b w:val="1"/>
                <w:bCs w:val="1"/>
                <w:color w:val="auto"/>
                <w:w w:val="94"/>
              </w:rPr>
              <w:t>Partnership LLC</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53"/>
              <w:spacing w:after="0" w:line="189" w:lineRule="exact"/>
              <w:rPr>
                <w:sz w:val="20"/>
                <w:szCs w:val="20"/>
                <w:color w:val="auto"/>
              </w:rPr>
            </w:pPr>
            <w:r>
              <w:rPr>
                <w:rFonts w:ascii="Arial" w:cs="Arial" w:eastAsia="Arial" w:hAnsi="Arial"/>
                <w:sz w:val="13"/>
                <w:szCs w:val="13"/>
                <w:b w:val="1"/>
                <w:bCs w:val="1"/>
                <w:color w:val="auto"/>
                <w:w w:val="91"/>
              </w:rPr>
              <w:t xml:space="preserve">Holdco LLC </w:t>
            </w:r>
            <w:r>
              <w:rPr>
                <w:rFonts w:ascii="Arial" w:cs="Arial" w:eastAsia="Arial" w:hAnsi="Arial"/>
                <w:sz w:val="21"/>
                <w:szCs w:val="21"/>
                <w:b w:val="1"/>
                <w:bCs w:val="1"/>
                <w:color w:val="auto"/>
                <w:w w:val="91"/>
                <w:vertAlign w:val="superscript"/>
              </w:rPr>
              <w:t>(c)</w:t>
            </w:r>
          </w:p>
        </w:tc>
        <w:tc>
          <w:tcPr>
            <w:tcW w:w="0" w:type="dxa"/>
            <w:vAlign w:val="bottom"/>
          </w:tcPr>
          <w:p>
            <w:pPr>
              <w:spacing w:after="0"/>
              <w:rPr>
                <w:sz w:val="1"/>
                <w:szCs w:val="1"/>
                <w:color w:val="auto"/>
              </w:rPr>
            </w:pPr>
          </w:p>
        </w:tc>
      </w:tr>
      <w:tr>
        <w:trPr>
          <w:trHeight w:val="223"/>
        </w:trPr>
        <w:tc>
          <w:tcPr>
            <w:tcW w:w="3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and non-current assets</w:t>
            </w: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29"/>
        </w:trPr>
        <w:tc>
          <w:tcPr>
            <w:tcW w:w="3060" w:type="dxa"/>
            <w:vAlign w:val="bottom"/>
            <w:gridSpan w:val="2"/>
          </w:tcPr>
          <w:p>
            <w:pPr>
              <w:ind w:left="20"/>
              <w:spacing w:after="0"/>
              <w:rPr>
                <w:sz w:val="20"/>
                <w:szCs w:val="20"/>
                <w:color w:val="auto"/>
              </w:rPr>
            </w:pPr>
            <w:r>
              <w:rPr>
                <w:rFonts w:ascii="Arial" w:cs="Arial" w:eastAsia="Arial" w:hAnsi="Arial"/>
                <w:sz w:val="18"/>
                <w:szCs w:val="18"/>
                <w:color w:val="auto"/>
              </w:rPr>
              <w:t>Property, plant and equipment</w:t>
            </w:r>
          </w:p>
        </w:tc>
        <w:tc>
          <w:tcPr>
            <w:tcW w:w="5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r>
        <w:trPr>
          <w:trHeight w:val="243"/>
        </w:trPr>
        <w:tc>
          <w:tcPr>
            <w:tcW w:w="3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5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060" w:type="dxa"/>
            <w:vAlign w:val="bottom"/>
            <w:gridSpan w:val="2"/>
          </w:tcPr>
          <w:p>
            <w:pPr>
              <w:ind w:left="180"/>
              <w:spacing w:after="0"/>
              <w:rPr>
                <w:sz w:val="20"/>
                <w:szCs w:val="20"/>
                <w:color w:val="auto"/>
              </w:rPr>
            </w:pPr>
            <w:r>
              <w:rPr>
                <w:rFonts w:ascii="Arial" w:cs="Arial" w:eastAsia="Arial" w:hAnsi="Arial"/>
                <w:sz w:val="18"/>
                <w:szCs w:val="18"/>
                <w:color w:val="auto"/>
              </w:rPr>
              <w:t>Total assets</w:t>
            </w:r>
          </w:p>
        </w:tc>
        <w:tc>
          <w:tcPr>
            <w:tcW w:w="5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942</w:t>
            </w:r>
          </w:p>
        </w:tc>
        <w:tc>
          <w:tcPr>
            <w:tcW w:w="0" w:type="dxa"/>
            <w:vAlign w:val="bottom"/>
          </w:tcPr>
          <w:p>
            <w:pPr>
              <w:spacing w:after="0"/>
              <w:rPr>
                <w:sz w:val="1"/>
                <w:szCs w:val="1"/>
                <w:color w:val="auto"/>
              </w:rPr>
            </w:pPr>
          </w:p>
        </w:tc>
      </w:tr>
      <w:tr>
        <w:trPr>
          <w:trHeight w:val="229"/>
        </w:trPr>
        <w:tc>
          <w:tcPr>
            <w:tcW w:w="3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Current and non-current liabilities</w:t>
            </w:r>
          </w:p>
        </w:tc>
        <w:tc>
          <w:tcPr>
            <w:tcW w:w="5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30"/>
        </w:trPr>
        <w:tc>
          <w:tcPr>
            <w:tcW w:w="3060" w:type="dxa"/>
            <w:vAlign w:val="bottom"/>
            <w:gridSpan w:val="2"/>
          </w:tcPr>
          <w:p>
            <w:pPr>
              <w:ind w:left="180"/>
              <w:spacing w:after="0"/>
              <w:rPr>
                <w:sz w:val="20"/>
                <w:szCs w:val="20"/>
                <w:color w:val="auto"/>
              </w:rPr>
            </w:pPr>
            <w:r>
              <w:rPr>
                <w:rFonts w:ascii="Arial" w:cs="Arial" w:eastAsia="Arial" w:hAnsi="Arial"/>
                <w:sz w:val="18"/>
                <w:szCs w:val="18"/>
                <w:color w:val="auto"/>
              </w:rPr>
              <w:t>Total liabilities</w:t>
            </w:r>
          </w:p>
        </w:tc>
        <w:tc>
          <w:tcPr>
            <w:tcW w:w="5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36"/>
        </w:trPr>
        <w:tc>
          <w:tcPr>
            <w:tcW w:w="3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Noncontrolling interest</w:t>
            </w:r>
          </w:p>
        </w:tc>
        <w:tc>
          <w:tcPr>
            <w:tcW w:w="5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23"/>
        </w:trPr>
        <w:tc>
          <w:tcPr>
            <w:tcW w:w="3060" w:type="dxa"/>
            <w:vAlign w:val="bottom"/>
            <w:gridSpan w:val="2"/>
          </w:tcPr>
          <w:p>
            <w:pPr>
              <w:ind w:left="140"/>
              <w:spacing w:after="0"/>
              <w:rPr>
                <w:sz w:val="20"/>
                <w:szCs w:val="20"/>
                <w:color w:val="auto"/>
              </w:rPr>
            </w:pPr>
            <w:r>
              <w:rPr>
                <w:rFonts w:ascii="Arial" w:cs="Arial" w:eastAsia="Arial" w:hAnsi="Arial"/>
                <w:sz w:val="18"/>
                <w:szCs w:val="18"/>
                <w:color w:val="auto"/>
                <w:w w:val="95"/>
              </w:rPr>
              <w:t>Net assets less noncontrolling interest</w:t>
            </w:r>
          </w:p>
        </w:tc>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
        </w:trPr>
        <w:tc>
          <w:tcPr>
            <w:tcW w:w="2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200" w:type="dxa"/>
            <w:vAlign w:val="bottom"/>
            <w:tcBorders>
              <w:bottom w:val="single" w:sz="8" w:color="auto"/>
            </w:tcBorders>
          </w:tcPr>
          <w:p>
            <w:pPr>
              <w:spacing w:after="0"/>
              <w:rPr>
                <w:sz w:val="13"/>
                <w:szCs w:val="13"/>
                <w:color w:val="auto"/>
              </w:rPr>
            </w:pPr>
          </w:p>
        </w:tc>
        <w:tc>
          <w:tcPr>
            <w:tcW w:w="8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80" w:firstLine="9"/>
        <w:spacing w:after="0" w:line="226" w:lineRule="auto"/>
        <w:tabs>
          <w:tab w:leader="none" w:pos="256" w:val="left"/>
        </w:tabs>
        <w:numPr>
          <w:ilvl w:val="0"/>
          <w:numId w:val="11"/>
        </w:numPr>
        <w:rPr>
          <w:rFonts w:ascii="Arial" w:cs="Arial" w:eastAsia="Arial" w:hAnsi="Arial"/>
          <w:sz w:val="20"/>
          <w:szCs w:val="20"/>
          <w:color w:val="auto"/>
          <w:vertAlign w:val="superscript"/>
        </w:rPr>
      </w:pPr>
      <w:r>
        <w:rPr>
          <w:rFonts w:ascii="Arial" w:cs="Arial" w:eastAsia="Arial" w:hAnsi="Arial"/>
          <w:sz w:val="13"/>
          <w:szCs w:val="13"/>
          <w:color w:val="auto"/>
        </w:rPr>
        <w:t>DGPV Funds is comprised of Clearway &amp; EFS Distributed Solar LLC, DGPV Fund 4 LLC, Golden Puma Fund LLC, Renew Solar CS4 Fund LLC and Chestnut Fund LLC, which are all tax equity funds.</w:t>
      </w:r>
    </w:p>
    <w:p>
      <w:pPr>
        <w:spacing w:after="0" w:line="5" w:lineRule="exact"/>
        <w:rPr>
          <w:rFonts w:ascii="Arial" w:cs="Arial" w:eastAsia="Arial" w:hAnsi="Arial"/>
          <w:sz w:val="20"/>
          <w:szCs w:val="20"/>
          <w:color w:val="auto"/>
          <w:vertAlign w:val="superscript"/>
        </w:rPr>
      </w:pPr>
    </w:p>
    <w:p>
      <w:pPr>
        <w:ind w:left="280" w:hanging="191"/>
        <w:spacing w:after="0"/>
        <w:tabs>
          <w:tab w:leader="none" w:pos="280" w:val="left"/>
        </w:tabs>
        <w:numPr>
          <w:ilvl w:val="0"/>
          <w:numId w:val="11"/>
        </w:numPr>
        <w:rPr>
          <w:rFonts w:ascii="Arial" w:cs="Arial" w:eastAsia="Arial" w:hAnsi="Arial"/>
          <w:sz w:val="23"/>
          <w:szCs w:val="23"/>
          <w:color w:val="auto"/>
          <w:vertAlign w:val="superscript"/>
        </w:rPr>
      </w:pPr>
      <w:r>
        <w:rPr>
          <w:rFonts w:ascii="Arial" w:cs="Arial" w:eastAsia="Arial" w:hAnsi="Arial"/>
          <w:sz w:val="14"/>
          <w:szCs w:val="14"/>
          <w:color w:val="auto"/>
        </w:rPr>
        <w:t>Daggett Renewable Holdco LLC consolidates Daggett TE Holdco LLC, which is a consolidated VIE.</w:t>
      </w:r>
    </w:p>
    <w:p>
      <w:pPr>
        <w:spacing w:after="0" w:line="59" w:lineRule="exact"/>
        <w:rPr>
          <w:rFonts w:ascii="Arial" w:cs="Arial" w:eastAsia="Arial" w:hAnsi="Arial"/>
          <w:sz w:val="23"/>
          <w:szCs w:val="23"/>
          <w:color w:val="auto"/>
          <w:vertAlign w:val="superscript"/>
        </w:rPr>
      </w:pPr>
    </w:p>
    <w:p>
      <w:pPr>
        <w:ind w:left="80" w:firstLine="9"/>
        <w:spacing w:after="0" w:line="212" w:lineRule="auto"/>
        <w:tabs>
          <w:tab w:leader="none" w:pos="257" w:val="left"/>
        </w:tabs>
        <w:numPr>
          <w:ilvl w:val="0"/>
          <w:numId w:val="11"/>
        </w:numPr>
        <w:rPr>
          <w:rFonts w:ascii="Arial" w:cs="Arial" w:eastAsia="Arial" w:hAnsi="Arial"/>
          <w:sz w:val="21"/>
          <w:szCs w:val="21"/>
          <w:color w:val="auto"/>
          <w:vertAlign w:val="superscript"/>
        </w:rPr>
      </w:pPr>
      <w:r>
        <w:rPr>
          <w:rFonts w:ascii="Arial" w:cs="Arial" w:eastAsia="Arial" w:hAnsi="Arial"/>
          <w:sz w:val="13"/>
          <w:szCs w:val="13"/>
          <w:color w:val="auto"/>
        </w:rPr>
        <w:t>Lighthouse Renewable Holdco LLC consolidates Mesquite Star Tax Equity Holdco LLC, Black Rock TE Holdco LLC, Mililani TE Holdco LLC and Waiawa TE Holdco LLC, which are consolidated VIEs.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jc w:val="center"/>
              <w:ind w:right="116"/>
              <w:spacing w:after="0"/>
              <w:rPr>
                <w:sz w:val="20"/>
                <w:szCs w:val="20"/>
                <w:color w:val="auto"/>
              </w:rPr>
            </w:pPr>
            <w:r>
              <w:rPr>
                <w:rFonts w:ascii="Arial" w:cs="Arial" w:eastAsia="Arial" w:hAnsi="Arial"/>
                <w:sz w:val="13"/>
                <w:szCs w:val="13"/>
                <w:b w:val="1"/>
                <w:bCs w:val="1"/>
                <w:color w:val="auto"/>
                <w:w w:val="85"/>
              </w:rPr>
              <w:t>Lighthouse</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3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20" w:type="dxa"/>
            <w:vAlign w:val="bottom"/>
            <w:gridSpan w:val="2"/>
          </w:tcPr>
          <w:p>
            <w:pPr>
              <w:jc w:val="center"/>
              <w:spacing w:after="0" w:line="126" w:lineRule="exact"/>
              <w:rPr>
                <w:sz w:val="20"/>
                <w:szCs w:val="20"/>
                <w:color w:val="auto"/>
              </w:rPr>
            </w:pPr>
            <w:r>
              <w:rPr>
                <w:rFonts w:ascii="Arial" w:cs="Arial" w:eastAsia="Arial" w:hAnsi="Arial"/>
                <w:sz w:val="13"/>
                <w:szCs w:val="13"/>
                <w:b w:val="1"/>
                <w:bCs w:val="1"/>
                <w:color w:val="auto"/>
                <w:w w:val="86"/>
              </w:rPr>
              <w:t>Renewable Holdco 2</w:t>
            </w:r>
          </w:p>
        </w:tc>
        <w:tc>
          <w:tcPr>
            <w:tcW w:w="100" w:type="dxa"/>
            <w:vAlign w:val="bottom"/>
          </w:tcPr>
          <w:p>
            <w:pPr>
              <w:spacing w:after="0"/>
              <w:rPr>
                <w:sz w:val="10"/>
                <w:szCs w:val="10"/>
                <w:color w:val="auto"/>
              </w:rPr>
            </w:pPr>
          </w:p>
        </w:tc>
        <w:tc>
          <w:tcPr>
            <w:tcW w:w="9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w w:val="93"/>
              </w:rPr>
              <w:t>Oahu Solar LLC</w:t>
            </w:r>
          </w:p>
        </w:tc>
        <w:tc>
          <w:tcPr>
            <w:tcW w:w="100" w:type="dxa"/>
            <w:vAlign w:val="bottom"/>
          </w:tcPr>
          <w:p>
            <w:pPr>
              <w:spacing w:after="0"/>
              <w:rPr>
                <w:sz w:val="10"/>
                <w:szCs w:val="10"/>
                <w:color w:val="auto"/>
              </w:rPr>
            </w:pPr>
          </w:p>
        </w:tc>
        <w:tc>
          <w:tcPr>
            <w:tcW w:w="1240" w:type="dxa"/>
            <w:vAlign w:val="bottom"/>
            <w:gridSpan w:val="2"/>
          </w:tcPr>
          <w:p>
            <w:pPr>
              <w:jc w:val="right"/>
              <w:spacing w:after="0" w:line="126" w:lineRule="exact"/>
              <w:rPr>
                <w:sz w:val="20"/>
                <w:szCs w:val="20"/>
                <w:color w:val="auto"/>
              </w:rPr>
            </w:pPr>
            <w:r>
              <w:rPr>
                <w:rFonts w:ascii="Arial" w:cs="Arial" w:eastAsia="Arial" w:hAnsi="Arial"/>
                <w:sz w:val="13"/>
                <w:szCs w:val="13"/>
                <w:b w:val="1"/>
                <w:bCs w:val="1"/>
                <w:color w:val="auto"/>
                <w:w w:val="88"/>
              </w:rPr>
              <w:t>Pinnacle Repowering</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jc w:val="right"/>
              <w:ind w:right="55"/>
              <w:spacing w:after="0" w:line="126" w:lineRule="exact"/>
              <w:rPr>
                <w:sz w:val="20"/>
                <w:szCs w:val="20"/>
                <w:color w:val="auto"/>
              </w:rPr>
            </w:pPr>
            <w:r>
              <w:rPr>
                <w:rFonts w:ascii="Arial" w:cs="Arial" w:eastAsia="Arial" w:hAnsi="Arial"/>
                <w:sz w:val="13"/>
                <w:szCs w:val="13"/>
                <w:b w:val="1"/>
                <w:bCs w:val="1"/>
                <w:color w:val="auto"/>
                <w:w w:val="90"/>
              </w:rPr>
              <w:t>Rattlesnake TE</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jc w:val="right"/>
              <w:ind w:right="35"/>
              <w:spacing w:after="0" w:line="126" w:lineRule="exact"/>
              <w:rPr>
                <w:sz w:val="20"/>
                <w:szCs w:val="20"/>
                <w:color w:val="auto"/>
              </w:rPr>
            </w:pPr>
            <w:r>
              <w:rPr>
                <w:rFonts w:ascii="Arial" w:cs="Arial" w:eastAsia="Arial" w:hAnsi="Arial"/>
                <w:sz w:val="13"/>
                <w:szCs w:val="13"/>
                <w:b w:val="1"/>
                <w:bCs w:val="1"/>
                <w:color w:val="auto"/>
                <w:w w:val="85"/>
              </w:rPr>
              <w:t>Rosie TargetCo</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jc w:val="right"/>
              <w:ind w:right="95"/>
              <w:spacing w:after="0" w:line="126" w:lineRule="exact"/>
              <w:rPr>
                <w:sz w:val="20"/>
                <w:szCs w:val="20"/>
                <w:color w:val="auto"/>
              </w:rPr>
            </w:pPr>
            <w:r>
              <w:rPr>
                <w:rFonts w:ascii="Arial" w:cs="Arial" w:eastAsia="Arial" w:hAnsi="Arial"/>
                <w:sz w:val="13"/>
                <w:szCs w:val="13"/>
                <w:b w:val="1"/>
                <w:bCs w:val="1"/>
                <w:color w:val="auto"/>
                <w:w w:val="93"/>
              </w:rPr>
              <w:t>Wildorado TE</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vMerge w:val="restart"/>
          </w:tcPr>
          <w:p>
            <w:pPr>
              <w:jc w:val="right"/>
              <w:ind w:right="113"/>
              <w:spacing w:after="0"/>
              <w:rPr>
                <w:sz w:val="20"/>
                <w:szCs w:val="20"/>
                <w:color w:val="auto"/>
              </w:rPr>
            </w:pPr>
            <w:r>
              <w:rPr>
                <w:rFonts w:ascii="Arial" w:cs="Arial" w:eastAsia="Arial" w:hAnsi="Arial"/>
                <w:sz w:val="13"/>
                <w:szCs w:val="13"/>
                <w:b w:val="1"/>
                <w:bCs w:val="1"/>
                <w:color w:val="auto"/>
                <w:w w:val="92"/>
              </w:rPr>
              <w:t xml:space="preserve">Other </w:t>
            </w:r>
            <w:r>
              <w:rPr>
                <w:rFonts w:ascii="Arial" w:cs="Arial" w:eastAsia="Arial" w:hAnsi="Arial"/>
                <w:sz w:val="21"/>
                <w:szCs w:val="21"/>
                <w:b w:val="1"/>
                <w:bCs w:val="1"/>
                <w:color w:val="auto"/>
                <w:w w:val="92"/>
                <w:vertAlign w:val="superscript"/>
              </w:rPr>
              <w:t>(b)</w:t>
            </w:r>
          </w:p>
        </w:tc>
        <w:tc>
          <w:tcPr>
            <w:tcW w:w="0" w:type="dxa"/>
            <w:vAlign w:val="bottom"/>
          </w:tcPr>
          <w:p>
            <w:pPr>
              <w:spacing w:after="0"/>
              <w:rPr>
                <w:sz w:val="1"/>
                <w:szCs w:val="1"/>
                <w:color w:val="auto"/>
              </w:rPr>
            </w:pPr>
          </w:p>
        </w:tc>
      </w:tr>
      <w:tr>
        <w:trPr>
          <w:trHeight w:val="176"/>
        </w:trPr>
        <w:tc>
          <w:tcPr>
            <w:tcW w:w="3080" w:type="dxa"/>
            <w:vAlign w:val="bottom"/>
            <w:gridSpan w:val="2"/>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36"/>
              <w:spacing w:after="0" w:line="176" w:lineRule="exact"/>
              <w:rPr>
                <w:sz w:val="20"/>
                <w:szCs w:val="20"/>
                <w:color w:val="auto"/>
              </w:rPr>
            </w:pPr>
            <w:r>
              <w:rPr>
                <w:rFonts w:ascii="Arial" w:cs="Arial" w:eastAsia="Arial" w:hAnsi="Arial"/>
                <w:sz w:val="12"/>
                <w:szCs w:val="12"/>
                <w:b w:val="1"/>
                <w:bCs w:val="1"/>
                <w:color w:val="auto"/>
                <w:w w:val="95"/>
              </w:rPr>
              <w:t>LLC</w:t>
            </w:r>
            <w:r>
              <w:rPr>
                <w:rFonts w:ascii="Arial" w:cs="Arial" w:eastAsia="Arial" w:hAnsi="Arial"/>
                <w:sz w:val="20"/>
                <w:szCs w:val="20"/>
                <w:b w:val="1"/>
                <w:bCs w:val="1"/>
                <w:color w:val="auto"/>
                <w:w w:val="95"/>
                <w:vertAlign w:val="superscript"/>
              </w:rPr>
              <w:t>(a)</w:t>
            </w:r>
          </w:p>
        </w:tc>
        <w:tc>
          <w:tcPr>
            <w:tcW w:w="100" w:type="dxa"/>
            <w:vAlign w:val="bottom"/>
          </w:tcPr>
          <w:p>
            <w:pPr>
              <w:spacing w:after="0"/>
              <w:rPr>
                <w:sz w:val="15"/>
                <w:szCs w:val="15"/>
                <w:color w:val="auto"/>
              </w:rPr>
            </w:pPr>
          </w:p>
        </w:tc>
        <w:tc>
          <w:tcPr>
            <w:tcW w:w="960" w:type="dxa"/>
            <w:vAlign w:val="bottom"/>
            <w:tcBorders>
              <w:bottom w:val="single" w:sz="8" w:color="auto"/>
            </w:tcBorders>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b w:val="1"/>
                <w:bCs w:val="1"/>
                <w:color w:val="auto"/>
                <w:w w:val="96"/>
              </w:rPr>
              <w:t>TE Holdco LLC</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35"/>
              <w:spacing w:after="0"/>
              <w:rPr>
                <w:sz w:val="20"/>
                <w:szCs w:val="20"/>
                <w:color w:val="auto"/>
              </w:rPr>
            </w:pPr>
            <w:r>
              <w:rPr>
                <w:rFonts w:ascii="Arial" w:cs="Arial" w:eastAsia="Arial" w:hAnsi="Arial"/>
                <w:sz w:val="13"/>
                <w:szCs w:val="13"/>
                <w:b w:val="1"/>
                <w:bCs w:val="1"/>
                <w:color w:val="auto"/>
              </w:rPr>
              <w:t>Holdco LLC</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15"/>
              <w:spacing w:after="0"/>
              <w:rPr>
                <w:sz w:val="20"/>
                <w:szCs w:val="20"/>
                <w:color w:val="auto"/>
              </w:rPr>
            </w:pPr>
            <w:r>
              <w:rPr>
                <w:rFonts w:ascii="Arial" w:cs="Arial" w:eastAsia="Arial" w:hAnsi="Arial"/>
                <w:sz w:val="13"/>
                <w:szCs w:val="13"/>
                <w:b w:val="1"/>
                <w:bCs w:val="1"/>
                <w:color w:val="auto"/>
              </w:rPr>
              <w:t>LLC</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35"/>
              <w:spacing w:after="0"/>
              <w:rPr>
                <w:sz w:val="20"/>
                <w:szCs w:val="20"/>
                <w:color w:val="auto"/>
              </w:rPr>
            </w:pPr>
            <w:r>
              <w:rPr>
                <w:rFonts w:ascii="Arial" w:cs="Arial" w:eastAsia="Arial" w:hAnsi="Arial"/>
                <w:sz w:val="13"/>
                <w:szCs w:val="13"/>
                <w:b w:val="1"/>
                <w:bCs w:val="1"/>
                <w:color w:val="auto"/>
              </w:rPr>
              <w:t>Holdco LLC</w:t>
            </w: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and non-current assets</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3080" w:type="dxa"/>
            <w:vAlign w:val="bottom"/>
            <w:gridSpan w:val="2"/>
          </w:tcPr>
          <w:p>
            <w:pPr>
              <w:ind w:left="20"/>
              <w:spacing w:after="0"/>
              <w:rPr>
                <w:sz w:val="20"/>
                <w:szCs w:val="20"/>
                <w:color w:val="auto"/>
              </w:rPr>
            </w:pPr>
            <w:r>
              <w:rPr>
                <w:rFonts w:ascii="Arial" w:cs="Arial" w:eastAsia="Arial" w:hAnsi="Arial"/>
                <w:sz w:val="18"/>
                <w:szCs w:val="18"/>
                <w:color w:val="auto"/>
              </w:rPr>
              <w:t>Property, plant and equipment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29"/>
        </w:trPr>
        <w:tc>
          <w:tcPr>
            <w:tcW w:w="3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3080" w:type="dxa"/>
            <w:vAlign w:val="bottom"/>
            <w:gridSpan w:val="2"/>
          </w:tcPr>
          <w:p>
            <w:pPr>
              <w:ind w:left="180"/>
              <w:spacing w:after="0"/>
              <w:rPr>
                <w:sz w:val="20"/>
                <w:szCs w:val="20"/>
                <w:color w:val="auto"/>
              </w:rPr>
            </w:pPr>
            <w:r>
              <w:rPr>
                <w:rFonts w:ascii="Arial" w:cs="Arial" w:eastAsia="Arial" w:hAnsi="Arial"/>
                <w:sz w:val="18"/>
                <w:szCs w:val="18"/>
                <w:color w:val="auto"/>
              </w:rPr>
              <w:t>Total assets</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36"/>
        </w:trPr>
        <w:tc>
          <w:tcPr>
            <w:tcW w:w="3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Current and non-current liabilities</w:t>
            </w:r>
          </w:p>
        </w:tc>
        <w:tc>
          <w:tcPr>
            <w:tcW w:w="2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3"/>
        </w:trPr>
        <w:tc>
          <w:tcPr>
            <w:tcW w:w="3080" w:type="dxa"/>
            <w:vAlign w:val="bottom"/>
            <w:gridSpan w:val="2"/>
          </w:tcPr>
          <w:p>
            <w:pPr>
              <w:ind w:left="180"/>
              <w:spacing w:after="0"/>
              <w:rPr>
                <w:sz w:val="20"/>
                <w:szCs w:val="20"/>
                <w:color w:val="auto"/>
              </w:rPr>
            </w:pPr>
            <w:r>
              <w:rPr>
                <w:rFonts w:ascii="Arial" w:cs="Arial" w:eastAsia="Arial" w:hAnsi="Arial"/>
                <w:sz w:val="18"/>
                <w:szCs w:val="18"/>
                <w:color w:val="auto"/>
              </w:rPr>
              <w:t>Total liabilities</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43"/>
        </w:trPr>
        <w:tc>
          <w:tcPr>
            <w:tcW w:w="3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Noncontrolling interest</w:t>
            </w:r>
          </w:p>
        </w:tc>
        <w:tc>
          <w:tcPr>
            <w:tcW w:w="2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3"/>
        </w:trPr>
        <w:tc>
          <w:tcPr>
            <w:tcW w:w="3080" w:type="dxa"/>
            <w:vAlign w:val="bottom"/>
            <w:gridSpan w:val="2"/>
          </w:tcPr>
          <w:p>
            <w:pPr>
              <w:ind w:left="140"/>
              <w:spacing w:after="0"/>
              <w:rPr>
                <w:sz w:val="20"/>
                <w:szCs w:val="20"/>
                <w:color w:val="auto"/>
              </w:rPr>
            </w:pPr>
            <w:r>
              <w:rPr>
                <w:rFonts w:ascii="Arial" w:cs="Arial" w:eastAsia="Arial" w:hAnsi="Arial"/>
                <w:sz w:val="18"/>
                <w:szCs w:val="18"/>
                <w:color w:val="auto"/>
                <w:w w:val="96"/>
              </w:rPr>
              <w:t>Net assets less noncontrolling interest</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200" w:type="dxa"/>
            <w:vAlign w:val="bottom"/>
            <w:tcBorders>
              <w:bottom w:val="single" w:sz="8" w:color="auto"/>
            </w:tcBorders>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260" w:hanging="171"/>
        <w:spacing w:after="0"/>
        <w:tabs>
          <w:tab w:leader="none" w:pos="260" w:val="left"/>
        </w:tabs>
        <w:numPr>
          <w:ilvl w:val="0"/>
          <w:numId w:val="12"/>
        </w:numPr>
        <w:rPr>
          <w:rFonts w:ascii="Arial" w:cs="Arial" w:eastAsia="Arial" w:hAnsi="Arial"/>
          <w:sz w:val="20"/>
          <w:szCs w:val="20"/>
          <w:color w:val="auto"/>
          <w:vertAlign w:val="superscript"/>
        </w:rPr>
      </w:pPr>
      <w:r>
        <w:rPr>
          <w:rFonts w:ascii="Arial" w:cs="Arial" w:eastAsia="Arial" w:hAnsi="Arial"/>
          <w:sz w:val="13"/>
          <w:szCs w:val="13"/>
          <w:color w:val="auto"/>
        </w:rPr>
        <w:t>Lighthouse Renewable Holdco 2 LLC consolidates Mesquite Sky TE Holdco LLC, which is a consolidated VIE.</w:t>
      </w:r>
    </w:p>
    <w:p>
      <w:pPr>
        <w:spacing w:after="0" w:line="80" w:lineRule="exact"/>
        <w:rPr>
          <w:rFonts w:ascii="Arial" w:cs="Arial" w:eastAsia="Arial" w:hAnsi="Arial"/>
          <w:sz w:val="20"/>
          <w:szCs w:val="20"/>
          <w:color w:val="auto"/>
          <w:vertAlign w:val="superscript"/>
        </w:rPr>
      </w:pPr>
    </w:p>
    <w:p>
      <w:pPr>
        <w:ind w:left="280" w:hanging="191"/>
        <w:spacing w:after="0" w:line="188" w:lineRule="auto"/>
        <w:tabs>
          <w:tab w:leader="none" w:pos="280" w:val="left"/>
        </w:tabs>
        <w:numPr>
          <w:ilvl w:val="0"/>
          <w:numId w:val="12"/>
        </w:numPr>
        <w:rPr>
          <w:rFonts w:ascii="Arial" w:cs="Arial" w:eastAsia="Arial" w:hAnsi="Arial"/>
          <w:sz w:val="21"/>
          <w:szCs w:val="21"/>
          <w:color w:val="auto"/>
          <w:vertAlign w:val="superscript"/>
        </w:rPr>
      </w:pPr>
      <w:r>
        <w:rPr>
          <w:rFonts w:ascii="Arial" w:cs="Arial" w:eastAsia="Arial" w:hAnsi="Arial"/>
          <w:sz w:val="13"/>
          <w:szCs w:val="13"/>
          <w:color w:val="auto"/>
        </w:rPr>
        <w:t>Other is comprised of Elbow Creek TE Holdco LLC and Spring Canyon TE Holdco LLC.</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5 — </w:t>
      </w:r>
      <w:r>
        <w:rPr>
          <w:rFonts w:ascii="Arial" w:cs="Arial" w:eastAsia="Arial" w:hAnsi="Arial"/>
          <w:sz w:val="18"/>
          <w:szCs w:val="18"/>
          <w:b w:val="1"/>
          <w:bCs w:val="1"/>
          <w:i w:val="1"/>
          <w:iCs w:val="1"/>
          <w:color w:val="auto"/>
        </w:rPr>
        <w:t>Fair Value of Financial Instruments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Accounting under ASC 820</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ASC 820 establishes a fair value hierarchy that prioritizes the inputs to valuation techniques used to measure fair value into three levels as follows:</w:t>
      </w:r>
    </w:p>
    <w:p>
      <w:pPr>
        <w:spacing w:after="0" w:line="86" w:lineRule="exact"/>
        <w:rPr>
          <w:sz w:val="20"/>
          <w:szCs w:val="20"/>
          <w:color w:val="auto"/>
        </w:rPr>
      </w:pPr>
    </w:p>
    <w:p>
      <w:pPr>
        <w:ind w:left="1220" w:hanging="240"/>
        <w:spacing w:after="0" w:line="277" w:lineRule="auto"/>
        <w:tabs>
          <w:tab w:leader="none" w:pos="1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Level 1—quoted prices (unadjusted) in active markets for identical assets or liabilities that the Company has the ability to access as of the measurement date.</w:t>
      </w:r>
    </w:p>
    <w:p>
      <w:pPr>
        <w:spacing w:after="0" w:line="8" w:lineRule="exact"/>
        <w:rPr>
          <w:rFonts w:ascii="Arial" w:cs="Arial" w:eastAsia="Arial" w:hAnsi="Arial"/>
          <w:sz w:val="18"/>
          <w:szCs w:val="18"/>
          <w:color w:val="auto"/>
        </w:rPr>
      </w:pPr>
    </w:p>
    <w:p>
      <w:pPr>
        <w:ind w:left="1220" w:hanging="240"/>
        <w:spacing w:after="0" w:line="277" w:lineRule="auto"/>
        <w:tabs>
          <w:tab w:leader="none" w:pos="1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Level 2—inputs other than quoted prices included within Level 1 that are directly observable for the asset or liability or indirectly observable through corroboration with observable market data.</w:t>
      </w:r>
    </w:p>
    <w:p>
      <w:pPr>
        <w:spacing w:after="0" w:line="8" w:lineRule="exact"/>
        <w:rPr>
          <w:rFonts w:ascii="Arial" w:cs="Arial" w:eastAsia="Arial" w:hAnsi="Arial"/>
          <w:sz w:val="18"/>
          <w:szCs w:val="18"/>
          <w:color w:val="auto"/>
        </w:rPr>
      </w:pPr>
    </w:p>
    <w:p>
      <w:pPr>
        <w:ind w:left="1220" w:hanging="240"/>
        <w:spacing w:after="0" w:line="277" w:lineRule="auto"/>
        <w:tabs>
          <w:tab w:leader="none" w:pos="1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Level 3—unobservable inputs for the asset or liability only used when there is little, if any, market activity for the asset or liability at the measurement date.</w:t>
      </w:r>
    </w:p>
    <w:p>
      <w:pPr>
        <w:spacing w:after="0" w:line="116"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In accordance with ASC 820, the Company determines the level in the fair value hierarchy within which each fair value measurement in its entirety falls, based on the lowest level input that is significant to the fair value measurement.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0" w:name="page21"/>
    <w:bookmarkEnd w:id="20"/>
    <w:p>
      <w:pPr>
        <w:jc w:val="both"/>
        <w:ind w:firstLine="405"/>
        <w:spacing w:after="0" w:line="263" w:lineRule="auto"/>
        <w:rPr>
          <w:sz w:val="20"/>
          <w:szCs w:val="20"/>
          <w:color w:val="auto"/>
        </w:rPr>
      </w:pPr>
      <w:r>
        <w:rPr>
          <w:rFonts w:ascii="Arial" w:cs="Arial" w:eastAsia="Arial" w:hAnsi="Arial"/>
          <w:sz w:val="18"/>
          <w:szCs w:val="18"/>
          <w:color w:val="auto"/>
        </w:rPr>
        <w:t>For cash and cash equivalents, restricted cash, accounts receivable — trade, accounts receivable — affiliates, accounts payable — trade, accounts payable — affiliates and accrued expenses and other current liabilities, the carrying amounts approximate fair value because of the short-term maturity of those instruments and are classified as Level 1 within the fair value hierarchy.</w:t>
      </w:r>
    </w:p>
    <w:p>
      <w:pPr>
        <w:spacing w:after="0" w:line="13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carrying amounts and estimated fair values of the Company’s recorded financial instruments not carried at fair market value or that do not approximate fair value are as follows: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140" w:type="dxa"/>
            <w:vAlign w:val="bottom"/>
            <w:gridSpan w:val="3"/>
          </w:tcPr>
          <w:p>
            <w:pPr>
              <w:jc w:val="right"/>
              <w:ind w:right="599"/>
              <w:spacing w:after="0"/>
              <w:rPr>
                <w:sz w:val="20"/>
                <w:szCs w:val="20"/>
                <w:color w:val="auto"/>
              </w:rPr>
            </w:pPr>
            <w:r>
              <w:rPr>
                <w:rFonts w:ascii="Arial" w:cs="Arial" w:eastAsia="Arial" w:hAnsi="Arial"/>
                <w:sz w:val="14"/>
                <w:szCs w:val="14"/>
                <w:b w:val="1"/>
                <w:bCs w:val="1"/>
                <w:color w:val="auto"/>
              </w:rPr>
              <w:t>As of June 30, 2023</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120" w:type="dxa"/>
            <w:vAlign w:val="bottom"/>
            <w:gridSpan w:val="3"/>
          </w:tcPr>
          <w:p>
            <w:pPr>
              <w:jc w:val="right"/>
              <w:ind w:right="436"/>
              <w:spacing w:after="0"/>
              <w:rPr>
                <w:sz w:val="20"/>
                <w:szCs w:val="20"/>
                <w:color w:val="auto"/>
              </w:rPr>
            </w:pPr>
            <w:r>
              <w:rPr>
                <w:rFonts w:ascii="Arial" w:cs="Arial" w:eastAsia="Arial" w:hAnsi="Arial"/>
                <w:sz w:val="14"/>
                <w:szCs w:val="14"/>
                <w:b w:val="1"/>
                <w:bCs w:val="1"/>
                <w:color w:val="auto"/>
                <w:w w:val="95"/>
              </w:rPr>
              <w:t>As of December 31, 2022</w:t>
            </w:r>
          </w:p>
        </w:tc>
      </w:tr>
      <w:tr>
        <w:trPr>
          <w:trHeight w:val="26"/>
        </w:trPr>
        <w:tc>
          <w:tcPr>
            <w:tcW w:w="6040" w:type="dxa"/>
            <w:vAlign w:val="bottom"/>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1"/>
        </w:trPr>
        <w:tc>
          <w:tcPr>
            <w:tcW w:w="6040" w:type="dxa"/>
            <w:vAlign w:val="bottom"/>
          </w:tcPr>
          <w:p>
            <w:pPr>
              <w:spacing w:after="0"/>
              <w:rPr>
                <w:sz w:val="15"/>
                <w:szCs w:val="15"/>
                <w:color w:val="auto"/>
              </w:rPr>
            </w:pPr>
          </w:p>
        </w:tc>
        <w:tc>
          <w:tcPr>
            <w:tcW w:w="126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14"/>
                <w:szCs w:val="14"/>
                <w:b w:val="1"/>
                <w:bCs w:val="1"/>
                <w:color w:val="auto"/>
                <w:w w:val="99"/>
              </w:rPr>
              <w:t>Carrying Amount</w:t>
            </w: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14"/>
                <w:szCs w:val="14"/>
                <w:b w:val="1"/>
                <w:bCs w:val="1"/>
                <w:color w:val="auto"/>
                <w:w w:val="99"/>
              </w:rPr>
              <w:t>Carrying Amount</w:t>
            </w: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Fair Value</w:t>
            </w:r>
          </w:p>
        </w:tc>
      </w:tr>
      <w:tr>
        <w:trPr>
          <w:trHeight w:val="189"/>
        </w:trPr>
        <w:tc>
          <w:tcPr>
            <w:tcW w:w="60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rPr>
              <w:t>(In millions)</w:t>
            </w: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8"/>
        </w:trPr>
        <w:tc>
          <w:tcPr>
            <w:tcW w:w="6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debt, including current portion — affiliate</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312"/>
        </w:trPr>
        <w:tc>
          <w:tcPr>
            <w:tcW w:w="6040" w:type="dxa"/>
            <w:vAlign w:val="bottom"/>
          </w:tcPr>
          <w:p>
            <w:pPr>
              <w:ind w:left="40"/>
              <w:spacing w:after="0"/>
              <w:rPr>
                <w:sz w:val="20"/>
                <w:szCs w:val="20"/>
                <w:color w:val="auto"/>
              </w:rPr>
            </w:pPr>
            <w:r>
              <w:rPr>
                <w:rFonts w:ascii="Arial" w:cs="Arial" w:eastAsia="Arial" w:hAnsi="Arial"/>
                <w:sz w:val="18"/>
                <w:szCs w:val="18"/>
                <w:color w:val="auto"/>
              </w:rPr>
              <w:t xml:space="preserve">Long-term debt, including current portion — external </w:t>
            </w:r>
            <w:r>
              <w:rPr>
                <w:rFonts w:ascii="Arial" w:cs="Arial" w:eastAsia="Arial" w:hAnsi="Arial"/>
                <w:sz w:val="23"/>
                <w:szCs w:val="23"/>
                <w:color w:val="auto"/>
                <w:vertAlign w:val="superscript"/>
              </w:rPr>
              <w:t>(a)</w:t>
            </w:r>
          </w:p>
        </w:tc>
        <w:tc>
          <w:tcPr>
            <w:tcW w:w="400" w:type="dxa"/>
            <w:vAlign w:val="bottom"/>
          </w:tcPr>
          <w:p>
            <w:pPr>
              <w:spacing w:after="0"/>
              <w:rPr>
                <w:sz w:val="24"/>
                <w:szCs w:val="24"/>
                <w:color w:val="auto"/>
              </w:rPr>
            </w:pP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7,097</w:t>
            </w: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6,516</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jc w:val="right"/>
              <w:ind w:right="36"/>
              <w:spacing w:after="0"/>
              <w:rPr>
                <w:sz w:val="20"/>
                <w:szCs w:val="20"/>
                <w:color w:val="auto"/>
              </w:rPr>
            </w:pPr>
            <w:r>
              <w:rPr>
                <w:rFonts w:ascii="Arial" w:cs="Arial" w:eastAsia="Arial" w:hAnsi="Arial"/>
                <w:sz w:val="18"/>
                <w:szCs w:val="18"/>
                <w:color w:val="auto"/>
              </w:rPr>
              <w:t>6,874</w:t>
            </w:r>
          </w:p>
        </w:tc>
        <w:tc>
          <w:tcPr>
            <w:tcW w:w="2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138874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124" w:lineRule="exact"/>
        <w:rPr>
          <w:sz w:val="20"/>
          <w:szCs w:val="20"/>
          <w:color w:val="auto"/>
        </w:rPr>
      </w:pPr>
    </w:p>
    <w:p>
      <w:pPr>
        <w:ind w:left="240" w:hanging="151"/>
        <w:spacing w:after="0"/>
        <w:tabs>
          <w:tab w:leader="none" w:pos="240" w:val="left"/>
        </w:tabs>
        <w:numPr>
          <w:ilvl w:val="0"/>
          <w:numId w:val="14"/>
        </w:numPr>
        <w:rPr>
          <w:rFonts w:ascii="Arial" w:cs="Arial" w:eastAsia="Arial" w:hAnsi="Arial"/>
          <w:sz w:val="18"/>
          <w:szCs w:val="18"/>
          <w:color w:val="auto"/>
          <w:vertAlign w:val="superscript"/>
        </w:rPr>
      </w:pPr>
      <w:r>
        <w:rPr>
          <w:rFonts w:ascii="Arial" w:cs="Arial" w:eastAsia="Arial" w:hAnsi="Arial"/>
          <w:sz w:val="12"/>
          <w:szCs w:val="12"/>
          <w:color w:val="auto"/>
        </w:rPr>
        <w:t>Excludes net debt issuance costs, which are recorded as a reduction to long-term debt on the Company’s consolidated balance sheets.</w:t>
      </w:r>
    </w:p>
    <w:p>
      <w:pPr>
        <w:spacing w:after="0" w:line="160"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The fair value of the Company’s publicly-traded long-term debt is based on quoted market prices and is classified as Level 2 within the fair value hierarchy. The fair value of debt securities, non-publicly traded long-term debt and certain notes receivable of the Company are based on expected future cash flows discounted at market interest rates, or current interest rates for similar instruments with equivalent credit quality and are classified as Level 3 within the fair value hierarchy. The following table presents the level within the fair value hierarchy for long-term debt, including current portion:</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60" w:type="dxa"/>
            <w:vAlign w:val="bottom"/>
            <w:gridSpan w:val="3"/>
          </w:tcPr>
          <w:p>
            <w:pPr>
              <w:jc w:val="right"/>
              <w:ind w:right="582"/>
              <w:spacing w:after="0"/>
              <w:rPr>
                <w:sz w:val="20"/>
                <w:szCs w:val="20"/>
                <w:color w:val="auto"/>
              </w:rPr>
            </w:pPr>
            <w:r>
              <w:rPr>
                <w:rFonts w:ascii="Arial" w:cs="Arial" w:eastAsia="Arial" w:hAnsi="Arial"/>
                <w:sz w:val="14"/>
                <w:szCs w:val="14"/>
                <w:b w:val="1"/>
                <w:bCs w:val="1"/>
                <w:color w:val="auto"/>
              </w:rPr>
              <w:t>As of June 30, 2023</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160" w:type="dxa"/>
            <w:vAlign w:val="bottom"/>
            <w:gridSpan w:val="3"/>
          </w:tcPr>
          <w:p>
            <w:pPr>
              <w:jc w:val="right"/>
              <w:ind w:right="419"/>
              <w:spacing w:after="0"/>
              <w:rPr>
                <w:sz w:val="20"/>
                <w:szCs w:val="20"/>
                <w:color w:val="auto"/>
              </w:rPr>
            </w:pPr>
            <w:r>
              <w:rPr>
                <w:rFonts w:ascii="Arial" w:cs="Arial" w:eastAsia="Arial" w:hAnsi="Arial"/>
                <w:sz w:val="14"/>
                <w:szCs w:val="14"/>
                <w:b w:val="1"/>
                <w:bCs w:val="1"/>
                <w:color w:val="auto"/>
                <w:w w:val="99"/>
              </w:rPr>
              <w:t>As of December 31, 2022</w:t>
            </w:r>
          </w:p>
        </w:tc>
      </w:tr>
      <w:tr>
        <w:trPr>
          <w:trHeight w:val="26"/>
        </w:trPr>
        <w:tc>
          <w:tcPr>
            <w:tcW w:w="6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6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Level 2</w:t>
            </w:r>
          </w:p>
        </w:tc>
        <w:tc>
          <w:tcPr>
            <w:tcW w:w="3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Level 3</w:t>
            </w: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w w:val="92"/>
              </w:rPr>
              <w:t>Level 2</w:t>
            </w: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Level 3</w:t>
            </w:r>
          </w:p>
        </w:tc>
      </w:tr>
      <w:tr>
        <w:trPr>
          <w:trHeight w:val="188"/>
        </w:trPr>
        <w:tc>
          <w:tcPr>
            <w:tcW w:w="6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2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(In millions)</w:t>
            </w: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44"/>
        </w:trPr>
        <w:tc>
          <w:tcPr>
            <w:tcW w:w="6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debt, including current portion</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1,841</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4,677</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1,836</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4,454</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Company records its derivative assets and liabilities at fair market value on its consolidated balance sheet. The following table presents assets and liabilities measured and recorded at fair value on the Company’s consolidated balance sheets on a recurring basis and their level within the fair value hierarchy:</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40" w:type="dxa"/>
            <w:vAlign w:val="bottom"/>
            <w:gridSpan w:val="4"/>
          </w:tcPr>
          <w:p>
            <w:pPr>
              <w:jc w:val="right"/>
              <w:ind w:right="793"/>
              <w:spacing w:after="0"/>
              <w:rPr>
                <w:sz w:val="20"/>
                <w:szCs w:val="20"/>
                <w:color w:val="auto"/>
              </w:rPr>
            </w:pPr>
            <w:r>
              <w:rPr>
                <w:rFonts w:ascii="Arial" w:cs="Arial" w:eastAsia="Arial" w:hAnsi="Arial"/>
                <w:sz w:val="14"/>
                <w:szCs w:val="14"/>
                <w:b w:val="1"/>
                <w:bCs w:val="1"/>
                <w:color w:val="auto"/>
              </w:rPr>
              <w:t>As of June 30, 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20" w:type="dxa"/>
            <w:vAlign w:val="bottom"/>
            <w:gridSpan w:val="4"/>
          </w:tcPr>
          <w:p>
            <w:pPr>
              <w:jc w:val="right"/>
              <w:ind w:right="793"/>
              <w:spacing w:after="0"/>
              <w:rPr>
                <w:sz w:val="20"/>
                <w:szCs w:val="20"/>
                <w:color w:val="auto"/>
              </w:rPr>
            </w:pPr>
            <w:r>
              <w:rPr>
                <w:rFonts w:ascii="Arial" w:cs="Arial" w:eastAsia="Arial" w:hAnsi="Arial"/>
                <w:sz w:val="14"/>
                <w:szCs w:val="14"/>
                <w:b w:val="1"/>
                <w:bCs w:val="1"/>
                <w:color w:val="auto"/>
              </w:rPr>
              <w:t>As of December 31, 2022</w:t>
            </w:r>
          </w:p>
        </w:tc>
      </w:tr>
      <w:tr>
        <w:trPr>
          <w:trHeight w:val="25"/>
        </w:trPr>
        <w:tc>
          <w:tcPr>
            <w:tcW w:w="49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spacing w:after="0" w:line="237" w:lineRule="exact"/>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21"/>
                <w:szCs w:val="21"/>
                <w:b w:val="1"/>
                <w:bCs w:val="1"/>
                <w:color w:val="auto"/>
                <w:vertAlign w:val="superscript"/>
              </w:rPr>
              <w:t>(a)</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ind w:right="30"/>
              <w:spacing w:after="0" w:line="237" w:lineRule="exact"/>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21"/>
                <w:szCs w:val="21"/>
                <w:b w:val="1"/>
                <w:bCs w:val="1"/>
                <w:color w:val="auto"/>
                <w:vertAlign w:val="superscript"/>
              </w:rPr>
              <w:t>(a)</w:t>
            </w:r>
          </w:p>
        </w:tc>
        <w:tc>
          <w:tcPr>
            <w:tcW w:w="1120" w:type="dxa"/>
            <w:vAlign w:val="bottom"/>
            <w:tcBorders>
              <w:bottom w:val="single" w:sz="8" w:color="auto"/>
            </w:tcBorders>
          </w:tcPr>
          <w:p>
            <w:pPr>
              <w:spacing w:after="0"/>
              <w:rPr>
                <w:sz w:val="20"/>
                <w:szCs w:val="20"/>
                <w:color w:val="auto"/>
              </w:rPr>
            </w:pPr>
          </w:p>
        </w:tc>
      </w:tr>
      <w:tr>
        <w:trPr>
          <w:trHeight w:val="181"/>
        </w:trPr>
        <w:tc>
          <w:tcPr>
            <w:tcW w:w="494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Level 3</w:t>
            </w:r>
          </w:p>
        </w:tc>
      </w:tr>
      <w:tr>
        <w:trPr>
          <w:trHeight w:val="224"/>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Derivative assets: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4940" w:type="dxa"/>
            <w:vAlign w:val="bottom"/>
          </w:tcPr>
          <w:p>
            <w:pPr>
              <w:ind w:left="360"/>
              <w:spacing w:after="0"/>
              <w:rPr>
                <w:sz w:val="20"/>
                <w:szCs w:val="20"/>
                <w:color w:val="auto"/>
              </w:rPr>
            </w:pPr>
            <w:r>
              <w:rPr>
                <w:rFonts w:ascii="Arial" w:cs="Arial" w:eastAsia="Arial" w:hAnsi="Arial"/>
                <w:sz w:val="18"/>
                <w:szCs w:val="18"/>
                <w:color w:val="auto"/>
              </w:rPr>
              <w:t>Interest rate contracts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117</w:t>
            </w:r>
          </w:p>
        </w:tc>
        <w:tc>
          <w:tcPr>
            <w:tcW w:w="52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89</w:t>
            </w:r>
          </w:p>
        </w:tc>
        <w:tc>
          <w:tcPr>
            <w:tcW w:w="56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940" w:type="dxa"/>
            <w:vAlign w:val="bottom"/>
            <w:shd w:val="clear" w:color="auto" w:fill="CCEEFF"/>
          </w:tcPr>
          <w:p>
            <w:pPr>
              <w:ind w:left="20"/>
              <w:spacing w:after="0" w:line="243" w:lineRule="exact"/>
              <w:rPr>
                <w:sz w:val="20"/>
                <w:szCs w:val="20"/>
                <w:color w:val="auto"/>
              </w:rPr>
            </w:pPr>
            <w:r>
              <w:rPr>
                <w:rFonts w:ascii="Arial" w:cs="Arial" w:eastAsia="Arial" w:hAnsi="Arial"/>
                <w:sz w:val="18"/>
                <w:szCs w:val="18"/>
                <w:b w:val="1"/>
                <w:bCs w:val="1"/>
                <w:color w:val="auto"/>
              </w:rPr>
              <w:t xml:space="preserve">Other financial instruments </w:t>
            </w:r>
            <w:r>
              <w:rPr>
                <w:rFonts w:ascii="Arial" w:cs="Arial" w:eastAsia="Arial" w:hAnsi="Arial"/>
                <w:sz w:val="23"/>
                <w:szCs w:val="23"/>
                <w:b w:val="1"/>
                <w:bCs w:val="1"/>
                <w:color w:val="auto"/>
                <w:vertAlign w:val="superscript"/>
              </w:rPr>
              <w:t>(b)</w:t>
            </w:r>
          </w:p>
        </w:tc>
        <w:tc>
          <w:tcPr>
            <w:tcW w:w="3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3"/>
        </w:trPr>
        <w:tc>
          <w:tcPr>
            <w:tcW w:w="4940" w:type="dxa"/>
            <w:vAlign w:val="bottom"/>
          </w:tcPr>
          <w:p>
            <w:pPr>
              <w:ind w:left="360"/>
              <w:spacing w:after="0"/>
              <w:rPr>
                <w:sz w:val="20"/>
                <w:szCs w:val="20"/>
                <w:color w:val="auto"/>
              </w:rPr>
            </w:pPr>
            <w:r>
              <w:rPr>
                <w:rFonts w:ascii="Arial" w:cs="Arial" w:eastAsia="Arial" w:hAnsi="Arial"/>
                <w:sz w:val="18"/>
                <w:szCs w:val="18"/>
                <w:b w:val="1"/>
                <w:bCs w:val="1"/>
                <w:color w:val="auto"/>
              </w:rPr>
              <w:t>Total assets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7"/>
        </w:trPr>
        <w:tc>
          <w:tcPr>
            <w:tcW w:w="49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Derivative liabilities:</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29"/>
        </w:trPr>
        <w:tc>
          <w:tcPr>
            <w:tcW w:w="4940" w:type="dxa"/>
            <w:vAlign w:val="bottom"/>
          </w:tcPr>
          <w:p>
            <w:pPr>
              <w:ind w:left="180"/>
              <w:spacing w:after="0"/>
              <w:rPr>
                <w:sz w:val="20"/>
                <w:szCs w:val="20"/>
                <w:color w:val="auto"/>
              </w:rPr>
            </w:pPr>
            <w:r>
              <w:rPr>
                <w:rFonts w:ascii="Arial" w:cs="Arial" w:eastAsia="Arial" w:hAnsi="Arial"/>
                <w:sz w:val="18"/>
                <w:szCs w:val="18"/>
                <w:color w:val="auto"/>
              </w:rPr>
              <w:t>Commodity contracts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w:t>
            </w:r>
          </w:p>
        </w:tc>
      </w:tr>
      <w:tr>
        <w:trPr>
          <w:trHeight w:val="243"/>
        </w:trPr>
        <w:tc>
          <w:tcPr>
            <w:tcW w:w="49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liabilities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38874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88745" cy="8890"/>
                    </a:xfrm>
                    <a:prstGeom prst="rect">
                      <a:avLst/>
                    </a:prstGeom>
                    <a:noFill/>
                  </pic:spPr>
                </pic:pic>
              </a:graphicData>
            </a:graphic>
          </wp:anchor>
        </w:drawing>
      </w:r>
    </w:p>
    <w:p>
      <w:pPr>
        <w:spacing w:after="0" w:line="240" w:lineRule="exact"/>
        <w:rPr>
          <w:sz w:val="20"/>
          <w:szCs w:val="20"/>
          <w:color w:val="auto"/>
        </w:rPr>
      </w:pPr>
    </w:p>
    <w:p>
      <w:pPr>
        <w:ind w:left="240" w:hanging="151"/>
        <w:spacing w:after="0"/>
        <w:tabs>
          <w:tab w:leader="none" w:pos="240" w:val="left"/>
        </w:tabs>
        <w:numPr>
          <w:ilvl w:val="0"/>
          <w:numId w:val="15"/>
        </w:numPr>
        <w:rPr>
          <w:rFonts w:ascii="Arial" w:cs="Arial" w:eastAsia="Arial" w:hAnsi="Arial"/>
          <w:sz w:val="18"/>
          <w:szCs w:val="18"/>
          <w:color w:val="auto"/>
          <w:vertAlign w:val="superscript"/>
        </w:rPr>
      </w:pPr>
      <w:r>
        <w:rPr>
          <w:rFonts w:ascii="Arial" w:cs="Arial" w:eastAsia="Arial" w:hAnsi="Arial"/>
          <w:sz w:val="13"/>
          <w:szCs w:val="13"/>
          <w:color w:val="auto"/>
        </w:rPr>
        <w:t>There were no derivative assets classified as Level 1 or Level 3 and no liabilities classified as Level 1 as of June 30, 2023 and December 31, 2022.</w:t>
      </w:r>
    </w:p>
    <w:p>
      <w:pPr>
        <w:spacing w:after="0" w:line="64" w:lineRule="exact"/>
        <w:rPr>
          <w:rFonts w:ascii="Arial" w:cs="Arial" w:eastAsia="Arial" w:hAnsi="Arial"/>
          <w:sz w:val="18"/>
          <w:szCs w:val="18"/>
          <w:color w:val="auto"/>
          <w:vertAlign w:val="superscript"/>
        </w:rPr>
      </w:pPr>
    </w:p>
    <w:p>
      <w:pPr>
        <w:ind w:left="260" w:hanging="171"/>
        <w:spacing w:after="0" w:line="200" w:lineRule="auto"/>
        <w:tabs>
          <w:tab w:leader="none" w:pos="260" w:val="left"/>
        </w:tabs>
        <w:numPr>
          <w:ilvl w:val="0"/>
          <w:numId w:val="15"/>
        </w:numPr>
        <w:rPr>
          <w:rFonts w:ascii="Arial" w:cs="Arial" w:eastAsia="Arial" w:hAnsi="Arial"/>
          <w:sz w:val="20"/>
          <w:szCs w:val="20"/>
          <w:color w:val="auto"/>
          <w:vertAlign w:val="superscript"/>
        </w:rPr>
      </w:pPr>
      <w:r>
        <w:rPr>
          <w:rFonts w:ascii="Arial" w:cs="Arial" w:eastAsia="Arial" w:hAnsi="Arial"/>
          <w:sz w:val="14"/>
          <w:szCs w:val="14"/>
          <w:color w:val="auto"/>
        </w:rPr>
        <w:t>Includes SREC contract.</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1" w:name="page22"/>
    <w:bookmarkEnd w:id="21"/>
    <w:p>
      <w:pPr>
        <w:jc w:val="both"/>
        <w:ind w:firstLine="405"/>
        <w:spacing w:after="0" w:line="277" w:lineRule="auto"/>
        <w:rPr>
          <w:sz w:val="20"/>
          <w:szCs w:val="20"/>
          <w:color w:val="auto"/>
        </w:rPr>
      </w:pPr>
      <w:r>
        <w:rPr>
          <w:rFonts w:ascii="Arial" w:cs="Arial" w:eastAsia="Arial" w:hAnsi="Arial"/>
          <w:sz w:val="18"/>
          <w:szCs w:val="18"/>
          <w:color w:val="auto"/>
        </w:rPr>
        <w:t>The following table reconciles the beginning and ending balances for instruments that are recognized at fair value in the consolidated financial statements using significant unobservable inputs: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40" w:type="dxa"/>
            <w:vAlign w:val="bottom"/>
            <w:gridSpan w:val="4"/>
          </w:tcPr>
          <w:p>
            <w:pPr>
              <w:jc w:val="center"/>
              <w:ind w:right="33"/>
              <w:spacing w:after="0"/>
              <w:rPr>
                <w:sz w:val="20"/>
                <w:szCs w:val="20"/>
                <w:color w:val="auto"/>
              </w:rPr>
            </w:pPr>
            <w:r>
              <w:rPr>
                <w:rFonts w:ascii="Arial" w:cs="Arial" w:eastAsia="Arial" w:hAnsi="Arial"/>
                <w:sz w:val="14"/>
                <w:szCs w:val="14"/>
                <w:b w:val="1"/>
                <w:bCs w:val="1"/>
                <w:color w:val="auto"/>
                <w:w w:val="92"/>
              </w:rPr>
              <w:t>Three months ended June 30,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40" w:type="dxa"/>
            <w:vAlign w:val="bottom"/>
            <w:gridSpan w:val="4"/>
          </w:tcPr>
          <w:p>
            <w:pPr>
              <w:jc w:val="center"/>
              <w:ind w:right="13"/>
              <w:spacing w:after="0"/>
              <w:rPr>
                <w:sz w:val="20"/>
                <w:szCs w:val="20"/>
                <w:color w:val="auto"/>
              </w:rPr>
            </w:pPr>
            <w:r>
              <w:rPr>
                <w:rFonts w:ascii="Arial" w:cs="Arial" w:eastAsia="Arial" w:hAnsi="Arial"/>
                <w:sz w:val="14"/>
                <w:szCs w:val="14"/>
                <w:b w:val="1"/>
                <w:bCs w:val="1"/>
                <w:color w:val="auto"/>
                <w:w w:val="90"/>
              </w:rPr>
              <w:t>Six months ended June 30,</w:t>
            </w:r>
          </w:p>
        </w:tc>
        <w:tc>
          <w:tcPr>
            <w:tcW w:w="0" w:type="dxa"/>
            <w:vAlign w:val="bottom"/>
          </w:tcPr>
          <w:p>
            <w:pPr>
              <w:spacing w:after="0"/>
              <w:rPr>
                <w:sz w:val="1"/>
                <w:szCs w:val="1"/>
                <w:color w:val="auto"/>
              </w:rPr>
            </w:pPr>
          </w:p>
        </w:tc>
      </w:tr>
      <w:tr>
        <w:trPr>
          <w:trHeight w:val="26"/>
        </w:trPr>
        <w:tc>
          <w:tcPr>
            <w:tcW w:w="52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5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34"/>
        </w:trPr>
        <w:tc>
          <w:tcPr>
            <w:tcW w:w="52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1"/>
                <w:szCs w:val="11"/>
                <w:color w:val="auto"/>
              </w:rPr>
            </w:pPr>
          </w:p>
        </w:tc>
        <w:tc>
          <w:tcPr>
            <w:tcW w:w="2740" w:type="dxa"/>
            <w:vAlign w:val="bottom"/>
            <w:gridSpan w:val="4"/>
          </w:tcPr>
          <w:p>
            <w:pPr>
              <w:jc w:val="center"/>
              <w:ind w:right="33"/>
              <w:spacing w:after="0" w:line="135" w:lineRule="exact"/>
              <w:rPr>
                <w:sz w:val="20"/>
                <w:szCs w:val="20"/>
                <w:color w:val="auto"/>
              </w:rPr>
            </w:pPr>
            <w:r>
              <w:rPr>
                <w:rFonts w:ascii="Arial" w:cs="Arial" w:eastAsia="Arial" w:hAnsi="Arial"/>
                <w:sz w:val="14"/>
                <w:szCs w:val="14"/>
                <w:b w:val="1"/>
                <w:bCs w:val="1"/>
                <w:color w:val="auto"/>
                <w:w w:val="93"/>
              </w:rPr>
              <w:t>Fair Value Measurement Using Significant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740" w:type="dxa"/>
            <w:vAlign w:val="bottom"/>
            <w:gridSpan w:val="4"/>
          </w:tcPr>
          <w:p>
            <w:pPr>
              <w:jc w:val="center"/>
              <w:ind w:right="33"/>
              <w:spacing w:after="0" w:line="135" w:lineRule="exact"/>
              <w:rPr>
                <w:sz w:val="20"/>
                <w:szCs w:val="20"/>
                <w:color w:val="auto"/>
              </w:rPr>
            </w:pPr>
            <w:r>
              <w:rPr>
                <w:rFonts w:ascii="Arial" w:cs="Arial" w:eastAsia="Arial" w:hAnsi="Arial"/>
                <w:sz w:val="14"/>
                <w:szCs w:val="14"/>
                <w:b w:val="1"/>
                <w:bCs w:val="1"/>
                <w:color w:val="auto"/>
                <w:w w:val="93"/>
              </w:rPr>
              <w:t>Fair Value Measurement Using Significant</w:t>
            </w:r>
          </w:p>
        </w:tc>
        <w:tc>
          <w:tcPr>
            <w:tcW w:w="0" w:type="dxa"/>
            <w:vAlign w:val="bottom"/>
          </w:tcPr>
          <w:p>
            <w:pPr>
              <w:spacing w:after="0"/>
              <w:rPr>
                <w:sz w:val="1"/>
                <w:szCs w:val="1"/>
                <w:color w:val="auto"/>
              </w:rPr>
            </w:pPr>
          </w:p>
        </w:tc>
      </w:tr>
      <w:tr>
        <w:trPr>
          <w:trHeight w:val="186"/>
        </w:trPr>
        <w:tc>
          <w:tcPr>
            <w:tcW w:w="52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740" w:type="dxa"/>
            <w:vAlign w:val="bottom"/>
            <w:gridSpan w:val="4"/>
          </w:tcPr>
          <w:p>
            <w:pPr>
              <w:jc w:val="center"/>
              <w:ind w:right="33"/>
              <w:spacing w:after="0"/>
              <w:rPr>
                <w:sz w:val="20"/>
                <w:szCs w:val="20"/>
                <w:color w:val="auto"/>
              </w:rPr>
            </w:pPr>
            <w:r>
              <w:rPr>
                <w:rFonts w:ascii="Arial" w:cs="Arial" w:eastAsia="Arial" w:hAnsi="Arial"/>
                <w:sz w:val="14"/>
                <w:szCs w:val="14"/>
                <w:b w:val="1"/>
                <w:bCs w:val="1"/>
                <w:color w:val="auto"/>
                <w:w w:val="93"/>
              </w:rPr>
              <w:t>Unobservable Inputs (Level 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40" w:type="dxa"/>
            <w:vAlign w:val="bottom"/>
            <w:gridSpan w:val="4"/>
          </w:tcPr>
          <w:p>
            <w:pPr>
              <w:jc w:val="center"/>
              <w:ind w:right="33"/>
              <w:spacing w:after="0"/>
              <w:rPr>
                <w:sz w:val="20"/>
                <w:szCs w:val="20"/>
                <w:color w:val="auto"/>
              </w:rPr>
            </w:pPr>
            <w:r>
              <w:rPr>
                <w:rFonts w:ascii="Arial" w:cs="Arial" w:eastAsia="Arial" w:hAnsi="Arial"/>
                <w:sz w:val="14"/>
                <w:szCs w:val="14"/>
                <w:b w:val="1"/>
                <w:bCs w:val="1"/>
                <w:color w:val="auto"/>
                <w:w w:val="93"/>
              </w:rPr>
              <w:t>Unobservable Inputs (Level 3)</w:t>
            </w:r>
          </w:p>
        </w:tc>
        <w:tc>
          <w:tcPr>
            <w:tcW w:w="0" w:type="dxa"/>
            <w:vAlign w:val="bottom"/>
          </w:tcPr>
          <w:p>
            <w:pPr>
              <w:spacing w:after="0"/>
              <w:rPr>
                <w:sz w:val="1"/>
                <w:szCs w:val="1"/>
                <w:color w:val="auto"/>
              </w:rPr>
            </w:pPr>
          </w:p>
        </w:tc>
      </w:tr>
      <w:tr>
        <w:trPr>
          <w:trHeight w:val="26"/>
        </w:trPr>
        <w:tc>
          <w:tcPr>
            <w:tcW w:w="52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Beginning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Arial" w:cs="Arial" w:eastAsia="Arial" w:hAnsi="Arial"/>
                <w:sz w:val="18"/>
                <w:szCs w:val="18"/>
                <w:color w:val="auto"/>
              </w:rPr>
              <w:t>Settlements</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 due to loss of NPNS exception</w:t>
            </w: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gains (losses) for the period included in earnings</w:t>
            </w: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48"/>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Ending balance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bottom w:val="single" w:sz="8" w:color="CCEEFF"/>
            </w:tcBorders>
            <w:vMerge w:val="restart"/>
          </w:tcPr>
          <w:p>
            <w:pPr>
              <w:ind w:left="140"/>
              <w:spacing w:after="0" w:line="176" w:lineRule="exact"/>
              <w:rPr>
                <w:sz w:val="20"/>
                <w:szCs w:val="20"/>
                <w:color w:val="auto"/>
              </w:rPr>
            </w:pPr>
            <w:r>
              <w:rPr>
                <w:rFonts w:ascii="Arial" w:cs="Arial" w:eastAsia="Arial" w:hAnsi="Arial"/>
                <w:sz w:val="18"/>
                <w:szCs w:val="18"/>
                <w:color w:val="auto"/>
                <w:w w:val="95"/>
              </w:rPr>
              <w:t>Change in unrealized gains included in earnings for derivatives and</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52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300"/>
              <w:spacing w:after="0"/>
              <w:rPr>
                <w:sz w:val="20"/>
                <w:szCs w:val="20"/>
                <w:color w:val="auto"/>
              </w:rPr>
            </w:pPr>
            <w:r>
              <w:rPr>
                <w:rFonts w:ascii="Arial" w:cs="Arial" w:eastAsia="Arial" w:hAnsi="Arial"/>
                <w:sz w:val="18"/>
                <w:szCs w:val="18"/>
                <w:color w:val="auto"/>
              </w:rPr>
              <w:t>other financial instruments held as of June 30, 2023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and Financial Instruments Fair Value Measurements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Company's contracts are non-exchange-traded and valued using prices provided by external sources. The Company uses quoted observable forward prices to value its commodity contracts. To the extent that observable forward prices are not available, the quoted prices reflect the average of the forward prices from the prior year, adjusted for inflation. As of June 30, 2023, contracts valued with prices provided by models and other valuation techniques make up 100% of derivative liabilities and other financial instruments.</w:t>
      </w:r>
    </w:p>
    <w:p>
      <w:pPr>
        <w:spacing w:after="0" w:line="13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Company’s significant positions classified as Level 3 include physical commodity contracts executed in illiquid markets. The significant unobservable inputs used in developing fair value include illiquid power tenors and location pricing, which is derived by extrapolating pricing as a basis to liquid locations. The tenor pricing and basis spread are based on observable market data when available or derived from historic prices and forward market prices from similar observable markets when not available.</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quantifies the significant unobservable inputs used in developing the fair value of the Company’s Level 3 positions:</w:t>
      </w:r>
    </w:p>
    <w:p>
      <w:pPr>
        <w:spacing w:after="0" w:line="100" w:lineRule="exact"/>
        <w:rPr>
          <w:sz w:val="20"/>
          <w:szCs w:val="20"/>
          <w:color w:val="auto"/>
        </w:rPr>
      </w:pPr>
    </w:p>
    <w:p>
      <w:pPr>
        <w:ind w:left="6000"/>
        <w:spacing w:after="0"/>
        <w:rPr>
          <w:sz w:val="20"/>
          <w:szCs w:val="20"/>
          <w:color w:val="auto"/>
        </w:rPr>
      </w:pPr>
      <w:r>
        <w:rPr>
          <w:rFonts w:ascii="Arial" w:cs="Arial" w:eastAsia="Arial" w:hAnsi="Arial"/>
          <w:sz w:val="18"/>
          <w:szCs w:val="18"/>
          <w:b w:val="1"/>
          <w:bCs w:val="1"/>
          <w:color w:val="auto"/>
        </w:rPr>
        <w:t>June 30, 2023</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7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b w:val="1"/>
                <w:bCs w:val="1"/>
                <w:color w:val="auto"/>
              </w:rPr>
              <w:t>Fair Value</w:t>
            </w:r>
          </w:p>
        </w:tc>
        <w:tc>
          <w:tcPr>
            <w:tcW w:w="124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center"/>
              <w:ind w:right="35"/>
              <w:spacing w:after="0"/>
              <w:rPr>
                <w:sz w:val="20"/>
                <w:szCs w:val="20"/>
                <w:color w:val="auto"/>
              </w:rPr>
            </w:pPr>
            <w:r>
              <w:rPr>
                <w:rFonts w:ascii="Arial" w:cs="Arial" w:eastAsia="Arial" w:hAnsi="Arial"/>
                <w:sz w:val="18"/>
                <w:szCs w:val="18"/>
                <w:b w:val="1"/>
                <w:bCs w:val="1"/>
                <w:color w:val="auto"/>
                <w:w w:val="94"/>
              </w:rPr>
              <w:t>Input/Range</w:t>
            </w:r>
          </w:p>
        </w:tc>
        <w:tc>
          <w:tcPr>
            <w:tcW w:w="2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52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w w:val="89"/>
              </w:rPr>
              <w:t>Significant</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Assets</w:t>
            </w:r>
          </w:p>
        </w:tc>
        <w:tc>
          <w:tcPr>
            <w:tcW w:w="120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Liabilities</w:t>
            </w:r>
          </w:p>
        </w:tc>
        <w:tc>
          <w:tcPr>
            <w:tcW w:w="124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1"/>
              </w:rPr>
              <w:t>Valuation</w:t>
            </w:r>
          </w:p>
        </w:tc>
        <w:tc>
          <w:tcPr>
            <w:tcW w:w="152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89"/>
              </w:rPr>
              <w:t>Unobservable</w:t>
            </w:r>
          </w:p>
        </w:tc>
        <w:tc>
          <w:tcPr>
            <w:tcW w:w="280" w:type="dxa"/>
            <w:vAlign w:val="bottom"/>
          </w:tcPr>
          <w:p>
            <w:pPr>
              <w:spacing w:after="0"/>
              <w:rPr>
                <w:sz w:val="15"/>
                <w:szCs w:val="15"/>
                <w:color w:val="auto"/>
              </w:rPr>
            </w:pPr>
          </w:p>
        </w:tc>
        <w:tc>
          <w:tcPr>
            <w:tcW w:w="1040" w:type="dxa"/>
            <w:vAlign w:val="bottom"/>
            <w:vMerge w:val="restart"/>
          </w:tcPr>
          <w:p>
            <w:pPr>
              <w:jc w:val="right"/>
              <w:ind w:right="396"/>
              <w:spacing w:after="0"/>
              <w:rPr>
                <w:sz w:val="20"/>
                <w:szCs w:val="20"/>
                <w:color w:val="auto"/>
              </w:rPr>
            </w:pPr>
            <w:r>
              <w:rPr>
                <w:rFonts w:ascii="Arial" w:cs="Arial" w:eastAsia="Arial" w:hAnsi="Arial"/>
                <w:sz w:val="18"/>
                <w:szCs w:val="18"/>
                <w:b w:val="1"/>
                <w:bCs w:val="1"/>
                <w:color w:val="auto"/>
              </w:rPr>
              <w:t>Low</w:t>
            </w:r>
          </w:p>
        </w:tc>
        <w:tc>
          <w:tcPr>
            <w:tcW w:w="140" w:type="dxa"/>
            <w:vAlign w:val="bottom"/>
          </w:tcPr>
          <w:p>
            <w:pPr>
              <w:spacing w:after="0"/>
              <w:rPr>
                <w:sz w:val="15"/>
                <w:szCs w:val="15"/>
                <w:color w:val="auto"/>
              </w:rPr>
            </w:pPr>
          </w:p>
        </w:tc>
        <w:tc>
          <w:tcPr>
            <w:tcW w:w="1180" w:type="dxa"/>
            <w:vAlign w:val="bottom"/>
            <w:vMerge w:val="restart"/>
          </w:tcPr>
          <w:p>
            <w:pPr>
              <w:jc w:val="center"/>
              <w:ind w:right="35"/>
              <w:spacing w:after="0"/>
              <w:rPr>
                <w:sz w:val="20"/>
                <w:szCs w:val="20"/>
                <w:color w:val="auto"/>
              </w:rPr>
            </w:pPr>
            <w:r>
              <w:rPr>
                <w:rFonts w:ascii="Arial" w:cs="Arial" w:eastAsia="Arial" w:hAnsi="Arial"/>
                <w:sz w:val="18"/>
                <w:szCs w:val="18"/>
                <w:b w:val="1"/>
                <w:bCs w:val="1"/>
                <w:color w:val="auto"/>
                <w:w w:val="94"/>
              </w:rPr>
              <w:t>High</w:t>
            </w:r>
          </w:p>
        </w:tc>
        <w:tc>
          <w:tcPr>
            <w:tcW w:w="200" w:type="dxa"/>
            <w:vAlign w:val="bottom"/>
          </w:tcPr>
          <w:p>
            <w:pPr>
              <w:spacing w:after="0"/>
              <w:rPr>
                <w:sz w:val="15"/>
                <w:szCs w:val="15"/>
                <w:color w:val="auto"/>
              </w:rPr>
            </w:pPr>
          </w:p>
        </w:tc>
        <w:tc>
          <w:tcPr>
            <w:tcW w:w="1140" w:type="dxa"/>
            <w:vAlign w:val="bottom"/>
          </w:tcPr>
          <w:p>
            <w:pPr>
              <w:jc w:val="center"/>
              <w:ind w:right="115"/>
              <w:spacing w:after="0" w:line="181" w:lineRule="exact"/>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230"/>
        </w:trPr>
        <w:tc>
          <w:tcPr>
            <w:tcW w:w="17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Technique</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Input</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115"/>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07"/>
        </w:trPr>
        <w:tc>
          <w:tcPr>
            <w:tcW w:w="1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ind w:left="300"/>
              <w:spacing w:after="0"/>
              <w:rPr>
                <w:sz w:val="20"/>
                <w:szCs w:val="20"/>
                <w:color w:val="auto"/>
              </w:rPr>
            </w:pPr>
            <w:r>
              <w:rPr>
                <w:rFonts w:ascii="Arial" w:cs="Arial" w:eastAsia="Arial" w:hAnsi="Arial"/>
                <w:sz w:val="16"/>
                <w:szCs w:val="16"/>
                <w:b w:val="1"/>
                <w:bCs w:val="1"/>
                <w:color w:val="auto"/>
              </w:rPr>
              <w:t>(In millions)</w:t>
            </w:r>
          </w:p>
        </w:tc>
        <w:tc>
          <w:tcPr>
            <w:tcW w:w="1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04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b w:val="1"/>
                <w:bCs w:val="1"/>
                <w:color w:val="auto"/>
              </w:rPr>
              <w:t xml:space="preserve">Commodity Contracts   </w:t>
            </w:r>
            <w:r>
              <w:rPr>
                <w:rFonts w:ascii="Arial" w:cs="Arial" w:eastAsia="Arial" w:hAnsi="Arial"/>
                <w:sz w:val="16"/>
                <w:szCs w:val="16"/>
                <w:color w:val="auto"/>
              </w:rPr>
              <w:t>$</w:t>
            </w:r>
          </w:p>
        </w:tc>
        <w:tc>
          <w:tcPr>
            <w:tcW w:w="1260" w:type="dxa"/>
            <w:vAlign w:val="bottom"/>
            <w:vMerge w:val="restart"/>
            <w:shd w:val="clear" w:color="auto" w:fill="CCEEFF"/>
          </w:tcPr>
          <w:p>
            <w:pPr>
              <w:ind w:left="840"/>
              <w:spacing w:after="0"/>
              <w:rPr>
                <w:sz w:val="20"/>
                <w:szCs w:val="20"/>
                <w:color w:val="auto"/>
              </w:rPr>
            </w:pPr>
            <w:r>
              <w:rPr>
                <w:rFonts w:ascii="Arial" w:cs="Arial" w:eastAsia="Arial" w:hAnsi="Arial"/>
                <w:sz w:val="16"/>
                <w:szCs w:val="16"/>
                <w:color w:val="auto"/>
              </w:rPr>
              <w:t>— $</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(303)</w:t>
            </w:r>
          </w:p>
        </w:tc>
        <w:tc>
          <w:tcPr>
            <w:tcW w:w="1240" w:type="dxa"/>
            <w:vAlign w:val="bottom"/>
            <w:shd w:val="clear" w:color="auto" w:fill="CCEEFF"/>
          </w:tcPr>
          <w:p>
            <w:pPr>
              <w:jc w:val="center"/>
              <w:spacing w:after="0" w:line="168" w:lineRule="exact"/>
              <w:rPr>
                <w:sz w:val="20"/>
                <w:szCs w:val="20"/>
                <w:color w:val="auto"/>
              </w:rPr>
            </w:pPr>
            <w:r>
              <w:rPr>
                <w:rFonts w:ascii="Arial" w:cs="Arial" w:eastAsia="Arial" w:hAnsi="Arial"/>
                <w:sz w:val="16"/>
                <w:szCs w:val="16"/>
                <w:color w:val="auto"/>
                <w:w w:val="90"/>
              </w:rPr>
              <w:t>Discounted Cash</w:t>
            </w:r>
          </w:p>
        </w:tc>
        <w:tc>
          <w:tcPr>
            <w:tcW w:w="1520" w:type="dxa"/>
            <w:vAlign w:val="bottom"/>
            <w:shd w:val="clear" w:color="auto" w:fill="CCEEFF"/>
          </w:tcPr>
          <w:p>
            <w:pPr>
              <w:jc w:val="center"/>
              <w:spacing w:after="0" w:line="168" w:lineRule="exact"/>
              <w:rPr>
                <w:sz w:val="20"/>
                <w:szCs w:val="20"/>
                <w:color w:val="auto"/>
              </w:rPr>
            </w:pPr>
            <w:r>
              <w:rPr>
                <w:rFonts w:ascii="Arial" w:cs="Arial" w:eastAsia="Arial" w:hAnsi="Arial"/>
                <w:sz w:val="16"/>
                <w:szCs w:val="16"/>
                <w:color w:val="auto"/>
                <w:w w:val="92"/>
              </w:rPr>
              <w:t>Forward Market Price</w:t>
            </w:r>
          </w:p>
        </w:tc>
        <w:tc>
          <w:tcPr>
            <w:tcW w:w="28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21.02</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71.74</w:t>
            </w: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38.17</w:t>
            </w:r>
          </w:p>
        </w:tc>
        <w:tc>
          <w:tcPr>
            <w:tcW w:w="0" w:type="dxa"/>
            <w:vAlign w:val="bottom"/>
          </w:tcPr>
          <w:p>
            <w:pPr>
              <w:spacing w:after="0"/>
              <w:rPr>
                <w:sz w:val="1"/>
                <w:szCs w:val="1"/>
                <w:color w:val="auto"/>
              </w:rPr>
            </w:pPr>
          </w:p>
        </w:tc>
      </w:tr>
      <w:tr>
        <w:trPr>
          <w:trHeight w:val="212"/>
        </w:trPr>
        <w:tc>
          <w:tcPr>
            <w:tcW w:w="2040" w:type="dxa"/>
            <w:vAlign w:val="bottom"/>
            <w:gridSpan w:val="2"/>
            <w:vMerge w:val="continue"/>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Flow</w:t>
            </w:r>
          </w:p>
        </w:tc>
        <w:tc>
          <w:tcPr>
            <w:tcW w:w="15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(per MWh)</w:t>
            </w:r>
          </w:p>
        </w:tc>
        <w:tc>
          <w:tcPr>
            <w:tcW w:w="28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20" w:type="dxa"/>
            <w:vAlign w:val="bottom"/>
          </w:tcPr>
          <w:p>
            <w:pPr>
              <w:jc w:val="center"/>
              <w:spacing w:after="0" w:line="166" w:lineRule="exact"/>
              <w:rPr>
                <w:sz w:val="20"/>
                <w:szCs w:val="20"/>
                <w:color w:val="auto"/>
              </w:rPr>
            </w:pPr>
            <w:r>
              <w:rPr>
                <w:rFonts w:ascii="Arial" w:cs="Arial" w:eastAsia="Arial" w:hAnsi="Arial"/>
                <w:sz w:val="16"/>
                <w:szCs w:val="16"/>
                <w:color w:val="auto"/>
                <w:w w:val="88"/>
              </w:rPr>
              <w:t>Forecast annual</w:t>
            </w: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Other Financial</w:t>
            </w: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40" w:type="dxa"/>
            <w:vAlign w:val="bottom"/>
            <w:vMerge w:val="restart"/>
          </w:tcPr>
          <w:p>
            <w:pPr>
              <w:jc w:val="center"/>
              <w:spacing w:after="0"/>
              <w:rPr>
                <w:sz w:val="20"/>
                <w:szCs w:val="20"/>
                <w:color w:val="auto"/>
              </w:rPr>
            </w:pPr>
            <w:r>
              <w:rPr>
                <w:rFonts w:ascii="Arial" w:cs="Arial" w:eastAsia="Arial" w:hAnsi="Arial"/>
                <w:sz w:val="16"/>
                <w:szCs w:val="16"/>
                <w:color w:val="auto"/>
                <w:w w:val="90"/>
              </w:rPr>
              <w:t>Discounted Cash</w:t>
            </w:r>
          </w:p>
        </w:tc>
        <w:tc>
          <w:tcPr>
            <w:tcW w:w="1520" w:type="dxa"/>
            <w:vAlign w:val="bottom"/>
          </w:tcPr>
          <w:p>
            <w:pPr>
              <w:jc w:val="center"/>
              <w:spacing w:after="0" w:line="162" w:lineRule="exact"/>
              <w:rPr>
                <w:sz w:val="20"/>
                <w:szCs w:val="20"/>
                <w:color w:val="auto"/>
              </w:rPr>
            </w:pPr>
            <w:r>
              <w:rPr>
                <w:rFonts w:ascii="Arial" w:cs="Arial" w:eastAsia="Arial" w:hAnsi="Arial"/>
                <w:sz w:val="16"/>
                <w:szCs w:val="16"/>
                <w:color w:val="auto"/>
                <w:w w:val="92"/>
              </w:rPr>
              <w:t>generation levels of</w:t>
            </w: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40" w:type="dxa"/>
            <w:vAlign w:val="bottom"/>
            <w:gridSpan w:val="2"/>
            <w:vMerge w:val="continue"/>
          </w:tcPr>
          <w:p>
            <w:pPr>
              <w:spacing w:after="0"/>
              <w:rPr>
                <w:sz w:val="13"/>
                <w:szCs w:val="13"/>
                <w:color w:val="auto"/>
              </w:rPr>
            </w:pPr>
          </w:p>
        </w:tc>
        <w:tc>
          <w:tcPr>
            <w:tcW w:w="1260" w:type="dxa"/>
            <w:vAlign w:val="bottom"/>
            <w:vMerge w:val="restart"/>
          </w:tcPr>
          <w:p>
            <w:pPr>
              <w:ind w:left="840"/>
              <w:spacing w:after="0"/>
              <w:rPr>
                <w:sz w:val="20"/>
                <w:szCs w:val="20"/>
                <w:color w:val="auto"/>
              </w:rPr>
            </w:pPr>
            <w:r>
              <w:rPr>
                <w:rFonts w:ascii="Arial" w:cs="Arial" w:eastAsia="Arial" w:hAnsi="Arial"/>
                <w:sz w:val="16"/>
                <w:szCs w:val="16"/>
                <w:color w:val="auto"/>
              </w:rPr>
              <w:t>12</w:t>
            </w:r>
          </w:p>
        </w:tc>
        <w:tc>
          <w:tcPr>
            <w:tcW w:w="1200" w:type="dxa"/>
            <w:vAlign w:val="bottom"/>
            <w:vMerge w:val="restart"/>
          </w:tcPr>
          <w:p>
            <w:pPr>
              <w:ind w:left="920"/>
              <w:spacing w:after="0"/>
              <w:rPr>
                <w:sz w:val="20"/>
                <w:szCs w:val="20"/>
                <w:color w:val="auto"/>
              </w:rPr>
            </w:pPr>
            <w:r>
              <w:rPr>
                <w:rFonts w:ascii="Arial" w:cs="Arial" w:eastAsia="Arial" w:hAnsi="Arial"/>
                <w:sz w:val="16"/>
                <w:szCs w:val="16"/>
                <w:color w:val="auto"/>
              </w:rPr>
              <w:t>—</w:t>
            </w:r>
          </w:p>
        </w:tc>
        <w:tc>
          <w:tcPr>
            <w:tcW w:w="1240" w:type="dxa"/>
            <w:vAlign w:val="bottom"/>
            <w:vMerge w:val="continue"/>
          </w:tcPr>
          <w:p>
            <w:pPr>
              <w:spacing w:after="0"/>
              <w:rPr>
                <w:sz w:val="13"/>
                <w:szCs w:val="13"/>
                <w:color w:val="auto"/>
              </w:rPr>
            </w:pPr>
          </w:p>
        </w:tc>
        <w:tc>
          <w:tcPr>
            <w:tcW w:w="1520" w:type="dxa"/>
            <w:vAlign w:val="bottom"/>
          </w:tcPr>
          <w:p>
            <w:pPr>
              <w:jc w:val="center"/>
              <w:spacing w:after="0" w:line="158" w:lineRule="exact"/>
              <w:rPr>
                <w:sz w:val="20"/>
                <w:szCs w:val="20"/>
                <w:color w:val="auto"/>
              </w:rPr>
            </w:pPr>
            <w:r>
              <w:rPr>
                <w:rFonts w:ascii="Arial" w:cs="Arial" w:eastAsia="Arial" w:hAnsi="Arial"/>
                <w:sz w:val="16"/>
                <w:szCs w:val="16"/>
                <w:color w:val="auto"/>
                <w:w w:val="91"/>
              </w:rPr>
              <w:t>certain DG solar</w:t>
            </w:r>
          </w:p>
        </w:tc>
        <w:tc>
          <w:tcPr>
            <w:tcW w:w="28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60,801 MWh</w:t>
            </w:r>
          </w:p>
        </w:tc>
        <w:tc>
          <w:tcPr>
            <w:tcW w:w="14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121,602 MWh</w:t>
            </w:r>
          </w:p>
        </w:tc>
        <w:tc>
          <w:tcPr>
            <w:tcW w:w="20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115,622 MWh</w:t>
            </w:r>
          </w:p>
        </w:tc>
        <w:tc>
          <w:tcPr>
            <w:tcW w:w="0" w:type="dxa"/>
            <w:vAlign w:val="bottom"/>
          </w:tcPr>
          <w:p>
            <w:pPr>
              <w:spacing w:after="0"/>
              <w:rPr>
                <w:sz w:val="1"/>
                <w:szCs w:val="1"/>
                <w:color w:val="auto"/>
              </w:rPr>
            </w:pPr>
          </w:p>
        </w:tc>
      </w:tr>
      <w:tr>
        <w:trPr>
          <w:trHeight w:val="210"/>
        </w:trPr>
        <w:tc>
          <w:tcPr>
            <w:tcW w:w="2040" w:type="dxa"/>
            <w:vAlign w:val="bottom"/>
            <w:gridSpan w:val="2"/>
          </w:tcPr>
          <w:p>
            <w:pPr>
              <w:ind w:left="20"/>
              <w:spacing w:after="0"/>
              <w:rPr>
                <w:sz w:val="20"/>
                <w:szCs w:val="20"/>
                <w:color w:val="auto"/>
              </w:rPr>
            </w:pPr>
            <w:r>
              <w:rPr>
                <w:rFonts w:ascii="Arial" w:cs="Arial" w:eastAsia="Arial" w:hAnsi="Arial"/>
                <w:sz w:val="16"/>
                <w:szCs w:val="16"/>
                <w:b w:val="1"/>
                <w:bCs w:val="1"/>
                <w:color w:val="auto"/>
              </w:rPr>
              <w:t>Instruments</w:t>
            </w:r>
          </w:p>
        </w:tc>
        <w:tc>
          <w:tcPr>
            <w:tcW w:w="1260" w:type="dxa"/>
            <w:vAlign w:val="bottom"/>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rPr>
              <w:t>Flow</w:t>
            </w:r>
          </w:p>
        </w:tc>
        <w:tc>
          <w:tcPr>
            <w:tcW w:w="1520" w:type="dxa"/>
            <w:vAlign w:val="bottom"/>
          </w:tcPr>
          <w:p>
            <w:pPr>
              <w:jc w:val="center"/>
              <w:spacing w:after="0"/>
              <w:rPr>
                <w:sz w:val="20"/>
                <w:szCs w:val="20"/>
                <w:color w:val="auto"/>
              </w:rPr>
            </w:pPr>
            <w:r>
              <w:rPr>
                <w:rFonts w:ascii="Arial" w:cs="Arial" w:eastAsia="Arial" w:hAnsi="Arial"/>
                <w:sz w:val="16"/>
                <w:szCs w:val="16"/>
                <w:color w:val="auto"/>
                <w:w w:val="98"/>
              </w:rPr>
              <w:t>facilities</w:t>
            </w:r>
          </w:p>
        </w:tc>
        <w:tc>
          <w:tcPr>
            <w:tcW w:w="28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provides the impact on the fair value measurements to increases/(decreases) in significant unobservable inputs as of June 30, 2023:</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Significant Unobservable Input</w:t>
            </w:r>
          </w:p>
        </w:tc>
        <w:tc>
          <w:tcPr>
            <w:tcW w:w="2020" w:type="dxa"/>
            <w:vAlign w:val="bottom"/>
            <w:vMerge w:val="restart"/>
          </w:tcPr>
          <w:p>
            <w:pPr>
              <w:jc w:val="center"/>
              <w:ind w:left="150"/>
              <w:spacing w:after="0"/>
              <w:rPr>
                <w:sz w:val="20"/>
                <w:szCs w:val="20"/>
                <w:color w:val="auto"/>
              </w:rPr>
            </w:pPr>
            <w:r>
              <w:rPr>
                <w:rFonts w:ascii="Arial" w:cs="Arial" w:eastAsia="Arial" w:hAnsi="Arial"/>
                <w:sz w:val="18"/>
                <w:szCs w:val="18"/>
                <w:b w:val="1"/>
                <w:bCs w:val="1"/>
                <w:color w:val="auto"/>
                <w:w w:val="87"/>
              </w:rPr>
              <w:t>Position</w:t>
            </w:r>
          </w:p>
        </w:tc>
        <w:tc>
          <w:tcPr>
            <w:tcW w:w="2480" w:type="dxa"/>
            <w:vAlign w:val="bottom"/>
            <w:vMerge w:val="restart"/>
          </w:tcPr>
          <w:p>
            <w:pPr>
              <w:jc w:val="center"/>
              <w:ind w:left="30"/>
              <w:spacing w:after="0"/>
              <w:rPr>
                <w:sz w:val="20"/>
                <w:szCs w:val="20"/>
                <w:color w:val="auto"/>
              </w:rPr>
            </w:pPr>
            <w:r>
              <w:rPr>
                <w:rFonts w:ascii="Arial" w:cs="Arial" w:eastAsia="Arial" w:hAnsi="Arial"/>
                <w:sz w:val="18"/>
                <w:szCs w:val="18"/>
                <w:b w:val="1"/>
                <w:bCs w:val="1"/>
                <w:color w:val="auto"/>
                <w:w w:val="94"/>
              </w:rPr>
              <w:t>Change In Input</w:t>
            </w:r>
          </w:p>
        </w:tc>
        <w:tc>
          <w:tcPr>
            <w:tcW w:w="2660" w:type="dxa"/>
            <w:vAlign w:val="bottom"/>
          </w:tcPr>
          <w:p>
            <w:pPr>
              <w:jc w:val="center"/>
              <w:spacing w:after="0"/>
              <w:rPr>
                <w:sz w:val="20"/>
                <w:szCs w:val="20"/>
                <w:color w:val="auto"/>
              </w:rPr>
            </w:pPr>
            <w:r>
              <w:rPr>
                <w:rFonts w:ascii="Arial" w:cs="Arial" w:eastAsia="Arial" w:hAnsi="Arial"/>
                <w:sz w:val="18"/>
                <w:szCs w:val="18"/>
                <w:b w:val="1"/>
                <w:bCs w:val="1"/>
                <w:color w:val="auto"/>
                <w:w w:val="91"/>
              </w:rPr>
              <w:t>Impact on Fair Value</w:t>
            </w:r>
          </w:p>
        </w:tc>
        <w:tc>
          <w:tcPr>
            <w:tcW w:w="0" w:type="dxa"/>
            <w:vAlign w:val="bottom"/>
          </w:tcPr>
          <w:p>
            <w:pPr>
              <w:spacing w:after="0"/>
              <w:rPr>
                <w:sz w:val="1"/>
                <w:szCs w:val="1"/>
                <w:color w:val="auto"/>
              </w:rPr>
            </w:pPr>
          </w:p>
        </w:tc>
      </w:tr>
      <w:tr>
        <w:trPr>
          <w:trHeight w:val="239"/>
        </w:trPr>
        <w:tc>
          <w:tcPr>
            <w:tcW w:w="4080" w:type="dxa"/>
            <w:vAlign w:val="bottom"/>
            <w:tcBorders>
              <w:bottom w:val="single" w:sz="8" w:color="auto"/>
            </w:tcBorders>
            <w:vMerge w:val="continue"/>
          </w:tcPr>
          <w:p>
            <w:pPr>
              <w:spacing w:after="0"/>
              <w:rPr>
                <w:sz w:val="20"/>
                <w:szCs w:val="20"/>
                <w:color w:val="auto"/>
              </w:rPr>
            </w:pPr>
          </w:p>
        </w:tc>
        <w:tc>
          <w:tcPr>
            <w:tcW w:w="2020" w:type="dxa"/>
            <w:vAlign w:val="bottom"/>
            <w:tcBorders>
              <w:bottom w:val="single" w:sz="8" w:color="auto"/>
            </w:tcBorders>
            <w:vMerge w:val="continue"/>
          </w:tcPr>
          <w:p>
            <w:pPr>
              <w:spacing w:after="0"/>
              <w:rPr>
                <w:sz w:val="20"/>
                <w:szCs w:val="20"/>
                <w:color w:val="auto"/>
              </w:rPr>
            </w:pPr>
          </w:p>
        </w:tc>
        <w:tc>
          <w:tcPr>
            <w:tcW w:w="2480" w:type="dxa"/>
            <w:vAlign w:val="bottom"/>
            <w:tcBorders>
              <w:bottom w:val="single" w:sz="8" w:color="auto"/>
            </w:tcBorders>
            <w:vMerge w:val="continue"/>
          </w:tcPr>
          <w:p>
            <w:pPr>
              <w:spacing w:after="0"/>
              <w:rPr>
                <w:sz w:val="20"/>
                <w:szCs w:val="20"/>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Measurement</w:t>
            </w:r>
          </w:p>
        </w:tc>
        <w:tc>
          <w:tcPr>
            <w:tcW w:w="0" w:type="dxa"/>
            <w:vAlign w:val="bottom"/>
          </w:tcPr>
          <w:p>
            <w:pPr>
              <w:spacing w:after="0"/>
              <w:rPr>
                <w:sz w:val="1"/>
                <w:szCs w:val="1"/>
                <w:color w:val="auto"/>
              </w:rPr>
            </w:pPr>
          </w:p>
        </w:tc>
      </w:tr>
      <w:tr>
        <w:trPr>
          <w:trHeight w:val="227"/>
        </w:trPr>
        <w:tc>
          <w:tcPr>
            <w:tcW w:w="4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Forward Market Price Power</w:t>
            </w:r>
          </w:p>
        </w:tc>
        <w:tc>
          <w:tcPr>
            <w:tcW w:w="202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3"/>
              </w:rPr>
              <w:t>Sell</w:t>
            </w:r>
          </w:p>
        </w:tc>
        <w:tc>
          <w:tcPr>
            <w:tcW w:w="24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8"/>
              </w:rPr>
              <w:t>Increase/(Decrease)</w:t>
            </w:r>
          </w:p>
        </w:tc>
        <w:tc>
          <w:tcPr>
            <w:tcW w:w="2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Lower/(Higher)</w:t>
            </w:r>
          </w:p>
        </w:tc>
        <w:tc>
          <w:tcPr>
            <w:tcW w:w="0" w:type="dxa"/>
            <w:vAlign w:val="bottom"/>
          </w:tcPr>
          <w:p>
            <w:pPr>
              <w:spacing w:after="0"/>
              <w:rPr>
                <w:sz w:val="1"/>
                <w:szCs w:val="1"/>
                <w:color w:val="auto"/>
              </w:rPr>
            </w:pPr>
          </w:p>
        </w:tc>
      </w:tr>
      <w:tr>
        <w:trPr>
          <w:trHeight w:val="230"/>
        </w:trPr>
        <w:tc>
          <w:tcPr>
            <w:tcW w:w="4080" w:type="dxa"/>
            <w:vAlign w:val="bottom"/>
          </w:tcPr>
          <w:p>
            <w:pPr>
              <w:jc w:val="center"/>
              <w:spacing w:after="0"/>
              <w:rPr>
                <w:sz w:val="20"/>
                <w:szCs w:val="20"/>
                <w:color w:val="auto"/>
              </w:rPr>
            </w:pPr>
            <w:r>
              <w:rPr>
                <w:rFonts w:ascii="Arial" w:cs="Arial" w:eastAsia="Arial" w:hAnsi="Arial"/>
                <w:sz w:val="18"/>
                <w:szCs w:val="18"/>
                <w:color w:val="auto"/>
                <w:w w:val="88"/>
              </w:rPr>
              <w:t>Forecast Generation Levels</w:t>
            </w:r>
          </w:p>
        </w:tc>
        <w:tc>
          <w:tcPr>
            <w:tcW w:w="2020" w:type="dxa"/>
            <w:vAlign w:val="bottom"/>
          </w:tcPr>
          <w:p>
            <w:pPr>
              <w:jc w:val="center"/>
              <w:ind w:left="130"/>
              <w:spacing w:after="0"/>
              <w:rPr>
                <w:sz w:val="20"/>
                <w:szCs w:val="20"/>
                <w:color w:val="auto"/>
              </w:rPr>
            </w:pPr>
            <w:r>
              <w:rPr>
                <w:rFonts w:ascii="Arial" w:cs="Arial" w:eastAsia="Arial" w:hAnsi="Arial"/>
                <w:sz w:val="18"/>
                <w:szCs w:val="18"/>
                <w:color w:val="auto"/>
                <w:w w:val="93"/>
              </w:rPr>
              <w:t>Sell</w:t>
            </w:r>
          </w:p>
        </w:tc>
        <w:tc>
          <w:tcPr>
            <w:tcW w:w="2480" w:type="dxa"/>
            <w:vAlign w:val="bottom"/>
          </w:tcPr>
          <w:p>
            <w:pPr>
              <w:jc w:val="center"/>
              <w:ind w:left="30"/>
              <w:spacing w:after="0"/>
              <w:rPr>
                <w:sz w:val="20"/>
                <w:szCs w:val="20"/>
                <w:color w:val="auto"/>
              </w:rPr>
            </w:pPr>
            <w:r>
              <w:rPr>
                <w:rFonts w:ascii="Arial" w:cs="Arial" w:eastAsia="Arial" w:hAnsi="Arial"/>
                <w:sz w:val="18"/>
                <w:szCs w:val="18"/>
                <w:color w:val="auto"/>
                <w:w w:val="88"/>
              </w:rPr>
              <w:t>Increase/(Decrease)</w:t>
            </w:r>
          </w:p>
        </w:tc>
        <w:tc>
          <w:tcPr>
            <w:tcW w:w="2660" w:type="dxa"/>
            <w:vAlign w:val="bottom"/>
          </w:tcPr>
          <w:p>
            <w:pPr>
              <w:jc w:val="center"/>
              <w:spacing w:after="0"/>
              <w:rPr>
                <w:sz w:val="20"/>
                <w:szCs w:val="20"/>
                <w:color w:val="auto"/>
              </w:rPr>
            </w:pPr>
            <w:r>
              <w:rPr>
                <w:rFonts w:ascii="Arial" w:cs="Arial" w:eastAsia="Arial" w:hAnsi="Arial"/>
                <w:sz w:val="18"/>
                <w:szCs w:val="18"/>
                <w:color w:val="auto"/>
                <w:w w:val="95"/>
              </w:rPr>
              <w:t>Higher/(Lower)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2" w:name="page23"/>
    <w:bookmarkEnd w:id="22"/>
    <w:p>
      <w:pPr>
        <w:jc w:val="both"/>
        <w:ind w:firstLine="405"/>
        <w:spacing w:after="0" w:line="254" w:lineRule="auto"/>
        <w:rPr>
          <w:sz w:val="20"/>
          <w:szCs w:val="20"/>
          <w:color w:val="auto"/>
        </w:rPr>
      </w:pPr>
      <w:r>
        <w:rPr>
          <w:rFonts w:ascii="Arial" w:cs="Arial" w:eastAsia="Arial" w:hAnsi="Arial"/>
          <w:sz w:val="18"/>
          <w:szCs w:val="18"/>
          <w:color w:val="auto"/>
        </w:rPr>
        <w:t>The fair value of each contract is discounted using a risk-free interest rate. In addition, a credit reserve is applied to reflect credit risk, which is, for interest rate swaps, calculated based on credit default swaps using the bilateral method. For commodities, to the extent that the Net Exposure under a specific master agreement is an asset, the Company uses the counterparty’s default swap rate. If the Net Exposure under a specific master agreement is a liability, the Company uses a proxy of its own default swap rate. For interest rate swaps and commodities, the credit reserve is added to the discounted fair value to reflect the exit price that a market participant would be willing to receive to assume the liabilities or that a market participant would be willing to pay for the assets. As of June 30, 2023, the non-performance reserve was a $26 million gain recorded primarily to total operating revenues in the consolidated statements of income. It is possible that future market prices could vary from those used in recording assets and liabilities and such variations could be material.</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71"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 xml:space="preserve">In addition to the credit risk discussion as disclosed under Item 15 —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w:t>
      </w:r>
      <w:r>
        <w:rPr>
          <w:rFonts w:ascii="Arial" w:cs="Arial" w:eastAsia="Arial" w:hAnsi="Arial"/>
          <w:sz w:val="18"/>
          <w:szCs w:val="18"/>
          <w:color w:val="231F20"/>
        </w:rPr>
        <w:t>to the</w:t>
      </w:r>
      <w:r>
        <w:rPr>
          <w:rFonts w:ascii="Arial" w:cs="Arial" w:eastAsia="Arial" w:hAnsi="Arial"/>
          <w:sz w:val="18"/>
          <w:szCs w:val="18"/>
          <w:color w:val="auto"/>
        </w:rPr>
        <w:t xml:space="preserve"> consolidated financial statements included in the </w:t>
      </w:r>
      <w:r>
        <w:rPr>
          <w:rFonts w:ascii="Arial" w:cs="Arial" w:eastAsia="Arial" w:hAnsi="Arial"/>
          <w:sz w:val="18"/>
          <w:szCs w:val="18"/>
          <w:color w:val="231F20"/>
        </w:rPr>
        <w:t>Company’s</w:t>
      </w:r>
      <w:r>
        <w:rPr>
          <w:rFonts w:ascii="Arial" w:cs="Arial" w:eastAsia="Arial" w:hAnsi="Arial"/>
          <w:sz w:val="18"/>
          <w:szCs w:val="18"/>
          <w:color w:val="auto"/>
        </w:rPr>
        <w:t xml:space="preserve"> 2022 Form 10-K, the following item is a discussion of the concentration of credit risk for the Company’s financial instruments. 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(ii) monitoring of counterparties' credit limits on an as needed basis; (iii) as applicable, the use of credit mitigation measures such as margin, collateral, prepayment arrangements, or volumetric limits; (iv) the use of payment netting agreements; and (v) the use of master netting agreements that allow for the netting of positive and negative exposures of various contracts associated with a single counterparty. Risks surrounding counterparty performance and credit could ultimately impact the amount and timing of expected cash flows. The Company seeks to mitigate counterparty risk by having a diversified portfolio of counterparties.</w:t>
      </w:r>
    </w:p>
    <w:p>
      <w:pPr>
        <w:spacing w:after="0" w:line="142"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Counterparty credit exposure includes credit risk exposure under certain long-term agreements, including solar and other PPAs. As external sources or observable market quotes are not available to estimate such exposure, the Company estimates the exposure related to these contracts based on various techniques including, but not limited to, internal models based on a fundamental analysis of the market and extrapolation of observable market data with similar characteristics. A significant portion of these commodity contracts are with utilities with strong credit quality and public utility commission or other regulatory support. However, such regulated utility counterparties can be impacted by changes in government regulations or adverse financial conditions, which the Company is unable to predict. Certain subsidiaries of the Company sell the output of their facilities to PG&amp;E, a significant counterparty of the Company, under long-term PPAs, and PG&amp;E’s credit rating is below investment-grade.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6 — </w:t>
      </w:r>
      <w:r>
        <w:rPr>
          <w:rFonts w:ascii="Arial" w:cs="Arial" w:eastAsia="Arial" w:hAnsi="Arial"/>
          <w:sz w:val="18"/>
          <w:szCs w:val="18"/>
          <w:b w:val="1"/>
          <w:bCs w:val="1"/>
          <w:i w:val="1"/>
          <w:iCs w:val="1"/>
          <w:color w:val="auto"/>
        </w:rPr>
        <w:t>Derivative Instruments and Hedging Activities</w:t>
      </w:r>
    </w:p>
    <w:p>
      <w:pPr>
        <w:spacing w:after="0" w:line="1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 xml:space="preserve">This footnote should be read in conjunction with the complete description under Item 15 — Note 7, </w:t>
      </w:r>
      <w:r>
        <w:rPr>
          <w:rFonts w:ascii="Arial" w:cs="Arial" w:eastAsia="Arial" w:hAnsi="Arial"/>
          <w:sz w:val="18"/>
          <w:szCs w:val="18"/>
          <w:i w:val="1"/>
          <w:iCs w:val="1"/>
          <w:color w:val="auto"/>
        </w:rPr>
        <w:t>Accounting for Derivative Instruments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Hedging Activities</w:t>
      </w:r>
      <w:r>
        <w:rPr>
          <w:rFonts w:ascii="Arial" w:cs="Arial" w:eastAsia="Arial" w:hAnsi="Arial"/>
          <w:sz w:val="18"/>
          <w:szCs w:val="18"/>
          <w:i w:val="1"/>
          <w:iCs w:val="1"/>
          <w:color w:val="231F20"/>
        </w:rPr>
        <w:t>,</w:t>
      </w:r>
      <w:r>
        <w:rPr>
          <w:rFonts w:ascii="Arial" w:cs="Arial" w:eastAsia="Arial" w:hAnsi="Arial"/>
          <w:sz w:val="18"/>
          <w:szCs w:val="18"/>
          <w:i w:val="1"/>
          <w:iCs w:val="1"/>
          <w:color w:val="auto"/>
        </w:rPr>
        <w:t xml:space="preserve"> </w:t>
      </w:r>
      <w:r>
        <w:rPr>
          <w:rFonts w:ascii="Arial" w:cs="Arial" w:eastAsia="Arial" w:hAnsi="Arial"/>
          <w:sz w:val="18"/>
          <w:szCs w:val="18"/>
          <w:color w:val="231F20"/>
        </w:rPr>
        <w:t>to the consolidated financial statements included in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2022 Form 10-K.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Swaps</w:t>
      </w:r>
    </w:p>
    <w:p>
      <w:pPr>
        <w:spacing w:after="0" w:line="171"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The Company enters into interest rate swap agreements in order to hedge the variability of expected future cash interest payments. As of June 30, 2023, the Company had interest rate derivative instruments on non-recourse debt extending through 2040, a portion of which were designated as cash flow hedges. Under the interest rate swap agreements, the Company pays a fixed rate and the counterparties to the agreements pay a variable interest rate.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Energy-Related Commodities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June 30, 2023, the Company had energy-related derivative instruments extending through 2033. At June 30, 2023, these contracts were not designated as cash flow or fair value hedges.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Volumetric Underlying Derivative Transactions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the net notional volume buy/(sell) of the Company’s open derivative transactions broken out by commodity:</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440" w:type="dxa"/>
            <w:vAlign w:val="bottom"/>
            <w:gridSpan w:val="3"/>
          </w:tcPr>
          <w:p>
            <w:pPr>
              <w:ind w:left="140"/>
              <w:spacing w:after="0"/>
              <w:rPr>
                <w:sz w:val="20"/>
                <w:szCs w:val="20"/>
                <w:color w:val="auto"/>
              </w:rPr>
            </w:pPr>
            <w:r>
              <w:rPr>
                <w:rFonts w:ascii="Arial" w:cs="Arial" w:eastAsia="Arial" w:hAnsi="Arial"/>
                <w:sz w:val="14"/>
                <w:szCs w:val="14"/>
                <w:b w:val="1"/>
                <w:bCs w:val="1"/>
                <w:color w:val="auto"/>
              </w:rPr>
              <w:t>Total Volume</w:t>
            </w:r>
          </w:p>
        </w:tc>
      </w:tr>
      <w:tr>
        <w:trPr>
          <w:trHeight w:val="25"/>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1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80"/>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2023</w:t>
            </w:r>
          </w:p>
        </w:tc>
        <w:tc>
          <w:tcPr>
            <w:tcW w:w="5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w w:val="90"/>
              </w:rPr>
              <w:t>December 31, 2022</w:t>
            </w:r>
          </w:p>
        </w:tc>
      </w:tr>
      <w:tr>
        <w:trPr>
          <w:trHeight w:val="145"/>
        </w:trPr>
        <w:tc>
          <w:tcPr>
            <w:tcW w:w="20" w:type="dxa"/>
            <w:vAlign w:val="bottom"/>
          </w:tcPr>
          <w:p>
            <w:pPr>
              <w:spacing w:after="0"/>
              <w:rPr>
                <w:sz w:val="12"/>
                <w:szCs w:val="12"/>
                <w:color w:val="auto"/>
              </w:rPr>
            </w:pPr>
          </w:p>
        </w:tc>
        <w:tc>
          <w:tcPr>
            <w:tcW w:w="740" w:type="dxa"/>
            <w:vAlign w:val="bottom"/>
          </w:tcPr>
          <w:p>
            <w:pPr>
              <w:spacing w:after="0" w:line="145" w:lineRule="exact"/>
              <w:rPr>
                <w:sz w:val="20"/>
                <w:szCs w:val="20"/>
                <w:color w:val="auto"/>
              </w:rPr>
            </w:pPr>
            <w:r>
              <w:rPr>
                <w:rFonts w:ascii="Arial" w:cs="Arial" w:eastAsia="Arial" w:hAnsi="Arial"/>
                <w:sz w:val="14"/>
                <w:szCs w:val="14"/>
                <w:b w:val="1"/>
                <w:bCs w:val="1"/>
                <w:color w:val="auto"/>
                <w:w w:val="93"/>
              </w:rPr>
              <w:t>Commodity</w:t>
            </w:r>
          </w:p>
        </w:tc>
        <w:tc>
          <w:tcPr>
            <w:tcW w:w="6700" w:type="dxa"/>
            <w:vAlign w:val="bottom"/>
            <w:gridSpan w:val="3"/>
          </w:tcPr>
          <w:p>
            <w:pPr>
              <w:ind w:left="1180"/>
              <w:spacing w:after="0" w:line="145" w:lineRule="exact"/>
              <w:rPr>
                <w:sz w:val="20"/>
                <w:szCs w:val="20"/>
                <w:color w:val="auto"/>
              </w:rPr>
            </w:pPr>
            <w:r>
              <w:rPr>
                <w:rFonts w:ascii="Arial" w:cs="Arial" w:eastAsia="Arial" w:hAnsi="Arial"/>
                <w:sz w:val="14"/>
                <w:szCs w:val="14"/>
                <w:b w:val="1"/>
                <w:bCs w:val="1"/>
                <w:color w:val="auto"/>
              </w:rPr>
              <w:t>Units</w:t>
            </w:r>
          </w:p>
        </w:tc>
        <w:tc>
          <w:tcPr>
            <w:tcW w:w="1340" w:type="dxa"/>
            <w:vAlign w:val="bottom"/>
          </w:tcPr>
          <w:p>
            <w:pPr>
              <w:spacing w:after="0"/>
              <w:rPr>
                <w:sz w:val="12"/>
                <w:szCs w:val="12"/>
                <w:color w:val="auto"/>
              </w:rPr>
            </w:pPr>
          </w:p>
        </w:tc>
        <w:tc>
          <w:tcPr>
            <w:tcW w:w="940" w:type="dxa"/>
            <w:vAlign w:val="bottom"/>
            <w:gridSpan w:val="2"/>
          </w:tcPr>
          <w:p>
            <w:pPr>
              <w:ind w:left="160"/>
              <w:spacing w:after="0" w:line="145" w:lineRule="exact"/>
              <w:rPr>
                <w:sz w:val="20"/>
                <w:szCs w:val="20"/>
                <w:color w:val="auto"/>
              </w:rPr>
            </w:pPr>
            <w:r>
              <w:rPr>
                <w:rFonts w:ascii="Arial" w:cs="Arial" w:eastAsia="Arial" w:hAnsi="Arial"/>
                <w:sz w:val="14"/>
                <w:szCs w:val="14"/>
                <w:b w:val="1"/>
                <w:bCs w:val="1"/>
                <w:color w:val="auto"/>
                <w:w w:val="96"/>
              </w:rPr>
              <w:t>(In millions)</w:t>
            </w:r>
          </w:p>
        </w:tc>
        <w:tc>
          <w:tcPr>
            <w:tcW w:w="1500" w:type="dxa"/>
            <w:vAlign w:val="bottom"/>
          </w:tcPr>
          <w:p>
            <w:pPr>
              <w:spacing w:after="0"/>
              <w:rPr>
                <w:sz w:val="12"/>
                <w:szCs w:val="12"/>
                <w:color w:val="auto"/>
              </w:rPr>
            </w:pPr>
          </w:p>
        </w:tc>
      </w:tr>
      <w:tr>
        <w:trPr>
          <w:trHeight w:val="34"/>
        </w:trPr>
        <w:tc>
          <w:tcPr>
            <w:tcW w:w="20" w:type="dxa"/>
            <w:vAlign w:val="bottom"/>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5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Power</w:t>
            </w:r>
          </w:p>
        </w:tc>
        <w:tc>
          <w:tcPr>
            <w:tcW w:w="6700" w:type="dxa"/>
            <w:vAlign w:val="bottom"/>
            <w:gridSpan w:val="3"/>
            <w:shd w:val="clear" w:color="auto" w:fill="CCEEFF"/>
          </w:tcPr>
          <w:p>
            <w:pPr>
              <w:ind w:left="1180"/>
              <w:spacing w:after="0"/>
              <w:rPr>
                <w:sz w:val="20"/>
                <w:szCs w:val="20"/>
                <w:color w:val="auto"/>
              </w:rPr>
            </w:pPr>
            <w:r>
              <w:rPr>
                <w:rFonts w:ascii="Arial" w:cs="Arial" w:eastAsia="Arial" w:hAnsi="Arial"/>
                <w:sz w:val="18"/>
                <w:szCs w:val="18"/>
                <w:color w:val="auto"/>
              </w:rPr>
              <w:t>MWh</w:t>
            </w:r>
          </w:p>
        </w:tc>
        <w:tc>
          <w:tcPr>
            <w:tcW w:w="1340" w:type="dxa"/>
            <w:vAlign w:val="bottom"/>
            <w:shd w:val="clear" w:color="auto" w:fill="CCEEFF"/>
          </w:tcPr>
          <w:p>
            <w:pPr>
              <w:spacing w:after="0"/>
              <w:rPr>
                <w:sz w:val="19"/>
                <w:szCs w:val="19"/>
                <w:color w:val="auto"/>
              </w:rPr>
            </w:pPr>
          </w:p>
        </w:tc>
        <w:tc>
          <w:tcPr>
            <w:tcW w:w="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(17)</w:t>
            </w:r>
          </w:p>
        </w:tc>
        <w:tc>
          <w:tcPr>
            <w:tcW w:w="4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Interest</w:t>
            </w:r>
          </w:p>
        </w:tc>
        <w:tc>
          <w:tcPr>
            <w:tcW w:w="6700" w:type="dxa"/>
            <w:vAlign w:val="bottom"/>
            <w:gridSpan w:val="3"/>
          </w:tcPr>
          <w:p>
            <w:pPr>
              <w:ind w:left="1180"/>
              <w:spacing w:after="0"/>
              <w:rPr>
                <w:sz w:val="20"/>
                <w:szCs w:val="20"/>
                <w:color w:val="auto"/>
              </w:rPr>
            </w:pPr>
            <w:r>
              <w:rPr>
                <w:rFonts w:ascii="Arial" w:cs="Arial" w:eastAsia="Arial" w:hAnsi="Arial"/>
                <w:sz w:val="18"/>
                <w:szCs w:val="18"/>
                <w:color w:val="auto"/>
              </w:rPr>
              <w:t>Dollars</w:t>
            </w:r>
          </w:p>
        </w:tc>
        <w:tc>
          <w:tcPr>
            <w:tcW w:w="1340" w:type="dxa"/>
            <w:vAlign w:val="bottom"/>
          </w:tcPr>
          <w:p>
            <w:pPr>
              <w:jc w:val="right"/>
              <w:ind w:right="1159"/>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ind w:right="39"/>
              <w:spacing w:after="0"/>
              <w:rPr>
                <w:sz w:val="20"/>
                <w:szCs w:val="20"/>
                <w:color w:val="auto"/>
              </w:rPr>
            </w:pPr>
            <w:r>
              <w:rPr>
                <w:rFonts w:ascii="Arial" w:cs="Arial" w:eastAsia="Arial" w:hAnsi="Arial"/>
                <w:sz w:val="18"/>
                <w:szCs w:val="18"/>
                <w:color w:val="auto"/>
                <w:w w:val="88"/>
              </w:rPr>
              <w:t>1,667</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1,084</w:t>
            </w:r>
          </w:p>
        </w:tc>
      </w:tr>
    </w:tbl>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Fair Value of Derivative Instruments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fair value within the derivative instrument valuation on the consolidated balance sheets: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Fair Value</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6"/>
        </w:trPr>
        <w:tc>
          <w:tcPr>
            <w:tcW w:w="4620" w:type="dxa"/>
            <w:vAlign w:val="bottom"/>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r>
      <w:tr>
        <w:trPr>
          <w:trHeight w:val="181"/>
        </w:trPr>
        <w:tc>
          <w:tcPr>
            <w:tcW w:w="4620" w:type="dxa"/>
            <w:vAlign w:val="bottom"/>
          </w:tcPr>
          <w:p>
            <w:pPr>
              <w:spacing w:after="0"/>
              <w:rPr>
                <w:sz w:val="15"/>
                <w:szCs w:val="15"/>
                <w:color w:val="auto"/>
              </w:rPr>
            </w:pPr>
          </w:p>
        </w:tc>
        <w:tc>
          <w:tcPr>
            <w:tcW w:w="3240" w:type="dxa"/>
            <w:vAlign w:val="bottom"/>
            <w:tcBorders>
              <w:bottom w:val="single" w:sz="8" w:color="auto"/>
            </w:tcBorders>
            <w:gridSpan w:val="5"/>
          </w:tcPr>
          <w:p>
            <w:pPr>
              <w:jc w:val="right"/>
              <w:ind w:right="1015"/>
              <w:spacing w:after="0"/>
              <w:rPr>
                <w:sz w:val="20"/>
                <w:szCs w:val="20"/>
                <w:color w:val="auto"/>
              </w:rPr>
            </w:pPr>
            <w:r>
              <w:rPr>
                <w:rFonts w:ascii="Arial" w:cs="Arial" w:eastAsia="Arial" w:hAnsi="Arial"/>
                <w:sz w:val="14"/>
                <w:szCs w:val="14"/>
                <w:b w:val="1"/>
                <w:bCs w:val="1"/>
                <w:color w:val="auto"/>
              </w:rPr>
              <w:t>Derivative Assets</w:t>
            </w:r>
          </w:p>
        </w:tc>
        <w:tc>
          <w:tcPr>
            <w:tcW w:w="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4"/>
          </w:tcPr>
          <w:p>
            <w:pPr>
              <w:jc w:val="right"/>
              <w:ind w:right="912"/>
              <w:spacing w:after="0"/>
              <w:rPr>
                <w:sz w:val="20"/>
                <w:szCs w:val="20"/>
                <w:color w:val="auto"/>
              </w:rPr>
            </w:pPr>
            <w:r>
              <w:rPr>
                <w:rFonts w:ascii="Arial" w:cs="Arial" w:eastAsia="Arial" w:hAnsi="Arial"/>
                <w:sz w:val="14"/>
                <w:szCs w:val="14"/>
                <w:b w:val="1"/>
                <w:bCs w:val="1"/>
                <w:color w:val="auto"/>
              </w:rPr>
              <w:t>Derivative Liabilities</w:t>
            </w:r>
          </w:p>
        </w:tc>
      </w:tr>
      <w:tr>
        <w:trPr>
          <w:trHeight w:val="191"/>
        </w:trPr>
        <w:tc>
          <w:tcPr>
            <w:tcW w:w="4620" w:type="dxa"/>
            <w:vAlign w:val="bottom"/>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2023</w:t>
            </w:r>
          </w:p>
        </w:tc>
        <w:tc>
          <w:tcPr>
            <w:tcW w:w="3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5"/>
              </w:rPr>
              <w:t>December 31, 2022</w:t>
            </w:r>
          </w:p>
        </w:tc>
        <w:tc>
          <w:tcPr>
            <w:tcW w:w="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w w:val="92"/>
              </w:rPr>
              <w:t>June 30, 2023</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3"/>
              </w:rPr>
              <w:t>December 31, 2022</w:t>
            </w:r>
          </w:p>
        </w:tc>
      </w:tr>
      <w:tr>
        <w:trPr>
          <w:trHeight w:val="194"/>
        </w:trPr>
        <w:tc>
          <w:tcPr>
            <w:tcW w:w="46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38"/>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Derivatives Designated as Cash Flow Hedges:</w:t>
            </w:r>
          </w:p>
        </w:tc>
        <w:tc>
          <w:tcPr>
            <w:tcW w:w="12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r>
      <w:tr>
        <w:trPr>
          <w:trHeight w:val="229"/>
        </w:trPr>
        <w:tc>
          <w:tcPr>
            <w:tcW w:w="4620" w:type="dxa"/>
            <w:vAlign w:val="bottom"/>
          </w:tcPr>
          <w:p>
            <w:pPr>
              <w:ind w:left="140"/>
              <w:spacing w:after="0"/>
              <w:rPr>
                <w:sz w:val="20"/>
                <w:szCs w:val="20"/>
                <w:color w:val="auto"/>
              </w:rPr>
            </w:pPr>
            <w:r>
              <w:rPr>
                <w:rFonts w:ascii="Arial" w:cs="Arial" w:eastAsia="Arial" w:hAnsi="Arial"/>
                <w:sz w:val="18"/>
                <w:szCs w:val="18"/>
                <w:color w:val="auto"/>
              </w:rPr>
              <w:t>Interest rate contracts current</w:t>
            </w:r>
          </w:p>
        </w:tc>
        <w:tc>
          <w:tcPr>
            <w:tcW w:w="1220" w:type="dxa"/>
            <w:vAlign w:val="bottom"/>
          </w:tcPr>
          <w:p>
            <w:pPr>
              <w:jc w:val="right"/>
              <w:ind w:right="1035"/>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7</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rate contracts long-term</w:t>
            </w:r>
          </w:p>
        </w:tc>
        <w:tc>
          <w:tcPr>
            <w:tcW w:w="122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Derivatives Designated as Cash Flow Hedges</w:t>
            </w:r>
          </w:p>
        </w:tc>
        <w:tc>
          <w:tcPr>
            <w:tcW w:w="1220" w:type="dxa"/>
            <w:vAlign w:val="bottom"/>
            <w:tcBorders>
              <w:bottom w:val="single" w:sz="8" w:color="auto"/>
            </w:tcBorders>
          </w:tcPr>
          <w:p>
            <w:pPr>
              <w:jc w:val="right"/>
              <w:ind w:right="1035"/>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Derivatives Not Designated as Cash Flow Hedges:</w:t>
            </w:r>
          </w:p>
        </w:tc>
        <w:tc>
          <w:tcPr>
            <w:tcW w:w="1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9"/>
        </w:trPr>
        <w:tc>
          <w:tcPr>
            <w:tcW w:w="4620" w:type="dxa"/>
            <w:vAlign w:val="bottom"/>
          </w:tcPr>
          <w:p>
            <w:pPr>
              <w:ind w:left="140"/>
              <w:spacing w:after="0"/>
              <w:rPr>
                <w:sz w:val="20"/>
                <w:szCs w:val="20"/>
                <w:color w:val="auto"/>
              </w:rPr>
            </w:pPr>
            <w:r>
              <w:rPr>
                <w:rFonts w:ascii="Arial" w:cs="Arial" w:eastAsia="Arial" w:hAnsi="Arial"/>
                <w:sz w:val="18"/>
                <w:szCs w:val="18"/>
                <w:color w:val="auto"/>
              </w:rPr>
              <w:t>Interest rate contracts current</w:t>
            </w:r>
          </w:p>
        </w:tc>
        <w:tc>
          <w:tcPr>
            <w:tcW w:w="1220" w:type="dxa"/>
            <w:vAlign w:val="bottom"/>
          </w:tcPr>
          <w:p>
            <w:pPr>
              <w:jc w:val="right"/>
              <w:ind w:right="1035"/>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27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19</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rate contracts long-term</w:t>
            </w:r>
          </w:p>
        </w:tc>
        <w:tc>
          <w:tcPr>
            <w:tcW w:w="12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4620" w:type="dxa"/>
            <w:vAlign w:val="bottom"/>
          </w:tcPr>
          <w:p>
            <w:pPr>
              <w:ind w:left="140"/>
              <w:spacing w:after="0"/>
              <w:rPr>
                <w:sz w:val="20"/>
                <w:szCs w:val="20"/>
                <w:color w:val="auto"/>
              </w:rPr>
            </w:pPr>
            <w:r>
              <w:rPr>
                <w:rFonts w:ascii="Arial" w:cs="Arial" w:eastAsia="Arial" w:hAnsi="Arial"/>
                <w:sz w:val="18"/>
                <w:szCs w:val="18"/>
                <w:color w:val="auto"/>
              </w:rPr>
              <w:t>Commodity contracts current</w:t>
            </w:r>
          </w:p>
        </w:tc>
        <w:tc>
          <w:tcPr>
            <w:tcW w:w="12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36"/>
        </w:trPr>
        <w:tc>
          <w:tcPr>
            <w:tcW w:w="4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Commodity contracts long-term</w:t>
            </w:r>
          </w:p>
        </w:tc>
        <w:tc>
          <w:tcPr>
            <w:tcW w:w="122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w:t>
            </w:r>
          </w:p>
        </w:tc>
      </w:tr>
      <w:tr>
        <w:trPr>
          <w:trHeight w:val="223"/>
        </w:trPr>
        <w:tc>
          <w:tcPr>
            <w:tcW w:w="4620" w:type="dxa"/>
            <w:vAlign w:val="bottom"/>
          </w:tcPr>
          <w:p>
            <w:pPr>
              <w:ind w:left="20"/>
              <w:spacing w:after="0"/>
              <w:rPr>
                <w:sz w:val="20"/>
                <w:szCs w:val="20"/>
                <w:color w:val="auto"/>
              </w:rPr>
            </w:pPr>
            <w:r>
              <w:rPr>
                <w:rFonts w:ascii="Arial" w:cs="Arial" w:eastAsia="Arial" w:hAnsi="Arial"/>
                <w:sz w:val="18"/>
                <w:szCs w:val="18"/>
                <w:b w:val="1"/>
                <w:bCs w:val="1"/>
                <w:color w:val="auto"/>
                <w:w w:val="97"/>
              </w:rPr>
              <w:t>Total Derivatives Not Designated as Cash Flow Hedges</w:t>
            </w:r>
          </w:p>
        </w:tc>
        <w:tc>
          <w:tcPr>
            <w:tcW w:w="1220" w:type="dxa"/>
            <w:vAlign w:val="bottom"/>
            <w:tcBorders>
              <w:bottom w:val="single" w:sz="8" w:color="auto"/>
            </w:tcBorders>
          </w:tcPr>
          <w:p>
            <w:pPr>
              <w:jc w:val="right"/>
              <w:ind w:right="1035"/>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w:t>
            </w:r>
          </w:p>
        </w:tc>
      </w:tr>
      <w:tr>
        <w:trPr>
          <w:trHeight w:val="257"/>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Derivatives</w:t>
            </w:r>
          </w:p>
        </w:tc>
        <w:tc>
          <w:tcPr>
            <w:tcW w:w="1220" w:type="dxa"/>
            <w:vAlign w:val="bottom"/>
            <w:shd w:val="clear" w:color="auto" w:fill="CCEEFF"/>
          </w:tcPr>
          <w:p>
            <w:pPr>
              <w:jc w:val="right"/>
              <w:ind w:right="1035"/>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Company has elected to present derivative assets and liabilities on the balance sheet on a trade-by-trade basis and does not offset amounts at the counterparty level. As of June 30, 2023 and December 31, 2022, the amount of outstanding collateral paid or received was immaterial. The following tables summarize the offsetting of derivatives by counterparty:</w:t>
      </w:r>
    </w:p>
    <w:p>
      <w:pPr>
        <w:spacing w:after="0" w:line="54" w:lineRule="exact"/>
        <w:rPr>
          <w:sz w:val="20"/>
          <w:szCs w:val="20"/>
          <w:color w:val="auto"/>
        </w:rPr>
      </w:pPr>
    </w:p>
    <w:p>
      <w:pPr>
        <w:ind w:left="5860"/>
        <w:spacing w:after="0"/>
        <w:rPr>
          <w:sz w:val="20"/>
          <w:szCs w:val="20"/>
          <w:color w:val="auto"/>
        </w:rPr>
      </w:pPr>
      <w:r>
        <w:rPr>
          <w:rFonts w:ascii="Arial" w:cs="Arial" w:eastAsia="Arial" w:hAnsi="Arial"/>
          <w:sz w:val="14"/>
          <w:szCs w:val="14"/>
          <w:b w:val="1"/>
          <w:bCs w:val="1"/>
          <w:color w:val="auto"/>
        </w:rPr>
        <w:t>Gross Amounts Not Offset in the Statement of Financial Position</w:t>
      </w:r>
    </w:p>
    <w:p>
      <w:pPr>
        <w:sectPr>
          <w:pgSz w:w="11900" w:h="16838" w:orient="portrait"/>
          <w:cols w:equalWidth="0" w:num="1">
            <w:col w:w="11240"/>
          </w:cols>
          <w:pgMar w:left="320" w:top="895" w:right="339" w:bottom="1440" w:gutter="0" w:footer="0" w:header="0"/>
        </w:sectPr>
      </w:pPr>
    </w:p>
    <w:p>
      <w:pPr>
        <w:spacing w:after="0" w:line="181"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As of June 30, 2023</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Commodity contracts</w:t>
      </w:r>
    </w:p>
    <w:p>
      <w:pPr>
        <w:spacing w:after="0" w:line="58" w:lineRule="exact"/>
        <w:rPr>
          <w:sz w:val="20"/>
          <w:szCs w:val="20"/>
          <w:color w:val="auto"/>
        </w:rPr>
      </w:pPr>
    </w:p>
    <w:p>
      <w:pPr>
        <w:jc w:val="right"/>
        <w:ind w:right="2020"/>
        <w:spacing w:after="0"/>
        <w:rPr>
          <w:sz w:val="20"/>
          <w:szCs w:val="20"/>
          <w:color w:val="auto"/>
        </w:rPr>
      </w:pPr>
      <w:r>
        <w:rPr>
          <w:rFonts w:ascii="Arial" w:cs="Arial" w:eastAsia="Arial" w:hAnsi="Arial"/>
          <w:sz w:val="18"/>
          <w:szCs w:val="18"/>
          <w:color w:val="auto"/>
        </w:rPr>
        <w:t>Derivative liabilities</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3"/>
        </w:trPr>
        <w:tc>
          <w:tcPr>
            <w:tcW w:w="200" w:type="dxa"/>
            <w:vAlign w:val="bottom"/>
            <w:tcBorders>
              <w:top w:val="single" w:sz="8" w:color="auto"/>
            </w:tcBorders>
          </w:tcPr>
          <w:p>
            <w:pPr>
              <w:spacing w:after="0"/>
              <w:rPr>
                <w:sz w:val="13"/>
                <w:szCs w:val="13"/>
                <w:color w:val="auto"/>
              </w:rPr>
            </w:pPr>
          </w:p>
        </w:tc>
        <w:tc>
          <w:tcPr>
            <w:tcW w:w="2260" w:type="dxa"/>
            <w:vAlign w:val="bottom"/>
            <w:tcBorders>
              <w:top w:val="single" w:sz="8" w:color="auto"/>
            </w:tcBorders>
          </w:tcPr>
          <w:p>
            <w:pPr>
              <w:jc w:val="center"/>
              <w:ind w:right="182"/>
              <w:spacing w:after="0" w:line="153" w:lineRule="exact"/>
              <w:rPr>
                <w:sz w:val="20"/>
                <w:szCs w:val="20"/>
                <w:color w:val="auto"/>
              </w:rPr>
            </w:pPr>
            <w:r>
              <w:rPr>
                <w:rFonts w:ascii="Arial" w:cs="Arial" w:eastAsia="Arial" w:hAnsi="Arial"/>
                <w:sz w:val="14"/>
                <w:szCs w:val="14"/>
                <w:b w:val="1"/>
                <w:bCs w:val="1"/>
                <w:color w:val="auto"/>
                <w:w w:val="89"/>
              </w:rPr>
              <w:t>Gross Amounts of Recognized</w:t>
            </w:r>
          </w:p>
        </w:tc>
        <w:tc>
          <w:tcPr>
            <w:tcW w:w="360" w:type="dxa"/>
            <w:vAlign w:val="bottom"/>
            <w:tcBorders>
              <w:top w:val="single" w:sz="8" w:color="auto"/>
            </w:tcBorders>
          </w:tcPr>
          <w:p>
            <w:pPr>
              <w:spacing w:after="0"/>
              <w:rPr>
                <w:sz w:val="13"/>
                <w:szCs w:val="13"/>
                <w:color w:val="auto"/>
              </w:rPr>
            </w:pPr>
          </w:p>
        </w:tc>
        <w:tc>
          <w:tcPr>
            <w:tcW w:w="2480" w:type="dxa"/>
            <w:vAlign w:val="bottom"/>
            <w:tcBorders>
              <w:top w:val="single" w:sz="8" w:color="auto"/>
            </w:tcBorders>
            <w:vMerge w:val="restart"/>
          </w:tcPr>
          <w:p>
            <w:pPr>
              <w:ind w:left="160"/>
              <w:spacing w:after="0"/>
              <w:rPr>
                <w:sz w:val="20"/>
                <w:szCs w:val="20"/>
                <w:color w:val="auto"/>
              </w:rPr>
            </w:pPr>
            <w:r>
              <w:rPr>
                <w:rFonts w:ascii="Arial" w:cs="Arial" w:eastAsia="Arial" w:hAnsi="Arial"/>
                <w:sz w:val="14"/>
                <w:szCs w:val="14"/>
                <w:b w:val="1"/>
                <w:bCs w:val="1"/>
                <w:color w:val="auto"/>
              </w:rPr>
              <w:t>Derivative Instruments</w:t>
            </w:r>
          </w:p>
        </w:tc>
        <w:tc>
          <w:tcPr>
            <w:tcW w:w="1500" w:type="dxa"/>
            <w:vAlign w:val="bottom"/>
            <w:tcBorders>
              <w:top w:val="single" w:sz="8" w:color="auto"/>
            </w:tcBorders>
            <w:vMerge w:val="restart"/>
          </w:tcPr>
          <w:p>
            <w:pPr>
              <w:jc w:val="right"/>
              <w:ind w:right="459"/>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92"/>
        </w:trPr>
        <w:tc>
          <w:tcPr>
            <w:tcW w:w="20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tcPr>
          <w:p>
            <w:pPr>
              <w:jc w:val="center"/>
              <w:ind w:right="182"/>
              <w:spacing w:after="0"/>
              <w:rPr>
                <w:sz w:val="20"/>
                <w:szCs w:val="20"/>
                <w:color w:val="auto"/>
              </w:rPr>
            </w:pPr>
            <w:r>
              <w:rPr>
                <w:rFonts w:ascii="Arial" w:cs="Arial" w:eastAsia="Arial" w:hAnsi="Arial"/>
                <w:sz w:val="14"/>
                <w:szCs w:val="14"/>
                <w:b w:val="1"/>
                <w:bCs w:val="1"/>
                <w:color w:val="auto"/>
                <w:w w:val="90"/>
              </w:rPr>
              <w:t>Assets/Liabilities</w:t>
            </w:r>
          </w:p>
        </w:tc>
        <w:tc>
          <w:tcPr>
            <w:tcW w:w="3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vMerge w:val="continue"/>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80" w:type="dxa"/>
            <w:vAlign w:val="bottom"/>
          </w:tcPr>
          <w:p>
            <w:pPr>
              <w:ind w:left="200"/>
              <w:spacing w:after="0"/>
              <w:rPr>
                <w:sz w:val="20"/>
                <w:szCs w:val="20"/>
                <w:color w:val="auto"/>
              </w:rPr>
            </w:pPr>
            <w:r>
              <w:rPr>
                <w:rFonts w:ascii="Arial" w:cs="Arial" w:eastAsia="Arial" w:hAnsi="Arial"/>
                <w:sz w:val="14"/>
                <w:szCs w:val="14"/>
                <w:b w:val="1"/>
                <w:bCs w:val="1"/>
                <w:color w:val="auto"/>
              </w:rPr>
              <w:t>(In millions)</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2260" w:type="dxa"/>
            <w:vAlign w:val="bottom"/>
          </w:tcPr>
          <w:p>
            <w:pPr>
              <w:jc w:val="right"/>
              <w:ind w:right="2"/>
              <w:spacing w:after="0"/>
              <w:rPr>
                <w:sz w:val="20"/>
                <w:szCs w:val="20"/>
                <w:color w:val="auto"/>
              </w:rPr>
            </w:pPr>
            <w:r>
              <w:rPr>
                <w:rFonts w:ascii="Arial" w:cs="Arial" w:eastAsia="Arial" w:hAnsi="Arial"/>
                <w:sz w:val="18"/>
                <w:szCs w:val="18"/>
                <w:color w:val="auto"/>
              </w:rPr>
              <w:t>(303)</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480" w:type="dxa"/>
            <w:vAlign w:val="bottom"/>
          </w:tcPr>
          <w:p>
            <w:pPr>
              <w:ind w:left="1800"/>
              <w:spacing w:after="0"/>
              <w:rPr>
                <w:sz w:val="20"/>
                <w:szCs w:val="20"/>
                <w:color w:val="auto"/>
              </w:rPr>
            </w:pPr>
            <w:r>
              <w:rPr>
                <w:rFonts w:ascii="Arial" w:cs="Arial" w:eastAsia="Arial" w:hAnsi="Arial"/>
                <w:sz w:val="18"/>
                <w:szCs w:val="18"/>
                <w:color w:val="auto"/>
              </w:rPr>
              <w:t>—  $</w:t>
            </w:r>
          </w:p>
        </w:tc>
        <w:tc>
          <w:tcPr>
            <w:tcW w:w="1500" w:type="dxa"/>
            <w:vAlign w:val="bottom"/>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-2813685</wp:posOffset>
            </wp:positionH>
            <wp:positionV relativeFrom="paragraph">
              <wp:posOffset>-290830</wp:posOffset>
            </wp:positionV>
            <wp:extent cx="7132320"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1" w:lineRule="exact"/>
        <w:rPr>
          <w:sz w:val="20"/>
          <w:szCs w:val="20"/>
          <w:color w:val="auto"/>
        </w:rPr>
      </w:pPr>
    </w:p>
    <w:p>
      <w:pPr>
        <w:sectPr>
          <w:pgSz w:w="11900" w:h="16838" w:orient="portrait"/>
          <w:cols w:equalWidth="0" w:num="2">
            <w:col w:w="3720" w:space="720"/>
            <w:col w:w="6800"/>
          </w:cols>
          <w:pgMar w:left="320" w:top="895" w:right="339" w:bottom="1440" w:gutter="0" w:footer="0" w:header="0"/>
          <w:type w:val="continuous"/>
        </w:sectPr>
      </w:pPr>
    </w:p>
    <w:tbl>
      <w:tblPr>
        <w:tblLayout w:type="fixed"/>
        <w:tblInd w:w="0" w:type="dxa"/>
        <w:tblCellMar>
          <w:top w:w="0" w:type="dxa"/>
          <w:left w:w="0" w:type="dxa"/>
          <w:bottom w:w="0" w:type="dxa"/>
          <w:right w:w="0" w:type="dxa"/>
        </w:tblCellMar>
      </w:tblPr>
      <w:tr>
        <w:trPr>
          <w:trHeight w:val="225"/>
        </w:trPr>
        <w:tc>
          <w:tcPr>
            <w:tcW w:w="4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commodity contracts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2060" w:type="dxa"/>
            <w:vAlign w:val="bottom"/>
            <w:tcBorders>
              <w:top w:val="single" w:sz="8" w:color="auto"/>
              <w:bottom w:val="single" w:sz="8" w:color="auto"/>
            </w:tcBorders>
            <w:gridSpan w:val="2"/>
            <w:shd w:val="clear" w:color="auto" w:fill="CCEEFF"/>
          </w:tcPr>
          <w:p>
            <w:pPr>
              <w:ind w:left="18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19"/>
        </w:trPr>
        <w:tc>
          <w:tcPr>
            <w:tcW w:w="4440" w:type="dxa"/>
            <w:vAlign w:val="bottom"/>
          </w:tcPr>
          <w:p>
            <w:pPr>
              <w:ind w:left="20"/>
              <w:spacing w:after="0"/>
              <w:rPr>
                <w:sz w:val="20"/>
                <w:szCs w:val="20"/>
                <w:color w:val="auto"/>
              </w:rPr>
            </w:pPr>
            <w:r>
              <w:rPr>
                <w:rFonts w:ascii="Arial" w:cs="Arial" w:eastAsia="Arial" w:hAnsi="Arial"/>
                <w:sz w:val="18"/>
                <w:szCs w:val="18"/>
                <w:b w:val="1"/>
                <w:bCs w:val="1"/>
                <w:color w:val="auto"/>
              </w:rPr>
              <w:t>Interest rate contracts</w:t>
            </w:r>
          </w:p>
        </w:tc>
        <w:tc>
          <w:tcPr>
            <w:tcW w:w="2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Derivative assets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060" w:type="dxa"/>
            <w:vAlign w:val="bottom"/>
            <w:gridSpan w:val="2"/>
            <w:shd w:val="clear" w:color="auto" w:fill="CCEEFF"/>
          </w:tcPr>
          <w:p>
            <w:pPr>
              <w:ind w:left="180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23"/>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interest rate contracts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2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2060" w:type="dxa"/>
            <w:vAlign w:val="bottom"/>
            <w:tcBorders>
              <w:top w:val="single" w:sz="8" w:color="auto"/>
              <w:bottom w:val="single" w:sz="8" w:color="auto"/>
            </w:tcBorders>
            <w:gridSpan w:val="2"/>
          </w:tcPr>
          <w:p>
            <w:pPr>
              <w:ind w:left="18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48"/>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derivative instruments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2060" w:type="dxa"/>
            <w:vAlign w:val="bottom"/>
            <w:tcBorders>
              <w:bottom w:val="single" w:sz="8" w:color="auto"/>
            </w:tcBorders>
            <w:gridSpan w:val="2"/>
            <w:shd w:val="clear" w:color="auto" w:fill="CCEEFF"/>
          </w:tcPr>
          <w:p>
            <w:pPr>
              <w:ind w:left="18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4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Gross Amounts Not Offset in the Statement of Financial Position</w:t>
            </w: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444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As of December 31, 2022</w:t>
            </w:r>
          </w:p>
        </w:tc>
        <w:tc>
          <w:tcPr>
            <w:tcW w:w="200" w:type="dxa"/>
            <w:vAlign w:val="bottom"/>
          </w:tcPr>
          <w:p>
            <w:pPr>
              <w:spacing w:after="0"/>
              <w:rPr>
                <w:sz w:val="12"/>
                <w:szCs w:val="12"/>
                <w:color w:val="auto"/>
              </w:rPr>
            </w:pPr>
          </w:p>
        </w:tc>
        <w:tc>
          <w:tcPr>
            <w:tcW w:w="2220" w:type="dxa"/>
            <w:vAlign w:val="bottom"/>
          </w:tcPr>
          <w:p>
            <w:pPr>
              <w:jc w:val="right"/>
              <w:ind w:right="215"/>
              <w:spacing w:after="0" w:line="139" w:lineRule="exact"/>
              <w:rPr>
                <w:sz w:val="20"/>
                <w:szCs w:val="20"/>
                <w:color w:val="auto"/>
              </w:rPr>
            </w:pPr>
            <w:r>
              <w:rPr>
                <w:rFonts w:ascii="Arial" w:cs="Arial" w:eastAsia="Arial" w:hAnsi="Arial"/>
                <w:sz w:val="14"/>
                <w:szCs w:val="14"/>
                <w:b w:val="1"/>
                <w:bCs w:val="1"/>
                <w:color w:val="auto"/>
                <w:w w:val="92"/>
              </w:rPr>
              <w:t>Gross Amounts of Recognized</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4440" w:type="dxa"/>
            <w:vAlign w:val="bottom"/>
            <w:tcBorders>
              <w:bottom w:val="single" w:sz="8" w:color="CCEEFF"/>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Assets/Liabilities</w:t>
            </w: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Derivative Instruments</w:t>
            </w: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223"/>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Commodity contracts</w:t>
            </w:r>
          </w:p>
        </w:tc>
        <w:tc>
          <w:tcPr>
            <w:tcW w:w="20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ind w:left="200"/>
              <w:spacing w:after="0"/>
              <w:rPr>
                <w:sz w:val="20"/>
                <w:szCs w:val="20"/>
                <w:color w:val="auto"/>
              </w:rPr>
            </w:pPr>
            <w:r>
              <w:rPr>
                <w:rFonts w:ascii="Arial" w:cs="Arial" w:eastAsia="Arial" w:hAnsi="Arial"/>
                <w:sz w:val="14"/>
                <w:szCs w:val="14"/>
                <w:b w:val="1"/>
                <w:bCs w:val="1"/>
                <w:color w:val="auto"/>
              </w:rPr>
              <w:t>(In millions)</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220"/>
              <w:spacing w:after="0"/>
              <w:rPr>
                <w:sz w:val="20"/>
                <w:szCs w:val="20"/>
                <w:color w:val="auto"/>
              </w:rPr>
            </w:pPr>
            <w:r>
              <w:rPr>
                <w:rFonts w:ascii="Arial" w:cs="Arial" w:eastAsia="Arial" w:hAnsi="Arial"/>
                <w:sz w:val="18"/>
                <w:szCs w:val="18"/>
                <w:color w:val="auto"/>
              </w:rPr>
              <w:t>Derivative liabilities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2220" w:type="dxa"/>
            <w:vAlign w:val="bottom"/>
          </w:tcPr>
          <w:p>
            <w:pPr>
              <w:jc w:val="right"/>
              <w:spacing w:after="0"/>
              <w:rPr>
                <w:sz w:val="20"/>
                <w:szCs w:val="20"/>
                <w:color w:val="auto"/>
              </w:rPr>
            </w:pPr>
            <w:r>
              <w:rPr>
                <w:rFonts w:ascii="Arial" w:cs="Arial" w:eastAsia="Arial" w:hAnsi="Arial"/>
                <w:sz w:val="18"/>
                <w:szCs w:val="18"/>
                <w:color w:val="auto"/>
              </w:rPr>
              <w:t>(353)</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2060" w:type="dxa"/>
            <w:vAlign w:val="bottom"/>
            <w:gridSpan w:val="2"/>
          </w:tcPr>
          <w:p>
            <w:pPr>
              <w:ind w:left="180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23"/>
        </w:trPr>
        <w:tc>
          <w:tcPr>
            <w:tcW w:w="4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commodity contracts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20" w:type="dxa"/>
            <w:vAlign w:val="bottom"/>
            <w:tcBorders>
              <w:top w:val="single" w:sz="8" w:color="CCEEFF"/>
              <w:bottom w:val="single" w:sz="8" w:color="auto"/>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2040" w:type="dxa"/>
            <w:vAlign w:val="bottom"/>
            <w:tcBorders>
              <w:top w:val="single" w:sz="8" w:color="auto"/>
              <w:bottom w:val="single" w:sz="8" w:color="auto"/>
            </w:tcBorders>
            <w:shd w:val="clear" w:color="auto" w:fill="CCEEFF"/>
          </w:tcPr>
          <w:p>
            <w:pPr>
              <w:ind w:left="180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auto"/>
            </w:tcBorders>
            <w:shd w:val="clear" w:color="auto" w:fill="CCEEFF"/>
          </w:tcPr>
          <w:p>
            <w:pPr>
              <w:spacing w:after="0"/>
              <w:rPr>
                <w:sz w:val="19"/>
                <w:szCs w:val="19"/>
                <w:color w:val="auto"/>
              </w:rPr>
            </w:pPr>
          </w:p>
        </w:tc>
        <w:tc>
          <w:tcPr>
            <w:tcW w:w="120" w:type="dxa"/>
            <w:vAlign w:val="bottom"/>
            <w:tcBorders>
              <w:top w:val="single" w:sz="8" w:color="CCEEFF"/>
              <w:bottom w:val="single" w:sz="8" w:color="auto"/>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23"/>
        </w:trPr>
        <w:tc>
          <w:tcPr>
            <w:tcW w:w="4440" w:type="dxa"/>
            <w:vAlign w:val="bottom"/>
          </w:tcPr>
          <w:p>
            <w:pPr>
              <w:ind w:left="20"/>
              <w:spacing w:after="0"/>
              <w:rPr>
                <w:sz w:val="20"/>
                <w:szCs w:val="20"/>
                <w:color w:val="auto"/>
              </w:rPr>
            </w:pPr>
            <w:r>
              <w:rPr>
                <w:rFonts w:ascii="Arial" w:cs="Arial" w:eastAsia="Arial" w:hAnsi="Arial"/>
                <w:sz w:val="18"/>
                <w:szCs w:val="18"/>
                <w:b w:val="1"/>
                <w:bCs w:val="1"/>
                <w:color w:val="auto"/>
              </w:rPr>
              <w:t>Interest rate contracts</w:t>
            </w:r>
          </w:p>
        </w:tc>
        <w:tc>
          <w:tcPr>
            <w:tcW w:w="2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Derivative assets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060" w:type="dxa"/>
            <w:vAlign w:val="bottom"/>
            <w:gridSpan w:val="2"/>
            <w:shd w:val="clear" w:color="auto" w:fill="CCEEFF"/>
          </w:tcPr>
          <w:p>
            <w:pPr>
              <w:ind w:left="180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3"/>
        </w:trPr>
        <w:tc>
          <w:tcPr>
            <w:tcW w:w="4440" w:type="dxa"/>
            <w:vAlign w:val="bottom"/>
          </w:tcPr>
          <w:p>
            <w:pPr>
              <w:ind w:left="20"/>
              <w:spacing w:after="0"/>
              <w:rPr>
                <w:sz w:val="20"/>
                <w:szCs w:val="20"/>
                <w:color w:val="auto"/>
              </w:rPr>
            </w:pPr>
            <w:r>
              <w:rPr>
                <w:rFonts w:ascii="Arial" w:cs="Arial" w:eastAsia="Arial" w:hAnsi="Arial"/>
                <w:sz w:val="18"/>
                <w:szCs w:val="18"/>
                <w:b w:val="1"/>
                <w:bCs w:val="1"/>
                <w:color w:val="auto"/>
              </w:rPr>
              <w:t>Total interest rate contracts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2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2040" w:type="dxa"/>
            <w:vAlign w:val="bottom"/>
            <w:tcBorders>
              <w:top w:val="single" w:sz="8" w:color="auto"/>
              <w:bottom w:val="single" w:sz="8" w:color="auto"/>
            </w:tcBorders>
          </w:tcPr>
          <w:p>
            <w:pPr>
              <w:ind w:left="18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57"/>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derivative instruments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060" w:type="dxa"/>
            <w:vAlign w:val="bottom"/>
            <w:gridSpan w:val="2"/>
            <w:shd w:val="clear" w:color="auto" w:fill="CCEEFF"/>
          </w:tcPr>
          <w:p>
            <w:pPr>
              <w:ind w:left="180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17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following table summarizes the effects on the Company’s accumulated OCI (OCL) balance attributable to interest rate swaps designated as cash flow hedge derivatives: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00" w:type="dxa"/>
            <w:vAlign w:val="bottom"/>
          </w:tcPr>
          <w:p>
            <w:pPr>
              <w:spacing w:after="0"/>
              <w:rPr>
                <w:sz w:val="16"/>
                <w:szCs w:val="16"/>
                <w:color w:val="auto"/>
              </w:rPr>
            </w:pPr>
          </w:p>
        </w:tc>
        <w:tc>
          <w:tcPr>
            <w:tcW w:w="240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gridSpan w:val="4"/>
          </w:tcPr>
          <w:p>
            <w:pPr>
              <w:jc w:val="right"/>
              <w:ind w:right="70"/>
              <w:spacing w:after="0"/>
              <w:rPr>
                <w:sz w:val="20"/>
                <w:szCs w:val="20"/>
                <w:color w:val="auto"/>
              </w:rPr>
            </w:pPr>
            <w:r>
              <w:rPr>
                <w:rFonts w:ascii="Arial" w:cs="Arial" w:eastAsia="Arial" w:hAnsi="Arial"/>
                <w:sz w:val="14"/>
                <w:szCs w:val="14"/>
                <w:b w:val="1"/>
                <w:bCs w:val="1"/>
                <w:color w:val="auto"/>
              </w:rPr>
              <w:t>Six months ended June 30,</w:t>
            </w:r>
          </w:p>
        </w:tc>
        <w:tc>
          <w:tcPr>
            <w:tcW w:w="440" w:type="dxa"/>
            <w:vAlign w:val="bottom"/>
          </w:tcPr>
          <w:p>
            <w:pPr>
              <w:spacing w:after="0"/>
              <w:rPr>
                <w:sz w:val="16"/>
                <w:szCs w:val="16"/>
                <w:color w:val="auto"/>
              </w:rPr>
            </w:pPr>
          </w:p>
        </w:tc>
      </w:tr>
      <w:tr>
        <w:trPr>
          <w:trHeight w:val="26"/>
        </w:trPr>
        <w:tc>
          <w:tcPr>
            <w:tcW w:w="55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181"/>
        </w:trPr>
        <w:tc>
          <w:tcPr>
            <w:tcW w:w="5500" w:type="dxa"/>
            <w:vAlign w:val="bottom"/>
          </w:tcPr>
          <w:p>
            <w:pPr>
              <w:spacing w:after="0"/>
              <w:rPr>
                <w:sz w:val="15"/>
                <w:szCs w:val="15"/>
                <w:color w:val="auto"/>
              </w:rPr>
            </w:pPr>
          </w:p>
        </w:tc>
        <w:tc>
          <w:tcPr>
            <w:tcW w:w="96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5"/>
                <w:szCs w:val="15"/>
                <w:color w:val="auto"/>
              </w:rPr>
            </w:pPr>
          </w:p>
        </w:tc>
      </w:tr>
      <w:tr>
        <w:trPr>
          <w:trHeight w:val="189"/>
        </w:trPr>
        <w:tc>
          <w:tcPr>
            <w:tcW w:w="55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80" w:type="dxa"/>
            <w:vAlign w:val="bottom"/>
            <w:gridSpan w:val="3"/>
          </w:tcPr>
          <w:p>
            <w:pPr>
              <w:jc w:val="right"/>
              <w:ind w:right="559"/>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238"/>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OCI (OCL) beginning balance</w:t>
            </w:r>
          </w:p>
        </w:tc>
        <w:tc>
          <w:tcPr>
            <w:tcW w:w="960" w:type="dxa"/>
            <w:vAlign w:val="bottom"/>
            <w:shd w:val="clear" w:color="auto" w:fill="CCEEFF"/>
          </w:tcPr>
          <w:p>
            <w:pPr>
              <w:jc w:val="right"/>
              <w:ind w:right="777"/>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4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60" w:type="dxa"/>
            <w:vAlign w:val="bottom"/>
            <w:gridSpan w:val="2"/>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2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188"/>
        </w:trPr>
        <w:tc>
          <w:tcPr>
            <w:tcW w:w="5500" w:type="dxa"/>
            <w:vAlign w:val="bottom"/>
          </w:tcPr>
          <w:p>
            <w:pPr>
              <w:ind w:left="20"/>
              <w:spacing w:after="0" w:line="189" w:lineRule="exact"/>
              <w:rPr>
                <w:sz w:val="20"/>
                <w:szCs w:val="20"/>
                <w:color w:val="auto"/>
              </w:rPr>
            </w:pPr>
            <w:r>
              <w:rPr>
                <w:rFonts w:ascii="Arial" w:cs="Arial" w:eastAsia="Arial" w:hAnsi="Arial"/>
                <w:sz w:val="18"/>
                <w:szCs w:val="18"/>
                <w:color w:val="auto"/>
                <w:w w:val="93"/>
              </w:rPr>
              <w:t>Reclassified from accumulated OCI (OCL) to income due to realization of</w:t>
            </w: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230"/>
        </w:trPr>
        <w:tc>
          <w:tcPr>
            <w:tcW w:w="5500" w:type="dxa"/>
            <w:vAlign w:val="bottom"/>
          </w:tcPr>
          <w:p>
            <w:pPr>
              <w:ind w:left="180"/>
              <w:spacing w:after="0"/>
              <w:rPr>
                <w:sz w:val="20"/>
                <w:szCs w:val="20"/>
                <w:color w:val="auto"/>
              </w:rPr>
            </w:pPr>
            <w:r>
              <w:rPr>
                <w:rFonts w:ascii="Arial" w:cs="Arial" w:eastAsia="Arial" w:hAnsi="Arial"/>
                <w:sz w:val="18"/>
                <w:szCs w:val="18"/>
                <w:color w:val="auto"/>
              </w:rPr>
              <w:t>previously deferred amounts</w:t>
            </w:r>
          </w:p>
        </w:tc>
        <w:tc>
          <w:tcPr>
            <w:tcW w:w="9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5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Mark-to-market of cash flow hedge accounting contracts</w:t>
            </w:r>
          </w:p>
        </w:tc>
        <w:tc>
          <w:tcPr>
            <w:tcW w:w="9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37"/>
        </w:trPr>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OCI ending balance</w:t>
            </w:r>
          </w:p>
        </w:tc>
        <w:tc>
          <w:tcPr>
            <w:tcW w:w="9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5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OCI attributable to noncontrolling interests</w:t>
            </w:r>
          </w:p>
        </w:tc>
        <w:tc>
          <w:tcPr>
            <w:tcW w:w="9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5500" w:type="dxa"/>
            <w:vAlign w:val="bottom"/>
          </w:tcPr>
          <w:p>
            <w:pPr>
              <w:ind w:left="140"/>
              <w:spacing w:after="0"/>
              <w:rPr>
                <w:sz w:val="20"/>
                <w:szCs w:val="20"/>
                <w:color w:val="auto"/>
              </w:rPr>
            </w:pPr>
            <w:r>
              <w:rPr>
                <w:rFonts w:ascii="Arial" w:cs="Arial" w:eastAsia="Arial" w:hAnsi="Arial"/>
                <w:sz w:val="18"/>
                <w:szCs w:val="18"/>
                <w:color w:val="auto"/>
              </w:rPr>
              <w:t>Accumulated OCI attributable to Clearway Energy LLC</w:t>
            </w:r>
          </w:p>
        </w:tc>
        <w:tc>
          <w:tcPr>
            <w:tcW w:w="960" w:type="dxa"/>
            <w:vAlign w:val="bottom"/>
            <w:tcBorders>
              <w:bottom w:val="single" w:sz="8" w:color="auto"/>
            </w:tcBorders>
          </w:tcPr>
          <w:p>
            <w:pPr>
              <w:jc w:val="right"/>
              <w:ind w:right="777"/>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92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940" w:type="dxa"/>
            <w:vAlign w:val="bottom"/>
            <w:tcBorders>
              <w:bottom w:val="single" w:sz="8" w:color="auto"/>
            </w:tcBorders>
          </w:tcPr>
          <w:p>
            <w:pPr>
              <w:jc w:val="right"/>
              <w:ind w:right="759"/>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55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r>
        <w:trPr>
          <w:trHeight w:val="237"/>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Gains expected to be realized from OCI during the next 12 months</w:t>
            </w:r>
          </w:p>
        </w:tc>
        <w:tc>
          <w:tcPr>
            <w:tcW w:w="960" w:type="dxa"/>
            <w:vAlign w:val="bottom"/>
            <w:shd w:val="clear" w:color="auto" w:fill="CCEEFF"/>
          </w:tcPr>
          <w:p>
            <w:pPr>
              <w:jc w:val="right"/>
              <w:ind w:right="777"/>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r>
    </w:tbl>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Amounts reclassified from accumulated OCI (OCL) into income are recorded to interest expense.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Derivative Instruments on the Consolidated Statements of Income</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Mark-to-market gains/(losses) related to the Company’s derivatives are recorded in the consolidated statements of income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gridSpan w:val="3"/>
          </w:tcPr>
          <w:p>
            <w:pPr>
              <w:jc w:val="right"/>
              <w:ind w:right="439"/>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0" w:type="dxa"/>
            <w:vAlign w:val="bottom"/>
            <w:gridSpan w:val="3"/>
          </w:tcPr>
          <w:p>
            <w:pPr>
              <w:jc w:val="right"/>
              <w:ind w:right="516"/>
              <w:spacing w:after="0"/>
              <w:rPr>
                <w:sz w:val="20"/>
                <w:szCs w:val="20"/>
                <w:color w:val="auto"/>
              </w:rPr>
            </w:pPr>
            <w:r>
              <w:rPr>
                <w:rFonts w:ascii="Arial" w:cs="Arial" w:eastAsia="Arial" w:hAnsi="Arial"/>
                <w:sz w:val="14"/>
                <w:szCs w:val="14"/>
                <w:b w:val="1"/>
                <w:bCs w:val="1"/>
                <w:color w:val="auto"/>
                <w:w w:val="98"/>
              </w:rPr>
              <w:t>Six months ended June 30,</w:t>
            </w:r>
          </w:p>
        </w:tc>
      </w:tr>
      <w:tr>
        <w:trPr>
          <w:trHeight w:val="26"/>
        </w:trPr>
        <w:tc>
          <w:tcPr>
            <w:tcW w:w="54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9"/>
        </w:trPr>
        <w:tc>
          <w:tcPr>
            <w:tcW w:w="54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2022</w:t>
            </w:r>
          </w:p>
        </w:tc>
      </w:tr>
      <w:tr>
        <w:trPr>
          <w:trHeight w:val="188"/>
        </w:trPr>
        <w:tc>
          <w:tcPr>
            <w:tcW w:w="5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80" w:type="dxa"/>
            <w:vAlign w:val="bottom"/>
            <w:gridSpan w:val="3"/>
          </w:tcPr>
          <w:p>
            <w:pPr>
              <w:ind w:left="720"/>
              <w:spacing w:after="0"/>
              <w:rPr>
                <w:sz w:val="20"/>
                <w:szCs w:val="20"/>
                <w:color w:val="auto"/>
              </w:rPr>
            </w:pPr>
            <w:r>
              <w:rPr>
                <w:rFonts w:ascii="Arial" w:cs="Arial" w:eastAsia="Arial" w:hAnsi="Arial"/>
                <w:sz w:val="14"/>
                <w:szCs w:val="14"/>
                <w:b w:val="1"/>
                <w:bCs w:val="1"/>
                <w:color w:val="auto"/>
              </w:rPr>
              <w:t>(In millions)</w:t>
            </w: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44"/>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Contracts (Interest expense)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242424"/>
                <w:w w:val="99"/>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242424"/>
              </w:rPr>
              <w:t>22</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304"/>
        </w:trPr>
        <w:tc>
          <w:tcPr>
            <w:tcW w:w="5460" w:type="dxa"/>
            <w:vAlign w:val="bottom"/>
          </w:tcPr>
          <w:p>
            <w:pPr>
              <w:ind w:left="20"/>
              <w:spacing w:after="0"/>
              <w:rPr>
                <w:sz w:val="20"/>
                <w:szCs w:val="20"/>
                <w:color w:val="auto"/>
              </w:rPr>
            </w:pPr>
            <w:r>
              <w:rPr>
                <w:rFonts w:ascii="Arial" w:cs="Arial" w:eastAsia="Arial" w:hAnsi="Arial"/>
                <w:sz w:val="18"/>
                <w:szCs w:val="18"/>
                <w:color w:val="auto"/>
                <w:w w:val="92"/>
              </w:rPr>
              <w:t xml:space="preserve">Commodity Contracts (Mark-to-market for economic hedging activities) </w:t>
            </w:r>
            <w:r>
              <w:rPr>
                <w:rFonts w:ascii="Arial" w:cs="Arial" w:eastAsia="Arial" w:hAnsi="Arial"/>
                <w:sz w:val="23"/>
                <w:szCs w:val="23"/>
                <w:color w:val="auto"/>
                <w:w w:val="92"/>
                <w:vertAlign w:val="superscript"/>
              </w:rPr>
              <w:t>(a)</w:t>
            </w:r>
          </w:p>
        </w:tc>
        <w:tc>
          <w:tcPr>
            <w:tcW w:w="320" w:type="dxa"/>
            <w:vAlign w:val="bottom"/>
          </w:tcPr>
          <w:p>
            <w:pPr>
              <w:spacing w:after="0"/>
              <w:rPr>
                <w:sz w:val="24"/>
                <w:szCs w:val="24"/>
                <w:color w:val="auto"/>
              </w:rPr>
            </w:pPr>
          </w:p>
        </w:tc>
        <w:tc>
          <w:tcPr>
            <w:tcW w:w="1080" w:type="dxa"/>
            <w:vAlign w:val="bottom"/>
          </w:tcPr>
          <w:p>
            <w:pPr>
              <w:jc w:val="right"/>
              <w:ind w:right="19"/>
              <w:spacing w:after="0"/>
              <w:rPr>
                <w:sz w:val="20"/>
                <w:szCs w:val="20"/>
                <w:color w:val="auto"/>
              </w:rPr>
            </w:pPr>
            <w:r>
              <w:rPr>
                <w:rFonts w:ascii="Arial" w:cs="Arial" w:eastAsia="Arial" w:hAnsi="Arial"/>
                <w:sz w:val="18"/>
                <w:szCs w:val="18"/>
                <w:color w:val="242424"/>
              </w:rPr>
              <w:t>32</w:t>
            </w:r>
          </w:p>
        </w:tc>
        <w:tc>
          <w:tcPr>
            <w:tcW w:w="400" w:type="dxa"/>
            <w:vAlign w:val="bottom"/>
          </w:tcPr>
          <w:p>
            <w:pPr>
              <w:spacing w:after="0"/>
              <w:rPr>
                <w:sz w:val="24"/>
                <w:szCs w:val="24"/>
                <w:color w:val="auto"/>
              </w:rPr>
            </w:pPr>
          </w:p>
        </w:tc>
        <w:tc>
          <w:tcPr>
            <w:tcW w:w="1040" w:type="dxa"/>
            <w:vAlign w:val="bottom"/>
          </w:tcPr>
          <w:p>
            <w:pPr>
              <w:ind w:left="700"/>
              <w:spacing w:after="0"/>
              <w:rPr>
                <w:sz w:val="20"/>
                <w:szCs w:val="20"/>
                <w:color w:val="auto"/>
              </w:rPr>
            </w:pPr>
            <w:r>
              <w:rPr>
                <w:rFonts w:ascii="Arial" w:cs="Arial" w:eastAsia="Arial" w:hAnsi="Arial"/>
                <w:sz w:val="18"/>
                <w:szCs w:val="18"/>
                <w:color w:val="auto"/>
                <w:w w:val="99"/>
              </w:rPr>
              <w:t>(49)</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jc w:val="right"/>
              <w:ind w:right="19"/>
              <w:spacing w:after="0"/>
              <w:rPr>
                <w:sz w:val="20"/>
                <w:szCs w:val="20"/>
                <w:color w:val="auto"/>
              </w:rPr>
            </w:pPr>
            <w:r>
              <w:rPr>
                <w:rFonts w:ascii="Arial" w:cs="Arial" w:eastAsia="Arial" w:hAnsi="Arial"/>
                <w:sz w:val="18"/>
                <w:szCs w:val="18"/>
                <w:color w:val="auto"/>
              </w:rPr>
              <w:t>50</w:t>
            </w:r>
          </w:p>
        </w:tc>
        <w:tc>
          <w:tcPr>
            <w:tcW w:w="4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138874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156" w:lineRule="exact"/>
        <w:rPr>
          <w:sz w:val="20"/>
          <w:szCs w:val="20"/>
          <w:color w:val="auto"/>
        </w:rPr>
      </w:pPr>
    </w:p>
    <w:p>
      <w:pPr>
        <w:jc w:val="both"/>
        <w:ind w:left="80" w:firstLine="9"/>
        <w:spacing w:after="0"/>
        <w:tabs>
          <w:tab w:leader="none" w:pos="247" w:val="left"/>
        </w:tabs>
        <w:numPr>
          <w:ilvl w:val="0"/>
          <w:numId w:val="16"/>
        </w:numPr>
        <w:rPr>
          <w:rFonts w:ascii="Arial" w:cs="Arial" w:eastAsia="Arial" w:hAnsi="Arial"/>
          <w:sz w:val="19"/>
          <w:szCs w:val="19"/>
          <w:color w:val="auto"/>
          <w:vertAlign w:val="superscript"/>
        </w:rPr>
      </w:pPr>
      <w:r>
        <w:rPr>
          <w:rFonts w:ascii="Arial" w:cs="Arial" w:eastAsia="Arial" w:hAnsi="Arial"/>
          <w:sz w:val="12"/>
          <w:szCs w:val="12"/>
          <w:color w:val="auto"/>
        </w:rPr>
        <w:t>Relates to long-term commodity contracts at Elbow Creek, Mesquite Star, Mt. Storm, Langford and Mesquite Sky. During the six months ended June 30, 2022, the commodity contract for Langford, which previously met the NPNS exception, no longer qualified for NPNS treatment and, accordingly, is accounted for as a derivative and marked to fair value through operating revenues.</w:t>
      </w:r>
    </w:p>
    <w:p>
      <w:pPr>
        <w:spacing w:after="0" w:line="3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See Note 5, </w:t>
      </w:r>
      <w:r>
        <w:rPr>
          <w:rFonts w:ascii="Arial" w:cs="Arial" w:eastAsia="Arial" w:hAnsi="Arial"/>
          <w:sz w:val="18"/>
          <w:szCs w:val="18"/>
          <w:i w:val="1"/>
          <w:iCs w:val="1"/>
          <w:color w:val="auto"/>
        </w:rPr>
        <w:t>Fair Value of Financial Instruments</w:t>
      </w:r>
      <w:r>
        <w:rPr>
          <w:rFonts w:ascii="Arial" w:cs="Arial" w:eastAsia="Arial" w:hAnsi="Arial"/>
          <w:sz w:val="18"/>
          <w:szCs w:val="18"/>
          <w:color w:val="auto"/>
        </w:rPr>
        <w:t>, for a discussion regarding concentration of credit risk.</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 xml:space="preserve">Note 7 — </w:t>
      </w:r>
      <w:r>
        <w:rPr>
          <w:rFonts w:ascii="Arial" w:cs="Arial" w:eastAsia="Arial" w:hAnsi="Arial"/>
          <w:sz w:val="18"/>
          <w:szCs w:val="18"/>
          <w:b w:val="1"/>
          <w:bCs w:val="1"/>
          <w:i w:val="1"/>
          <w:iCs w:val="1"/>
          <w:color w:val="auto"/>
        </w:rPr>
        <w:t>Long-term Debt</w:t>
      </w:r>
    </w:p>
    <w:p>
      <w:pPr>
        <w:spacing w:after="0" w:line="17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 xml:space="preserve">This note should be read in conjunction with the complete description under Item 15 — Note 10,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w:t>
      </w:r>
      <w:r>
        <w:rPr>
          <w:rFonts w:ascii="Arial" w:cs="Arial" w:eastAsia="Arial" w:hAnsi="Arial"/>
          <w:sz w:val="18"/>
          <w:szCs w:val="18"/>
          <w:color w:val="231F20"/>
        </w:rPr>
        <w:t>to the consolidated financial</w:t>
      </w:r>
      <w:r>
        <w:rPr>
          <w:rFonts w:ascii="Arial" w:cs="Arial" w:eastAsia="Arial" w:hAnsi="Arial"/>
          <w:sz w:val="18"/>
          <w:szCs w:val="18"/>
          <w:color w:val="auto"/>
        </w:rPr>
        <w:t xml:space="preserve"> </w:t>
      </w:r>
      <w:r>
        <w:rPr>
          <w:rFonts w:ascii="Arial" w:cs="Arial" w:eastAsia="Arial" w:hAnsi="Arial"/>
          <w:sz w:val="18"/>
          <w:szCs w:val="18"/>
          <w:color w:val="231F20"/>
        </w:rPr>
        <w:t xml:space="preserve">statements included in the Company’s </w:t>
      </w:r>
      <w:r>
        <w:rPr>
          <w:rFonts w:ascii="Arial" w:cs="Arial" w:eastAsia="Arial" w:hAnsi="Arial"/>
          <w:sz w:val="18"/>
          <w:szCs w:val="18"/>
          <w:color w:val="000000"/>
        </w:rPr>
        <w:t>2022 Form 10-K. The Company’s borrowings, including short-term and long-term portions, consisted of the</w:t>
      </w:r>
      <w:r>
        <w:rPr>
          <w:rFonts w:ascii="Arial" w:cs="Arial" w:eastAsia="Arial" w:hAnsi="Arial"/>
          <w:sz w:val="18"/>
          <w:szCs w:val="18"/>
          <w:color w:val="231F20"/>
        </w:rPr>
        <w:t xml:space="preserve"> </w:t>
      </w:r>
      <w:r>
        <w:rPr>
          <w:rFonts w:ascii="Arial" w:cs="Arial" w:eastAsia="Arial" w:hAnsi="Arial"/>
          <w:sz w:val="18"/>
          <w:szCs w:val="18"/>
          <w:color w:val="000000"/>
        </w:rPr>
        <w:t>following:</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w w:val="94"/>
              </w:rPr>
              <w:t>December 31,</w:t>
            </w:r>
          </w:p>
        </w:tc>
        <w:tc>
          <w:tcPr>
            <w:tcW w:w="120" w:type="dxa"/>
            <w:vAlign w:val="bottom"/>
          </w:tcPr>
          <w:p>
            <w:pPr>
              <w:spacing w:after="0"/>
              <w:rPr>
                <w:sz w:val="14"/>
                <w:szCs w:val="14"/>
                <w:color w:val="auto"/>
              </w:rPr>
            </w:pPr>
          </w:p>
        </w:tc>
        <w:tc>
          <w:tcPr>
            <w:tcW w:w="164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rPr>
              <w:t>June 30, 2023 interest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jc w:val="center"/>
              <w:ind w:right="120"/>
              <w:spacing w:after="0"/>
              <w:rPr>
                <w:sz w:val="20"/>
                <w:szCs w:val="20"/>
                <w:color w:val="auto"/>
              </w:rPr>
            </w:pPr>
            <w:r>
              <w:rPr>
                <w:rFonts w:ascii="Arial" w:cs="Arial" w:eastAsia="Arial" w:hAnsi="Arial"/>
                <w:sz w:val="14"/>
                <w:szCs w:val="14"/>
                <w:b w:val="1"/>
                <w:bCs w:val="1"/>
                <w:color w:val="auto"/>
                <w:w w:val="96"/>
              </w:rPr>
              <w:t>Letters of Credit</w:t>
            </w:r>
          </w:p>
        </w:tc>
        <w:tc>
          <w:tcPr>
            <w:tcW w:w="0" w:type="dxa"/>
            <w:vAlign w:val="bottom"/>
          </w:tcPr>
          <w:p>
            <w:pPr>
              <w:spacing w:after="0"/>
              <w:rPr>
                <w:sz w:val="1"/>
                <w:szCs w:val="1"/>
                <w:color w:val="auto"/>
              </w:rPr>
            </w:pPr>
          </w:p>
        </w:tc>
      </w:tr>
      <w:tr>
        <w:trPr>
          <w:trHeight w:val="144"/>
        </w:trPr>
        <w:tc>
          <w:tcPr>
            <w:tcW w:w="5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 except rates)</w:t>
            </w:r>
          </w:p>
        </w:tc>
        <w:tc>
          <w:tcPr>
            <w:tcW w:w="140" w:type="dxa"/>
            <w:vAlign w:val="bottom"/>
          </w:tcPr>
          <w:p>
            <w:pPr>
              <w:spacing w:after="0"/>
              <w:rPr>
                <w:sz w:val="12"/>
                <w:szCs w:val="12"/>
                <w:color w:val="auto"/>
              </w:rPr>
            </w:pPr>
          </w:p>
        </w:tc>
        <w:tc>
          <w:tcPr>
            <w:tcW w:w="104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w w:val="92"/>
              </w:rPr>
              <w:t>June 30, 2023</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2"/>
          </w:tcPr>
          <w:p>
            <w:pPr>
              <w:jc w:val="center"/>
              <w:spacing w:after="0" w:line="144" w:lineRule="exact"/>
              <w:rPr>
                <w:sz w:val="20"/>
                <w:szCs w:val="20"/>
                <w:color w:val="auto"/>
              </w:rPr>
            </w:pPr>
            <w:r>
              <w:rPr>
                <w:rFonts w:ascii="Arial" w:cs="Arial" w:eastAsia="Arial" w:hAnsi="Arial"/>
                <w:sz w:val="14"/>
                <w:szCs w:val="14"/>
                <w:b w:val="1"/>
                <w:bCs w:val="1"/>
                <w:color w:val="auto"/>
                <w:w w:val="93"/>
              </w:rPr>
              <w:t>Outstanding at June 30,</w:t>
            </w:r>
          </w:p>
        </w:tc>
        <w:tc>
          <w:tcPr>
            <w:tcW w:w="0" w:type="dxa"/>
            <w:vAlign w:val="bottom"/>
          </w:tcPr>
          <w:p>
            <w:pPr>
              <w:spacing w:after="0"/>
              <w:rPr>
                <w:sz w:val="1"/>
                <w:szCs w:val="1"/>
                <w:color w:val="auto"/>
              </w:rPr>
            </w:pPr>
          </w:p>
        </w:tc>
      </w:tr>
      <w:tr>
        <w:trPr>
          <w:trHeight w:val="203"/>
        </w:trPr>
        <w:tc>
          <w:tcPr>
            <w:tcW w:w="5300" w:type="dxa"/>
            <w:vAlign w:val="bottom"/>
            <w:tcBorders>
              <w:bottom w:val="single" w:sz="8" w:color="CCEEFF"/>
            </w:tcBorders>
            <w:gridSpan w:val="2"/>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1640" w:type="dxa"/>
            <w:vAlign w:val="bottom"/>
            <w:tcBorders>
              <w:bottom w:val="single" w:sz="8" w:color="auto"/>
            </w:tcBorders>
          </w:tcPr>
          <w:p>
            <w:pPr>
              <w:jc w:val="right"/>
              <w:ind w:right="440"/>
              <w:spacing w:after="0" w:line="203" w:lineRule="exact"/>
              <w:rPr>
                <w:sz w:val="20"/>
                <w:szCs w:val="20"/>
                <w:color w:val="auto"/>
              </w:rPr>
            </w:pPr>
            <w:r>
              <w:rPr>
                <w:rFonts w:ascii="Arial" w:cs="Arial" w:eastAsia="Arial" w:hAnsi="Arial"/>
                <w:sz w:val="14"/>
                <w:szCs w:val="14"/>
                <w:b w:val="1"/>
                <w:bCs w:val="1"/>
                <w:color w:val="auto"/>
              </w:rPr>
              <w:t xml:space="preserve">rate % </w:t>
            </w:r>
            <w:r>
              <w:rPr>
                <w:rFonts w:ascii="Arial" w:cs="Arial" w:eastAsia="Arial" w:hAnsi="Arial"/>
                <w:sz w:val="21"/>
                <w:szCs w:val="21"/>
                <w:b w:val="1"/>
                <w:bCs w:val="1"/>
                <w:color w:val="auto"/>
                <w:vertAlign w:val="superscript"/>
              </w:rPr>
              <w:t>(a)</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89"/>
              </w:rPr>
              <w:t>2023</w:t>
            </w:r>
          </w:p>
        </w:tc>
        <w:tc>
          <w:tcPr>
            <w:tcW w:w="0" w:type="dxa"/>
            <w:vAlign w:val="bottom"/>
          </w:tcPr>
          <w:p>
            <w:pPr>
              <w:spacing w:after="0"/>
              <w:rPr>
                <w:sz w:val="1"/>
                <w:szCs w:val="1"/>
                <w:color w:val="auto"/>
              </w:rPr>
            </w:pPr>
          </w:p>
        </w:tc>
      </w:tr>
      <w:tr>
        <w:trPr>
          <w:trHeight w:val="210"/>
        </w:trPr>
        <w:tc>
          <w:tcPr>
            <w:tcW w:w="5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Intercompany Note with Clearway, Inc.</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760" w:type="dxa"/>
            <w:vAlign w:val="bottom"/>
            <w:gridSpan w:val="2"/>
            <w:shd w:val="clear" w:color="auto" w:fill="CCEEFF"/>
          </w:tcPr>
          <w:p>
            <w:pPr>
              <w:jc w:val="center"/>
              <w:ind w:left="1159"/>
              <w:spacing w:after="0"/>
              <w:rPr>
                <w:sz w:val="20"/>
                <w:szCs w:val="20"/>
                <w:color w:val="auto"/>
              </w:rPr>
            </w:pPr>
            <w:r>
              <w:rPr>
                <w:rFonts w:ascii="Arial" w:cs="Arial" w:eastAsia="Arial" w:hAnsi="Arial"/>
                <w:sz w:val="16"/>
                <w:szCs w:val="16"/>
                <w:color w:val="auto"/>
                <w:w w:val="89"/>
              </w:rPr>
              <w:t>4.430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300" w:type="dxa"/>
            <w:vAlign w:val="bottom"/>
            <w:gridSpan w:val="2"/>
          </w:tcPr>
          <w:p>
            <w:pPr>
              <w:ind w:left="20"/>
              <w:spacing w:after="0"/>
              <w:rPr>
                <w:sz w:val="20"/>
                <w:szCs w:val="20"/>
                <w:color w:val="auto"/>
              </w:rPr>
            </w:pPr>
            <w:r>
              <w:rPr>
                <w:rFonts w:ascii="Arial" w:cs="Arial" w:eastAsia="Arial" w:hAnsi="Arial"/>
                <w:sz w:val="16"/>
                <w:szCs w:val="16"/>
                <w:color w:val="auto"/>
              </w:rPr>
              <w:t>2028 Senior Notes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850</w:t>
            </w:r>
          </w:p>
        </w:tc>
        <w:tc>
          <w:tcPr>
            <w:tcW w:w="1760" w:type="dxa"/>
            <w:vAlign w:val="bottom"/>
            <w:gridSpan w:val="2"/>
          </w:tcPr>
          <w:p>
            <w:pPr>
              <w:jc w:val="center"/>
              <w:ind w:left="1159"/>
              <w:spacing w:after="0"/>
              <w:rPr>
                <w:sz w:val="20"/>
                <w:szCs w:val="20"/>
                <w:color w:val="auto"/>
              </w:rPr>
            </w:pPr>
            <w:r>
              <w:rPr>
                <w:rFonts w:ascii="Arial" w:cs="Arial" w:eastAsia="Arial" w:hAnsi="Arial"/>
                <w:sz w:val="16"/>
                <w:szCs w:val="16"/>
                <w:color w:val="auto"/>
                <w:w w:val="89"/>
              </w:rPr>
              <w:t>4.750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2031 Senior Notes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925</w:t>
            </w:r>
          </w:p>
        </w:tc>
        <w:tc>
          <w:tcPr>
            <w:tcW w:w="1760" w:type="dxa"/>
            <w:vAlign w:val="bottom"/>
            <w:gridSpan w:val="2"/>
            <w:shd w:val="clear" w:color="auto" w:fill="CCEEFF"/>
          </w:tcPr>
          <w:p>
            <w:pPr>
              <w:jc w:val="center"/>
              <w:ind w:left="1159"/>
              <w:spacing w:after="0"/>
              <w:rPr>
                <w:sz w:val="20"/>
                <w:szCs w:val="20"/>
                <w:color w:val="auto"/>
              </w:rPr>
            </w:pPr>
            <w:r>
              <w:rPr>
                <w:rFonts w:ascii="Arial" w:cs="Arial" w:eastAsia="Arial" w:hAnsi="Arial"/>
                <w:sz w:val="16"/>
                <w:szCs w:val="16"/>
                <w:color w:val="auto"/>
                <w:w w:val="89"/>
              </w:rPr>
              <w:t>3.750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300" w:type="dxa"/>
            <w:vAlign w:val="bottom"/>
            <w:gridSpan w:val="2"/>
          </w:tcPr>
          <w:p>
            <w:pPr>
              <w:ind w:left="20"/>
              <w:spacing w:after="0"/>
              <w:rPr>
                <w:sz w:val="20"/>
                <w:szCs w:val="20"/>
                <w:color w:val="auto"/>
              </w:rPr>
            </w:pPr>
            <w:r>
              <w:rPr>
                <w:rFonts w:ascii="Arial" w:cs="Arial" w:eastAsia="Arial" w:hAnsi="Arial"/>
                <w:sz w:val="16"/>
                <w:szCs w:val="16"/>
                <w:color w:val="auto"/>
              </w:rPr>
              <w:t>2032 Senior Notes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350</w:t>
            </w:r>
          </w:p>
        </w:tc>
        <w:tc>
          <w:tcPr>
            <w:tcW w:w="1760" w:type="dxa"/>
            <w:vAlign w:val="bottom"/>
            <w:gridSpan w:val="2"/>
          </w:tcPr>
          <w:p>
            <w:pPr>
              <w:jc w:val="center"/>
              <w:ind w:left="1159"/>
              <w:spacing w:after="0"/>
              <w:rPr>
                <w:sz w:val="20"/>
                <w:szCs w:val="20"/>
                <w:color w:val="auto"/>
              </w:rPr>
            </w:pPr>
            <w:r>
              <w:rPr>
                <w:rFonts w:ascii="Arial" w:cs="Arial" w:eastAsia="Arial" w:hAnsi="Arial"/>
                <w:sz w:val="16"/>
                <w:szCs w:val="16"/>
                <w:color w:val="auto"/>
                <w:w w:val="89"/>
              </w:rPr>
              <w:t>3.750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530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w w:val="96"/>
              </w:rPr>
              <w:t>Clearway Energy LLC and Clearway Energy Operating LLC Revolving Credit</w:t>
            </w:r>
          </w:p>
        </w:tc>
        <w:tc>
          <w:tcPr>
            <w:tcW w:w="14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S+1.850</w:t>
            </w:r>
          </w:p>
        </w:tc>
        <w:tc>
          <w:tcPr>
            <w:tcW w:w="300" w:type="dxa"/>
            <w:vAlign w:val="bottom"/>
            <w:gridSpan w:val="2"/>
            <w:vMerge w:val="restart"/>
            <w:shd w:val="clear" w:color="auto" w:fill="CCEEFF"/>
          </w:tcPr>
          <w:p>
            <w:pPr>
              <w:jc w:val="right"/>
              <w:ind w:right="28"/>
              <w:spacing w:after="0"/>
              <w:rPr>
                <w:sz w:val="20"/>
                <w:szCs w:val="20"/>
                <w:color w:val="auto"/>
              </w:rPr>
            </w:pPr>
            <w:r>
              <w:rPr>
                <w:rFonts w:ascii="Arial" w:cs="Arial" w:eastAsia="Arial" w:hAnsi="Arial"/>
                <w:sz w:val="16"/>
                <w:szCs w:val="16"/>
                <w:color w:val="242424"/>
              </w:rPr>
              <w:t>$</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242424"/>
              </w:rPr>
              <w:t>188</w:t>
            </w:r>
          </w:p>
        </w:tc>
        <w:tc>
          <w:tcPr>
            <w:tcW w:w="0" w:type="dxa"/>
            <w:vAlign w:val="bottom"/>
          </w:tcPr>
          <w:p>
            <w:pPr>
              <w:spacing w:after="0"/>
              <w:rPr>
                <w:sz w:val="1"/>
                <w:szCs w:val="1"/>
                <w:color w:val="auto"/>
              </w:rPr>
            </w:pPr>
          </w:p>
        </w:tc>
      </w:tr>
      <w:tr>
        <w:trPr>
          <w:trHeight w:val="212"/>
        </w:trPr>
        <w:tc>
          <w:tcPr>
            <w:tcW w:w="5300" w:type="dxa"/>
            <w:vAlign w:val="bottom"/>
            <w:gridSpan w:val="2"/>
            <w:shd w:val="clear" w:color="auto" w:fill="CCEEFF"/>
          </w:tcPr>
          <w:p>
            <w:pPr>
              <w:ind w:left="180"/>
              <w:spacing w:after="0" w:line="213" w:lineRule="exact"/>
              <w:rPr>
                <w:sz w:val="20"/>
                <w:szCs w:val="20"/>
                <w:color w:val="auto"/>
              </w:rPr>
            </w:pPr>
            <w:r>
              <w:rPr>
                <w:rFonts w:ascii="Arial" w:cs="Arial" w:eastAsia="Arial" w:hAnsi="Arial"/>
                <w:sz w:val="16"/>
                <w:szCs w:val="16"/>
                <w:color w:val="auto"/>
              </w:rPr>
              <w:t xml:space="preserve">Facility, due 2028 </w:t>
            </w:r>
            <w:r>
              <w:rPr>
                <w:rFonts w:ascii="Arial" w:cs="Arial" w:eastAsia="Arial" w:hAnsi="Arial"/>
                <w:sz w:val="21"/>
                <w:szCs w:val="21"/>
                <w:color w:val="auto"/>
                <w:vertAlign w:val="superscript"/>
              </w:rPr>
              <w:t>(b)</w:t>
            </w:r>
          </w:p>
        </w:tc>
        <w:tc>
          <w:tcPr>
            <w:tcW w:w="14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vMerge w:val="continue"/>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14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300" w:type="dxa"/>
            <w:vAlign w:val="bottom"/>
            <w:gridSpan w:val="2"/>
          </w:tcPr>
          <w:p>
            <w:pPr>
              <w:ind w:left="20"/>
              <w:spacing w:after="0"/>
              <w:rPr>
                <w:sz w:val="20"/>
                <w:szCs w:val="20"/>
                <w:color w:val="auto"/>
              </w:rPr>
            </w:pPr>
            <w:r>
              <w:rPr>
                <w:rFonts w:ascii="Arial" w:cs="Arial" w:eastAsia="Arial" w:hAnsi="Arial"/>
                <w:sz w:val="16"/>
                <w:szCs w:val="16"/>
                <w:b w:val="1"/>
                <w:bCs w:val="1"/>
                <w:color w:val="auto"/>
              </w:rPr>
              <w:t>Non-recourse project-level debt:</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Agua Caliente Solar LLC, due 2037</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649</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2.395-3.633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13"/>
        </w:trPr>
        <w:tc>
          <w:tcPr>
            <w:tcW w:w="5300" w:type="dxa"/>
            <w:vAlign w:val="bottom"/>
            <w:gridSpan w:val="2"/>
          </w:tcPr>
          <w:p>
            <w:pPr>
              <w:ind w:left="20"/>
              <w:spacing w:after="0"/>
              <w:rPr>
                <w:sz w:val="20"/>
                <w:szCs w:val="20"/>
                <w:color w:val="auto"/>
              </w:rPr>
            </w:pPr>
            <w:r>
              <w:rPr>
                <w:rFonts w:ascii="Arial" w:cs="Arial" w:eastAsia="Arial" w:hAnsi="Arial"/>
                <w:sz w:val="16"/>
                <w:szCs w:val="16"/>
                <w:color w:val="auto"/>
              </w:rPr>
              <w:t>Alta Wind Asset Management LLC, due 2031</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L+2.625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Alta Wind I-V lease financing arrangements, due 2034 and 2035</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709</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5.696-7.015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3"/>
        </w:trPr>
        <w:tc>
          <w:tcPr>
            <w:tcW w:w="5300" w:type="dxa"/>
            <w:vAlign w:val="bottom"/>
            <w:gridSpan w:val="2"/>
          </w:tcPr>
          <w:p>
            <w:pPr>
              <w:ind w:left="20"/>
              <w:spacing w:after="0"/>
              <w:rPr>
                <w:sz w:val="20"/>
                <w:szCs w:val="20"/>
                <w:color w:val="auto"/>
              </w:rPr>
            </w:pPr>
            <w:r>
              <w:rPr>
                <w:rFonts w:ascii="Arial" w:cs="Arial" w:eastAsia="Arial" w:hAnsi="Arial"/>
                <w:sz w:val="16"/>
                <w:szCs w:val="16"/>
                <w:color w:val="auto"/>
              </w:rPr>
              <w:t>Alta Wind Realty Investments LLC, due 2031</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w:t>
            </w:r>
          </w:p>
        </w:tc>
        <w:tc>
          <w:tcPr>
            <w:tcW w:w="1760" w:type="dxa"/>
            <w:vAlign w:val="bottom"/>
            <w:gridSpan w:val="2"/>
          </w:tcPr>
          <w:p>
            <w:pPr>
              <w:jc w:val="center"/>
              <w:ind w:left="1159"/>
              <w:spacing w:after="0"/>
              <w:rPr>
                <w:sz w:val="20"/>
                <w:szCs w:val="20"/>
                <w:color w:val="auto"/>
              </w:rPr>
            </w:pPr>
            <w:r>
              <w:rPr>
                <w:rFonts w:ascii="Arial" w:cs="Arial" w:eastAsia="Arial" w:hAnsi="Arial"/>
                <w:sz w:val="16"/>
                <w:szCs w:val="16"/>
                <w:color w:val="auto"/>
                <w:w w:val="89"/>
              </w:rPr>
              <w:t>7.000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Borrego, due 2024 and 2038</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center"/>
              <w:ind w:left="1020"/>
              <w:spacing w:after="0"/>
              <w:rPr>
                <w:sz w:val="20"/>
                <w:szCs w:val="20"/>
                <w:color w:val="auto"/>
              </w:rPr>
            </w:pPr>
            <w:r>
              <w:rPr>
                <w:rFonts w:ascii="Arial" w:cs="Arial" w:eastAsia="Arial" w:hAnsi="Arial"/>
                <w:sz w:val="16"/>
                <w:szCs w:val="16"/>
                <w:color w:val="auto"/>
                <w:w w:val="92"/>
              </w:rPr>
              <w:t>Various</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300" w:type="dxa"/>
            <w:vAlign w:val="bottom"/>
            <w:gridSpan w:val="2"/>
          </w:tcPr>
          <w:p>
            <w:pPr>
              <w:ind w:left="20"/>
              <w:spacing w:after="0"/>
              <w:rPr>
                <w:sz w:val="20"/>
                <w:szCs w:val="20"/>
                <w:color w:val="auto"/>
              </w:rPr>
            </w:pPr>
            <w:r>
              <w:rPr>
                <w:rFonts w:ascii="Arial" w:cs="Arial" w:eastAsia="Arial" w:hAnsi="Arial"/>
                <w:sz w:val="16"/>
                <w:szCs w:val="16"/>
                <w:color w:val="auto"/>
              </w:rPr>
              <w:t>Buckthorn Solar, due 2025</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119</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S+2.100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9"/>
        </w:trPr>
        <w:tc>
          <w:tcPr>
            <w:tcW w:w="5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Capistrano Wind Portfolio, due 2029 and 2031</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S+2.100-S+2.150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242424"/>
              </w:rPr>
              <w:t>34</w:t>
            </w:r>
          </w:p>
        </w:tc>
        <w:tc>
          <w:tcPr>
            <w:tcW w:w="0" w:type="dxa"/>
            <w:vAlign w:val="bottom"/>
          </w:tcPr>
          <w:p>
            <w:pPr>
              <w:spacing w:after="0"/>
              <w:rPr>
                <w:sz w:val="1"/>
                <w:szCs w:val="1"/>
                <w:color w:val="auto"/>
              </w:rPr>
            </w:pPr>
          </w:p>
        </w:tc>
      </w:tr>
      <w:tr>
        <w:trPr>
          <w:trHeight w:val="213"/>
        </w:trPr>
        <w:tc>
          <w:tcPr>
            <w:tcW w:w="5300" w:type="dxa"/>
            <w:vAlign w:val="bottom"/>
            <w:gridSpan w:val="2"/>
          </w:tcPr>
          <w:p>
            <w:pPr>
              <w:ind w:left="20"/>
              <w:spacing w:after="0"/>
              <w:rPr>
                <w:sz w:val="20"/>
                <w:szCs w:val="20"/>
                <w:color w:val="auto"/>
              </w:rPr>
            </w:pPr>
            <w:r>
              <w:rPr>
                <w:rFonts w:ascii="Arial" w:cs="Arial" w:eastAsia="Arial" w:hAnsi="Arial"/>
                <w:sz w:val="16"/>
                <w:szCs w:val="16"/>
                <w:color w:val="auto"/>
              </w:rPr>
              <w:t>Carlsbad Energy Holdings LLC, due 2027</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S+1.900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19"/>
        </w:trPr>
        <w:tc>
          <w:tcPr>
            <w:tcW w:w="5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Carlsbad Energy Holdings LLC, due 2038</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w:t>
            </w:r>
          </w:p>
        </w:tc>
        <w:tc>
          <w:tcPr>
            <w:tcW w:w="1760" w:type="dxa"/>
            <w:vAlign w:val="bottom"/>
            <w:gridSpan w:val="2"/>
            <w:shd w:val="clear" w:color="auto" w:fill="CCEEFF"/>
          </w:tcPr>
          <w:p>
            <w:pPr>
              <w:jc w:val="center"/>
              <w:ind w:left="1159"/>
              <w:spacing w:after="0"/>
              <w:rPr>
                <w:sz w:val="20"/>
                <w:szCs w:val="20"/>
                <w:color w:val="auto"/>
              </w:rPr>
            </w:pPr>
            <w:r>
              <w:rPr>
                <w:rFonts w:ascii="Arial" w:cs="Arial" w:eastAsia="Arial" w:hAnsi="Arial"/>
                <w:sz w:val="16"/>
                <w:szCs w:val="16"/>
                <w:color w:val="auto"/>
                <w:w w:val="89"/>
              </w:rPr>
              <w:t>4.120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300" w:type="dxa"/>
            <w:vAlign w:val="bottom"/>
            <w:gridSpan w:val="2"/>
          </w:tcPr>
          <w:p>
            <w:pPr>
              <w:ind w:left="20"/>
              <w:spacing w:after="0"/>
              <w:rPr>
                <w:sz w:val="20"/>
                <w:szCs w:val="20"/>
                <w:color w:val="auto"/>
              </w:rPr>
            </w:pPr>
            <w:r>
              <w:rPr>
                <w:rFonts w:ascii="Arial" w:cs="Arial" w:eastAsia="Arial" w:hAnsi="Arial"/>
                <w:sz w:val="16"/>
                <w:szCs w:val="16"/>
                <w:color w:val="auto"/>
              </w:rPr>
              <w:t>Carlsbad Holdco, LLC, due 2038</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197</w:t>
            </w:r>
          </w:p>
        </w:tc>
        <w:tc>
          <w:tcPr>
            <w:tcW w:w="1760" w:type="dxa"/>
            <w:vAlign w:val="bottom"/>
            <w:gridSpan w:val="2"/>
          </w:tcPr>
          <w:p>
            <w:pPr>
              <w:jc w:val="center"/>
              <w:ind w:left="1159"/>
              <w:spacing w:after="0"/>
              <w:rPr>
                <w:sz w:val="20"/>
                <w:szCs w:val="20"/>
                <w:color w:val="auto"/>
              </w:rPr>
            </w:pPr>
            <w:r>
              <w:rPr>
                <w:rFonts w:ascii="Arial" w:cs="Arial" w:eastAsia="Arial" w:hAnsi="Arial"/>
                <w:sz w:val="16"/>
                <w:szCs w:val="16"/>
                <w:color w:val="auto"/>
                <w:w w:val="89"/>
              </w:rPr>
              <w:t>4.210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9"/>
        </w:trPr>
        <w:tc>
          <w:tcPr>
            <w:tcW w:w="5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CVSR, due 2037</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627</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2.339-3.775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300" w:type="dxa"/>
            <w:vAlign w:val="bottom"/>
            <w:gridSpan w:val="2"/>
          </w:tcPr>
          <w:p>
            <w:pPr>
              <w:ind w:left="20"/>
              <w:spacing w:after="0"/>
              <w:rPr>
                <w:sz w:val="20"/>
                <w:szCs w:val="20"/>
                <w:color w:val="auto"/>
              </w:rPr>
            </w:pPr>
            <w:r>
              <w:rPr>
                <w:rFonts w:ascii="Arial" w:cs="Arial" w:eastAsia="Arial" w:hAnsi="Arial"/>
                <w:sz w:val="16"/>
                <w:szCs w:val="16"/>
                <w:color w:val="auto"/>
              </w:rPr>
              <w:t>CVSR Holdco Notes, due 2037</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160</w:t>
            </w:r>
          </w:p>
        </w:tc>
        <w:tc>
          <w:tcPr>
            <w:tcW w:w="1760" w:type="dxa"/>
            <w:vAlign w:val="bottom"/>
            <w:gridSpan w:val="2"/>
          </w:tcPr>
          <w:p>
            <w:pPr>
              <w:jc w:val="center"/>
              <w:ind w:left="1159"/>
              <w:spacing w:after="0"/>
              <w:rPr>
                <w:sz w:val="20"/>
                <w:szCs w:val="20"/>
                <w:color w:val="auto"/>
              </w:rPr>
            </w:pPr>
            <w:r>
              <w:rPr>
                <w:rFonts w:ascii="Arial" w:cs="Arial" w:eastAsia="Arial" w:hAnsi="Arial"/>
                <w:sz w:val="16"/>
                <w:szCs w:val="16"/>
                <w:color w:val="auto"/>
                <w:w w:val="89"/>
              </w:rPr>
              <w:t>4.680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242424"/>
              </w:rPr>
              <w:t>12</w:t>
            </w:r>
          </w:p>
        </w:tc>
        <w:tc>
          <w:tcPr>
            <w:tcW w:w="0" w:type="dxa"/>
            <w:vAlign w:val="bottom"/>
          </w:tcPr>
          <w:p>
            <w:pPr>
              <w:spacing w:after="0"/>
              <w:rPr>
                <w:sz w:val="1"/>
                <w:szCs w:val="1"/>
                <w:color w:val="auto"/>
              </w:rPr>
            </w:pPr>
          </w:p>
        </w:tc>
      </w:tr>
      <w:tr>
        <w:trPr>
          <w:trHeight w:val="219"/>
        </w:trPr>
        <w:tc>
          <w:tcPr>
            <w:tcW w:w="5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Daggett 3, due 2023 and 2028</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S+1.262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13"/>
        </w:trPr>
        <w:tc>
          <w:tcPr>
            <w:tcW w:w="5300" w:type="dxa"/>
            <w:vAlign w:val="bottom"/>
            <w:gridSpan w:val="2"/>
          </w:tcPr>
          <w:p>
            <w:pPr>
              <w:ind w:left="20"/>
              <w:spacing w:after="0"/>
              <w:rPr>
                <w:sz w:val="20"/>
                <w:szCs w:val="20"/>
                <w:color w:val="auto"/>
              </w:rPr>
            </w:pPr>
            <w:r>
              <w:rPr>
                <w:rFonts w:ascii="Arial" w:cs="Arial" w:eastAsia="Arial" w:hAnsi="Arial"/>
                <w:sz w:val="16"/>
                <w:szCs w:val="16"/>
                <w:color w:val="auto"/>
              </w:rPr>
              <w:t>DG-CS Master Borrower LLC, due 2040</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406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413</w:t>
            </w:r>
          </w:p>
        </w:tc>
        <w:tc>
          <w:tcPr>
            <w:tcW w:w="1760" w:type="dxa"/>
            <w:vAlign w:val="bottom"/>
            <w:gridSpan w:val="2"/>
          </w:tcPr>
          <w:p>
            <w:pPr>
              <w:jc w:val="center"/>
              <w:ind w:left="1159"/>
              <w:spacing w:after="0"/>
              <w:rPr>
                <w:sz w:val="20"/>
                <w:szCs w:val="20"/>
                <w:color w:val="auto"/>
              </w:rPr>
            </w:pPr>
            <w:r>
              <w:rPr>
                <w:rFonts w:ascii="Arial" w:cs="Arial" w:eastAsia="Arial" w:hAnsi="Arial"/>
                <w:sz w:val="16"/>
                <w:szCs w:val="16"/>
                <w:color w:val="auto"/>
                <w:w w:val="89"/>
              </w:rPr>
              <w:t>3.510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9"/>
        </w:trPr>
        <w:tc>
          <w:tcPr>
            <w:tcW w:w="5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Marsh Landing, due 2023</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300" w:type="dxa"/>
            <w:vAlign w:val="bottom"/>
            <w:gridSpan w:val="2"/>
          </w:tcPr>
          <w:p>
            <w:pPr>
              <w:ind w:left="20"/>
              <w:spacing w:after="0"/>
              <w:rPr>
                <w:sz w:val="20"/>
                <w:szCs w:val="20"/>
                <w:color w:val="auto"/>
              </w:rPr>
            </w:pPr>
            <w:r>
              <w:rPr>
                <w:rFonts w:ascii="Arial" w:cs="Arial" w:eastAsia="Arial" w:hAnsi="Arial"/>
                <w:sz w:val="16"/>
                <w:szCs w:val="16"/>
                <w:color w:val="auto"/>
              </w:rPr>
              <w:t>Mililani I, due 2027</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S+1.600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242424"/>
              </w:rPr>
              <w:t>5</w:t>
            </w:r>
          </w:p>
        </w:tc>
        <w:tc>
          <w:tcPr>
            <w:tcW w:w="0" w:type="dxa"/>
            <w:vAlign w:val="bottom"/>
          </w:tcPr>
          <w:p>
            <w:pPr>
              <w:spacing w:after="0"/>
              <w:rPr>
                <w:sz w:val="1"/>
                <w:szCs w:val="1"/>
                <w:color w:val="auto"/>
              </w:rPr>
            </w:pPr>
          </w:p>
        </w:tc>
      </w:tr>
      <w:tr>
        <w:trPr>
          <w:trHeight w:val="219"/>
        </w:trPr>
        <w:tc>
          <w:tcPr>
            <w:tcW w:w="5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NIMH Solar, due 2024</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S+2.150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3"/>
        </w:trPr>
        <w:tc>
          <w:tcPr>
            <w:tcW w:w="5300" w:type="dxa"/>
            <w:vAlign w:val="bottom"/>
            <w:gridSpan w:val="2"/>
          </w:tcPr>
          <w:p>
            <w:pPr>
              <w:ind w:left="20"/>
              <w:spacing w:after="0"/>
              <w:rPr>
                <w:sz w:val="20"/>
                <w:szCs w:val="20"/>
                <w:color w:val="auto"/>
              </w:rPr>
            </w:pPr>
            <w:r>
              <w:rPr>
                <w:rFonts w:ascii="Arial" w:cs="Arial" w:eastAsia="Arial" w:hAnsi="Arial"/>
                <w:sz w:val="16"/>
                <w:szCs w:val="16"/>
                <w:color w:val="auto"/>
              </w:rPr>
              <w:t>Oahu Solar Holdings LLC, due 2026</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S+1.525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242424"/>
              </w:rPr>
              <w:t>11</w:t>
            </w:r>
          </w:p>
        </w:tc>
        <w:tc>
          <w:tcPr>
            <w:tcW w:w="0" w:type="dxa"/>
            <w:vAlign w:val="bottom"/>
          </w:tcPr>
          <w:p>
            <w:pPr>
              <w:spacing w:after="0"/>
              <w:rPr>
                <w:sz w:val="1"/>
                <w:szCs w:val="1"/>
                <w:color w:val="auto"/>
              </w:rPr>
            </w:pPr>
          </w:p>
        </w:tc>
      </w:tr>
      <w:tr>
        <w:trPr>
          <w:trHeight w:val="219"/>
        </w:trPr>
        <w:tc>
          <w:tcPr>
            <w:tcW w:w="5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Rosie Class B LLC, due 2029</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S+1.375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3"/>
        </w:trPr>
        <w:tc>
          <w:tcPr>
            <w:tcW w:w="5300" w:type="dxa"/>
            <w:vAlign w:val="bottom"/>
            <w:gridSpan w:val="2"/>
          </w:tcPr>
          <w:p>
            <w:pPr>
              <w:ind w:left="20"/>
              <w:spacing w:after="0"/>
              <w:rPr>
                <w:sz w:val="20"/>
                <w:szCs w:val="20"/>
                <w:color w:val="auto"/>
              </w:rPr>
            </w:pPr>
            <w:r>
              <w:rPr>
                <w:rFonts w:ascii="Arial" w:cs="Arial" w:eastAsia="Arial" w:hAnsi="Arial"/>
                <w:sz w:val="16"/>
                <w:szCs w:val="16"/>
                <w:color w:val="auto"/>
              </w:rPr>
              <w:t>Utah Solar Holdings, due 2036</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257</w:t>
            </w:r>
          </w:p>
        </w:tc>
        <w:tc>
          <w:tcPr>
            <w:tcW w:w="1760" w:type="dxa"/>
            <w:vAlign w:val="bottom"/>
            <w:gridSpan w:val="2"/>
          </w:tcPr>
          <w:p>
            <w:pPr>
              <w:jc w:val="center"/>
              <w:ind w:left="1159"/>
              <w:spacing w:after="0"/>
              <w:rPr>
                <w:sz w:val="20"/>
                <w:szCs w:val="20"/>
                <w:color w:val="auto"/>
              </w:rPr>
            </w:pPr>
            <w:r>
              <w:rPr>
                <w:rFonts w:ascii="Arial" w:cs="Arial" w:eastAsia="Arial" w:hAnsi="Arial"/>
                <w:sz w:val="16"/>
                <w:szCs w:val="16"/>
                <w:color w:val="auto"/>
                <w:w w:val="89"/>
              </w:rPr>
              <w:t>3.590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9"/>
        </w:trPr>
        <w:tc>
          <w:tcPr>
            <w:tcW w:w="5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Viento Funding II, LLC, due 2029</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S+1.475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242424"/>
              </w:rPr>
              <w:t>25</w:t>
            </w:r>
          </w:p>
        </w:tc>
        <w:tc>
          <w:tcPr>
            <w:tcW w:w="0" w:type="dxa"/>
            <w:vAlign w:val="bottom"/>
          </w:tcPr>
          <w:p>
            <w:pPr>
              <w:spacing w:after="0"/>
              <w:rPr>
                <w:sz w:val="1"/>
                <w:szCs w:val="1"/>
                <w:color w:val="auto"/>
              </w:rPr>
            </w:pPr>
          </w:p>
        </w:tc>
      </w:tr>
      <w:tr>
        <w:trPr>
          <w:trHeight w:val="213"/>
        </w:trPr>
        <w:tc>
          <w:tcPr>
            <w:tcW w:w="5300" w:type="dxa"/>
            <w:vAlign w:val="bottom"/>
            <w:gridSpan w:val="2"/>
          </w:tcPr>
          <w:p>
            <w:pPr>
              <w:ind w:left="20"/>
              <w:spacing w:after="0"/>
              <w:rPr>
                <w:sz w:val="20"/>
                <w:szCs w:val="20"/>
                <w:color w:val="auto"/>
              </w:rPr>
            </w:pPr>
            <w:r>
              <w:rPr>
                <w:rFonts w:ascii="Arial" w:cs="Arial" w:eastAsia="Arial" w:hAnsi="Arial"/>
                <w:sz w:val="16"/>
                <w:szCs w:val="16"/>
                <w:color w:val="auto"/>
              </w:rPr>
              <w:t>Waiawa, due 2028</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S+1.600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9"/>
        </w:trPr>
        <w:tc>
          <w:tcPr>
            <w:tcW w:w="5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Walnut Creek, due 2023</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300" w:type="dxa"/>
            <w:vAlign w:val="bottom"/>
            <w:gridSpan w:val="2"/>
          </w:tcPr>
          <w:p>
            <w:pPr>
              <w:ind w:left="20"/>
              <w:spacing w:after="0"/>
              <w:rPr>
                <w:sz w:val="20"/>
                <w:szCs w:val="20"/>
                <w:color w:val="auto"/>
              </w:rPr>
            </w:pPr>
            <w:r>
              <w:rPr>
                <w:rFonts w:ascii="Arial" w:cs="Arial" w:eastAsia="Arial" w:hAnsi="Arial"/>
                <w:sz w:val="16"/>
                <w:szCs w:val="16"/>
                <w:color w:val="auto"/>
              </w:rPr>
              <w:t>WCEP Holdings, LLC, due 2023</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center"/>
              <w:ind w:left="1020"/>
              <w:spacing w:after="0"/>
              <w:rPr>
                <w:sz w:val="20"/>
                <w:szCs w:val="20"/>
                <w:color w:val="auto"/>
              </w:rPr>
            </w:pPr>
            <w:r>
              <w:rPr>
                <w:rFonts w:ascii="Arial" w:cs="Arial" w:eastAsia="Arial" w:hAnsi="Arial"/>
                <w:sz w:val="16"/>
                <w:szCs w:val="16"/>
                <w:color w:val="auto"/>
                <w:w w:val="92"/>
              </w:rPr>
              <w:t>Various</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207"/>
        </w:trPr>
        <w:tc>
          <w:tcPr>
            <w:tcW w:w="530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Subtotal non-recourse project-level debt</w:t>
            </w: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4,969</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4,745</w:t>
            </w:r>
          </w:p>
        </w:tc>
        <w:tc>
          <w:tcPr>
            <w:tcW w:w="120" w:type="dxa"/>
            <w:vAlign w:val="bottom"/>
            <w:tcBorders>
              <w:bottom w:val="single" w:sz="8" w:color="CCEEFF"/>
            </w:tcBorders>
          </w:tcPr>
          <w:p>
            <w:pPr>
              <w:spacing w:after="0"/>
              <w:rPr>
                <w:sz w:val="17"/>
                <w:szCs w:val="17"/>
                <w:color w:val="auto"/>
              </w:rPr>
            </w:pPr>
          </w:p>
        </w:tc>
        <w:tc>
          <w:tcPr>
            <w:tcW w:w="16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4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3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Total debt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7,096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6,872</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300" w:type="dxa"/>
            <w:vAlign w:val="bottom"/>
            <w:gridSpan w:val="2"/>
          </w:tcPr>
          <w:p>
            <w:pPr>
              <w:ind w:left="20"/>
              <w:spacing w:after="0"/>
              <w:rPr>
                <w:sz w:val="20"/>
                <w:szCs w:val="20"/>
                <w:color w:val="auto"/>
              </w:rPr>
            </w:pPr>
            <w:r>
              <w:rPr>
                <w:rFonts w:ascii="Arial" w:cs="Arial" w:eastAsia="Arial" w:hAnsi="Arial"/>
                <w:sz w:val="16"/>
                <w:szCs w:val="16"/>
                <w:color w:val="auto"/>
              </w:rPr>
              <w:t>Less current maturities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(324)</w:t>
            </w: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Less net debt issuance costs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00" w:type="dxa"/>
            <w:vAlign w:val="bottom"/>
            <w:tcBorders>
              <w:bottom w:val="single" w:sz="8" w:color="CCEEFF"/>
            </w:tcBorders>
            <w:gridSpan w:val="2"/>
          </w:tcPr>
          <w:p>
            <w:pPr>
              <w:ind w:left="20"/>
              <w:spacing w:after="0" w:line="216" w:lineRule="exact"/>
              <w:rPr>
                <w:sz w:val="20"/>
                <w:szCs w:val="20"/>
                <w:color w:val="auto"/>
              </w:rPr>
            </w:pPr>
            <w:r>
              <w:rPr>
                <w:rFonts w:ascii="Arial" w:cs="Arial" w:eastAsia="Arial" w:hAnsi="Arial"/>
                <w:sz w:val="16"/>
                <w:szCs w:val="16"/>
                <w:color w:val="auto"/>
              </w:rPr>
              <w:t xml:space="preserve">Add premiums </w:t>
            </w:r>
            <w:r>
              <w:rPr>
                <w:rFonts w:ascii="Arial" w:cs="Arial" w:eastAsia="Arial" w:hAnsi="Arial"/>
                <w:sz w:val="21"/>
                <w:szCs w:val="21"/>
                <w:color w:val="auto"/>
                <w:vertAlign w:val="superscript"/>
              </w:rPr>
              <w:t>(c)</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tcPr>
          <w:p>
            <w:pPr>
              <w:spacing w:after="0"/>
              <w:rPr>
                <w:sz w:val="18"/>
                <w:szCs w:val="18"/>
                <w:color w:val="auto"/>
              </w:rPr>
            </w:pPr>
          </w:p>
        </w:tc>
        <w:tc>
          <w:tcPr>
            <w:tcW w:w="16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Total long-term debt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6,708</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6,491</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3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160" w:type="dxa"/>
            <w:vAlign w:val="bottom"/>
            <w:tcBorders>
              <w:bottom w:val="single" w:sz="8" w:color="auto"/>
            </w:tcBorders>
          </w:tcPr>
          <w:p>
            <w:pPr>
              <w:spacing w:after="0"/>
              <w:rPr>
                <w:sz w:val="11"/>
                <w:szCs w:val="11"/>
                <w:color w:val="auto"/>
              </w:rPr>
            </w:pPr>
          </w:p>
        </w:tc>
        <w:tc>
          <w:tcPr>
            <w:tcW w:w="3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220" w:hanging="131"/>
        <w:spacing w:after="0"/>
        <w:tabs>
          <w:tab w:leader="none" w:pos="220" w:val="left"/>
        </w:tabs>
        <w:numPr>
          <w:ilvl w:val="0"/>
          <w:numId w:val="17"/>
        </w:numPr>
        <w:rPr>
          <w:rFonts w:ascii="Arial" w:cs="Arial" w:eastAsia="Arial" w:hAnsi="Arial"/>
          <w:sz w:val="16"/>
          <w:szCs w:val="16"/>
          <w:color w:val="auto"/>
          <w:vertAlign w:val="superscript"/>
        </w:rPr>
      </w:pPr>
      <w:r>
        <w:rPr>
          <w:rFonts w:ascii="Arial" w:cs="Arial" w:eastAsia="Arial" w:hAnsi="Arial"/>
          <w:sz w:val="11"/>
          <w:szCs w:val="11"/>
          <w:color w:val="auto"/>
        </w:rPr>
        <w:t>As of June 30, 2023, S+ equals SOFR plus x% and L+ equals 3 month LIBOR plus x%.</w:t>
      </w:r>
    </w:p>
    <w:p>
      <w:pPr>
        <w:spacing w:after="0" w:line="32" w:lineRule="exact"/>
        <w:rPr>
          <w:rFonts w:ascii="Arial" w:cs="Arial" w:eastAsia="Arial" w:hAnsi="Arial"/>
          <w:sz w:val="16"/>
          <w:szCs w:val="16"/>
          <w:color w:val="auto"/>
          <w:vertAlign w:val="superscript"/>
        </w:rPr>
      </w:pPr>
    </w:p>
    <w:p>
      <w:pPr>
        <w:ind w:left="240" w:hanging="151"/>
        <w:spacing w:after="0" w:line="197" w:lineRule="auto"/>
        <w:tabs>
          <w:tab w:leader="none" w:pos="240" w:val="left"/>
        </w:tabs>
        <w:numPr>
          <w:ilvl w:val="0"/>
          <w:numId w:val="17"/>
        </w:numPr>
        <w:rPr>
          <w:rFonts w:ascii="Arial" w:cs="Arial" w:eastAsia="Arial" w:hAnsi="Arial"/>
          <w:sz w:val="18"/>
          <w:szCs w:val="18"/>
          <w:color w:val="auto"/>
          <w:vertAlign w:val="superscript"/>
        </w:rPr>
      </w:pPr>
      <w:r>
        <w:rPr>
          <w:rFonts w:ascii="Arial" w:cs="Arial" w:eastAsia="Arial" w:hAnsi="Arial"/>
          <w:sz w:val="12"/>
          <w:szCs w:val="12"/>
          <w:color w:val="auto"/>
        </w:rPr>
        <w:t>Applicable rate is determined by the borrower leverage ratio, as defined in the credit agreement.</w:t>
      </w:r>
    </w:p>
    <w:p>
      <w:pPr>
        <w:spacing w:after="0" w:line="46" w:lineRule="exact"/>
        <w:rPr>
          <w:rFonts w:ascii="Arial" w:cs="Arial" w:eastAsia="Arial" w:hAnsi="Arial"/>
          <w:sz w:val="18"/>
          <w:szCs w:val="18"/>
          <w:color w:val="auto"/>
          <w:vertAlign w:val="superscript"/>
        </w:rPr>
      </w:pPr>
    </w:p>
    <w:p>
      <w:pPr>
        <w:ind w:left="240" w:hanging="151"/>
        <w:spacing w:after="0" w:line="186" w:lineRule="auto"/>
        <w:tabs>
          <w:tab w:leader="none" w:pos="240" w:val="left"/>
        </w:tabs>
        <w:numPr>
          <w:ilvl w:val="0"/>
          <w:numId w:val="17"/>
        </w:numPr>
        <w:rPr>
          <w:rFonts w:ascii="Arial" w:cs="Arial" w:eastAsia="Arial" w:hAnsi="Arial"/>
          <w:sz w:val="19"/>
          <w:szCs w:val="19"/>
          <w:color w:val="auto"/>
          <w:vertAlign w:val="superscript"/>
        </w:rPr>
      </w:pPr>
      <w:r>
        <w:rPr>
          <w:rFonts w:ascii="Arial" w:cs="Arial" w:eastAsia="Arial" w:hAnsi="Arial"/>
          <w:sz w:val="13"/>
          <w:szCs w:val="13"/>
          <w:color w:val="auto"/>
        </w:rPr>
        <w:t>Premiums relate to the 2028 Senior Notes.</w:t>
      </w:r>
    </w:p>
    <w:p>
      <w:pPr>
        <w:spacing w:after="0" w:line="147" w:lineRule="exact"/>
        <w:rPr>
          <w:sz w:val="20"/>
          <w:szCs w:val="20"/>
          <w:color w:val="auto"/>
        </w:rPr>
      </w:pPr>
    </w:p>
    <w:p>
      <w:pPr>
        <w:ind w:firstLine="405"/>
        <w:spacing w:after="0" w:line="342" w:lineRule="auto"/>
        <w:rPr>
          <w:sz w:val="20"/>
          <w:szCs w:val="20"/>
          <w:color w:val="auto"/>
        </w:rPr>
      </w:pPr>
      <w:r>
        <w:rPr>
          <w:rFonts w:ascii="Arial" w:cs="Arial" w:eastAsia="Arial" w:hAnsi="Arial"/>
          <w:sz w:val="16"/>
          <w:szCs w:val="16"/>
          <w:color w:val="auto"/>
        </w:rPr>
        <w:t>The financing arrangements listed above contain certain covenants, including financial covenants that the Company is required to be in compliance with during the term of the respective arrangement. As of June 30, 2023, the Company was in compliance with all of the required covenants.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6" w:name="page27"/>
    <w:bookmarkEnd w:id="26"/>
    <w:p>
      <w:pPr>
        <w:ind w:right="1980" w:firstLine="405"/>
        <w:spacing w:after="0" w:line="438" w:lineRule="auto"/>
        <w:rPr>
          <w:sz w:val="20"/>
          <w:szCs w:val="20"/>
          <w:color w:val="auto"/>
        </w:rPr>
      </w:pPr>
      <w:r>
        <w:rPr>
          <w:rFonts w:ascii="Arial" w:cs="Arial" w:eastAsia="Arial" w:hAnsi="Arial"/>
          <w:sz w:val="18"/>
          <w:szCs w:val="18"/>
          <w:color w:val="auto"/>
        </w:rPr>
        <w:t xml:space="preserve">The discussion below describes material changes to or additions of long-term debt for the six months ended June 30, 2023. </w:t>
      </w:r>
      <w:r>
        <w:rPr>
          <w:rFonts w:ascii="Arial" w:cs="Arial" w:eastAsia="Arial" w:hAnsi="Arial"/>
          <w:sz w:val="18"/>
          <w:szCs w:val="18"/>
          <w:b w:val="1"/>
          <w:bCs w:val="1"/>
          <w:i w:val="1"/>
          <w:iCs w:val="1"/>
          <w:color w:val="auto"/>
        </w:rPr>
        <w:t>Clearway Energy LLC and Clearway Energy Operating LLC Revolving Credit Facility</w:t>
      </w:r>
    </w:p>
    <w:p>
      <w:pPr>
        <w:spacing w:after="0" w:line="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March 15, 2023, Clearway Energy Operating LLC refinanced the Amended and Restated Credit Agreement, which (i) replaced LIBOR with SOFR plus a credit spread adjustment of 0.10% as the applicable reference rate, (ii) increased the available revolving commitments to an aggregate principal amount of $700 million, (iii) extended the maturity date to March 15, 2028, (iv) increased the letter of credit sublimit to $594 million and (v) implemented certain other technical modifications.</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As of June 30, 2023, the Company had no outstanding borrowings under the revolving credit facility and $188 million in letters of credit outstanding.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Project-level Debt</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Rosamond Central (Rosie Class B LLC)</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On June 30, 2023, Rosie Class B LLC amended its financing agreement to provide for (i) a term loan in the amount of $77 million, (ii) construction loans up to $115 million, which will convert to a term loan upon the BESS project reaching substantial completion, (iii) tax equity bridge loans up to $188 million, which will be repaid with tax equity proceeds received upon the BESS project reaching substantial completion, (iv) an increase to the letter of credit sublimit to $41 million and (v) an extension of the maturity date of the term loan and construction loans to five years subsequent to term conversions.</w:t>
      </w:r>
    </w:p>
    <w:p>
      <w:pPr>
        <w:spacing w:after="0" w:line="13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On July 3, 2023, Rosie Class B LLC received total loan proceeds of $138 million, which was comprised of $115 million in construction loans and $28 million in tax equity bridge loans, net of $5 million in debt issuance costs that were deferred. Also on July 3, 2023, Rosie Class B LLC issued a loan to a consolidated subsidiary of Clearway Renew in the aggregate principal amount of $117 million in order to finance the construction of the BESS project. The loan bears interest at 9.00% and matures when the project reaches substantial completion, which is anticipated in the first half of 2024. The Company also contributed $20 million of the loan proceeds into Rosie Central BESS, as further described in Note 4, </w:t>
      </w:r>
      <w:r>
        <w:rPr>
          <w:rFonts w:ascii="Arial" w:cs="Arial" w:eastAsia="Arial" w:hAnsi="Arial"/>
          <w:sz w:val="18"/>
          <w:szCs w:val="18"/>
          <w:i w:val="1"/>
          <w:iCs w:val="1"/>
          <w:color w:val="auto"/>
        </w:rPr>
        <w:t>Investments Accounted for by the Equity Method</w:t>
      </w:r>
      <w:r>
        <w:rPr>
          <w:rFonts w:ascii="Arial" w:cs="Arial" w:eastAsia="Arial" w:hAnsi="Arial"/>
          <w:sz w:val="18"/>
          <w:szCs w:val="18"/>
          <w:color w:val="auto"/>
        </w:rPr>
        <w:t xml:space="preserve"> </w:t>
      </w:r>
      <w:r>
        <w:rPr>
          <w:rFonts w:ascii="Arial" w:cs="Arial" w:eastAsia="Arial" w:hAnsi="Arial"/>
          <w:sz w:val="18"/>
          <w:szCs w:val="18"/>
          <w:i w:val="1"/>
          <w:iCs w:val="1"/>
          <w:color w:val="auto"/>
        </w:rPr>
        <w:t>and Variable Interest Entities</w:t>
      </w:r>
      <w:r>
        <w:rPr>
          <w:rFonts w:ascii="Arial" w:cs="Arial" w:eastAsia="Arial" w:hAnsi="Arial"/>
          <w:sz w:val="18"/>
          <w:szCs w:val="18"/>
          <w:color w:val="auto"/>
        </w:rPr>
        <w:t>.</w:t>
      </w:r>
    </w:p>
    <w:p>
      <w:pPr>
        <w:spacing w:after="0" w:line="13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Waiawa</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On March 30, 2023, when the Waiawa solar project reached substantial completion, the tax equity investor contributed an additional $41 million and CEG contributed an additional $8 million, which was utilized, along with the $17 million in escrow, to repay the $55 million tax equity bridge loan, to fund $10 million in construction completion reserves and to pay $1 million in associated fees. Subsequent to the acquisition on October 3, 2022, the Company borrowed an additional $25 million in construction loans that was converted to a term loan in the amount of $47 million on March 30, 2023 that matures on March 30, 2028.</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Daggett 3</w:t>
      </w:r>
    </w:p>
    <w:p>
      <w:pPr>
        <w:spacing w:after="0" w:line="171"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 xml:space="preserve">On February 17, 2023, as part of the acquisition of Daggett 3, as further described in Note 3, </w:t>
      </w:r>
      <w:r>
        <w:rPr>
          <w:rFonts w:ascii="Arial" w:cs="Arial" w:eastAsia="Arial" w:hAnsi="Arial"/>
          <w:sz w:val="16"/>
          <w:szCs w:val="16"/>
          <w:i w:val="1"/>
          <w:iCs w:val="1"/>
          <w:color w:val="auto"/>
        </w:rPr>
        <w:t>Acquisitions and Dispositions</w:t>
      </w:r>
      <w:r>
        <w:rPr>
          <w:rFonts w:ascii="Arial" w:cs="Arial" w:eastAsia="Arial" w:hAnsi="Arial"/>
          <w:sz w:val="16"/>
          <w:szCs w:val="16"/>
          <w:color w:val="auto"/>
        </w:rPr>
        <w:t>, the Company assumed the project’s financing agreement, which included a $181 million construction loan that converts to a term loan upon the project reaching substantial completion, $229 million tax equity bridge loan and $75 million sponsor equity bridge loan. The sponsor equity bridge loan was repaid at acquisition date, along with $8 million in associated fees, utilizing all of the proceeds from the Company and cash equity investor, which were contributed back to the Company by CEG. The tax equity bridge loan will be repaid with the final proceeds received from the tax equity investor upon Daggett 3 reaching substantial completion, which is expected to occur in the second half of 2023, along with the $62 million that was contributed into escrow by the tax equity investor at acquisition date. Subsequent to the acquisition, the Company borrowed an additional $36 million in construction loans.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 xml:space="preserve">Note 8 — </w:t>
      </w:r>
      <w:r>
        <w:rPr>
          <w:rFonts w:ascii="Arial" w:cs="Arial" w:eastAsia="Arial" w:hAnsi="Arial"/>
          <w:sz w:val="18"/>
          <w:szCs w:val="18"/>
          <w:b w:val="1"/>
          <w:bCs w:val="1"/>
          <w:i w:val="1"/>
          <w:iCs w:val="1"/>
          <w:color w:val="auto"/>
        </w:rPr>
        <w:t>Segment Reporting</w:t>
      </w:r>
    </w:p>
    <w:p>
      <w:pPr>
        <w:spacing w:after="0" w:line="175" w:lineRule="exact"/>
        <w:rPr>
          <w:sz w:val="20"/>
          <w:szCs w:val="20"/>
          <w:color w:val="auto"/>
        </w:rPr>
      </w:pPr>
    </w:p>
    <w:p>
      <w:pPr>
        <w:jc w:val="both"/>
        <w:ind w:right="80" w:firstLine="405"/>
        <w:spacing w:after="0" w:line="257" w:lineRule="auto"/>
        <w:rPr>
          <w:sz w:val="20"/>
          <w:szCs w:val="20"/>
          <w:color w:val="auto"/>
        </w:rPr>
      </w:pPr>
      <w:r>
        <w:rPr>
          <w:rFonts w:ascii="Arial" w:cs="Arial" w:eastAsia="Arial" w:hAnsi="Arial"/>
          <w:sz w:val="18"/>
          <w:szCs w:val="18"/>
          <w:color w:val="auto"/>
        </w:rPr>
        <w:t>The Company’s segment structure reflects how management currently operates and allocates resources. The Company’s businesses are segregated based on conventional power generation, renewable businesses which consist of solar, wind and energy storage The Corporate segment reflects the Company’s corporate costs and includes eliminating entries. The Company’s chief operating decision maker, its Chief Executive Officer, evaluates the performance of its segments based on operational measures including adjusted earnings before interest, taxes, depreciation and amortization, or Adjusted EBITDA, and CAFD, as well as net income (loss).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60" w:type="dxa"/>
            <w:vAlign w:val="bottom"/>
            <w:gridSpan w:val="9"/>
          </w:tcPr>
          <w:p>
            <w:pPr>
              <w:ind w:left="300"/>
              <w:spacing w:after="0"/>
              <w:rPr>
                <w:sz w:val="20"/>
                <w:szCs w:val="20"/>
                <w:color w:val="auto"/>
              </w:rPr>
            </w:pPr>
            <w:r>
              <w:rPr>
                <w:rFonts w:ascii="Arial" w:cs="Arial" w:eastAsia="Arial" w:hAnsi="Arial"/>
                <w:sz w:val="14"/>
                <w:szCs w:val="14"/>
                <w:b w:val="1"/>
                <w:bCs w:val="1"/>
                <w:color w:val="auto"/>
              </w:rPr>
              <w:t>Three months ended June 30, 2023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16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20" w:type="dxa"/>
            <w:vAlign w:val="bottom"/>
            <w:gridSpan w:val="3"/>
          </w:tcPr>
          <w:p>
            <w:pPr>
              <w:jc w:val="right"/>
              <w:ind w:right="156"/>
              <w:spacing w:after="0" w:line="129" w:lineRule="exact"/>
              <w:rPr>
                <w:sz w:val="20"/>
                <w:szCs w:val="20"/>
                <w:color w:val="auto"/>
              </w:rPr>
            </w:pPr>
            <w:r>
              <w:rPr>
                <w:rFonts w:ascii="Arial" w:cs="Arial" w:eastAsia="Arial" w:hAnsi="Arial"/>
                <w:sz w:val="14"/>
                <w:szCs w:val="14"/>
                <w:b w:val="1"/>
                <w:bCs w:val="1"/>
                <w:color w:val="auto"/>
              </w:rPr>
              <w:t>Conventional</w:t>
            </w:r>
          </w:p>
        </w:tc>
        <w:tc>
          <w:tcPr>
            <w:tcW w:w="120" w:type="dxa"/>
            <w:vAlign w:val="bottom"/>
          </w:tcPr>
          <w:p>
            <w:pPr>
              <w:spacing w:after="0"/>
              <w:rPr>
                <w:sz w:val="11"/>
                <w:szCs w:val="11"/>
                <w:color w:val="auto"/>
              </w:rPr>
            </w:pPr>
          </w:p>
        </w:tc>
        <w:tc>
          <w:tcPr>
            <w:tcW w:w="1320" w:type="dxa"/>
            <w:vAlign w:val="bottom"/>
            <w:gridSpan w:val="4"/>
            <w:vMerge w:val="restart"/>
          </w:tcPr>
          <w:p>
            <w:pPr>
              <w:ind w:left="300"/>
              <w:spacing w:after="0"/>
              <w:rPr>
                <w:sz w:val="20"/>
                <w:szCs w:val="20"/>
                <w:color w:val="auto"/>
              </w:rPr>
            </w:pPr>
            <w:r>
              <w:rPr>
                <w:rFonts w:ascii="Arial" w:cs="Arial" w:eastAsia="Arial" w:hAnsi="Arial"/>
                <w:sz w:val="14"/>
                <w:szCs w:val="14"/>
                <w:b w:val="1"/>
                <w:bCs w:val="1"/>
                <w:color w:val="auto"/>
              </w:rPr>
              <w:t>Renewables</w:t>
            </w:r>
          </w:p>
        </w:tc>
        <w:tc>
          <w:tcPr>
            <w:tcW w:w="100" w:type="dxa"/>
            <w:vAlign w:val="bottom"/>
          </w:tcPr>
          <w:p>
            <w:pPr>
              <w:spacing w:after="0"/>
              <w:rPr>
                <w:sz w:val="11"/>
                <w:szCs w:val="11"/>
                <w:color w:val="auto"/>
              </w:rPr>
            </w:pPr>
          </w:p>
        </w:tc>
        <w:tc>
          <w:tcPr>
            <w:tcW w:w="1340" w:type="dxa"/>
            <w:vAlign w:val="bottom"/>
            <w:gridSpan w:val="4"/>
            <w:vMerge w:val="restart"/>
          </w:tcPr>
          <w:p>
            <w:pPr>
              <w:jc w:val="right"/>
              <w:ind w:right="171"/>
              <w:spacing w:after="0"/>
              <w:rPr>
                <w:sz w:val="20"/>
                <w:szCs w:val="20"/>
                <w:color w:val="auto"/>
              </w:rPr>
            </w:pPr>
            <w:r>
              <w:rPr>
                <w:rFonts w:ascii="Arial" w:cs="Arial" w:eastAsia="Arial" w:hAnsi="Arial"/>
                <w:sz w:val="14"/>
                <w:szCs w:val="14"/>
                <w:b w:val="1"/>
                <w:bCs w:val="1"/>
                <w:color w:val="auto"/>
              </w:rPr>
              <w:t xml:space="preserve">Corporate </w:t>
            </w:r>
            <w:r>
              <w:rPr>
                <w:rFonts w:ascii="Arial" w:cs="Arial" w:eastAsia="Arial" w:hAnsi="Arial"/>
                <w:sz w:val="21"/>
                <w:szCs w:val="21"/>
                <w:b w:val="1"/>
                <w:bCs w:val="1"/>
                <w:color w:val="auto"/>
                <w:vertAlign w:val="superscript"/>
              </w:rPr>
              <w:t>(a)</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3"/>
        </w:trPr>
        <w:tc>
          <w:tcPr>
            <w:tcW w:w="5160" w:type="dxa"/>
            <w:vAlign w:val="bottom"/>
            <w:gridSpan w:val="4"/>
            <w:vMerge w:val="continue"/>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gridSpan w:val="3"/>
          </w:tcPr>
          <w:p>
            <w:pPr>
              <w:jc w:val="right"/>
              <w:ind w:right="216"/>
              <w:spacing w:after="0"/>
              <w:rPr>
                <w:sz w:val="20"/>
                <w:szCs w:val="20"/>
                <w:color w:val="auto"/>
              </w:rPr>
            </w:pPr>
            <w:r>
              <w:rPr>
                <w:rFonts w:ascii="Arial" w:cs="Arial" w:eastAsia="Arial" w:hAnsi="Arial"/>
                <w:sz w:val="14"/>
                <w:szCs w:val="14"/>
                <w:b w:val="1"/>
                <w:bCs w:val="1"/>
                <w:color w:val="auto"/>
              </w:rPr>
              <w:t>Generation</w:t>
            </w:r>
          </w:p>
        </w:tc>
        <w:tc>
          <w:tcPr>
            <w:tcW w:w="120" w:type="dxa"/>
            <w:vAlign w:val="bottom"/>
          </w:tcPr>
          <w:p>
            <w:pPr>
              <w:spacing w:after="0"/>
              <w:rPr>
                <w:sz w:val="17"/>
                <w:szCs w:val="17"/>
                <w:color w:val="auto"/>
              </w:rPr>
            </w:pPr>
          </w:p>
        </w:tc>
        <w:tc>
          <w:tcPr>
            <w:tcW w:w="1320" w:type="dxa"/>
            <w:vAlign w:val="bottom"/>
            <w:gridSpan w:val="4"/>
            <w:vMerge w:val="continue"/>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4"/>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160" w:type="dxa"/>
            <w:vAlign w:val="bottom"/>
            <w:tcBorders>
              <w:top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1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514"/>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35"/>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80" w:type="dxa"/>
            <w:vAlign w:val="bottom"/>
          </w:tcPr>
          <w:p>
            <w:pPr>
              <w:spacing w:after="0"/>
              <w:rPr>
                <w:sz w:val="16"/>
                <w:szCs w:val="16"/>
                <w:color w:val="auto"/>
              </w:rPr>
            </w:pPr>
          </w:p>
        </w:tc>
        <w:tc>
          <w:tcPr>
            <w:tcW w:w="6240" w:type="dxa"/>
            <w:vAlign w:val="bottom"/>
            <w:gridSpan w:val="6"/>
          </w:tcPr>
          <w:p>
            <w:pPr>
              <w:ind w:left="60"/>
              <w:spacing w:after="0" w:line="189" w:lineRule="exact"/>
              <w:rPr>
                <w:sz w:val="20"/>
                <w:szCs w:val="20"/>
                <w:color w:val="auto"/>
              </w:rPr>
            </w:pPr>
            <w:r>
              <w:rPr>
                <w:rFonts w:ascii="Arial" w:cs="Arial" w:eastAsia="Arial" w:hAnsi="Arial"/>
                <w:sz w:val="18"/>
                <w:szCs w:val="18"/>
                <w:color w:val="auto"/>
              </w:rPr>
              <w:t>Cost of operations, exclusive of depreciation, amortization and accretion</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5080" w:type="dxa"/>
            <w:vAlign w:val="bottom"/>
            <w:gridSpan w:val="3"/>
          </w:tcPr>
          <w:p>
            <w:pPr>
              <w:ind w:left="220"/>
              <w:spacing w:after="0"/>
              <w:rPr>
                <w:sz w:val="20"/>
                <w:szCs w:val="20"/>
                <w:color w:val="auto"/>
              </w:rPr>
            </w:pPr>
            <w:r>
              <w:rPr>
                <w:rFonts w:ascii="Arial" w:cs="Arial" w:eastAsia="Arial" w:hAnsi="Arial"/>
                <w:sz w:val="18"/>
                <w:szCs w:val="18"/>
                <w:color w:val="auto"/>
              </w:rPr>
              <w:t>shown separately below</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0" w:type="dxa"/>
            <w:vAlign w:val="bottom"/>
            <w:shd w:val="clear" w:color="auto" w:fill="CCEEFF"/>
          </w:tcPr>
          <w:p>
            <w:pPr>
              <w:spacing w:after="0"/>
              <w:rPr>
                <w:sz w:val="19"/>
                <w:szCs w:val="19"/>
                <w:color w:val="auto"/>
              </w:rPr>
            </w:pPr>
          </w:p>
        </w:tc>
        <w:tc>
          <w:tcPr>
            <w:tcW w:w="508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Depreciation, amortization and accretion</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5080" w:type="dxa"/>
            <w:vAlign w:val="bottom"/>
            <w:gridSpan w:val="3"/>
          </w:tcPr>
          <w:p>
            <w:pPr>
              <w:ind w:left="6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80" w:type="dxa"/>
            <w:vAlign w:val="bottom"/>
            <w:tcBorders>
              <w:bottom w:val="single" w:sz="8" w:color="CCEEFF"/>
            </w:tcBorders>
            <w:shd w:val="clear" w:color="auto" w:fill="CCEEFF"/>
          </w:tcPr>
          <w:p>
            <w:pPr>
              <w:spacing w:after="0"/>
              <w:rPr>
                <w:sz w:val="19"/>
                <w:szCs w:val="19"/>
                <w:color w:val="auto"/>
              </w:rPr>
            </w:pPr>
          </w:p>
        </w:tc>
        <w:tc>
          <w:tcPr>
            <w:tcW w:w="5080" w:type="dxa"/>
            <w:vAlign w:val="bottom"/>
            <w:tcBorders>
              <w:bottom w:val="single" w:sz="8" w:color="CCEEFF"/>
            </w:tcBorders>
            <w:gridSpan w:val="3"/>
            <w:shd w:val="clear" w:color="auto" w:fill="CCEEFF"/>
          </w:tcPr>
          <w:p>
            <w:pPr>
              <w:ind w:left="60"/>
              <w:spacing w:after="0"/>
              <w:rPr>
                <w:sz w:val="20"/>
                <w:szCs w:val="20"/>
                <w:color w:val="auto"/>
              </w:rPr>
            </w:pPr>
            <w:r>
              <w:rPr>
                <w:rFonts w:ascii="Arial" w:cs="Arial" w:eastAsia="Arial" w:hAnsi="Arial"/>
                <w:sz w:val="18"/>
                <w:szCs w:val="18"/>
                <w:color w:val="auto"/>
              </w:rPr>
              <w:t>Transaction and integration costs</w:t>
            </w:r>
          </w:p>
        </w:tc>
        <w:tc>
          <w:tcPr>
            <w:tcW w:w="1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gridSpan w:val="4"/>
          </w:tcPr>
          <w:p>
            <w:pPr>
              <w:ind w:left="20"/>
              <w:spacing w:after="0"/>
              <w:rPr>
                <w:sz w:val="20"/>
                <w:szCs w:val="20"/>
                <w:color w:val="auto"/>
              </w:rPr>
            </w:pPr>
            <w:r>
              <w:rPr>
                <w:rFonts w:ascii="Arial" w:cs="Arial" w:eastAsia="Arial" w:hAnsi="Arial"/>
                <w:sz w:val="18"/>
                <w:szCs w:val="18"/>
                <w:color w:val="auto"/>
              </w:rPr>
              <w:t>Operating income (loss)</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0" w:type="dxa"/>
            <w:vAlign w:val="bottom"/>
            <w:shd w:val="clear" w:color="auto" w:fill="CCEEFF"/>
          </w:tcPr>
          <w:p>
            <w:pPr>
              <w:spacing w:after="0"/>
              <w:rPr>
                <w:sz w:val="20"/>
                <w:szCs w:val="20"/>
                <w:color w:val="auto"/>
              </w:rPr>
            </w:pPr>
          </w:p>
        </w:tc>
        <w:tc>
          <w:tcPr>
            <w:tcW w:w="508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Equity in earnings of unconsolidated affiliates</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5080" w:type="dxa"/>
            <w:vAlign w:val="bottom"/>
            <w:gridSpan w:val="3"/>
          </w:tcPr>
          <w:p>
            <w:pPr>
              <w:ind w:left="60"/>
              <w:spacing w:after="0"/>
              <w:rPr>
                <w:sz w:val="20"/>
                <w:szCs w:val="20"/>
                <w:color w:val="auto"/>
              </w:rPr>
            </w:pPr>
            <w:r>
              <w:rPr>
                <w:rFonts w:ascii="Arial" w:cs="Arial" w:eastAsia="Arial" w:hAnsi="Arial"/>
                <w:sz w:val="18"/>
                <w:szCs w:val="18"/>
                <w:color w:val="auto"/>
              </w:rPr>
              <w:t>Other income, net</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0" w:type="dxa"/>
            <w:vAlign w:val="bottom"/>
            <w:shd w:val="clear" w:color="auto" w:fill="CCEEFF"/>
          </w:tcPr>
          <w:p>
            <w:pPr>
              <w:spacing w:after="0"/>
              <w:rPr>
                <w:sz w:val="21"/>
                <w:szCs w:val="21"/>
                <w:color w:val="auto"/>
              </w:rPr>
            </w:pPr>
          </w:p>
        </w:tc>
        <w:tc>
          <w:tcPr>
            <w:tcW w:w="508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160" w:type="dxa"/>
            <w:vAlign w:val="bottom"/>
            <w:gridSpan w:val="4"/>
          </w:tcPr>
          <w:p>
            <w:pPr>
              <w:ind w:left="20"/>
              <w:spacing w:after="0"/>
              <w:rPr>
                <w:sz w:val="20"/>
                <w:szCs w:val="20"/>
                <w:color w:val="auto"/>
              </w:rPr>
            </w:pPr>
            <w:r>
              <w:rPr>
                <w:rFonts w:ascii="Arial" w:cs="Arial" w:eastAsia="Arial" w:hAnsi="Arial"/>
                <w:sz w:val="18"/>
                <w:szCs w:val="18"/>
                <w:b w:val="1"/>
                <w:bCs w:val="1"/>
                <w:color w:val="auto"/>
              </w:rPr>
              <w:t>Net Income (Loss)</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Borders>
              <w:bottom w:val="single" w:sz="8" w:color="auto"/>
            </w:tcBorders>
          </w:tcPr>
          <w:p>
            <w:pPr>
              <w:jc w:val="right"/>
              <w:ind w:right="514"/>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540" w:type="dxa"/>
            <w:vAlign w:val="bottom"/>
            <w:tcBorders>
              <w:bottom w:val="single" w:sz="8" w:color="auto"/>
            </w:tcBorders>
          </w:tcPr>
          <w:p>
            <w:pPr>
              <w:jc w:val="right"/>
              <w:ind w:right="335"/>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tcBorders>
              <w:bottom w:val="single" w:sz="8" w:color="CCEEFF"/>
            </w:tcBorders>
          </w:tcPr>
          <w:p>
            <w:pPr>
              <w:spacing w:after="0" w:line="20" w:lineRule="exact"/>
              <w:rPr>
                <w:sz w:val="1"/>
                <w:szCs w:val="1"/>
                <w:color w:val="auto"/>
              </w:rPr>
            </w:pPr>
          </w:p>
        </w:tc>
        <w:tc>
          <w:tcPr>
            <w:tcW w:w="2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60" w:type="dxa"/>
            <w:vAlign w:val="bottom"/>
            <w:gridSpan w:val="4"/>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4"/>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2,169</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5"/>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10,020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3"/>
        </w:trPr>
        <w:tc>
          <w:tcPr>
            <w:tcW w:w="80" w:type="dxa"/>
            <w:vAlign w:val="bottom"/>
          </w:tcPr>
          <w:p>
            <w:pPr>
              <w:spacing w:after="0"/>
              <w:rPr>
                <w:sz w:val="24"/>
                <w:szCs w:val="24"/>
                <w:color w:val="auto"/>
              </w:rPr>
            </w:pPr>
          </w:p>
        </w:tc>
        <w:tc>
          <w:tcPr>
            <w:tcW w:w="5080" w:type="dxa"/>
            <w:vAlign w:val="bottom"/>
            <w:gridSpan w:val="3"/>
          </w:tcPr>
          <w:p>
            <w:pPr>
              <w:spacing w:after="0"/>
              <w:rPr>
                <w:sz w:val="20"/>
                <w:szCs w:val="20"/>
                <w:color w:val="auto"/>
              </w:rPr>
            </w:pPr>
            <w:r>
              <w:rPr>
                <w:rFonts w:ascii="Arial" w:cs="Arial" w:eastAsia="Arial" w:hAnsi="Arial"/>
                <w:sz w:val="23"/>
                <w:szCs w:val="23"/>
                <w:color w:val="auto"/>
                <w:vertAlign w:val="superscript"/>
              </w:rPr>
              <w:t>(a)</w:t>
            </w:r>
            <w:r>
              <w:rPr>
                <w:rFonts w:ascii="Arial" w:cs="Arial" w:eastAsia="Arial" w:hAnsi="Arial"/>
                <w:sz w:val="16"/>
                <w:szCs w:val="16"/>
                <w:color w:val="auto"/>
              </w:rPr>
              <w:t xml:space="preserve"> Includes eliminations.</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60" w:type="dxa"/>
            <w:vAlign w:val="bottom"/>
            <w:gridSpan w:val="9"/>
          </w:tcPr>
          <w:p>
            <w:pPr>
              <w:jc w:val="right"/>
              <w:ind w:right="431"/>
              <w:spacing w:after="0"/>
              <w:rPr>
                <w:sz w:val="20"/>
                <w:szCs w:val="20"/>
                <w:color w:val="auto"/>
              </w:rPr>
            </w:pPr>
            <w:r>
              <w:rPr>
                <w:rFonts w:ascii="Arial" w:cs="Arial" w:eastAsia="Arial" w:hAnsi="Arial"/>
                <w:sz w:val="14"/>
                <w:szCs w:val="14"/>
                <w:b w:val="1"/>
                <w:bCs w:val="1"/>
                <w:color w:val="auto"/>
                <w:w w:val="95"/>
              </w:rPr>
              <w:t>Three months ended June 30, 2022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80" w:type="dxa"/>
            <w:vAlign w:val="bottom"/>
          </w:tcPr>
          <w:p>
            <w:pPr>
              <w:spacing w:after="0"/>
              <w:rPr>
                <w:sz w:val="11"/>
                <w:szCs w:val="11"/>
                <w:color w:val="auto"/>
              </w:rPr>
            </w:pPr>
          </w:p>
        </w:tc>
        <w:tc>
          <w:tcPr>
            <w:tcW w:w="50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1"/>
                <w:szCs w:val="11"/>
                <w:color w:val="auto"/>
              </w:rPr>
            </w:pPr>
          </w:p>
        </w:tc>
        <w:tc>
          <w:tcPr>
            <w:tcW w:w="1020" w:type="dxa"/>
            <w:vAlign w:val="bottom"/>
            <w:gridSpan w:val="2"/>
          </w:tcPr>
          <w:p>
            <w:pPr>
              <w:jc w:val="right"/>
              <w:ind w:right="94"/>
              <w:spacing w:after="0" w:line="133" w:lineRule="exact"/>
              <w:rPr>
                <w:sz w:val="20"/>
                <w:szCs w:val="20"/>
                <w:color w:val="auto"/>
              </w:rPr>
            </w:pPr>
            <w:r>
              <w:rPr>
                <w:rFonts w:ascii="Arial" w:cs="Arial" w:eastAsia="Arial" w:hAnsi="Arial"/>
                <w:sz w:val="14"/>
                <w:szCs w:val="14"/>
                <w:b w:val="1"/>
                <w:bCs w:val="1"/>
                <w:color w:val="auto"/>
                <w:w w:val="92"/>
              </w:rPr>
              <w:t>Conventional</w:t>
            </w:r>
          </w:p>
        </w:tc>
        <w:tc>
          <w:tcPr>
            <w:tcW w:w="120" w:type="dxa"/>
            <w:vAlign w:val="bottom"/>
          </w:tcPr>
          <w:p>
            <w:pPr>
              <w:spacing w:after="0"/>
              <w:rPr>
                <w:sz w:val="11"/>
                <w:szCs w:val="11"/>
                <w:color w:val="auto"/>
              </w:rPr>
            </w:pPr>
          </w:p>
        </w:tc>
        <w:tc>
          <w:tcPr>
            <w:tcW w:w="1160" w:type="dxa"/>
            <w:vAlign w:val="bottom"/>
            <w:gridSpan w:val="3"/>
            <w:vMerge w:val="restart"/>
          </w:tcPr>
          <w:p>
            <w:pPr>
              <w:jc w:val="right"/>
              <w:ind w:right="135"/>
              <w:spacing w:after="0"/>
              <w:rPr>
                <w:sz w:val="20"/>
                <w:szCs w:val="20"/>
                <w:color w:val="auto"/>
              </w:rPr>
            </w:pPr>
            <w:r>
              <w:rPr>
                <w:rFonts w:ascii="Arial" w:cs="Arial" w:eastAsia="Arial" w:hAnsi="Arial"/>
                <w:sz w:val="14"/>
                <w:szCs w:val="14"/>
                <w:b w:val="1"/>
                <w:bCs w:val="1"/>
                <w:color w:val="auto"/>
              </w:rPr>
              <w:t>Renewables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3"/>
            <w:vMerge w:val="restart"/>
          </w:tcPr>
          <w:p>
            <w:pPr>
              <w:jc w:val="right"/>
              <w:ind w:right="212"/>
              <w:spacing w:after="0"/>
              <w:rPr>
                <w:sz w:val="20"/>
                <w:szCs w:val="20"/>
                <w:color w:val="auto"/>
              </w:rPr>
            </w:pPr>
            <w:r>
              <w:rPr>
                <w:rFonts w:ascii="Arial" w:cs="Arial" w:eastAsia="Arial" w:hAnsi="Arial"/>
                <w:sz w:val="14"/>
                <w:szCs w:val="14"/>
                <w:b w:val="1"/>
                <w:bCs w:val="1"/>
                <w:color w:val="auto"/>
              </w:rPr>
              <w:t>Thermal</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3"/>
            <w:vMerge w:val="restart"/>
          </w:tcPr>
          <w:p>
            <w:pPr>
              <w:jc w:val="right"/>
              <w:ind w:right="90"/>
              <w:spacing w:after="0"/>
              <w:rPr>
                <w:sz w:val="20"/>
                <w:szCs w:val="20"/>
                <w:color w:val="auto"/>
              </w:rPr>
            </w:pPr>
            <w:r>
              <w:rPr>
                <w:rFonts w:ascii="Arial" w:cs="Arial" w:eastAsia="Arial" w:hAnsi="Arial"/>
                <w:sz w:val="14"/>
                <w:szCs w:val="14"/>
                <w:b w:val="1"/>
                <w:bCs w:val="1"/>
                <w:color w:val="auto"/>
                <w:w w:val="93"/>
              </w:rPr>
              <w:t xml:space="preserve">Corporate </w:t>
            </w:r>
            <w:r>
              <w:rPr>
                <w:rFonts w:ascii="Arial" w:cs="Arial" w:eastAsia="Arial" w:hAnsi="Arial"/>
                <w:sz w:val="18"/>
                <w:szCs w:val="18"/>
                <w:b w:val="1"/>
                <w:bCs w:val="1"/>
                <w:color w:val="auto"/>
                <w:w w:val="93"/>
                <w:vertAlign w:val="superscript"/>
              </w:rPr>
              <w:t>(a)</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8"/>
        </w:trPr>
        <w:tc>
          <w:tcPr>
            <w:tcW w:w="80" w:type="dxa"/>
            <w:vAlign w:val="bottom"/>
          </w:tcPr>
          <w:p>
            <w:pPr>
              <w:spacing w:after="0"/>
              <w:rPr>
                <w:sz w:val="17"/>
                <w:szCs w:val="17"/>
                <w:color w:val="auto"/>
              </w:rPr>
            </w:pPr>
          </w:p>
        </w:tc>
        <w:tc>
          <w:tcPr>
            <w:tcW w:w="5080" w:type="dxa"/>
            <w:vAlign w:val="bottom"/>
            <w:gridSpan w:val="3"/>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right"/>
              <w:ind w:right="154"/>
              <w:spacing w:after="0"/>
              <w:rPr>
                <w:sz w:val="20"/>
                <w:szCs w:val="20"/>
                <w:color w:val="auto"/>
              </w:rPr>
            </w:pPr>
            <w:r>
              <w:rPr>
                <w:rFonts w:ascii="Arial" w:cs="Arial" w:eastAsia="Arial" w:hAnsi="Arial"/>
                <w:sz w:val="14"/>
                <w:szCs w:val="14"/>
                <w:b w:val="1"/>
                <w:bCs w:val="1"/>
                <w:color w:val="auto"/>
              </w:rPr>
              <w:t>Generation</w:t>
            </w:r>
          </w:p>
        </w:tc>
        <w:tc>
          <w:tcPr>
            <w:tcW w:w="120" w:type="dxa"/>
            <w:vAlign w:val="bottom"/>
          </w:tcPr>
          <w:p>
            <w:pPr>
              <w:spacing w:after="0"/>
              <w:rPr>
                <w:sz w:val="17"/>
                <w:szCs w:val="17"/>
                <w:color w:val="auto"/>
              </w:rPr>
            </w:pPr>
          </w:p>
        </w:tc>
        <w:tc>
          <w:tcPr>
            <w:tcW w:w="1160" w:type="dxa"/>
            <w:vAlign w:val="bottom"/>
            <w:tcBorders>
              <w:bottom w:val="single" w:sz="8" w:color="auto"/>
            </w:tcBorders>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50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620" w:type="dxa"/>
            <w:vAlign w:val="bottom"/>
            <w:gridSpan w:val="2"/>
            <w:shd w:val="clear" w:color="auto" w:fill="CCEEFF"/>
          </w:tcPr>
          <w:p>
            <w:pPr>
              <w:jc w:val="right"/>
              <w:ind w:right="316"/>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5080" w:type="dxa"/>
            <w:vAlign w:val="bottom"/>
            <w:gridSpan w:val="3"/>
          </w:tcPr>
          <w:p>
            <w:pPr>
              <w:ind w:left="140"/>
              <w:spacing w:after="0" w:line="176" w:lineRule="exact"/>
              <w:rPr>
                <w:sz w:val="20"/>
                <w:szCs w:val="20"/>
                <w:color w:val="auto"/>
              </w:rPr>
            </w:pPr>
            <w:r>
              <w:rPr>
                <w:rFonts w:ascii="Arial" w:cs="Arial" w:eastAsia="Arial" w:hAnsi="Arial"/>
                <w:sz w:val="18"/>
                <w:szCs w:val="18"/>
                <w:color w:val="auto"/>
                <w:w w:val="99"/>
              </w:rPr>
              <w:t>Cost of operations, exclusive of depreciation, amortization and</w:t>
            </w:r>
          </w:p>
        </w:tc>
        <w:tc>
          <w:tcPr>
            <w:tcW w:w="140" w:type="dxa"/>
            <w:vAlign w:val="bottom"/>
          </w:tcPr>
          <w:p>
            <w:pPr>
              <w:spacing w:after="0"/>
              <w:rPr>
                <w:sz w:val="15"/>
                <w:szCs w:val="15"/>
                <w:color w:val="auto"/>
              </w:rPr>
            </w:pPr>
          </w:p>
        </w:tc>
        <w:tc>
          <w:tcPr>
            <w:tcW w:w="1020" w:type="dxa"/>
            <w:vAlign w:val="bottom"/>
            <w:gridSpan w:val="2"/>
            <w:vMerge w:val="restart"/>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gridSpan w:val="2"/>
            <w:vMerge w:val="restart"/>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gridSpan w:val="2"/>
            <w:vMerge w:val="restart"/>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5080" w:type="dxa"/>
            <w:vAlign w:val="bottom"/>
            <w:gridSpan w:val="3"/>
          </w:tcPr>
          <w:p>
            <w:pPr>
              <w:ind w:left="320"/>
              <w:spacing w:after="0"/>
              <w:rPr>
                <w:sz w:val="20"/>
                <w:szCs w:val="20"/>
                <w:color w:val="auto"/>
              </w:rPr>
            </w:pPr>
            <w:r>
              <w:rPr>
                <w:rFonts w:ascii="Arial" w:cs="Arial" w:eastAsia="Arial" w:hAnsi="Arial"/>
                <w:sz w:val="18"/>
                <w:szCs w:val="18"/>
                <w:color w:val="auto"/>
              </w:rPr>
              <w:t>accretion shown separately below</w:t>
            </w:r>
          </w:p>
        </w:tc>
        <w:tc>
          <w:tcPr>
            <w:tcW w:w="14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50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Depreciation, amortization and accretion</w:t>
            </w:r>
          </w:p>
        </w:tc>
        <w:tc>
          <w:tcPr>
            <w:tcW w:w="1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5080" w:type="dxa"/>
            <w:vAlign w:val="bottom"/>
            <w:gridSpan w:val="3"/>
          </w:tcPr>
          <w:p>
            <w:pPr>
              <w:ind w:left="14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50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Transaction and integration costs</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5080" w:type="dxa"/>
            <w:vAlign w:val="bottom"/>
            <w:gridSpan w:val="3"/>
          </w:tcPr>
          <w:p>
            <w:pPr>
              <w:ind w:left="140"/>
              <w:spacing w:after="0"/>
              <w:rPr>
                <w:sz w:val="20"/>
                <w:szCs w:val="20"/>
                <w:color w:val="auto"/>
              </w:rPr>
            </w:pPr>
            <w:r>
              <w:rPr>
                <w:rFonts w:ascii="Arial" w:cs="Arial" w:eastAsia="Arial" w:hAnsi="Arial"/>
                <w:sz w:val="18"/>
                <w:szCs w:val="18"/>
                <w:color w:val="auto"/>
              </w:rPr>
              <w:t>Development costs</w:t>
            </w:r>
          </w:p>
        </w:tc>
        <w:tc>
          <w:tcPr>
            <w:tcW w:w="1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50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 operating costs and expenses</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5080" w:type="dxa"/>
            <w:vAlign w:val="bottom"/>
            <w:gridSpan w:val="3"/>
          </w:tcPr>
          <w:p>
            <w:pPr>
              <w:ind w:left="20"/>
              <w:spacing w:after="0"/>
              <w:rPr>
                <w:sz w:val="20"/>
                <w:szCs w:val="20"/>
                <w:color w:val="auto"/>
              </w:rPr>
            </w:pPr>
            <w:r>
              <w:rPr>
                <w:rFonts w:ascii="Arial" w:cs="Arial" w:eastAsia="Arial" w:hAnsi="Arial"/>
                <w:sz w:val="18"/>
                <w:szCs w:val="18"/>
                <w:color w:val="auto"/>
              </w:rPr>
              <w:t>Gain on sale of business</w:t>
            </w:r>
          </w:p>
        </w:tc>
        <w:tc>
          <w:tcPr>
            <w:tcW w:w="1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1,291</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1,291</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50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1,408</w:t>
            </w: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5080" w:type="dxa"/>
            <w:vAlign w:val="bottom"/>
            <w:gridSpan w:val="3"/>
          </w:tcPr>
          <w:p>
            <w:pPr>
              <w:ind w:left="140"/>
              <w:spacing w:after="0"/>
              <w:rPr>
                <w:sz w:val="20"/>
                <w:szCs w:val="20"/>
                <w:color w:val="auto"/>
              </w:rPr>
            </w:pPr>
            <w:r>
              <w:rPr>
                <w:rFonts w:ascii="Arial" w:cs="Arial" w:eastAsia="Arial" w:hAnsi="Arial"/>
                <w:sz w:val="18"/>
                <w:szCs w:val="18"/>
                <w:color w:val="auto"/>
              </w:rPr>
              <w:t>Equity in earnings of unconsolidated affiliates</w:t>
            </w:r>
          </w:p>
        </w:tc>
        <w:tc>
          <w:tcPr>
            <w:tcW w:w="14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6"/>
        </w:trPr>
        <w:tc>
          <w:tcPr>
            <w:tcW w:w="80" w:type="dxa"/>
            <w:vAlign w:val="bottom"/>
          </w:tcPr>
          <w:p>
            <w:pPr>
              <w:spacing w:after="0"/>
              <w:rPr>
                <w:sz w:val="20"/>
                <w:szCs w:val="20"/>
                <w:color w:val="auto"/>
              </w:rPr>
            </w:pPr>
          </w:p>
        </w:tc>
        <w:tc>
          <w:tcPr>
            <w:tcW w:w="50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Other income, net</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5080" w:type="dxa"/>
            <w:vAlign w:val="bottom"/>
            <w:gridSpan w:val="3"/>
          </w:tcPr>
          <w:p>
            <w:pPr>
              <w:ind w:left="140"/>
              <w:spacing w:after="0"/>
              <w:rPr>
                <w:sz w:val="20"/>
                <w:szCs w:val="20"/>
                <w:color w:val="auto"/>
              </w:rPr>
            </w:pPr>
            <w:r>
              <w:rPr>
                <w:rFonts w:ascii="Arial" w:cs="Arial" w:eastAsia="Arial" w:hAnsi="Arial"/>
                <w:sz w:val="18"/>
                <w:szCs w:val="18"/>
                <w:color w:val="auto"/>
              </w:rPr>
              <w:t>Interest expense</w:t>
            </w: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57"/>
        </w:trPr>
        <w:tc>
          <w:tcPr>
            <w:tcW w:w="80" w:type="dxa"/>
            <w:vAlign w:val="bottom"/>
          </w:tcPr>
          <w:p>
            <w:pPr>
              <w:spacing w:after="0"/>
              <w:rPr>
                <w:sz w:val="22"/>
                <w:szCs w:val="22"/>
                <w:color w:val="auto"/>
              </w:rPr>
            </w:pPr>
          </w:p>
        </w:tc>
        <w:tc>
          <w:tcPr>
            <w:tcW w:w="508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620" w:type="dxa"/>
            <w:vAlign w:val="bottom"/>
            <w:gridSpan w:val="2"/>
            <w:shd w:val="clear" w:color="auto" w:fill="CCEEFF"/>
          </w:tcPr>
          <w:p>
            <w:pPr>
              <w:jc w:val="right"/>
              <w:ind w:right="316"/>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2"/>
                <w:szCs w:val="22"/>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1,376</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80" w:type="dxa"/>
            <w:vAlign w:val="bottom"/>
          </w:tcPr>
          <w:p>
            <w:pPr>
              <w:spacing w:after="0"/>
              <w:rPr>
                <w:sz w:val="11"/>
                <w:szCs w:val="11"/>
                <w:color w:val="auto"/>
              </w:rPr>
            </w:pPr>
          </w:p>
        </w:tc>
        <w:tc>
          <w:tcPr>
            <w:tcW w:w="2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80"/>
        <w:spacing w:after="0"/>
        <w:rPr>
          <w:sz w:val="20"/>
          <w:szCs w:val="20"/>
          <w:color w:val="auto"/>
        </w:rPr>
      </w:pPr>
      <w:r>
        <w:rPr>
          <w:rFonts w:ascii="Arial" w:cs="Arial" w:eastAsia="Arial" w:hAnsi="Arial"/>
          <w:sz w:val="23"/>
          <w:szCs w:val="23"/>
          <w:color w:val="auto"/>
          <w:vertAlign w:val="superscript"/>
        </w:rPr>
        <w:t>(a)</w:t>
      </w:r>
      <w:r>
        <w:rPr>
          <w:rFonts w:ascii="Arial" w:cs="Arial" w:eastAsia="Arial" w:hAnsi="Arial"/>
          <w:sz w:val="16"/>
          <w:szCs w:val="16"/>
          <w:color w:val="auto"/>
        </w:rPr>
        <w:t xml:space="preserve"> Includes eliminations.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891" w:right="25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86"/>
        </w:trPr>
        <w:tc>
          <w:tcPr>
            <w:tcW w:w="220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80" w:type="dxa"/>
            <w:vAlign w:val="bottom"/>
            <w:gridSpan w:val="7"/>
          </w:tcPr>
          <w:p>
            <w:pPr>
              <w:jc w:val="right"/>
              <w:spacing w:after="0"/>
              <w:rPr>
                <w:sz w:val="20"/>
                <w:szCs w:val="20"/>
                <w:color w:val="auto"/>
              </w:rPr>
            </w:pPr>
            <w:r>
              <w:rPr>
                <w:rFonts w:ascii="Arial" w:cs="Arial" w:eastAsia="Arial" w:hAnsi="Arial"/>
                <w:sz w:val="14"/>
                <w:szCs w:val="14"/>
                <w:b w:val="1"/>
                <w:bCs w:val="1"/>
                <w:color w:val="auto"/>
              </w:rPr>
              <w:t>Six months ended June 30, 2023</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20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5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40" w:type="dxa"/>
            <w:vAlign w:val="bottom"/>
            <w:gridSpan w:val="3"/>
          </w:tcPr>
          <w:p>
            <w:pPr>
              <w:jc w:val="right"/>
              <w:ind w:right="175"/>
              <w:spacing w:after="0" w:line="129" w:lineRule="exact"/>
              <w:rPr>
                <w:sz w:val="20"/>
                <w:szCs w:val="20"/>
                <w:color w:val="auto"/>
              </w:rPr>
            </w:pPr>
            <w:r>
              <w:rPr>
                <w:rFonts w:ascii="Arial" w:cs="Arial" w:eastAsia="Arial" w:hAnsi="Arial"/>
                <w:sz w:val="14"/>
                <w:szCs w:val="14"/>
                <w:b w:val="1"/>
                <w:bCs w:val="1"/>
                <w:color w:val="auto"/>
              </w:rPr>
              <w:t>Conventional</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gridSpan w:val="4"/>
            <w:vMerge w:val="restart"/>
          </w:tcPr>
          <w:p>
            <w:pPr>
              <w:ind w:left="200"/>
              <w:spacing w:after="0"/>
              <w:rPr>
                <w:sz w:val="20"/>
                <w:szCs w:val="20"/>
                <w:color w:val="auto"/>
              </w:rPr>
            </w:pPr>
            <w:r>
              <w:rPr>
                <w:rFonts w:ascii="Arial" w:cs="Arial" w:eastAsia="Arial" w:hAnsi="Arial"/>
                <w:sz w:val="14"/>
                <w:szCs w:val="14"/>
                <w:b w:val="1"/>
                <w:bCs w:val="1"/>
                <w:color w:val="auto"/>
              </w:rPr>
              <w:t>Renewables</w:t>
            </w:r>
          </w:p>
        </w:tc>
        <w:tc>
          <w:tcPr>
            <w:tcW w:w="260" w:type="dxa"/>
            <w:vAlign w:val="bottom"/>
          </w:tcPr>
          <w:p>
            <w:pPr>
              <w:spacing w:after="0"/>
              <w:rPr>
                <w:sz w:val="11"/>
                <w:szCs w:val="11"/>
                <w:color w:val="auto"/>
              </w:rPr>
            </w:pPr>
          </w:p>
        </w:tc>
        <w:tc>
          <w:tcPr>
            <w:tcW w:w="1180" w:type="dxa"/>
            <w:vAlign w:val="bottom"/>
            <w:gridSpan w:val="4"/>
            <w:vMerge w:val="restart"/>
          </w:tcPr>
          <w:p>
            <w:pPr>
              <w:jc w:val="right"/>
              <w:ind w:right="380"/>
              <w:spacing w:after="0"/>
              <w:rPr>
                <w:sz w:val="20"/>
                <w:szCs w:val="20"/>
                <w:color w:val="auto"/>
              </w:rPr>
            </w:pPr>
            <w:r>
              <w:rPr>
                <w:rFonts w:ascii="Arial" w:cs="Arial" w:eastAsia="Arial" w:hAnsi="Arial"/>
                <w:sz w:val="14"/>
                <w:szCs w:val="14"/>
                <w:b w:val="1"/>
                <w:bCs w:val="1"/>
                <w:color w:val="auto"/>
                <w:w w:val="88"/>
              </w:rPr>
              <w:t xml:space="preserve">Corporate </w:t>
            </w:r>
            <w:r>
              <w:rPr>
                <w:rFonts w:ascii="Arial" w:cs="Arial" w:eastAsia="Arial" w:hAnsi="Arial"/>
                <w:sz w:val="21"/>
                <w:szCs w:val="21"/>
                <w:b w:val="1"/>
                <w:bCs w:val="1"/>
                <w:color w:val="auto"/>
                <w:w w:val="88"/>
                <w:vertAlign w:val="superscript"/>
              </w:rPr>
              <w:t>(a)</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3"/>
        </w:trPr>
        <w:tc>
          <w:tcPr>
            <w:tcW w:w="50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gridSpan w:val="3"/>
          </w:tcPr>
          <w:p>
            <w:pPr>
              <w:jc w:val="right"/>
              <w:ind w:right="235"/>
              <w:spacing w:after="0"/>
              <w:rPr>
                <w:sz w:val="20"/>
                <w:szCs w:val="20"/>
                <w:color w:val="auto"/>
              </w:rPr>
            </w:pPr>
            <w:r>
              <w:rPr>
                <w:rFonts w:ascii="Arial" w:cs="Arial" w:eastAsia="Arial" w:hAnsi="Arial"/>
                <w:sz w:val="14"/>
                <w:szCs w:val="14"/>
                <w:b w:val="1"/>
                <w:bCs w:val="1"/>
                <w:color w:val="auto"/>
              </w:rPr>
              <w:t>Generation</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4"/>
            <w:vMerge w:val="continue"/>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4"/>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0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14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center"/>
              <w:ind w:right="434"/>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188"/>
        </w:trPr>
        <w:tc>
          <w:tcPr>
            <w:tcW w:w="6240" w:type="dxa"/>
            <w:vAlign w:val="bottom"/>
            <w:gridSpan w:val="5"/>
          </w:tcPr>
          <w:p>
            <w:pPr>
              <w:ind w:left="140"/>
              <w:spacing w:after="0" w:line="189" w:lineRule="exact"/>
              <w:rPr>
                <w:sz w:val="20"/>
                <w:szCs w:val="20"/>
                <w:color w:val="auto"/>
              </w:rPr>
            </w:pPr>
            <w:r>
              <w:rPr>
                <w:rFonts w:ascii="Arial" w:cs="Arial" w:eastAsia="Arial" w:hAnsi="Arial"/>
                <w:sz w:val="18"/>
                <w:szCs w:val="18"/>
                <w:color w:val="auto"/>
              </w:rPr>
              <w:t>Cost of operations, exclusive of depreciation, amortization and accretion</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080" w:type="dxa"/>
            <w:vAlign w:val="bottom"/>
            <w:gridSpan w:val="2"/>
          </w:tcPr>
          <w:p>
            <w:pPr>
              <w:ind w:left="320"/>
              <w:spacing w:after="0"/>
              <w:rPr>
                <w:sz w:val="20"/>
                <w:szCs w:val="20"/>
                <w:color w:val="auto"/>
              </w:rPr>
            </w:pPr>
            <w:r>
              <w:rPr>
                <w:rFonts w:ascii="Arial" w:cs="Arial" w:eastAsia="Arial" w:hAnsi="Arial"/>
                <w:sz w:val="18"/>
                <w:szCs w:val="18"/>
                <w:color w:val="auto"/>
              </w:rPr>
              <w:t>shown separately below</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30"/>
        </w:trPr>
        <w:tc>
          <w:tcPr>
            <w:tcW w:w="5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Depreciation, amortization and accretion</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37"/>
        </w:trPr>
        <w:tc>
          <w:tcPr>
            <w:tcW w:w="5080" w:type="dxa"/>
            <w:vAlign w:val="bottom"/>
            <w:gridSpan w:val="2"/>
          </w:tcPr>
          <w:p>
            <w:pPr>
              <w:ind w:left="14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2"/>
        </w:trPr>
        <w:tc>
          <w:tcPr>
            <w:tcW w:w="5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Transaction and integration costs</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5080" w:type="dxa"/>
            <w:vAlign w:val="bottom"/>
            <w:tcBorders>
              <w:top w:val="single" w:sz="8" w:color="CCEEFF"/>
            </w:tcBorders>
            <w:gridSpan w:val="2"/>
          </w:tcPr>
          <w:p>
            <w:pPr>
              <w:ind w:left="20"/>
              <w:spacing w:after="0"/>
              <w:rPr>
                <w:sz w:val="20"/>
                <w:szCs w:val="20"/>
                <w:color w:val="auto"/>
              </w:rPr>
            </w:pPr>
            <w:r>
              <w:rPr>
                <w:rFonts w:ascii="Arial" w:cs="Arial" w:eastAsia="Arial" w:hAnsi="Arial"/>
                <w:sz w:val="18"/>
                <w:szCs w:val="18"/>
                <w:color w:val="auto"/>
              </w:rPr>
              <w:t>Operating income (loss)</w:t>
            </w:r>
          </w:p>
        </w:tc>
        <w:tc>
          <w:tcPr>
            <w:tcW w:w="140" w:type="dxa"/>
            <w:vAlign w:val="bottom"/>
            <w:tcBorders>
              <w:top w:val="single" w:sz="8" w:color="CCEEFF"/>
            </w:tcBorders>
          </w:tcPr>
          <w:p>
            <w:pPr>
              <w:spacing w:after="0"/>
              <w:rPr>
                <w:sz w:val="20"/>
                <w:szCs w:val="20"/>
                <w:color w:val="auto"/>
              </w:rPr>
            </w:pPr>
          </w:p>
        </w:tc>
        <w:tc>
          <w:tcPr>
            <w:tcW w:w="380" w:type="dxa"/>
            <w:vAlign w:val="bottom"/>
            <w:tcBorders>
              <w:top w:val="single" w:sz="8" w:color="CCEEFF"/>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76</w:t>
            </w:r>
          </w:p>
        </w:tc>
        <w:tc>
          <w:tcPr>
            <w:tcW w:w="12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top w:val="single" w:sz="8" w:color="CCEEFF"/>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top w:val="single" w:sz="8" w:color="CCEEFF"/>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36"/>
        </w:trPr>
        <w:tc>
          <w:tcPr>
            <w:tcW w:w="5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Equity in earnings (losses) of unconsolidated affiliates</w:t>
            </w: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80" w:type="dxa"/>
            <w:vAlign w:val="bottom"/>
            <w:gridSpan w:val="2"/>
          </w:tcPr>
          <w:p>
            <w:pPr>
              <w:ind w:left="140"/>
              <w:spacing w:after="0"/>
              <w:rPr>
                <w:sz w:val="20"/>
                <w:szCs w:val="20"/>
                <w:color w:val="auto"/>
              </w:rPr>
            </w:pPr>
            <w:r>
              <w:rPr>
                <w:rFonts w:ascii="Arial" w:cs="Arial" w:eastAsia="Arial" w:hAnsi="Arial"/>
                <w:sz w:val="18"/>
                <w:szCs w:val="18"/>
                <w:color w:val="auto"/>
              </w:rPr>
              <w:t>Other income, net</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5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23"/>
        </w:trPr>
        <w:tc>
          <w:tcPr>
            <w:tcW w:w="508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Income (Loss)</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Borders>
              <w:bottom w:val="single" w:sz="8" w:color="auto"/>
            </w:tcBorders>
          </w:tcPr>
          <w:p>
            <w:pPr>
              <w:jc w:val="center"/>
              <w:ind w:right="434"/>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9"/>
                <w:szCs w:val="19"/>
                <w:color w:val="auto"/>
              </w:rPr>
            </w:pPr>
          </w:p>
        </w:tc>
        <w:tc>
          <w:tcPr>
            <w:tcW w:w="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
        </w:trPr>
        <w:tc>
          <w:tcPr>
            <w:tcW w:w="22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2200" w:type="dxa"/>
            <w:vAlign w:val="bottom"/>
            <w:tcBorders>
              <w:bottom w:val="single" w:sz="8" w:color="auto"/>
            </w:tcBorders>
          </w:tcPr>
          <w:p>
            <w:pPr>
              <w:spacing w:after="0"/>
              <w:rPr>
                <w:sz w:val="11"/>
                <w:szCs w:val="11"/>
                <w:color w:val="auto"/>
              </w:rPr>
            </w:pPr>
          </w:p>
        </w:tc>
        <w:tc>
          <w:tcPr>
            <w:tcW w:w="2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59"/>
        </w:trPr>
        <w:tc>
          <w:tcPr>
            <w:tcW w:w="5080" w:type="dxa"/>
            <w:vAlign w:val="bottom"/>
            <w:gridSpan w:val="2"/>
          </w:tcPr>
          <w:p>
            <w:pPr>
              <w:spacing w:after="0"/>
              <w:rPr>
                <w:sz w:val="20"/>
                <w:szCs w:val="20"/>
                <w:color w:val="auto"/>
              </w:rPr>
            </w:pPr>
            <w:r>
              <w:rPr>
                <w:rFonts w:ascii="Arial" w:cs="Arial" w:eastAsia="Arial" w:hAnsi="Arial"/>
                <w:sz w:val="23"/>
                <w:szCs w:val="23"/>
                <w:color w:val="auto"/>
                <w:vertAlign w:val="superscript"/>
              </w:rPr>
              <w:t>(a)</w:t>
            </w:r>
            <w:r>
              <w:rPr>
                <w:rFonts w:ascii="Arial" w:cs="Arial" w:eastAsia="Arial" w:hAnsi="Arial"/>
                <w:sz w:val="16"/>
                <w:szCs w:val="16"/>
                <w:color w:val="auto"/>
              </w:rPr>
              <w:t xml:space="preserve"> Includes eliminations.</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2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gridSpan w:val="7"/>
          </w:tcPr>
          <w:p>
            <w:pPr>
              <w:jc w:val="right"/>
              <w:ind w:right="219"/>
              <w:spacing w:after="0"/>
              <w:rPr>
                <w:sz w:val="20"/>
                <w:szCs w:val="20"/>
                <w:color w:val="auto"/>
              </w:rPr>
            </w:pPr>
            <w:r>
              <w:rPr>
                <w:rFonts w:ascii="Arial" w:cs="Arial" w:eastAsia="Arial" w:hAnsi="Arial"/>
                <w:sz w:val="14"/>
                <w:szCs w:val="14"/>
                <w:b w:val="1"/>
                <w:bCs w:val="1"/>
                <w:color w:val="auto"/>
                <w:w w:val="90"/>
              </w:rPr>
              <w:t>Six months ended June 30, 2022</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220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5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1"/>
                <w:szCs w:val="11"/>
                <w:color w:val="auto"/>
              </w:rPr>
            </w:pPr>
          </w:p>
        </w:tc>
        <w:tc>
          <w:tcPr>
            <w:tcW w:w="1020" w:type="dxa"/>
            <w:vAlign w:val="bottom"/>
            <w:gridSpan w:val="2"/>
          </w:tcPr>
          <w:p>
            <w:pPr>
              <w:jc w:val="center"/>
              <w:ind w:right="74"/>
              <w:spacing w:after="0" w:line="133" w:lineRule="exact"/>
              <w:rPr>
                <w:sz w:val="20"/>
                <w:szCs w:val="20"/>
                <w:color w:val="auto"/>
              </w:rPr>
            </w:pPr>
            <w:r>
              <w:rPr>
                <w:rFonts w:ascii="Arial" w:cs="Arial" w:eastAsia="Arial" w:hAnsi="Arial"/>
                <w:sz w:val="14"/>
                <w:szCs w:val="14"/>
                <w:b w:val="1"/>
                <w:bCs w:val="1"/>
                <w:color w:val="auto"/>
                <w:w w:val="92"/>
              </w:rPr>
              <w:t>Conventional</w:t>
            </w:r>
          </w:p>
        </w:tc>
        <w:tc>
          <w:tcPr>
            <w:tcW w:w="120" w:type="dxa"/>
            <w:vAlign w:val="bottom"/>
          </w:tcPr>
          <w:p>
            <w:pPr>
              <w:spacing w:after="0"/>
              <w:rPr>
                <w:sz w:val="11"/>
                <w:szCs w:val="11"/>
                <w:color w:val="auto"/>
              </w:rPr>
            </w:pPr>
          </w:p>
        </w:tc>
        <w:tc>
          <w:tcPr>
            <w:tcW w:w="1160" w:type="dxa"/>
            <w:vAlign w:val="bottom"/>
            <w:gridSpan w:val="4"/>
            <w:vMerge w:val="restart"/>
          </w:tcPr>
          <w:p>
            <w:pPr>
              <w:jc w:val="right"/>
              <w:ind w:right="133"/>
              <w:spacing w:after="0"/>
              <w:rPr>
                <w:sz w:val="20"/>
                <w:szCs w:val="20"/>
                <w:color w:val="auto"/>
              </w:rPr>
            </w:pPr>
            <w:r>
              <w:rPr>
                <w:rFonts w:ascii="Arial" w:cs="Arial" w:eastAsia="Arial" w:hAnsi="Arial"/>
                <w:sz w:val="14"/>
                <w:szCs w:val="14"/>
                <w:b w:val="1"/>
                <w:bCs w:val="1"/>
                <w:color w:val="auto"/>
              </w:rPr>
              <w:t>Renewables</w:t>
            </w:r>
          </w:p>
        </w:tc>
        <w:tc>
          <w:tcPr>
            <w:tcW w:w="100" w:type="dxa"/>
            <w:vAlign w:val="bottom"/>
          </w:tcPr>
          <w:p>
            <w:pPr>
              <w:spacing w:after="0"/>
              <w:rPr>
                <w:sz w:val="11"/>
                <w:szCs w:val="11"/>
                <w:color w:val="auto"/>
              </w:rPr>
            </w:pPr>
          </w:p>
        </w:tc>
        <w:tc>
          <w:tcPr>
            <w:tcW w:w="88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Thermal</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rPr>
              <w:t xml:space="preserve">Corporate </w:t>
            </w:r>
            <w:r>
              <w:rPr>
                <w:rFonts w:ascii="Arial" w:cs="Arial" w:eastAsia="Arial" w:hAnsi="Arial"/>
                <w:sz w:val="21"/>
                <w:szCs w:val="21"/>
                <w:b w:val="1"/>
                <w:bCs w:val="1"/>
                <w:color w:val="auto"/>
                <w:vertAlign w:val="superscript"/>
              </w:rPr>
              <w:t>(a)</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8"/>
        </w:trPr>
        <w:tc>
          <w:tcPr>
            <w:tcW w:w="5080" w:type="dxa"/>
            <w:vAlign w:val="bottom"/>
            <w:gridSpan w:val="2"/>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center"/>
              <w:ind w:right="74"/>
              <w:spacing w:after="0"/>
              <w:rPr>
                <w:sz w:val="20"/>
                <w:szCs w:val="20"/>
                <w:color w:val="auto"/>
              </w:rPr>
            </w:pPr>
            <w:r>
              <w:rPr>
                <w:rFonts w:ascii="Arial" w:cs="Arial" w:eastAsia="Arial" w:hAnsi="Arial"/>
                <w:sz w:val="14"/>
                <w:szCs w:val="14"/>
                <w:b w:val="1"/>
                <w:bCs w:val="1"/>
                <w:color w:val="auto"/>
                <w:w w:val="94"/>
              </w:rPr>
              <w:t>Generation</w:t>
            </w:r>
          </w:p>
        </w:tc>
        <w:tc>
          <w:tcPr>
            <w:tcW w:w="120" w:type="dxa"/>
            <w:vAlign w:val="bottom"/>
          </w:tcPr>
          <w:p>
            <w:pPr>
              <w:spacing w:after="0"/>
              <w:rPr>
                <w:sz w:val="17"/>
                <w:szCs w:val="17"/>
                <w:color w:val="auto"/>
              </w:rPr>
            </w:pPr>
          </w:p>
        </w:tc>
        <w:tc>
          <w:tcPr>
            <w:tcW w:w="1160" w:type="dxa"/>
            <w:vAlign w:val="bottom"/>
            <w:tcBorders>
              <w:bottom w:val="single" w:sz="8" w:color="auto"/>
            </w:tcBorders>
            <w:gridSpan w:val="4"/>
            <w:vMerge w:val="continue"/>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Borders>
              <w:bottom w:val="single" w:sz="8" w:color="auto"/>
            </w:tcBorders>
            <w:gridSpan w:val="2"/>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Borders>
              <w:bottom w:val="single" w:sz="8" w:color="auto"/>
            </w:tcBorders>
            <w:gridSpan w:val="3"/>
            <w:vMerge w:val="continue"/>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700" w:type="dxa"/>
            <w:vAlign w:val="bottom"/>
            <w:gridSpan w:val="2"/>
            <w:shd w:val="clear" w:color="auto" w:fill="CCEEFF"/>
          </w:tcPr>
          <w:p>
            <w:pPr>
              <w:jc w:val="right"/>
              <w:ind w:right="395"/>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294</w:t>
            </w:r>
          </w:p>
        </w:tc>
        <w:tc>
          <w:tcPr>
            <w:tcW w:w="880" w:type="dxa"/>
            <w:vAlign w:val="bottom"/>
            <w:gridSpan w:val="2"/>
            <w:shd w:val="clear" w:color="auto" w:fill="CCEEFF"/>
          </w:tcPr>
          <w:p>
            <w:pPr>
              <w:jc w:val="right"/>
              <w:ind w:right="57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77</w:t>
            </w:r>
          </w:p>
        </w:tc>
        <w:tc>
          <w:tcPr>
            <w:tcW w:w="680" w:type="dxa"/>
            <w:vAlign w:val="bottom"/>
            <w:gridSpan w:val="2"/>
            <w:shd w:val="clear" w:color="auto" w:fill="CCEEFF"/>
          </w:tcPr>
          <w:p>
            <w:pPr>
              <w:jc w:val="right"/>
              <w:ind w:right="379"/>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176"/>
        </w:trPr>
        <w:tc>
          <w:tcPr>
            <w:tcW w:w="5080" w:type="dxa"/>
            <w:vAlign w:val="bottom"/>
            <w:gridSpan w:val="2"/>
          </w:tcPr>
          <w:p>
            <w:pPr>
              <w:ind w:left="140"/>
              <w:spacing w:after="0" w:line="176" w:lineRule="exact"/>
              <w:rPr>
                <w:sz w:val="20"/>
                <w:szCs w:val="20"/>
                <w:color w:val="auto"/>
              </w:rPr>
            </w:pPr>
            <w:r>
              <w:rPr>
                <w:rFonts w:ascii="Arial" w:cs="Arial" w:eastAsia="Arial" w:hAnsi="Arial"/>
                <w:sz w:val="18"/>
                <w:szCs w:val="18"/>
                <w:color w:val="auto"/>
                <w:w w:val="99"/>
              </w:rPr>
              <w:t>Cost of operations, exclusive of depreciation, amortization and</w:t>
            </w:r>
          </w:p>
        </w:tc>
        <w:tc>
          <w:tcPr>
            <w:tcW w:w="140" w:type="dxa"/>
            <w:vAlign w:val="bottom"/>
          </w:tcPr>
          <w:p>
            <w:pPr>
              <w:spacing w:after="0"/>
              <w:rPr>
                <w:sz w:val="15"/>
                <w:szCs w:val="15"/>
                <w:color w:val="auto"/>
              </w:rPr>
            </w:pPr>
          </w:p>
        </w:tc>
        <w:tc>
          <w:tcPr>
            <w:tcW w:w="1020" w:type="dxa"/>
            <w:vAlign w:val="bottom"/>
            <w:gridSpan w:val="2"/>
            <w:vMerge w:val="restart"/>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w w:val="86"/>
              </w:rPr>
              <w:t>141</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w w:val="79"/>
              </w:rPr>
              <w:t>50</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29"/>
        </w:trPr>
        <w:tc>
          <w:tcPr>
            <w:tcW w:w="5080" w:type="dxa"/>
            <w:vAlign w:val="bottom"/>
            <w:gridSpan w:val="2"/>
          </w:tcPr>
          <w:p>
            <w:pPr>
              <w:ind w:left="320"/>
              <w:spacing w:after="0"/>
              <w:rPr>
                <w:sz w:val="20"/>
                <w:szCs w:val="20"/>
                <w:color w:val="auto"/>
              </w:rPr>
            </w:pPr>
            <w:r>
              <w:rPr>
                <w:rFonts w:ascii="Arial" w:cs="Arial" w:eastAsia="Arial" w:hAnsi="Arial"/>
                <w:sz w:val="18"/>
                <w:szCs w:val="18"/>
                <w:color w:val="auto"/>
              </w:rPr>
              <w:t>accretion shown separately below</w:t>
            </w:r>
          </w:p>
        </w:tc>
        <w:tc>
          <w:tcPr>
            <w:tcW w:w="14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Depreciation, amortization and accretion</w:t>
            </w:r>
          </w:p>
        </w:tc>
        <w:tc>
          <w:tcPr>
            <w:tcW w:w="1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184</w:t>
            </w: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29"/>
        </w:trPr>
        <w:tc>
          <w:tcPr>
            <w:tcW w:w="5080" w:type="dxa"/>
            <w:vAlign w:val="bottom"/>
            <w:gridSpan w:val="2"/>
          </w:tcPr>
          <w:p>
            <w:pPr>
              <w:ind w:left="14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5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Transaction and integration costs</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50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Development costs</w:t>
            </w:r>
          </w:p>
        </w:tc>
        <w:tc>
          <w:tcPr>
            <w:tcW w:w="14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operating costs and expenses</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325</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54</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30"/>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Gain on sale of business</w:t>
            </w:r>
          </w:p>
        </w:tc>
        <w:tc>
          <w:tcPr>
            <w:tcW w:w="1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1,291</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1,291</w:t>
            </w:r>
          </w:p>
        </w:tc>
        <w:tc>
          <w:tcPr>
            <w:tcW w:w="0" w:type="dxa"/>
            <w:vAlign w:val="bottom"/>
          </w:tcPr>
          <w:p>
            <w:pPr>
              <w:spacing w:after="0"/>
              <w:rPr>
                <w:sz w:val="1"/>
                <w:szCs w:val="1"/>
                <w:color w:val="auto"/>
              </w:rPr>
            </w:pPr>
          </w:p>
        </w:tc>
      </w:tr>
      <w:tr>
        <w:trPr>
          <w:trHeight w:val="237"/>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(31)</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23</w:t>
            </w: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1,267</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w:t>
            </w:r>
          </w:p>
        </w:tc>
        <w:tc>
          <w:tcPr>
            <w:tcW w:w="0" w:type="dxa"/>
            <w:vAlign w:val="bottom"/>
          </w:tcPr>
          <w:p>
            <w:pPr>
              <w:spacing w:after="0"/>
              <w:rPr>
                <w:sz w:val="1"/>
                <w:szCs w:val="1"/>
                <w:color w:val="auto"/>
              </w:rPr>
            </w:pPr>
          </w:p>
        </w:tc>
      </w:tr>
      <w:tr>
        <w:trPr>
          <w:trHeight w:val="230"/>
        </w:trPr>
        <w:tc>
          <w:tcPr>
            <w:tcW w:w="5080" w:type="dxa"/>
            <w:vAlign w:val="bottom"/>
            <w:gridSpan w:val="2"/>
          </w:tcPr>
          <w:p>
            <w:pPr>
              <w:ind w:left="140"/>
              <w:spacing w:after="0"/>
              <w:rPr>
                <w:sz w:val="20"/>
                <w:szCs w:val="20"/>
                <w:color w:val="auto"/>
              </w:rPr>
            </w:pPr>
            <w:r>
              <w:rPr>
                <w:rFonts w:ascii="Arial" w:cs="Arial" w:eastAsia="Arial" w:hAnsi="Arial"/>
                <w:sz w:val="18"/>
                <w:szCs w:val="18"/>
                <w:color w:val="auto"/>
              </w:rPr>
              <w:t>Equity in earnings of unconsolidated affiliates</w:t>
            </w:r>
          </w:p>
        </w:tc>
        <w:tc>
          <w:tcPr>
            <w:tcW w:w="14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5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income, net</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7"/>
        </w:trPr>
        <w:tc>
          <w:tcPr>
            <w:tcW w:w="5080" w:type="dxa"/>
            <w:vAlign w:val="bottom"/>
            <w:gridSpan w:val="2"/>
          </w:tcPr>
          <w:p>
            <w:pPr>
              <w:ind w:left="140"/>
              <w:spacing w:after="0"/>
              <w:rPr>
                <w:sz w:val="20"/>
                <w:szCs w:val="20"/>
                <w:color w:val="auto"/>
              </w:rPr>
            </w:pPr>
            <w:r>
              <w:rPr>
                <w:rFonts w:ascii="Arial" w:cs="Arial" w:eastAsia="Arial" w:hAnsi="Arial"/>
                <w:sz w:val="18"/>
                <w:szCs w:val="18"/>
                <w:color w:val="auto"/>
              </w:rPr>
              <w:t>Loss on debt extinguishment</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6"/>
        </w:trPr>
        <w:tc>
          <w:tcPr>
            <w:tcW w:w="5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1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(19)</w:t>
            </w:r>
          </w:p>
        </w:tc>
        <w:tc>
          <w:tcPr>
            <w:tcW w:w="100" w:type="dxa"/>
            <w:vAlign w:val="bottom"/>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(6)</w:t>
            </w:r>
          </w:p>
        </w:tc>
        <w:tc>
          <w:tcPr>
            <w:tcW w:w="120" w:type="dxa"/>
            <w:vAlign w:val="bottom"/>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23"/>
        </w:trPr>
        <w:tc>
          <w:tcPr>
            <w:tcW w:w="508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Income (Loss)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9"/>
                <w:szCs w:val="19"/>
                <w:color w:val="auto"/>
              </w:rPr>
            </w:pPr>
          </w:p>
        </w:tc>
        <w:tc>
          <w:tcPr>
            <w:tcW w:w="580" w:type="dxa"/>
            <w:vAlign w:val="bottom"/>
            <w:tcBorders>
              <w:bottom w:val="single" w:sz="8" w:color="auto"/>
            </w:tcBorders>
          </w:tcPr>
          <w:p>
            <w:pPr>
              <w:jc w:val="right"/>
              <w:ind w:right="395"/>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(36)</w:t>
            </w:r>
          </w:p>
        </w:tc>
        <w:tc>
          <w:tcPr>
            <w:tcW w:w="100" w:type="dxa"/>
            <w:vAlign w:val="bottom"/>
          </w:tcPr>
          <w:p>
            <w:pPr>
              <w:spacing w:after="0"/>
              <w:rPr>
                <w:sz w:val="19"/>
                <w:szCs w:val="19"/>
                <w:color w:val="auto"/>
              </w:rPr>
            </w:pPr>
          </w:p>
        </w:tc>
        <w:tc>
          <w:tcPr>
            <w:tcW w:w="780" w:type="dxa"/>
            <w:vAlign w:val="bottom"/>
            <w:tcBorders>
              <w:bottom w:val="single" w:sz="8" w:color="auto"/>
            </w:tcBorders>
          </w:tcPr>
          <w:p>
            <w:pPr>
              <w:jc w:val="right"/>
              <w:ind w:right="575"/>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17</w:t>
            </w:r>
          </w:p>
        </w:tc>
        <w:tc>
          <w:tcPr>
            <w:tcW w:w="120" w:type="dxa"/>
            <w:vAlign w:val="bottom"/>
          </w:tcPr>
          <w:p>
            <w:pPr>
              <w:spacing w:after="0"/>
              <w:rPr>
                <w:sz w:val="19"/>
                <w:szCs w:val="19"/>
                <w:color w:val="auto"/>
              </w:rPr>
            </w:pPr>
          </w:p>
        </w:tc>
        <w:tc>
          <w:tcPr>
            <w:tcW w:w="560" w:type="dxa"/>
            <w:vAlign w:val="bottom"/>
            <w:tcBorders>
              <w:bottom w:val="single" w:sz="8" w:color="auto"/>
            </w:tcBorders>
          </w:tcPr>
          <w:p>
            <w:pPr>
              <w:jc w:val="right"/>
              <w:ind w:right="37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1,217</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1,278</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2200" w:type="dxa"/>
            <w:vAlign w:val="bottom"/>
            <w:tcBorders>
              <w:bottom w:val="single" w:sz="8" w:color="auto"/>
            </w:tcBorders>
          </w:tcPr>
          <w:p>
            <w:pPr>
              <w:spacing w:after="0"/>
              <w:rPr>
                <w:sz w:val="11"/>
                <w:szCs w:val="11"/>
                <w:color w:val="auto"/>
              </w:rPr>
            </w:pPr>
          </w:p>
        </w:tc>
        <w:tc>
          <w:tcPr>
            <w:tcW w:w="2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spacing w:after="0"/>
        <w:rPr>
          <w:sz w:val="20"/>
          <w:szCs w:val="20"/>
          <w:color w:val="auto"/>
        </w:rPr>
      </w:pPr>
      <w:r>
        <w:rPr>
          <w:rFonts w:ascii="Arial" w:cs="Arial" w:eastAsia="Arial" w:hAnsi="Arial"/>
          <w:sz w:val="23"/>
          <w:szCs w:val="23"/>
          <w:color w:val="auto"/>
          <w:vertAlign w:val="superscript"/>
        </w:rPr>
        <w:t>(a)</w:t>
      </w:r>
      <w:r>
        <w:rPr>
          <w:rFonts w:ascii="Arial" w:cs="Arial" w:eastAsia="Arial" w:hAnsi="Arial"/>
          <w:sz w:val="16"/>
          <w:szCs w:val="16"/>
          <w:color w:val="auto"/>
        </w:rPr>
        <w:t xml:space="preserve"> Includes eliminations.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400" w:top="927" w:right="2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 xml:space="preserve">Note 9 — </w:t>
      </w:r>
      <w:r>
        <w:rPr>
          <w:rFonts w:ascii="Arial" w:cs="Arial" w:eastAsia="Arial" w:hAnsi="Arial"/>
          <w:sz w:val="18"/>
          <w:szCs w:val="18"/>
          <w:b w:val="1"/>
          <w:bCs w:val="1"/>
          <w:i w:val="1"/>
          <w:iCs w:val="1"/>
          <w:color w:val="auto"/>
        </w:rPr>
        <w:t>Related Party Transactions</w:t>
      </w:r>
    </w:p>
    <w:p>
      <w:pPr>
        <w:spacing w:after="0" w:line="175"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In addition to the transactions and relationships described elsewhere in the notes to the consolidated financial statements, certain subsidiaries of CEG provide services to the Company and its project entities. Amounts due to CEG subsidiaries are recorded as accounts payable — affiliates and amounts due to the Company from CEG subsidiaries are recorded as accounts receivable — affiliates in the Company’s consolidated balance sheets. The disclosures below summarize the Company’s material related party transactions with CEG and its subsidiaries that are included in the Company’s operating costs.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O&amp;M Services Agreements by and between the Company and Clearway Renewable Operation &amp; Maintenance LLC</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Various wholly-owned subsidiaries of the Company in the Renewables segment are party to services agreements with Clearway Renewable Operation</w:t>
      </w:r>
    </w:p>
    <w:p>
      <w:pPr>
        <w:spacing w:after="0" w:line="46" w:lineRule="exact"/>
        <w:rPr>
          <w:sz w:val="20"/>
          <w:szCs w:val="20"/>
          <w:color w:val="auto"/>
        </w:rPr>
      </w:pPr>
    </w:p>
    <w:p>
      <w:pPr>
        <w:jc w:val="both"/>
        <w:ind w:firstLine="8"/>
        <w:spacing w:after="0" w:line="295" w:lineRule="auto"/>
        <w:tabs>
          <w:tab w:leader="none" w:pos="188" w:val="left"/>
        </w:tabs>
        <w:numPr>
          <w:ilvl w:val="0"/>
          <w:numId w:val="18"/>
        </w:numPr>
        <w:rPr>
          <w:rFonts w:ascii="Arial" w:cs="Arial" w:eastAsia="Arial" w:hAnsi="Arial"/>
          <w:sz w:val="16"/>
          <w:szCs w:val="16"/>
          <w:color w:val="auto"/>
        </w:rPr>
      </w:pPr>
      <w:r>
        <w:rPr>
          <w:rFonts w:ascii="Arial" w:cs="Arial" w:eastAsia="Arial" w:hAnsi="Arial"/>
          <w:sz w:val="16"/>
          <w:szCs w:val="16"/>
          <w:color w:val="auto"/>
        </w:rPr>
        <w:t>Maintenance LLC, or RENOM, a wholly-owned subsidiary of CEG, which provides operation and maintenance, or O&amp;M, services to these subsidiaries. The Company incurred total expenses for these services of $19 million and $15 million for the three months ended June 30, 2023 and 2022, respectively. The Company incurred total expenses for these services of $36 million and $30 million for the six months ended June 30, 2023 and 2022, respectively. There was a balance of $11 million and $14 million due to RENOM as of June 30, 2023 and December 31, 2022, respectively.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Services Agreements by and between the Company and CEG</w:t>
      </w:r>
    </w:p>
    <w:p>
      <w:pPr>
        <w:spacing w:after="0" w:line="171"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Various wholly-owned subsidiaries of the Company are parties to services agreements with Clearway Asset Services LLC and Solar Asset Management LLC, two wholly-owned subsidiaries of CEG, which provide various administrative services to the Company's subsidiaries. The Company incurred expenses under these agreements of $6 million and $5 million for the three months ended June 30, 2023, and 2022, respectively. The Company incurred expenses under these agreements of $10 million and $8 million for the six months ended June 30, 2023 and 2022, respectively. There was a balance of $2 million and $3 million due to CEG as of June 30, 2023 and December 31, 2022, respectively.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CEG Master Services Agreements</w:t>
      </w:r>
    </w:p>
    <w:p>
      <w:pPr>
        <w:spacing w:after="0" w:line="171" w:lineRule="exact"/>
        <w:rPr>
          <w:sz w:val="20"/>
          <w:szCs w:val="20"/>
          <w:color w:val="auto"/>
        </w:rPr>
      </w:pPr>
    </w:p>
    <w:p>
      <w:pPr>
        <w:jc w:val="both"/>
        <w:ind w:firstLine="405"/>
        <w:spacing w:after="0" w:line="280" w:lineRule="auto"/>
        <w:rPr>
          <w:sz w:val="20"/>
          <w:szCs w:val="20"/>
          <w:color w:val="auto"/>
        </w:rPr>
      </w:pPr>
      <w:r>
        <w:rPr>
          <w:rFonts w:ascii="Arial" w:cs="Arial" w:eastAsia="Arial" w:hAnsi="Arial"/>
          <w:sz w:val="17"/>
          <w:szCs w:val="17"/>
          <w:color w:val="auto"/>
        </w:rPr>
        <w:t>The Company is a party to the CEG Master Services Agreements, pursuant to which CEG and certain of its affiliates or third-party service providers provide certain services to the Company, including operational and administrative services, which include human resources, information systems, external affairs, accounting, procurement and risk management services, and the Company provides certain services to CEG, including accounting, internal audit, tax and treasury services, in exchange for the payment of fees in respect of such services. The Company incurred net expenses under these agreements of $2 million and $1 million for each of the three months ended June 30, 2023, and 2022, respectively. The Company incurred net expenses under these agreements of $3 million and $2 million for the six months ended June 30, 2023 and 2022, respectively.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 xml:space="preserve">Note 10 — </w:t>
      </w:r>
      <w:r>
        <w:rPr>
          <w:rFonts w:ascii="Arial" w:cs="Arial" w:eastAsia="Arial" w:hAnsi="Arial"/>
          <w:sz w:val="18"/>
          <w:szCs w:val="18"/>
          <w:b w:val="1"/>
          <w:bCs w:val="1"/>
          <w:i w:val="1"/>
          <w:iCs w:val="1"/>
          <w:color w:val="auto"/>
        </w:rPr>
        <w:t>Contingencies</w:t>
      </w:r>
    </w:p>
    <w:p>
      <w:pPr>
        <w:spacing w:after="0" w:line="1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 xml:space="preserve">This note should be read in conjunction with the complete description under Item 15 — Note 14,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to the consolidated financial statements included in the Company’s 2022 Form 10-K.</w:t>
      </w:r>
    </w:p>
    <w:p>
      <w:pPr>
        <w:spacing w:after="0" w:line="116"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The Company’s material legal proceeding is described below. The Company believes that it has a valid defense to this legal proceeding and intends to defend it vigorously. The Company records reserves for estimated losses from contingencies when information available indicates that a loss is probable and the amount of the loss, or range of loss, can be reasonably estimated. As applicable, the Company has established an adequate reserve for the matter discussed below. In addition, legal costs are expensed as incurred. Management assesses such matters based on current information and makes a judgment concerning its potential outcome, considering the nature of the claim, the amount and nature of damages sought, and the probability of success. The Company is unable to predict the outcome of the legal proceeding below or reasonably estimate the scope or amount of any associated costs and potential liabilities. As additional information becomes available, management adjusts its assessment and estimate of such contingency accordingly. Because litigation is subject to inherent uncertainties and unfavorable rulings or developments, it is possible that the ultimate resolution of the Company’s liabilities and contingencies could be at amounts that are different from its currently recorded reserves and that such difference could be material.</w:t>
      </w:r>
    </w:p>
    <w:p>
      <w:pPr>
        <w:spacing w:after="0" w:line="11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 addition to the legal proceeding noted below, the Company and its subsidiaries are party to other litigation or legal proceedings arising in the ordinary course of business. In management’s opinion, the disposition of these ordinary course matters will not materially adversely affect the Company’s consolidated financial position, results of operations, or cash flows.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Buckthorn Solar Litigation</w:t>
      </w:r>
    </w:p>
    <w:p>
      <w:pPr>
        <w:spacing w:after="0" w:line="171"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On October 8, 2019, the City of Georgetown, Texas, or Georgetown, filed a petition in the District Court of Williamson County, Texas naming Buckthorn Westex, LLC, the Company’s subsidiary that owns the Buckthorn Westex solar project, as the defendant, alleging fraud by nondisclosure and breach of contract in connection with the project and the PPA, and seeking (i) rescission and/or cancellation of the PPA, (ii) declaratory judgment that the alleged breaches constitute an event of default under the PPA entitling Georgetown to terminate, and (iii) recovery of all damages, costs of court, and attorneys’ fees. On November 15, 2019, Buckthorn Westex filed an original answer and counterclaims (i) denying Georgetown’s claims, (ii) alleging Georgetown has breached its contracts with Buckthorn Westex by failing to pay amounts due, and (iii) seeking relief in the form of (x) declaratory judgment that Georgetown’s alleged failure to pay amounts due constitute breaches of and an event of default under the PPA and that Buckthorn did not commit any events of default under the PPA, (y) recovery of costs, expenses, interest, and attorneys’ fees, and (z) such other relief to which it is entitled at law or in equity. In response to motions for partial summary judgment filed by each party, the court denied Georgetown’s motion in its entirety, granted Buckthorn Westex’s motion with respect to the fraud by nondisclosure claim and denied Buckthorn Westex’s motion with respect to the breach of contract claim. The case is scheduled to proceed to trial in October 2023. Buckthorn Westex believes the allegations of Georgetown are meritless, and Buckthorn Westex is vigorously defending its rights under the PPA.</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31" w:name="page32"/>
    <w:bookmarkEnd w:id="31"/>
    <w:p>
      <w:pPr>
        <w:ind w:right="3160"/>
        <w:spacing w:after="0" w:line="495" w:lineRule="auto"/>
        <w:rPr>
          <w:sz w:val="20"/>
          <w:szCs w:val="20"/>
          <w:color w:val="auto"/>
        </w:rPr>
      </w:pPr>
      <w:r>
        <w:rPr>
          <w:rFonts w:ascii="Arial" w:cs="Arial" w:eastAsia="Arial" w:hAnsi="Arial"/>
          <w:sz w:val="16"/>
          <w:szCs w:val="16"/>
          <w:b w:val="1"/>
          <w:bCs w:val="1"/>
          <w:color w:val="auto"/>
        </w:rPr>
        <w:t xml:space="preserve">ITEM 2 — Management’s Discussion and Analysis of Financial Condition and the Results of Operations </w:t>
      </w:r>
      <w:r>
        <w:rPr>
          <w:rFonts w:ascii="Arial" w:cs="Arial" w:eastAsia="Arial" w:hAnsi="Arial"/>
          <w:sz w:val="16"/>
          <w:szCs w:val="16"/>
          <w:color w:val="auto"/>
        </w:rPr>
        <w:t>The following discussion analyzes the Company’s historical financial condition and results of operations.</w:t>
      </w:r>
    </w:p>
    <w:p>
      <w:pPr>
        <w:spacing w:after="0" w:line="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As you read this discussion and analysis, refer to the Company’s consolidated financial statements to this Form 10-Q, which present the results of operations for the three and six months ended June 30, 2023 and 2022. Also refer to the Company’s 2022 Form 10-K, which includes detailed discussions of various items impacting the Company’s business, results of operations and financial condition.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231F20"/>
        </w:rPr>
        <w:t>The discussion and analysis below has been organized as follows:</w:t>
      </w:r>
    </w:p>
    <w:p>
      <w:pPr>
        <w:spacing w:after="0" w:line="117" w:lineRule="exact"/>
        <w:rPr>
          <w:sz w:val="20"/>
          <w:szCs w:val="20"/>
          <w:color w:val="auto"/>
        </w:rPr>
      </w:pPr>
    </w:p>
    <w:p>
      <w:pPr>
        <w:ind w:left="980" w:right="80"/>
        <w:spacing w:after="0" w:line="277" w:lineRule="auto"/>
        <w:tabs>
          <w:tab w:leader="none" w:pos="1304" w:val="left"/>
        </w:tabs>
        <w:numPr>
          <w:ilvl w:val="0"/>
          <w:numId w:val="19"/>
        </w:numPr>
        <w:rPr>
          <w:rFonts w:ascii="Arial" w:cs="Arial" w:eastAsia="Arial" w:hAnsi="Arial"/>
          <w:sz w:val="18"/>
          <w:szCs w:val="18"/>
          <w:color w:val="231F20"/>
        </w:rPr>
      </w:pPr>
      <w:r>
        <w:rPr>
          <w:rFonts w:ascii="Arial" w:cs="Arial" w:eastAsia="Arial" w:hAnsi="Arial"/>
          <w:sz w:val="18"/>
          <w:szCs w:val="18"/>
          <w:color w:val="231F20"/>
        </w:rPr>
        <w:t>Executive Summary, including a description of the business and significant events that are important to understanding the results of operations and financial condition;</w:t>
      </w:r>
    </w:p>
    <w:p>
      <w:pPr>
        <w:spacing w:after="0" w:line="8" w:lineRule="exact"/>
        <w:rPr>
          <w:rFonts w:ascii="Arial" w:cs="Arial" w:eastAsia="Arial" w:hAnsi="Arial"/>
          <w:sz w:val="18"/>
          <w:szCs w:val="18"/>
          <w:color w:val="231F20"/>
        </w:rPr>
      </w:pPr>
    </w:p>
    <w:p>
      <w:pPr>
        <w:ind w:left="980" w:right="80"/>
        <w:spacing w:after="0" w:line="277" w:lineRule="auto"/>
        <w:tabs>
          <w:tab w:leader="none" w:pos="1304" w:val="left"/>
        </w:tabs>
        <w:numPr>
          <w:ilvl w:val="0"/>
          <w:numId w:val="19"/>
        </w:numPr>
        <w:rPr>
          <w:rFonts w:ascii="Arial" w:cs="Arial" w:eastAsia="Arial" w:hAnsi="Arial"/>
          <w:sz w:val="18"/>
          <w:szCs w:val="18"/>
          <w:color w:val="auto"/>
        </w:rPr>
      </w:pPr>
      <w:r>
        <w:rPr>
          <w:rFonts w:ascii="Arial" w:cs="Arial" w:eastAsia="Arial" w:hAnsi="Arial"/>
          <w:sz w:val="18"/>
          <w:szCs w:val="18"/>
          <w:color w:val="231F20"/>
        </w:rPr>
        <w:t>Results of operations, including an explanation of significant differences between the periods in the specific line items of the consolidated statements of income;</w:t>
      </w:r>
    </w:p>
    <w:p>
      <w:pPr>
        <w:spacing w:after="0" w:line="8" w:lineRule="exact"/>
        <w:rPr>
          <w:rFonts w:ascii="Arial" w:cs="Arial" w:eastAsia="Arial" w:hAnsi="Arial"/>
          <w:sz w:val="18"/>
          <w:szCs w:val="18"/>
          <w:color w:val="auto"/>
        </w:rPr>
      </w:pPr>
    </w:p>
    <w:p>
      <w:pPr>
        <w:ind w:left="980" w:right="80"/>
        <w:spacing w:after="0" w:line="277" w:lineRule="auto"/>
        <w:tabs>
          <w:tab w:leader="none" w:pos="1304" w:val="left"/>
        </w:tabs>
        <w:numPr>
          <w:ilvl w:val="0"/>
          <w:numId w:val="19"/>
        </w:numPr>
        <w:rPr>
          <w:rFonts w:ascii="Arial" w:cs="Arial" w:eastAsia="Arial" w:hAnsi="Arial"/>
          <w:sz w:val="18"/>
          <w:szCs w:val="18"/>
          <w:color w:val="231F20"/>
        </w:rPr>
      </w:pPr>
      <w:r>
        <w:rPr>
          <w:rFonts w:ascii="Arial" w:cs="Arial" w:eastAsia="Arial" w:hAnsi="Arial"/>
          <w:sz w:val="18"/>
          <w:szCs w:val="18"/>
          <w:color w:val="231F20"/>
        </w:rPr>
        <w:t>Financial condition addressing liquidity position, sources and uses of cash, capital resources and requirements, commitments and off-balance sheet arrangements;</w:t>
      </w:r>
    </w:p>
    <w:p>
      <w:pPr>
        <w:spacing w:after="0" w:line="8" w:lineRule="exact"/>
        <w:rPr>
          <w:rFonts w:ascii="Arial" w:cs="Arial" w:eastAsia="Arial" w:hAnsi="Arial"/>
          <w:sz w:val="18"/>
          <w:szCs w:val="18"/>
          <w:color w:val="231F20"/>
        </w:rPr>
      </w:pPr>
    </w:p>
    <w:p>
      <w:pPr>
        <w:ind w:left="1300" w:hanging="320"/>
        <w:spacing w:after="0"/>
        <w:tabs>
          <w:tab w:leader="none" w:pos="1300" w:val="left"/>
        </w:tabs>
        <w:numPr>
          <w:ilvl w:val="0"/>
          <w:numId w:val="19"/>
        </w:numPr>
        <w:rPr>
          <w:rFonts w:ascii="Arial" w:cs="Arial" w:eastAsia="Arial" w:hAnsi="Arial"/>
          <w:sz w:val="18"/>
          <w:szCs w:val="18"/>
          <w:color w:val="231F20"/>
        </w:rPr>
      </w:pPr>
      <w:r>
        <w:rPr>
          <w:rFonts w:ascii="Arial" w:cs="Arial" w:eastAsia="Arial" w:hAnsi="Arial"/>
          <w:sz w:val="18"/>
          <w:szCs w:val="18"/>
          <w:color w:val="auto"/>
        </w:rPr>
        <w:t>Known trends that may affect the Company’s results of operations and financial condition in the future; and</w:t>
      </w:r>
    </w:p>
    <w:p>
      <w:pPr>
        <w:spacing w:after="0" w:line="63" w:lineRule="exact"/>
        <w:rPr>
          <w:rFonts w:ascii="Arial" w:cs="Arial" w:eastAsia="Arial" w:hAnsi="Arial"/>
          <w:sz w:val="18"/>
          <w:szCs w:val="18"/>
          <w:color w:val="231F20"/>
        </w:rPr>
      </w:pPr>
    </w:p>
    <w:p>
      <w:pPr>
        <w:ind w:left="980" w:right="80"/>
        <w:spacing w:after="0" w:line="277" w:lineRule="auto"/>
        <w:tabs>
          <w:tab w:leader="none" w:pos="1304" w:val="left"/>
        </w:tabs>
        <w:numPr>
          <w:ilvl w:val="0"/>
          <w:numId w:val="19"/>
        </w:numPr>
        <w:rPr>
          <w:rFonts w:ascii="Arial" w:cs="Arial" w:eastAsia="Arial" w:hAnsi="Arial"/>
          <w:sz w:val="18"/>
          <w:szCs w:val="18"/>
          <w:color w:val="auto"/>
        </w:rPr>
      </w:pPr>
      <w:r>
        <w:rPr>
          <w:rFonts w:ascii="Arial" w:cs="Arial" w:eastAsia="Arial" w:hAnsi="Arial"/>
          <w:sz w:val="18"/>
          <w:szCs w:val="18"/>
          <w:color w:val="auto"/>
        </w:rPr>
        <w:t>Critical accounting policies which are most important to both the portrayal of the Company’s financial condition and results of operations, and which require management's most difficult, subjective or complex judgment.</w:t>
      </w:r>
    </w:p>
    <w:p>
      <w:pPr>
        <w:spacing w:after="0" w:line="200" w:lineRule="exact"/>
        <w:rPr>
          <w:sz w:val="20"/>
          <w:szCs w:val="20"/>
          <w:color w:val="auto"/>
        </w:rPr>
      </w:pPr>
    </w:p>
    <w:p>
      <w:pPr>
        <w:spacing w:after="0" w:line="3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91" w:right="41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Executive Summary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 and Overview</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Clearway Energy LLC, together with its consolidated subsidiaries, or the Company, is an energy infrastructure investor with a focus on investments in clean energy and owner of modern, sustainable and long-term contracted assets across North America. The Company is sponsored by GIP and TotalEnergies through the portfolio company, Clearway Energy Group LLC, or CEG, which is equally owned by GIP and TotalEnergies. GIP is an independent infrastructure fund manager that makes equity and debt investments in infrastructure assets and businesses. TotalEnergies is a global multi-energy company.</w:t>
      </w:r>
    </w:p>
    <w:p>
      <w:pPr>
        <w:spacing w:after="0" w:line="134"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 xml:space="preserve">The Company is one of the largest renewable energy owners in the U.S. with over 5,500 net MW of installed wind and solar generation projects. The Company’s over 8,000 net MW of assets also includes approximately 2,500 net MW of environmentally-sound, highly efficient natural gas-fired generation facilities. Through this environmentally-sound, diversified and primarily contracted portfolio, the Company endeavors to increase distributions to its unit holders. </w:t>
      </w:r>
      <w:r>
        <w:rPr>
          <w:rFonts w:ascii="Arial" w:cs="Arial" w:eastAsia="Arial" w:hAnsi="Arial"/>
          <w:sz w:val="16"/>
          <w:szCs w:val="16"/>
          <w:color w:val="231F20"/>
        </w:rPr>
        <w:t>The majority</w:t>
      </w:r>
      <w:r>
        <w:rPr>
          <w:rFonts w:ascii="Arial" w:cs="Arial" w:eastAsia="Arial" w:hAnsi="Arial"/>
          <w:sz w:val="16"/>
          <w:szCs w:val="16"/>
          <w:color w:val="auto"/>
        </w:rPr>
        <w:t xml:space="preserve"> of the Company’s revenues are derived from long-term contractual arrangements for the output or capacity from these assets. The weighted average remaining contract duration of these offtake agreements was approximately 10 years </w:t>
      </w:r>
      <w:r>
        <w:rPr>
          <w:rFonts w:ascii="Arial" w:cs="Arial" w:eastAsia="Arial" w:hAnsi="Arial"/>
          <w:sz w:val="16"/>
          <w:szCs w:val="16"/>
          <w:color w:val="231F20"/>
        </w:rPr>
        <w:t>as of</w:t>
      </w:r>
      <w:r>
        <w:rPr>
          <w:rFonts w:ascii="Arial" w:cs="Arial" w:eastAsia="Arial" w:hAnsi="Arial"/>
          <w:sz w:val="16"/>
          <w:szCs w:val="16"/>
          <w:color w:val="auto"/>
        </w:rPr>
        <w:t xml:space="preserve"> June 30, 2023 </w:t>
      </w:r>
      <w:r>
        <w:rPr>
          <w:rFonts w:ascii="Arial" w:cs="Arial" w:eastAsia="Arial" w:hAnsi="Arial"/>
          <w:sz w:val="16"/>
          <w:szCs w:val="16"/>
          <w:color w:val="231F20"/>
        </w:rPr>
        <w:t>based on CAFD.</w:t>
      </w:r>
    </w:p>
    <w:p>
      <w:pPr>
        <w:spacing w:after="0" w:line="10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June 30, 2023, the Company’s operating assets are comprised of the following projects:</w:t>
      </w:r>
    </w:p>
    <w:p>
      <w:pPr>
        <w:spacing w:after="0" w:line="7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220" w:type="dxa"/>
            <w:vAlign w:val="bottom"/>
            <w:vMerge w:val="restart"/>
          </w:tcPr>
          <w:p>
            <w:pPr>
              <w:spacing w:after="0"/>
              <w:rPr>
                <w:sz w:val="20"/>
                <w:szCs w:val="20"/>
                <w:color w:val="auto"/>
              </w:rPr>
            </w:pPr>
            <w:r>
              <w:rPr>
                <w:rFonts w:ascii="Arial" w:cs="Arial" w:eastAsia="Arial" w:hAnsi="Arial"/>
                <w:sz w:val="14"/>
                <w:szCs w:val="14"/>
                <w:b w:val="1"/>
                <w:bCs w:val="1"/>
                <w:color w:val="auto"/>
              </w:rPr>
              <w:t>Projects</w:t>
            </w:r>
          </w:p>
        </w:tc>
        <w:tc>
          <w:tcPr>
            <w:tcW w:w="2640" w:type="dxa"/>
            <w:vAlign w:val="bottom"/>
          </w:tcPr>
          <w:p>
            <w:pPr>
              <w:ind w:left="1720"/>
              <w:spacing w:after="0"/>
              <w:rPr>
                <w:sz w:val="20"/>
                <w:szCs w:val="20"/>
                <w:color w:val="auto"/>
              </w:rPr>
            </w:pPr>
            <w:r>
              <w:rPr>
                <w:rFonts w:ascii="Arial" w:cs="Arial" w:eastAsia="Arial" w:hAnsi="Arial"/>
                <w:sz w:val="14"/>
                <w:szCs w:val="14"/>
                <w:b w:val="1"/>
                <w:bCs w:val="1"/>
                <w:color w:val="auto"/>
              </w:rPr>
              <w:t>Percentage</w:t>
            </w:r>
          </w:p>
        </w:tc>
        <w:tc>
          <w:tcPr>
            <w:tcW w:w="1940" w:type="dxa"/>
            <w:vAlign w:val="bottom"/>
          </w:tcPr>
          <w:p>
            <w:pPr>
              <w:jc w:val="center"/>
              <w:ind w:right="588"/>
              <w:spacing w:after="0"/>
              <w:rPr>
                <w:sz w:val="20"/>
                <w:szCs w:val="20"/>
                <w:color w:val="auto"/>
              </w:rPr>
            </w:pPr>
            <w:r>
              <w:rPr>
                <w:rFonts w:ascii="Arial" w:cs="Arial" w:eastAsia="Arial" w:hAnsi="Arial"/>
                <w:sz w:val="14"/>
                <w:szCs w:val="14"/>
                <w:b w:val="1"/>
                <w:bCs w:val="1"/>
                <w:color w:val="auto"/>
                <w:w w:val="94"/>
              </w:rPr>
              <w:t>Net Capacity</w:t>
            </w:r>
          </w:p>
        </w:tc>
        <w:tc>
          <w:tcPr>
            <w:tcW w:w="264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Counterparty</w:t>
            </w:r>
          </w:p>
        </w:tc>
        <w:tc>
          <w:tcPr>
            <w:tcW w:w="1580" w:type="dxa"/>
            <w:vAlign w:val="bottom"/>
            <w:vMerge w:val="restart"/>
          </w:tcPr>
          <w:p>
            <w:pPr>
              <w:ind w:left="920"/>
              <w:spacing w:after="0"/>
              <w:rPr>
                <w:sz w:val="20"/>
                <w:szCs w:val="20"/>
                <w:color w:val="auto"/>
              </w:rPr>
            </w:pPr>
            <w:r>
              <w:rPr>
                <w:rFonts w:ascii="Arial" w:cs="Arial" w:eastAsia="Arial" w:hAnsi="Arial"/>
                <w:sz w:val="14"/>
                <w:szCs w:val="14"/>
                <w:b w:val="1"/>
                <w:bCs w:val="1"/>
                <w:color w:val="auto"/>
                <w:w w:val="93"/>
              </w:rPr>
              <w:t>Expiration</w:t>
            </w:r>
          </w:p>
        </w:tc>
        <w:tc>
          <w:tcPr>
            <w:tcW w:w="0" w:type="dxa"/>
            <w:vAlign w:val="bottom"/>
          </w:tcPr>
          <w:p>
            <w:pPr>
              <w:spacing w:after="0"/>
              <w:rPr>
                <w:sz w:val="1"/>
                <w:szCs w:val="1"/>
                <w:color w:val="auto"/>
              </w:rPr>
            </w:pPr>
          </w:p>
        </w:tc>
      </w:tr>
      <w:tr>
        <w:trPr>
          <w:trHeight w:val="234"/>
        </w:trPr>
        <w:tc>
          <w:tcPr>
            <w:tcW w:w="2220" w:type="dxa"/>
            <w:vAlign w:val="bottom"/>
            <w:vMerge w:val="continue"/>
          </w:tcPr>
          <w:p>
            <w:pPr>
              <w:spacing w:after="0"/>
              <w:rPr>
                <w:sz w:val="20"/>
                <w:szCs w:val="20"/>
                <w:color w:val="auto"/>
              </w:rPr>
            </w:pPr>
          </w:p>
        </w:tc>
        <w:tc>
          <w:tcPr>
            <w:tcW w:w="2640" w:type="dxa"/>
            <w:vAlign w:val="bottom"/>
          </w:tcPr>
          <w:p>
            <w:pPr>
              <w:ind w:left="1720"/>
              <w:spacing w:after="0"/>
              <w:rPr>
                <w:sz w:val="20"/>
                <w:szCs w:val="20"/>
                <w:color w:val="auto"/>
              </w:rPr>
            </w:pPr>
            <w:r>
              <w:rPr>
                <w:rFonts w:ascii="Arial" w:cs="Arial" w:eastAsia="Arial" w:hAnsi="Arial"/>
                <w:sz w:val="14"/>
                <w:szCs w:val="14"/>
                <w:b w:val="1"/>
                <w:bCs w:val="1"/>
                <w:color w:val="auto"/>
              </w:rPr>
              <w:t>Ownership</w:t>
            </w:r>
          </w:p>
        </w:tc>
        <w:tc>
          <w:tcPr>
            <w:tcW w:w="1940" w:type="dxa"/>
            <w:vAlign w:val="bottom"/>
          </w:tcPr>
          <w:p>
            <w:pPr>
              <w:jc w:val="center"/>
              <w:ind w:right="588"/>
              <w:spacing w:after="0" w:line="234" w:lineRule="exact"/>
              <w:rPr>
                <w:sz w:val="20"/>
                <w:szCs w:val="20"/>
                <w:color w:val="auto"/>
              </w:rPr>
            </w:pPr>
            <w:r>
              <w:rPr>
                <w:rFonts w:ascii="Arial" w:cs="Arial" w:eastAsia="Arial" w:hAnsi="Arial"/>
                <w:sz w:val="14"/>
                <w:szCs w:val="14"/>
                <w:b w:val="1"/>
                <w:bCs w:val="1"/>
                <w:color w:val="auto"/>
                <w:w w:val="94"/>
              </w:rPr>
              <w:t xml:space="preserve">(MW) </w:t>
            </w:r>
            <w:r>
              <w:rPr>
                <w:rFonts w:ascii="Arial" w:cs="Arial" w:eastAsia="Arial" w:hAnsi="Arial"/>
                <w:sz w:val="21"/>
                <w:szCs w:val="21"/>
                <w:b w:val="1"/>
                <w:bCs w:val="1"/>
                <w:color w:val="auto"/>
                <w:w w:val="94"/>
                <w:vertAlign w:val="superscript"/>
              </w:rPr>
              <w:t>(a)</w:t>
            </w:r>
          </w:p>
        </w:tc>
        <w:tc>
          <w:tcPr>
            <w:tcW w:w="2640" w:type="dxa"/>
            <w:vAlign w:val="bottom"/>
            <w:vMerge w:val="continue"/>
          </w:tcPr>
          <w:p>
            <w:pPr>
              <w:spacing w:after="0"/>
              <w:rPr>
                <w:sz w:val="20"/>
                <w:szCs w:val="20"/>
                <w:color w:val="auto"/>
              </w:rPr>
            </w:pPr>
          </w:p>
        </w:tc>
        <w:tc>
          <w:tcPr>
            <w:tcW w:w="15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46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b w:val="1"/>
          <w:bCs w:val="1"/>
          <w:i w:val="1"/>
          <w:iCs w:val="1"/>
          <w:color w:val="auto"/>
        </w:rPr>
        <w:t>Conventional</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940" w:type="dxa"/>
            <w:vAlign w:val="bottom"/>
          </w:tcPr>
          <w:p>
            <w:pPr>
              <w:ind w:left="120"/>
              <w:spacing w:after="0"/>
              <w:rPr>
                <w:sz w:val="20"/>
                <w:szCs w:val="20"/>
                <w:color w:val="auto"/>
              </w:rPr>
            </w:pPr>
            <w:r>
              <w:rPr>
                <w:rFonts w:ascii="Arial" w:cs="Arial" w:eastAsia="Arial" w:hAnsi="Arial"/>
                <w:sz w:val="14"/>
                <w:szCs w:val="14"/>
                <w:color w:val="auto"/>
              </w:rPr>
              <w:t>Carlsbad</w:t>
            </w:r>
          </w:p>
        </w:tc>
        <w:tc>
          <w:tcPr>
            <w:tcW w:w="2040" w:type="dxa"/>
            <w:vAlign w:val="bottom"/>
          </w:tcPr>
          <w:p>
            <w:pPr>
              <w:jc w:val="right"/>
              <w:ind w:right="48"/>
              <w:spacing w:after="0"/>
              <w:rPr>
                <w:sz w:val="20"/>
                <w:szCs w:val="20"/>
                <w:color w:val="auto"/>
              </w:rPr>
            </w:pPr>
            <w:r>
              <w:rPr>
                <w:rFonts w:ascii="Arial" w:cs="Arial" w:eastAsia="Arial" w:hAnsi="Arial"/>
                <w:sz w:val="14"/>
                <w:szCs w:val="14"/>
                <w:color w:val="auto"/>
              </w:rPr>
              <w:t>100 %</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527</w:t>
            </w:r>
          </w:p>
        </w:tc>
        <w:tc>
          <w:tcPr>
            <w:tcW w:w="3000" w:type="dxa"/>
            <w:vAlign w:val="bottom"/>
          </w:tcPr>
          <w:p>
            <w:pPr>
              <w:ind w:left="120"/>
              <w:spacing w:after="0"/>
              <w:rPr>
                <w:sz w:val="20"/>
                <w:szCs w:val="20"/>
                <w:color w:val="auto"/>
              </w:rPr>
            </w:pPr>
            <w:r>
              <w:rPr>
                <w:rFonts w:ascii="Arial" w:cs="Arial" w:eastAsia="Arial" w:hAnsi="Arial"/>
                <w:sz w:val="14"/>
                <w:szCs w:val="14"/>
                <w:color w:val="auto"/>
              </w:rPr>
              <w:t>San Diego Gas &amp; Electric</w:t>
            </w:r>
          </w:p>
        </w:tc>
        <w:tc>
          <w:tcPr>
            <w:tcW w:w="2180" w:type="dxa"/>
            <w:vAlign w:val="bottom"/>
          </w:tcPr>
          <w:p>
            <w:pPr>
              <w:jc w:val="center"/>
              <w:ind w:left="1028"/>
              <w:spacing w:after="0"/>
              <w:rPr>
                <w:sz w:val="20"/>
                <w:szCs w:val="20"/>
                <w:color w:val="auto"/>
              </w:rPr>
            </w:pPr>
            <w:r>
              <w:rPr>
                <w:rFonts w:ascii="Arial" w:cs="Arial" w:eastAsia="Arial" w:hAnsi="Arial"/>
                <w:sz w:val="14"/>
                <w:szCs w:val="14"/>
                <w:color w:val="auto"/>
                <w:w w:val="89"/>
              </w:rPr>
              <w:t>2038</w:t>
            </w:r>
          </w:p>
        </w:tc>
      </w:tr>
      <w:tr>
        <w:trPr>
          <w:trHeight w:val="26"/>
        </w:trPr>
        <w:tc>
          <w:tcPr>
            <w:tcW w:w="29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183"/>
        </w:trPr>
        <w:tc>
          <w:tcPr>
            <w:tcW w:w="29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El Segundo</w:t>
            </w:r>
          </w:p>
        </w:tc>
        <w:tc>
          <w:tcPr>
            <w:tcW w:w="20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100 %</w:t>
            </w:r>
          </w:p>
        </w:tc>
        <w:tc>
          <w:tcPr>
            <w:tcW w:w="10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550</w:t>
            </w:r>
          </w:p>
        </w:tc>
        <w:tc>
          <w:tcPr>
            <w:tcW w:w="30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SCE</w:t>
            </w:r>
          </w:p>
        </w:tc>
        <w:tc>
          <w:tcPr>
            <w:tcW w:w="2180" w:type="dxa"/>
            <w:vAlign w:val="bottom"/>
            <w:tcBorders>
              <w:bottom w:val="single" w:sz="8" w:color="CCEEFF"/>
            </w:tcBorders>
            <w:shd w:val="clear" w:color="auto" w:fill="CCEEFF"/>
          </w:tcPr>
          <w:p>
            <w:pPr>
              <w:jc w:val="center"/>
              <w:ind w:left="1048"/>
              <w:spacing w:after="0"/>
              <w:rPr>
                <w:sz w:val="20"/>
                <w:szCs w:val="20"/>
                <w:color w:val="auto"/>
              </w:rPr>
            </w:pPr>
            <w:r>
              <w:rPr>
                <w:rFonts w:ascii="Arial" w:cs="Arial" w:eastAsia="Arial" w:hAnsi="Arial"/>
                <w:sz w:val="14"/>
                <w:szCs w:val="14"/>
                <w:color w:val="auto"/>
                <w:w w:val="93"/>
              </w:rPr>
              <w:t>2023 - 2026</w:t>
            </w:r>
          </w:p>
        </w:tc>
      </w:tr>
      <w:tr>
        <w:trPr>
          <w:trHeight w:val="186"/>
        </w:trPr>
        <w:tc>
          <w:tcPr>
            <w:tcW w:w="2940" w:type="dxa"/>
            <w:vAlign w:val="bottom"/>
          </w:tcPr>
          <w:p>
            <w:pPr>
              <w:ind w:left="120"/>
              <w:spacing w:after="0"/>
              <w:rPr>
                <w:sz w:val="20"/>
                <w:szCs w:val="20"/>
                <w:color w:val="auto"/>
              </w:rPr>
            </w:pPr>
            <w:r>
              <w:rPr>
                <w:rFonts w:ascii="Arial" w:cs="Arial" w:eastAsia="Arial" w:hAnsi="Arial"/>
                <w:sz w:val="14"/>
                <w:szCs w:val="14"/>
                <w:color w:val="auto"/>
              </w:rPr>
              <w:t>GenConn Devon</w:t>
            </w:r>
          </w:p>
        </w:tc>
        <w:tc>
          <w:tcPr>
            <w:tcW w:w="2040" w:type="dxa"/>
            <w:vAlign w:val="bottom"/>
          </w:tcPr>
          <w:p>
            <w:pPr>
              <w:jc w:val="right"/>
              <w:ind w:right="48"/>
              <w:spacing w:after="0"/>
              <w:rPr>
                <w:sz w:val="20"/>
                <w:szCs w:val="20"/>
                <w:color w:val="auto"/>
              </w:rPr>
            </w:pPr>
            <w:r>
              <w:rPr>
                <w:rFonts w:ascii="Arial" w:cs="Arial" w:eastAsia="Arial" w:hAnsi="Arial"/>
                <w:sz w:val="14"/>
                <w:szCs w:val="14"/>
                <w:color w:val="auto"/>
              </w:rPr>
              <w:t>50 %</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95</w:t>
            </w:r>
          </w:p>
        </w:tc>
        <w:tc>
          <w:tcPr>
            <w:tcW w:w="3000" w:type="dxa"/>
            <w:vAlign w:val="bottom"/>
          </w:tcPr>
          <w:p>
            <w:pPr>
              <w:ind w:left="120"/>
              <w:spacing w:after="0"/>
              <w:rPr>
                <w:sz w:val="20"/>
                <w:szCs w:val="20"/>
                <w:color w:val="auto"/>
              </w:rPr>
            </w:pPr>
            <w:r>
              <w:rPr>
                <w:rFonts w:ascii="Arial" w:cs="Arial" w:eastAsia="Arial" w:hAnsi="Arial"/>
                <w:sz w:val="14"/>
                <w:szCs w:val="14"/>
                <w:color w:val="auto"/>
              </w:rPr>
              <w:t>Connecticut Light &amp; Power</w:t>
            </w:r>
          </w:p>
        </w:tc>
        <w:tc>
          <w:tcPr>
            <w:tcW w:w="2180" w:type="dxa"/>
            <w:vAlign w:val="bottom"/>
          </w:tcPr>
          <w:p>
            <w:pPr>
              <w:jc w:val="center"/>
              <w:ind w:left="1028"/>
              <w:spacing w:after="0"/>
              <w:rPr>
                <w:sz w:val="20"/>
                <w:szCs w:val="20"/>
                <w:color w:val="auto"/>
              </w:rPr>
            </w:pPr>
            <w:r>
              <w:rPr>
                <w:rFonts w:ascii="Arial" w:cs="Arial" w:eastAsia="Arial" w:hAnsi="Arial"/>
                <w:sz w:val="14"/>
                <w:szCs w:val="14"/>
                <w:color w:val="auto"/>
                <w:w w:val="89"/>
              </w:rPr>
              <w:t>2040</w:t>
            </w:r>
          </w:p>
        </w:tc>
      </w:tr>
      <w:tr>
        <w:trPr>
          <w:trHeight w:val="186"/>
        </w:trPr>
        <w:tc>
          <w:tcPr>
            <w:tcW w:w="29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GenConn Middletown</w:t>
            </w:r>
          </w:p>
        </w:tc>
        <w:tc>
          <w:tcPr>
            <w:tcW w:w="20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50 %</w:t>
            </w:r>
          </w:p>
        </w:tc>
        <w:tc>
          <w:tcPr>
            <w:tcW w:w="10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95</w:t>
            </w:r>
          </w:p>
        </w:tc>
        <w:tc>
          <w:tcPr>
            <w:tcW w:w="30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Connecticut Light &amp; Power</w:t>
            </w:r>
          </w:p>
        </w:tc>
        <w:tc>
          <w:tcPr>
            <w:tcW w:w="2180" w:type="dxa"/>
            <w:vAlign w:val="bottom"/>
            <w:tcBorders>
              <w:bottom w:val="single" w:sz="8" w:color="CCEEFF"/>
            </w:tcBorders>
            <w:shd w:val="clear" w:color="auto" w:fill="CCEEFF"/>
          </w:tcPr>
          <w:p>
            <w:pPr>
              <w:jc w:val="center"/>
              <w:ind w:left="1028"/>
              <w:spacing w:after="0"/>
              <w:rPr>
                <w:sz w:val="20"/>
                <w:szCs w:val="20"/>
                <w:color w:val="auto"/>
              </w:rPr>
            </w:pPr>
            <w:r>
              <w:rPr>
                <w:rFonts w:ascii="Arial" w:cs="Arial" w:eastAsia="Arial" w:hAnsi="Arial"/>
                <w:sz w:val="14"/>
                <w:szCs w:val="14"/>
                <w:color w:val="auto"/>
                <w:w w:val="89"/>
              </w:rPr>
              <w:t>2041</w:t>
            </w:r>
          </w:p>
        </w:tc>
      </w:tr>
      <w:tr>
        <w:trPr>
          <w:trHeight w:val="182"/>
        </w:trPr>
        <w:tc>
          <w:tcPr>
            <w:tcW w:w="2940" w:type="dxa"/>
            <w:vAlign w:val="bottom"/>
          </w:tcPr>
          <w:p>
            <w:pPr>
              <w:ind w:left="120"/>
              <w:spacing w:after="0"/>
              <w:rPr>
                <w:sz w:val="20"/>
                <w:szCs w:val="20"/>
                <w:color w:val="auto"/>
              </w:rPr>
            </w:pPr>
            <w:r>
              <w:rPr>
                <w:rFonts w:ascii="Arial" w:cs="Arial" w:eastAsia="Arial" w:hAnsi="Arial"/>
                <w:sz w:val="14"/>
                <w:szCs w:val="14"/>
                <w:color w:val="auto"/>
              </w:rPr>
              <w:t>Marsh Landing</w:t>
            </w:r>
          </w:p>
        </w:tc>
        <w:tc>
          <w:tcPr>
            <w:tcW w:w="2040" w:type="dxa"/>
            <w:vAlign w:val="bottom"/>
          </w:tcPr>
          <w:p>
            <w:pPr>
              <w:jc w:val="right"/>
              <w:ind w:right="48"/>
              <w:spacing w:after="0"/>
              <w:rPr>
                <w:sz w:val="20"/>
                <w:szCs w:val="20"/>
                <w:color w:val="auto"/>
              </w:rPr>
            </w:pPr>
            <w:r>
              <w:rPr>
                <w:rFonts w:ascii="Arial" w:cs="Arial" w:eastAsia="Arial" w:hAnsi="Arial"/>
                <w:sz w:val="14"/>
                <w:szCs w:val="14"/>
                <w:color w:val="auto"/>
              </w:rPr>
              <w:t>100 %</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720</w:t>
            </w:r>
          </w:p>
        </w:tc>
        <w:tc>
          <w:tcPr>
            <w:tcW w:w="3000" w:type="dxa"/>
            <w:vAlign w:val="bottom"/>
          </w:tcPr>
          <w:p>
            <w:pPr>
              <w:ind w:left="120"/>
              <w:spacing w:after="0"/>
              <w:rPr>
                <w:sz w:val="20"/>
                <w:szCs w:val="20"/>
                <w:color w:val="auto"/>
              </w:rPr>
            </w:pPr>
            <w:r>
              <w:rPr>
                <w:rFonts w:ascii="Arial" w:cs="Arial" w:eastAsia="Arial" w:hAnsi="Arial"/>
                <w:sz w:val="14"/>
                <w:szCs w:val="14"/>
                <w:color w:val="auto"/>
              </w:rPr>
              <w:t>Various</w:t>
            </w:r>
          </w:p>
        </w:tc>
        <w:tc>
          <w:tcPr>
            <w:tcW w:w="2180" w:type="dxa"/>
            <w:vAlign w:val="bottom"/>
          </w:tcPr>
          <w:p>
            <w:pPr>
              <w:jc w:val="center"/>
              <w:ind w:left="1048"/>
              <w:spacing w:after="0"/>
              <w:rPr>
                <w:sz w:val="20"/>
                <w:szCs w:val="20"/>
                <w:color w:val="auto"/>
              </w:rPr>
            </w:pPr>
            <w:r>
              <w:rPr>
                <w:rFonts w:ascii="Arial" w:cs="Arial" w:eastAsia="Arial" w:hAnsi="Arial"/>
                <w:sz w:val="14"/>
                <w:szCs w:val="14"/>
                <w:color w:val="auto"/>
                <w:w w:val="93"/>
              </w:rPr>
              <w:t>2023 - 2030</w:t>
            </w:r>
          </w:p>
        </w:tc>
      </w:tr>
      <w:tr>
        <w:trPr>
          <w:trHeight w:val="20"/>
        </w:trPr>
        <w:tc>
          <w:tcPr>
            <w:tcW w:w="29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86"/>
        </w:trPr>
        <w:tc>
          <w:tcPr>
            <w:tcW w:w="29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Walnut Creek</w:t>
            </w:r>
          </w:p>
        </w:tc>
        <w:tc>
          <w:tcPr>
            <w:tcW w:w="20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100 %</w:t>
            </w: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485</w:t>
            </w:r>
          </w:p>
        </w:tc>
        <w:tc>
          <w:tcPr>
            <w:tcW w:w="30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SCE</w:t>
            </w:r>
          </w:p>
        </w:tc>
        <w:tc>
          <w:tcPr>
            <w:tcW w:w="2180" w:type="dxa"/>
            <w:vAlign w:val="bottom"/>
            <w:tcBorders>
              <w:bottom w:val="single" w:sz="8" w:color="CCEEFF"/>
            </w:tcBorders>
            <w:shd w:val="clear" w:color="auto" w:fill="CCEEFF"/>
          </w:tcPr>
          <w:p>
            <w:pPr>
              <w:jc w:val="center"/>
              <w:ind w:left="1048"/>
              <w:spacing w:after="0"/>
              <w:rPr>
                <w:sz w:val="20"/>
                <w:szCs w:val="20"/>
                <w:color w:val="auto"/>
              </w:rPr>
            </w:pPr>
            <w:r>
              <w:rPr>
                <w:rFonts w:ascii="Arial" w:cs="Arial" w:eastAsia="Arial" w:hAnsi="Arial"/>
                <w:sz w:val="14"/>
                <w:szCs w:val="14"/>
                <w:color w:val="auto"/>
                <w:w w:val="93"/>
              </w:rPr>
              <w:t>2023 - 2026</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340" w:type="dxa"/>
            <w:vAlign w:val="bottom"/>
          </w:tcPr>
          <w:p>
            <w:pPr>
              <w:ind w:left="460"/>
              <w:spacing w:after="0"/>
              <w:rPr>
                <w:sz w:val="20"/>
                <w:szCs w:val="20"/>
                <w:color w:val="auto"/>
              </w:rPr>
            </w:pPr>
            <w:r>
              <w:rPr>
                <w:rFonts w:ascii="Arial" w:cs="Arial" w:eastAsia="Arial" w:hAnsi="Arial"/>
                <w:sz w:val="16"/>
                <w:szCs w:val="16"/>
                <w:b w:val="1"/>
                <w:bCs w:val="1"/>
                <w:i w:val="1"/>
                <w:iCs w:val="1"/>
                <w:color w:val="auto"/>
              </w:rPr>
              <w:t>Total Conventional</w:t>
            </w:r>
          </w:p>
        </w:tc>
        <w:tc>
          <w:tcPr>
            <w:tcW w:w="1640" w:type="dxa"/>
            <w:vAlign w:val="bottom"/>
          </w:tcPr>
          <w:p>
            <w:pPr>
              <w:spacing w:after="0"/>
              <w:rPr>
                <w:sz w:val="18"/>
                <w:szCs w:val="18"/>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2,472</w:t>
            </w:r>
          </w:p>
        </w:tc>
        <w:tc>
          <w:tcPr>
            <w:tcW w:w="302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19"/>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Utility Scale Solar</w:t>
            </w:r>
          </w:p>
        </w:tc>
        <w:tc>
          <w:tcPr>
            <w:tcW w:w="16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0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r>
      <w:tr>
        <w:trPr>
          <w:trHeight w:val="186"/>
        </w:trPr>
        <w:tc>
          <w:tcPr>
            <w:tcW w:w="3340" w:type="dxa"/>
            <w:vAlign w:val="bottom"/>
          </w:tcPr>
          <w:p>
            <w:pPr>
              <w:ind w:left="120"/>
              <w:spacing w:after="0"/>
              <w:rPr>
                <w:sz w:val="20"/>
                <w:szCs w:val="20"/>
                <w:color w:val="auto"/>
              </w:rPr>
            </w:pPr>
            <w:r>
              <w:rPr>
                <w:rFonts w:ascii="Arial" w:cs="Arial" w:eastAsia="Arial" w:hAnsi="Arial"/>
                <w:sz w:val="14"/>
                <w:szCs w:val="14"/>
                <w:color w:val="auto"/>
              </w:rPr>
              <w:t>Agua Caliente</w:t>
            </w:r>
          </w:p>
        </w:tc>
        <w:tc>
          <w:tcPr>
            <w:tcW w:w="1640" w:type="dxa"/>
            <w:vAlign w:val="bottom"/>
          </w:tcPr>
          <w:p>
            <w:pPr>
              <w:jc w:val="right"/>
              <w:ind w:right="48"/>
              <w:spacing w:after="0"/>
              <w:rPr>
                <w:sz w:val="20"/>
                <w:szCs w:val="20"/>
                <w:color w:val="auto"/>
              </w:rPr>
            </w:pPr>
            <w:r>
              <w:rPr>
                <w:rFonts w:ascii="Arial" w:cs="Arial" w:eastAsia="Arial" w:hAnsi="Arial"/>
                <w:sz w:val="14"/>
                <w:szCs w:val="14"/>
                <w:color w:val="auto"/>
              </w:rPr>
              <w:t>51 %</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148</w:t>
            </w:r>
          </w:p>
        </w:tc>
        <w:tc>
          <w:tcPr>
            <w:tcW w:w="3020" w:type="dxa"/>
            <w:vAlign w:val="bottom"/>
          </w:tcPr>
          <w:p>
            <w:pPr>
              <w:ind w:left="120"/>
              <w:spacing w:after="0"/>
              <w:rPr>
                <w:sz w:val="20"/>
                <w:szCs w:val="20"/>
                <w:color w:val="auto"/>
              </w:rPr>
            </w:pPr>
            <w:r>
              <w:rPr>
                <w:rFonts w:ascii="Arial" w:cs="Arial" w:eastAsia="Arial" w:hAnsi="Arial"/>
                <w:sz w:val="14"/>
                <w:szCs w:val="14"/>
                <w:color w:val="auto"/>
              </w:rPr>
              <w:t>PG&amp;E</w:t>
            </w:r>
          </w:p>
        </w:tc>
        <w:tc>
          <w:tcPr>
            <w:tcW w:w="2160" w:type="dxa"/>
            <w:vAlign w:val="bottom"/>
          </w:tcPr>
          <w:p>
            <w:pPr>
              <w:jc w:val="center"/>
              <w:ind w:left="1008"/>
              <w:spacing w:after="0"/>
              <w:rPr>
                <w:sz w:val="20"/>
                <w:szCs w:val="20"/>
                <w:color w:val="auto"/>
              </w:rPr>
            </w:pPr>
            <w:r>
              <w:rPr>
                <w:rFonts w:ascii="Arial" w:cs="Arial" w:eastAsia="Arial" w:hAnsi="Arial"/>
                <w:sz w:val="14"/>
                <w:szCs w:val="14"/>
                <w:color w:val="auto"/>
                <w:w w:val="89"/>
              </w:rPr>
              <w:t>2039</w:t>
            </w:r>
          </w:p>
        </w:tc>
      </w:tr>
      <w:tr>
        <w:trPr>
          <w:trHeight w:val="186"/>
        </w:trPr>
        <w:tc>
          <w:tcPr>
            <w:tcW w:w="3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Alpine</w:t>
            </w:r>
          </w:p>
        </w:tc>
        <w:tc>
          <w:tcPr>
            <w:tcW w:w="16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100 %</w:t>
            </w:r>
          </w:p>
        </w:tc>
        <w:tc>
          <w:tcPr>
            <w:tcW w:w="10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66</w:t>
            </w:r>
          </w:p>
        </w:tc>
        <w:tc>
          <w:tcPr>
            <w:tcW w:w="3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PG&amp;E</w:t>
            </w:r>
          </w:p>
        </w:tc>
        <w:tc>
          <w:tcPr>
            <w:tcW w:w="2160" w:type="dxa"/>
            <w:vAlign w:val="bottom"/>
            <w:tcBorders>
              <w:bottom w:val="single" w:sz="8" w:color="CCEEFF"/>
            </w:tcBorders>
            <w:shd w:val="clear" w:color="auto" w:fill="CCEEFF"/>
          </w:tcPr>
          <w:p>
            <w:pPr>
              <w:jc w:val="center"/>
              <w:ind w:left="1008"/>
              <w:spacing w:after="0"/>
              <w:rPr>
                <w:sz w:val="20"/>
                <w:szCs w:val="20"/>
                <w:color w:val="auto"/>
              </w:rPr>
            </w:pPr>
            <w:r>
              <w:rPr>
                <w:rFonts w:ascii="Arial" w:cs="Arial" w:eastAsia="Arial" w:hAnsi="Arial"/>
                <w:sz w:val="14"/>
                <w:szCs w:val="14"/>
                <w:color w:val="auto"/>
                <w:w w:val="89"/>
              </w:rPr>
              <w:t>2033</w:t>
            </w:r>
          </w:p>
        </w:tc>
      </w:tr>
      <w:tr>
        <w:trPr>
          <w:trHeight w:val="182"/>
        </w:trPr>
        <w:tc>
          <w:tcPr>
            <w:tcW w:w="3340" w:type="dxa"/>
            <w:vAlign w:val="bottom"/>
          </w:tcPr>
          <w:p>
            <w:pPr>
              <w:ind w:left="120"/>
              <w:spacing w:after="0"/>
              <w:rPr>
                <w:sz w:val="20"/>
                <w:szCs w:val="20"/>
                <w:color w:val="auto"/>
              </w:rPr>
            </w:pPr>
            <w:r>
              <w:rPr>
                <w:rFonts w:ascii="Arial" w:cs="Arial" w:eastAsia="Arial" w:hAnsi="Arial"/>
                <w:sz w:val="14"/>
                <w:szCs w:val="14"/>
                <w:color w:val="auto"/>
              </w:rPr>
              <w:t>Avenal</w:t>
            </w:r>
          </w:p>
        </w:tc>
        <w:tc>
          <w:tcPr>
            <w:tcW w:w="1640" w:type="dxa"/>
            <w:vAlign w:val="bottom"/>
          </w:tcPr>
          <w:p>
            <w:pPr>
              <w:jc w:val="right"/>
              <w:ind w:right="48"/>
              <w:spacing w:after="0"/>
              <w:rPr>
                <w:sz w:val="20"/>
                <w:szCs w:val="20"/>
                <w:color w:val="auto"/>
              </w:rPr>
            </w:pPr>
            <w:r>
              <w:rPr>
                <w:rFonts w:ascii="Arial" w:cs="Arial" w:eastAsia="Arial" w:hAnsi="Arial"/>
                <w:sz w:val="14"/>
                <w:szCs w:val="14"/>
                <w:color w:val="auto"/>
              </w:rPr>
              <w:t>50 %</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23</w:t>
            </w:r>
          </w:p>
        </w:tc>
        <w:tc>
          <w:tcPr>
            <w:tcW w:w="3020" w:type="dxa"/>
            <w:vAlign w:val="bottom"/>
          </w:tcPr>
          <w:p>
            <w:pPr>
              <w:ind w:left="120"/>
              <w:spacing w:after="0"/>
              <w:rPr>
                <w:sz w:val="20"/>
                <w:szCs w:val="20"/>
                <w:color w:val="auto"/>
              </w:rPr>
            </w:pPr>
            <w:r>
              <w:rPr>
                <w:rFonts w:ascii="Arial" w:cs="Arial" w:eastAsia="Arial" w:hAnsi="Arial"/>
                <w:sz w:val="14"/>
                <w:szCs w:val="14"/>
                <w:color w:val="auto"/>
              </w:rPr>
              <w:t>PG&amp;E</w:t>
            </w:r>
          </w:p>
        </w:tc>
        <w:tc>
          <w:tcPr>
            <w:tcW w:w="2160" w:type="dxa"/>
            <w:vAlign w:val="bottom"/>
          </w:tcPr>
          <w:p>
            <w:pPr>
              <w:jc w:val="center"/>
              <w:ind w:left="1008"/>
              <w:spacing w:after="0"/>
              <w:rPr>
                <w:sz w:val="20"/>
                <w:szCs w:val="20"/>
                <w:color w:val="auto"/>
              </w:rPr>
            </w:pPr>
            <w:r>
              <w:rPr>
                <w:rFonts w:ascii="Arial" w:cs="Arial" w:eastAsia="Arial" w:hAnsi="Arial"/>
                <w:sz w:val="14"/>
                <w:szCs w:val="14"/>
                <w:color w:val="auto"/>
                <w:w w:val="89"/>
              </w:rPr>
              <w:t>2031</w:t>
            </w:r>
          </w:p>
        </w:tc>
      </w:tr>
      <w:tr>
        <w:trPr>
          <w:trHeight w:val="20"/>
        </w:trPr>
        <w:tc>
          <w:tcPr>
            <w:tcW w:w="33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89"/>
        </w:trPr>
        <w:tc>
          <w:tcPr>
            <w:tcW w:w="33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Avra Valley</w:t>
            </w:r>
          </w:p>
        </w:tc>
        <w:tc>
          <w:tcPr>
            <w:tcW w:w="1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100 %</w:t>
            </w: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w:t>
            </w:r>
          </w:p>
        </w:tc>
        <w:tc>
          <w:tcPr>
            <w:tcW w:w="30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Tucson Electric Power</w:t>
            </w:r>
          </w:p>
        </w:tc>
        <w:tc>
          <w:tcPr>
            <w:tcW w:w="2160" w:type="dxa"/>
            <w:vAlign w:val="bottom"/>
            <w:shd w:val="clear" w:color="auto" w:fill="CCEEFF"/>
          </w:tcPr>
          <w:p>
            <w:pPr>
              <w:jc w:val="center"/>
              <w:ind w:left="1008"/>
              <w:spacing w:after="0"/>
              <w:rPr>
                <w:sz w:val="20"/>
                <w:szCs w:val="20"/>
                <w:color w:val="auto"/>
              </w:rPr>
            </w:pPr>
            <w:r>
              <w:rPr>
                <w:rFonts w:ascii="Arial" w:cs="Arial" w:eastAsia="Arial" w:hAnsi="Arial"/>
                <w:sz w:val="14"/>
                <w:szCs w:val="14"/>
                <w:color w:val="auto"/>
                <w:w w:val="89"/>
              </w:rPr>
              <w:t>2032</w:t>
            </w:r>
          </w:p>
        </w:tc>
      </w:tr>
      <w:tr>
        <w:trPr>
          <w:trHeight w:val="182"/>
        </w:trPr>
        <w:tc>
          <w:tcPr>
            <w:tcW w:w="3340" w:type="dxa"/>
            <w:vAlign w:val="bottom"/>
          </w:tcPr>
          <w:p>
            <w:pPr>
              <w:ind w:left="120"/>
              <w:spacing w:after="0"/>
              <w:rPr>
                <w:sz w:val="20"/>
                <w:szCs w:val="20"/>
                <w:color w:val="auto"/>
              </w:rPr>
            </w:pPr>
            <w:r>
              <w:rPr>
                <w:rFonts w:ascii="Arial" w:cs="Arial" w:eastAsia="Arial" w:hAnsi="Arial"/>
                <w:sz w:val="14"/>
                <w:szCs w:val="14"/>
                <w:color w:val="auto"/>
              </w:rPr>
              <w:t>Blythe</w:t>
            </w:r>
          </w:p>
        </w:tc>
        <w:tc>
          <w:tcPr>
            <w:tcW w:w="1640" w:type="dxa"/>
            <w:vAlign w:val="bottom"/>
          </w:tcPr>
          <w:p>
            <w:pPr>
              <w:jc w:val="right"/>
              <w:ind w:right="48"/>
              <w:spacing w:after="0"/>
              <w:rPr>
                <w:sz w:val="20"/>
                <w:szCs w:val="20"/>
                <w:color w:val="auto"/>
              </w:rPr>
            </w:pPr>
            <w:r>
              <w:rPr>
                <w:rFonts w:ascii="Arial" w:cs="Arial" w:eastAsia="Arial" w:hAnsi="Arial"/>
                <w:sz w:val="14"/>
                <w:szCs w:val="14"/>
                <w:color w:val="auto"/>
              </w:rPr>
              <w:t>100 %</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21</w:t>
            </w:r>
          </w:p>
        </w:tc>
        <w:tc>
          <w:tcPr>
            <w:tcW w:w="3020" w:type="dxa"/>
            <w:vAlign w:val="bottom"/>
          </w:tcPr>
          <w:p>
            <w:pPr>
              <w:ind w:left="120"/>
              <w:spacing w:after="0"/>
              <w:rPr>
                <w:sz w:val="20"/>
                <w:szCs w:val="20"/>
                <w:color w:val="auto"/>
              </w:rPr>
            </w:pPr>
            <w:r>
              <w:rPr>
                <w:rFonts w:ascii="Arial" w:cs="Arial" w:eastAsia="Arial" w:hAnsi="Arial"/>
                <w:sz w:val="14"/>
                <w:szCs w:val="14"/>
                <w:color w:val="auto"/>
              </w:rPr>
              <w:t>SCE</w:t>
            </w:r>
          </w:p>
        </w:tc>
        <w:tc>
          <w:tcPr>
            <w:tcW w:w="2160" w:type="dxa"/>
            <w:vAlign w:val="bottom"/>
          </w:tcPr>
          <w:p>
            <w:pPr>
              <w:jc w:val="center"/>
              <w:ind w:left="1008"/>
              <w:spacing w:after="0"/>
              <w:rPr>
                <w:sz w:val="20"/>
                <w:szCs w:val="20"/>
                <w:color w:val="auto"/>
              </w:rPr>
            </w:pPr>
            <w:r>
              <w:rPr>
                <w:rFonts w:ascii="Arial" w:cs="Arial" w:eastAsia="Arial" w:hAnsi="Arial"/>
                <w:sz w:val="14"/>
                <w:szCs w:val="14"/>
                <w:color w:val="auto"/>
                <w:w w:val="89"/>
              </w:rPr>
              <w:t>2029</w:t>
            </w:r>
          </w:p>
        </w:tc>
      </w:tr>
      <w:tr>
        <w:trPr>
          <w:trHeight w:val="20"/>
        </w:trPr>
        <w:tc>
          <w:tcPr>
            <w:tcW w:w="33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83"/>
        </w:trPr>
        <w:tc>
          <w:tcPr>
            <w:tcW w:w="3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Borrego</w:t>
            </w:r>
          </w:p>
        </w:tc>
        <w:tc>
          <w:tcPr>
            <w:tcW w:w="16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100 %</w:t>
            </w:r>
          </w:p>
        </w:tc>
        <w:tc>
          <w:tcPr>
            <w:tcW w:w="10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26</w:t>
            </w:r>
          </w:p>
        </w:tc>
        <w:tc>
          <w:tcPr>
            <w:tcW w:w="3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San Diego Gas and Electric</w:t>
            </w:r>
          </w:p>
        </w:tc>
        <w:tc>
          <w:tcPr>
            <w:tcW w:w="2160" w:type="dxa"/>
            <w:vAlign w:val="bottom"/>
            <w:tcBorders>
              <w:bottom w:val="single" w:sz="8" w:color="CCEEFF"/>
            </w:tcBorders>
            <w:shd w:val="clear" w:color="auto" w:fill="CCEEFF"/>
          </w:tcPr>
          <w:p>
            <w:pPr>
              <w:jc w:val="center"/>
              <w:ind w:left="1008"/>
              <w:spacing w:after="0"/>
              <w:rPr>
                <w:sz w:val="20"/>
                <w:szCs w:val="20"/>
                <w:color w:val="auto"/>
              </w:rPr>
            </w:pPr>
            <w:r>
              <w:rPr>
                <w:rFonts w:ascii="Arial" w:cs="Arial" w:eastAsia="Arial" w:hAnsi="Arial"/>
                <w:sz w:val="14"/>
                <w:szCs w:val="14"/>
                <w:color w:val="auto"/>
                <w:w w:val="89"/>
              </w:rPr>
              <w:t>2038</w:t>
            </w:r>
          </w:p>
        </w:tc>
      </w:tr>
      <w:tr>
        <w:trPr>
          <w:trHeight w:val="216"/>
        </w:trPr>
        <w:tc>
          <w:tcPr>
            <w:tcW w:w="3340" w:type="dxa"/>
            <w:vAlign w:val="bottom"/>
          </w:tcPr>
          <w:p>
            <w:pPr>
              <w:ind w:left="120"/>
              <w:spacing w:after="0" w:line="216" w:lineRule="exact"/>
              <w:rPr>
                <w:sz w:val="20"/>
                <w:szCs w:val="20"/>
                <w:color w:val="auto"/>
              </w:rPr>
            </w:pPr>
            <w:r>
              <w:rPr>
                <w:rFonts w:ascii="Arial" w:cs="Arial" w:eastAsia="Arial" w:hAnsi="Arial"/>
                <w:sz w:val="14"/>
                <w:szCs w:val="14"/>
                <w:color w:val="auto"/>
              </w:rPr>
              <w:t xml:space="preserve">Buckthorn Solar </w:t>
            </w:r>
            <w:r>
              <w:rPr>
                <w:rFonts w:ascii="Arial" w:cs="Arial" w:eastAsia="Arial" w:hAnsi="Arial"/>
                <w:sz w:val="21"/>
                <w:szCs w:val="21"/>
                <w:color w:val="auto"/>
                <w:vertAlign w:val="superscript"/>
              </w:rPr>
              <w:t>(b)</w:t>
            </w:r>
          </w:p>
        </w:tc>
        <w:tc>
          <w:tcPr>
            <w:tcW w:w="1640" w:type="dxa"/>
            <w:vAlign w:val="bottom"/>
          </w:tcPr>
          <w:p>
            <w:pPr>
              <w:jc w:val="right"/>
              <w:ind w:right="48"/>
              <w:spacing w:after="0"/>
              <w:rPr>
                <w:sz w:val="20"/>
                <w:szCs w:val="20"/>
                <w:color w:val="auto"/>
              </w:rPr>
            </w:pPr>
            <w:r>
              <w:rPr>
                <w:rFonts w:ascii="Arial" w:cs="Arial" w:eastAsia="Arial" w:hAnsi="Arial"/>
                <w:sz w:val="14"/>
                <w:szCs w:val="14"/>
                <w:color w:val="auto"/>
              </w:rPr>
              <w:t>100 %</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150</w:t>
            </w:r>
          </w:p>
        </w:tc>
        <w:tc>
          <w:tcPr>
            <w:tcW w:w="3020" w:type="dxa"/>
            <w:vAlign w:val="bottom"/>
          </w:tcPr>
          <w:p>
            <w:pPr>
              <w:ind w:left="120"/>
              <w:spacing w:after="0"/>
              <w:rPr>
                <w:sz w:val="20"/>
                <w:szCs w:val="20"/>
                <w:color w:val="auto"/>
              </w:rPr>
            </w:pPr>
            <w:r>
              <w:rPr>
                <w:rFonts w:ascii="Arial" w:cs="Arial" w:eastAsia="Arial" w:hAnsi="Arial"/>
                <w:sz w:val="14"/>
                <w:szCs w:val="14"/>
                <w:color w:val="auto"/>
              </w:rPr>
              <w:t>City of Georgetown, TX</w:t>
            </w:r>
          </w:p>
        </w:tc>
        <w:tc>
          <w:tcPr>
            <w:tcW w:w="2160" w:type="dxa"/>
            <w:vAlign w:val="bottom"/>
          </w:tcPr>
          <w:p>
            <w:pPr>
              <w:jc w:val="center"/>
              <w:ind w:left="1008"/>
              <w:spacing w:after="0"/>
              <w:rPr>
                <w:sz w:val="20"/>
                <w:szCs w:val="20"/>
                <w:color w:val="auto"/>
              </w:rPr>
            </w:pPr>
            <w:r>
              <w:rPr>
                <w:rFonts w:ascii="Arial" w:cs="Arial" w:eastAsia="Arial" w:hAnsi="Arial"/>
                <w:sz w:val="14"/>
                <w:szCs w:val="14"/>
                <w:color w:val="auto"/>
                <w:w w:val="89"/>
              </w:rPr>
              <w:t>2043</w:t>
            </w:r>
          </w:p>
        </w:tc>
      </w:tr>
      <w:tr>
        <w:trPr>
          <w:trHeight w:val="183"/>
        </w:trPr>
        <w:tc>
          <w:tcPr>
            <w:tcW w:w="3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CVSR</w:t>
            </w:r>
          </w:p>
        </w:tc>
        <w:tc>
          <w:tcPr>
            <w:tcW w:w="16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100 %</w:t>
            </w:r>
          </w:p>
        </w:tc>
        <w:tc>
          <w:tcPr>
            <w:tcW w:w="10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250</w:t>
            </w:r>
          </w:p>
        </w:tc>
        <w:tc>
          <w:tcPr>
            <w:tcW w:w="3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PG&amp;E</w:t>
            </w:r>
          </w:p>
        </w:tc>
        <w:tc>
          <w:tcPr>
            <w:tcW w:w="2160" w:type="dxa"/>
            <w:vAlign w:val="bottom"/>
            <w:tcBorders>
              <w:bottom w:val="single" w:sz="8" w:color="CCEEFF"/>
            </w:tcBorders>
            <w:shd w:val="clear" w:color="auto" w:fill="CCEEFF"/>
          </w:tcPr>
          <w:p>
            <w:pPr>
              <w:jc w:val="center"/>
              <w:ind w:left="1008"/>
              <w:spacing w:after="0"/>
              <w:rPr>
                <w:sz w:val="20"/>
                <w:szCs w:val="20"/>
                <w:color w:val="auto"/>
              </w:rPr>
            </w:pPr>
            <w:r>
              <w:rPr>
                <w:rFonts w:ascii="Arial" w:cs="Arial" w:eastAsia="Arial" w:hAnsi="Arial"/>
                <w:sz w:val="14"/>
                <w:szCs w:val="14"/>
                <w:color w:val="auto"/>
                <w:w w:val="89"/>
              </w:rPr>
              <w:t>2038</w:t>
            </w:r>
          </w:p>
        </w:tc>
      </w:tr>
      <w:tr>
        <w:trPr>
          <w:trHeight w:val="182"/>
        </w:trPr>
        <w:tc>
          <w:tcPr>
            <w:tcW w:w="3340" w:type="dxa"/>
            <w:vAlign w:val="bottom"/>
          </w:tcPr>
          <w:p>
            <w:pPr>
              <w:ind w:left="120"/>
              <w:spacing w:after="0"/>
              <w:rPr>
                <w:sz w:val="20"/>
                <w:szCs w:val="20"/>
                <w:color w:val="auto"/>
              </w:rPr>
            </w:pPr>
            <w:r>
              <w:rPr>
                <w:rFonts w:ascii="Arial" w:cs="Arial" w:eastAsia="Arial" w:hAnsi="Arial"/>
                <w:sz w:val="14"/>
                <w:szCs w:val="14"/>
                <w:color w:val="auto"/>
              </w:rPr>
              <w:t>Desert Sunlight 250</w:t>
            </w:r>
          </w:p>
        </w:tc>
        <w:tc>
          <w:tcPr>
            <w:tcW w:w="1640" w:type="dxa"/>
            <w:vAlign w:val="bottom"/>
          </w:tcPr>
          <w:p>
            <w:pPr>
              <w:jc w:val="right"/>
              <w:ind w:right="48"/>
              <w:spacing w:after="0"/>
              <w:rPr>
                <w:sz w:val="20"/>
                <w:szCs w:val="20"/>
                <w:color w:val="auto"/>
              </w:rPr>
            </w:pPr>
            <w:r>
              <w:rPr>
                <w:rFonts w:ascii="Arial" w:cs="Arial" w:eastAsia="Arial" w:hAnsi="Arial"/>
                <w:sz w:val="14"/>
                <w:szCs w:val="14"/>
                <w:color w:val="auto"/>
              </w:rPr>
              <w:t>25 %</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63</w:t>
            </w:r>
          </w:p>
        </w:tc>
        <w:tc>
          <w:tcPr>
            <w:tcW w:w="3020" w:type="dxa"/>
            <w:vAlign w:val="bottom"/>
          </w:tcPr>
          <w:p>
            <w:pPr>
              <w:ind w:left="120"/>
              <w:spacing w:after="0"/>
              <w:rPr>
                <w:sz w:val="20"/>
                <w:szCs w:val="20"/>
                <w:color w:val="auto"/>
              </w:rPr>
            </w:pPr>
            <w:r>
              <w:rPr>
                <w:rFonts w:ascii="Arial" w:cs="Arial" w:eastAsia="Arial" w:hAnsi="Arial"/>
                <w:sz w:val="14"/>
                <w:szCs w:val="14"/>
                <w:color w:val="auto"/>
              </w:rPr>
              <w:t>SCE</w:t>
            </w:r>
          </w:p>
        </w:tc>
        <w:tc>
          <w:tcPr>
            <w:tcW w:w="2160" w:type="dxa"/>
            <w:vAlign w:val="bottom"/>
          </w:tcPr>
          <w:p>
            <w:pPr>
              <w:jc w:val="center"/>
              <w:ind w:left="1008"/>
              <w:spacing w:after="0"/>
              <w:rPr>
                <w:sz w:val="20"/>
                <w:szCs w:val="20"/>
                <w:color w:val="auto"/>
              </w:rPr>
            </w:pPr>
            <w:r>
              <w:rPr>
                <w:rFonts w:ascii="Arial" w:cs="Arial" w:eastAsia="Arial" w:hAnsi="Arial"/>
                <w:sz w:val="14"/>
                <w:szCs w:val="14"/>
                <w:color w:val="auto"/>
                <w:w w:val="89"/>
              </w:rPr>
              <w:t>2034</w:t>
            </w:r>
          </w:p>
        </w:tc>
      </w:tr>
      <w:tr>
        <w:trPr>
          <w:trHeight w:val="20"/>
        </w:trPr>
        <w:tc>
          <w:tcPr>
            <w:tcW w:w="33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89"/>
        </w:trPr>
        <w:tc>
          <w:tcPr>
            <w:tcW w:w="33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Desert Sunlight 300</w:t>
            </w:r>
          </w:p>
        </w:tc>
        <w:tc>
          <w:tcPr>
            <w:tcW w:w="1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25 %</w:t>
            </w: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75</w:t>
            </w:r>
          </w:p>
        </w:tc>
        <w:tc>
          <w:tcPr>
            <w:tcW w:w="30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PG&amp;E</w:t>
            </w:r>
          </w:p>
        </w:tc>
        <w:tc>
          <w:tcPr>
            <w:tcW w:w="2160" w:type="dxa"/>
            <w:vAlign w:val="bottom"/>
            <w:shd w:val="clear" w:color="auto" w:fill="CCEEFF"/>
          </w:tcPr>
          <w:p>
            <w:pPr>
              <w:jc w:val="center"/>
              <w:ind w:left="1008"/>
              <w:spacing w:after="0"/>
              <w:rPr>
                <w:sz w:val="20"/>
                <w:szCs w:val="20"/>
                <w:color w:val="auto"/>
              </w:rPr>
            </w:pPr>
            <w:r>
              <w:rPr>
                <w:rFonts w:ascii="Arial" w:cs="Arial" w:eastAsia="Arial" w:hAnsi="Arial"/>
                <w:sz w:val="14"/>
                <w:szCs w:val="14"/>
                <w:color w:val="auto"/>
                <w:w w:val="89"/>
              </w:rPr>
              <w:t>2039</w:t>
            </w:r>
          </w:p>
        </w:tc>
      </w:tr>
      <w:tr>
        <w:trPr>
          <w:trHeight w:val="182"/>
        </w:trPr>
        <w:tc>
          <w:tcPr>
            <w:tcW w:w="3340" w:type="dxa"/>
            <w:vAlign w:val="bottom"/>
          </w:tcPr>
          <w:p>
            <w:pPr>
              <w:ind w:left="120"/>
              <w:spacing w:after="0"/>
              <w:rPr>
                <w:sz w:val="20"/>
                <w:szCs w:val="20"/>
                <w:color w:val="auto"/>
              </w:rPr>
            </w:pPr>
            <w:r>
              <w:rPr>
                <w:rFonts w:ascii="Arial" w:cs="Arial" w:eastAsia="Arial" w:hAnsi="Arial"/>
                <w:sz w:val="14"/>
                <w:szCs w:val="14"/>
                <w:color w:val="auto"/>
              </w:rPr>
              <w:t>Kansas South</w:t>
            </w:r>
          </w:p>
        </w:tc>
        <w:tc>
          <w:tcPr>
            <w:tcW w:w="1640" w:type="dxa"/>
            <w:vAlign w:val="bottom"/>
          </w:tcPr>
          <w:p>
            <w:pPr>
              <w:jc w:val="right"/>
              <w:ind w:right="48"/>
              <w:spacing w:after="0"/>
              <w:rPr>
                <w:sz w:val="20"/>
                <w:szCs w:val="20"/>
                <w:color w:val="auto"/>
              </w:rPr>
            </w:pPr>
            <w:r>
              <w:rPr>
                <w:rFonts w:ascii="Arial" w:cs="Arial" w:eastAsia="Arial" w:hAnsi="Arial"/>
                <w:sz w:val="14"/>
                <w:szCs w:val="14"/>
                <w:color w:val="auto"/>
              </w:rPr>
              <w:t>100 %</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20</w:t>
            </w:r>
          </w:p>
        </w:tc>
        <w:tc>
          <w:tcPr>
            <w:tcW w:w="3020" w:type="dxa"/>
            <w:vAlign w:val="bottom"/>
          </w:tcPr>
          <w:p>
            <w:pPr>
              <w:ind w:left="120"/>
              <w:spacing w:after="0"/>
              <w:rPr>
                <w:sz w:val="20"/>
                <w:szCs w:val="20"/>
                <w:color w:val="auto"/>
              </w:rPr>
            </w:pPr>
            <w:r>
              <w:rPr>
                <w:rFonts w:ascii="Arial" w:cs="Arial" w:eastAsia="Arial" w:hAnsi="Arial"/>
                <w:sz w:val="14"/>
                <w:szCs w:val="14"/>
                <w:color w:val="auto"/>
              </w:rPr>
              <w:t>PG&amp;E</w:t>
            </w:r>
          </w:p>
        </w:tc>
        <w:tc>
          <w:tcPr>
            <w:tcW w:w="2160" w:type="dxa"/>
            <w:vAlign w:val="bottom"/>
          </w:tcPr>
          <w:p>
            <w:pPr>
              <w:jc w:val="center"/>
              <w:ind w:left="1008"/>
              <w:spacing w:after="0"/>
              <w:rPr>
                <w:sz w:val="20"/>
                <w:szCs w:val="20"/>
                <w:color w:val="auto"/>
              </w:rPr>
            </w:pPr>
            <w:r>
              <w:rPr>
                <w:rFonts w:ascii="Arial" w:cs="Arial" w:eastAsia="Arial" w:hAnsi="Arial"/>
                <w:sz w:val="14"/>
                <w:szCs w:val="14"/>
                <w:color w:val="auto"/>
                <w:w w:val="89"/>
              </w:rPr>
              <w:t>2033</w:t>
            </w:r>
          </w:p>
        </w:tc>
      </w:tr>
      <w:tr>
        <w:trPr>
          <w:trHeight w:val="20"/>
        </w:trPr>
        <w:tc>
          <w:tcPr>
            <w:tcW w:w="33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203"/>
        </w:trPr>
        <w:tc>
          <w:tcPr>
            <w:tcW w:w="3340" w:type="dxa"/>
            <w:vAlign w:val="bottom"/>
            <w:shd w:val="clear" w:color="auto" w:fill="CCEEFF"/>
          </w:tcPr>
          <w:p>
            <w:pPr>
              <w:ind w:left="120"/>
              <w:spacing w:after="0" w:line="203" w:lineRule="exact"/>
              <w:rPr>
                <w:sz w:val="20"/>
                <w:szCs w:val="20"/>
                <w:color w:val="auto"/>
              </w:rPr>
            </w:pPr>
            <w:r>
              <w:rPr>
                <w:rFonts w:ascii="Arial" w:cs="Arial" w:eastAsia="Arial" w:hAnsi="Arial"/>
                <w:sz w:val="14"/>
                <w:szCs w:val="14"/>
                <w:color w:val="auto"/>
              </w:rPr>
              <w:t xml:space="preserve">Mililani I </w:t>
            </w:r>
            <w:r>
              <w:rPr>
                <w:rFonts w:ascii="Arial" w:cs="Arial" w:eastAsia="Arial" w:hAnsi="Arial"/>
                <w:sz w:val="21"/>
                <w:szCs w:val="21"/>
                <w:color w:val="auto"/>
                <w:vertAlign w:val="superscript"/>
              </w:rPr>
              <w:t>(b) (c)</w:t>
            </w:r>
          </w:p>
        </w:tc>
        <w:tc>
          <w:tcPr>
            <w:tcW w:w="1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50 %</w:t>
            </w: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w:t>
            </w:r>
          </w:p>
        </w:tc>
        <w:tc>
          <w:tcPr>
            <w:tcW w:w="30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Hawaiian Electric Company</w:t>
            </w:r>
          </w:p>
        </w:tc>
        <w:tc>
          <w:tcPr>
            <w:tcW w:w="2160" w:type="dxa"/>
            <w:vAlign w:val="bottom"/>
            <w:shd w:val="clear" w:color="auto" w:fill="CCEEFF"/>
          </w:tcPr>
          <w:p>
            <w:pPr>
              <w:jc w:val="center"/>
              <w:ind w:left="1008"/>
              <w:spacing w:after="0"/>
              <w:rPr>
                <w:sz w:val="20"/>
                <w:szCs w:val="20"/>
                <w:color w:val="auto"/>
              </w:rPr>
            </w:pPr>
            <w:r>
              <w:rPr>
                <w:rFonts w:ascii="Arial" w:cs="Arial" w:eastAsia="Arial" w:hAnsi="Arial"/>
                <w:sz w:val="14"/>
                <w:szCs w:val="14"/>
                <w:color w:val="auto"/>
                <w:w w:val="89"/>
              </w:rPr>
              <w:t>2042</w:t>
            </w:r>
          </w:p>
        </w:tc>
      </w:tr>
      <w:tr>
        <w:trPr>
          <w:trHeight w:val="216"/>
        </w:trPr>
        <w:tc>
          <w:tcPr>
            <w:tcW w:w="3340" w:type="dxa"/>
            <w:vAlign w:val="bottom"/>
          </w:tcPr>
          <w:p>
            <w:pPr>
              <w:ind w:left="120"/>
              <w:spacing w:after="0" w:line="216" w:lineRule="exact"/>
              <w:rPr>
                <w:sz w:val="20"/>
                <w:szCs w:val="20"/>
                <w:color w:val="auto"/>
              </w:rPr>
            </w:pPr>
            <w:r>
              <w:rPr>
                <w:rFonts w:ascii="Arial" w:cs="Arial" w:eastAsia="Arial" w:hAnsi="Arial"/>
                <w:sz w:val="14"/>
                <w:szCs w:val="14"/>
                <w:color w:val="auto"/>
              </w:rPr>
              <w:t xml:space="preserve">Oahu Solar Projects </w:t>
            </w:r>
            <w:r>
              <w:rPr>
                <w:rFonts w:ascii="Arial" w:cs="Arial" w:eastAsia="Arial" w:hAnsi="Arial"/>
                <w:sz w:val="21"/>
                <w:szCs w:val="21"/>
                <w:color w:val="auto"/>
                <w:vertAlign w:val="superscript"/>
              </w:rPr>
              <w:t>(b)</w:t>
            </w:r>
          </w:p>
        </w:tc>
        <w:tc>
          <w:tcPr>
            <w:tcW w:w="1640" w:type="dxa"/>
            <w:vAlign w:val="bottom"/>
          </w:tcPr>
          <w:p>
            <w:pPr>
              <w:jc w:val="right"/>
              <w:ind w:right="48"/>
              <w:spacing w:after="0"/>
              <w:rPr>
                <w:sz w:val="20"/>
                <w:szCs w:val="20"/>
                <w:color w:val="auto"/>
              </w:rPr>
            </w:pPr>
            <w:r>
              <w:rPr>
                <w:rFonts w:ascii="Arial" w:cs="Arial" w:eastAsia="Arial" w:hAnsi="Arial"/>
                <w:sz w:val="14"/>
                <w:szCs w:val="14"/>
                <w:color w:val="auto"/>
              </w:rPr>
              <w:t>100 %</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61</w:t>
            </w:r>
          </w:p>
        </w:tc>
        <w:tc>
          <w:tcPr>
            <w:tcW w:w="3020" w:type="dxa"/>
            <w:vAlign w:val="bottom"/>
          </w:tcPr>
          <w:p>
            <w:pPr>
              <w:ind w:left="120"/>
              <w:spacing w:after="0"/>
              <w:rPr>
                <w:sz w:val="20"/>
                <w:szCs w:val="20"/>
                <w:color w:val="auto"/>
              </w:rPr>
            </w:pPr>
            <w:r>
              <w:rPr>
                <w:rFonts w:ascii="Arial" w:cs="Arial" w:eastAsia="Arial" w:hAnsi="Arial"/>
                <w:sz w:val="14"/>
                <w:szCs w:val="14"/>
                <w:color w:val="auto"/>
              </w:rPr>
              <w:t>Hawaiian Electric Company</w:t>
            </w:r>
          </w:p>
        </w:tc>
        <w:tc>
          <w:tcPr>
            <w:tcW w:w="2160" w:type="dxa"/>
            <w:vAlign w:val="bottom"/>
          </w:tcPr>
          <w:p>
            <w:pPr>
              <w:jc w:val="center"/>
              <w:ind w:left="1008"/>
              <w:spacing w:after="0"/>
              <w:rPr>
                <w:sz w:val="20"/>
                <w:szCs w:val="20"/>
                <w:color w:val="auto"/>
              </w:rPr>
            </w:pPr>
            <w:r>
              <w:rPr>
                <w:rFonts w:ascii="Arial" w:cs="Arial" w:eastAsia="Arial" w:hAnsi="Arial"/>
                <w:sz w:val="14"/>
                <w:szCs w:val="14"/>
                <w:color w:val="auto"/>
                <w:w w:val="89"/>
              </w:rPr>
              <w:t>2041</w:t>
            </w:r>
          </w:p>
        </w:tc>
      </w:tr>
      <w:tr>
        <w:trPr>
          <w:trHeight w:val="183"/>
        </w:trPr>
        <w:tc>
          <w:tcPr>
            <w:tcW w:w="3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Roadrunner</w:t>
            </w:r>
          </w:p>
        </w:tc>
        <w:tc>
          <w:tcPr>
            <w:tcW w:w="16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100 %</w:t>
            </w:r>
          </w:p>
        </w:tc>
        <w:tc>
          <w:tcPr>
            <w:tcW w:w="10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20</w:t>
            </w:r>
          </w:p>
        </w:tc>
        <w:tc>
          <w:tcPr>
            <w:tcW w:w="3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El Paso Electric</w:t>
            </w:r>
          </w:p>
        </w:tc>
        <w:tc>
          <w:tcPr>
            <w:tcW w:w="2160" w:type="dxa"/>
            <w:vAlign w:val="bottom"/>
            <w:tcBorders>
              <w:bottom w:val="single" w:sz="8" w:color="CCEEFF"/>
            </w:tcBorders>
            <w:shd w:val="clear" w:color="auto" w:fill="CCEEFF"/>
          </w:tcPr>
          <w:p>
            <w:pPr>
              <w:jc w:val="center"/>
              <w:ind w:left="1008"/>
              <w:spacing w:after="0"/>
              <w:rPr>
                <w:sz w:val="20"/>
                <w:szCs w:val="20"/>
                <w:color w:val="auto"/>
              </w:rPr>
            </w:pPr>
            <w:r>
              <w:rPr>
                <w:rFonts w:ascii="Arial" w:cs="Arial" w:eastAsia="Arial" w:hAnsi="Arial"/>
                <w:sz w:val="14"/>
                <w:szCs w:val="14"/>
                <w:color w:val="auto"/>
                <w:w w:val="89"/>
              </w:rPr>
              <w:t>2031</w:t>
            </w:r>
          </w:p>
        </w:tc>
      </w:tr>
      <w:tr>
        <w:trPr>
          <w:trHeight w:val="230"/>
        </w:trPr>
        <w:tc>
          <w:tcPr>
            <w:tcW w:w="3340" w:type="dxa"/>
            <w:vAlign w:val="bottom"/>
          </w:tcPr>
          <w:p>
            <w:pPr>
              <w:ind w:left="120"/>
              <w:spacing w:after="0" w:line="230" w:lineRule="exact"/>
              <w:rPr>
                <w:sz w:val="20"/>
                <w:szCs w:val="20"/>
                <w:color w:val="auto"/>
              </w:rPr>
            </w:pPr>
            <w:r>
              <w:rPr>
                <w:rFonts w:ascii="Arial" w:cs="Arial" w:eastAsia="Arial" w:hAnsi="Arial"/>
                <w:sz w:val="14"/>
                <w:szCs w:val="14"/>
                <w:color w:val="auto"/>
              </w:rPr>
              <w:t xml:space="preserve">Rosamond Central </w:t>
            </w:r>
            <w:r>
              <w:rPr>
                <w:rFonts w:ascii="Arial" w:cs="Arial" w:eastAsia="Arial" w:hAnsi="Arial"/>
                <w:sz w:val="21"/>
                <w:szCs w:val="21"/>
                <w:color w:val="auto"/>
                <w:vertAlign w:val="superscript"/>
              </w:rPr>
              <w:t>(b)</w:t>
            </w:r>
          </w:p>
        </w:tc>
        <w:tc>
          <w:tcPr>
            <w:tcW w:w="1640" w:type="dxa"/>
            <w:vAlign w:val="bottom"/>
          </w:tcPr>
          <w:p>
            <w:pPr>
              <w:jc w:val="right"/>
              <w:ind w:right="48"/>
              <w:spacing w:after="0"/>
              <w:rPr>
                <w:sz w:val="20"/>
                <w:szCs w:val="20"/>
                <w:color w:val="auto"/>
              </w:rPr>
            </w:pPr>
            <w:r>
              <w:rPr>
                <w:rFonts w:ascii="Arial" w:cs="Arial" w:eastAsia="Arial" w:hAnsi="Arial"/>
                <w:sz w:val="14"/>
                <w:szCs w:val="14"/>
                <w:color w:val="auto"/>
              </w:rPr>
              <w:t>50 %</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96</w:t>
            </w:r>
          </w:p>
        </w:tc>
        <w:tc>
          <w:tcPr>
            <w:tcW w:w="3020" w:type="dxa"/>
            <w:vAlign w:val="bottom"/>
          </w:tcPr>
          <w:p>
            <w:pPr>
              <w:ind w:left="120"/>
              <w:spacing w:after="0"/>
              <w:rPr>
                <w:sz w:val="20"/>
                <w:szCs w:val="20"/>
                <w:color w:val="auto"/>
              </w:rPr>
            </w:pPr>
            <w:r>
              <w:rPr>
                <w:rFonts w:ascii="Arial" w:cs="Arial" w:eastAsia="Arial" w:hAnsi="Arial"/>
                <w:sz w:val="14"/>
                <w:szCs w:val="14"/>
                <w:color w:val="auto"/>
              </w:rPr>
              <w:t>Various</w:t>
            </w:r>
          </w:p>
        </w:tc>
        <w:tc>
          <w:tcPr>
            <w:tcW w:w="2160" w:type="dxa"/>
            <w:vAlign w:val="bottom"/>
          </w:tcPr>
          <w:p>
            <w:pPr>
              <w:jc w:val="center"/>
              <w:ind w:left="1028"/>
              <w:spacing w:after="0"/>
              <w:rPr>
                <w:sz w:val="20"/>
                <w:szCs w:val="20"/>
                <w:color w:val="auto"/>
              </w:rPr>
            </w:pPr>
            <w:r>
              <w:rPr>
                <w:rFonts w:ascii="Arial" w:cs="Arial" w:eastAsia="Arial" w:hAnsi="Arial"/>
                <w:sz w:val="14"/>
                <w:szCs w:val="14"/>
                <w:color w:val="auto"/>
                <w:w w:val="93"/>
              </w:rPr>
              <w:t>2035 - 2047</w:t>
            </w:r>
          </w:p>
        </w:tc>
      </w:tr>
      <w:tr>
        <w:trPr>
          <w:trHeight w:val="189"/>
        </w:trPr>
        <w:tc>
          <w:tcPr>
            <w:tcW w:w="33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TA High Desert</w:t>
            </w:r>
          </w:p>
        </w:tc>
        <w:tc>
          <w:tcPr>
            <w:tcW w:w="1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100 %</w:t>
            </w: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w:t>
            </w:r>
          </w:p>
        </w:tc>
        <w:tc>
          <w:tcPr>
            <w:tcW w:w="30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SCE</w:t>
            </w:r>
          </w:p>
        </w:tc>
        <w:tc>
          <w:tcPr>
            <w:tcW w:w="2160" w:type="dxa"/>
            <w:vAlign w:val="bottom"/>
            <w:shd w:val="clear" w:color="auto" w:fill="CCEEFF"/>
          </w:tcPr>
          <w:p>
            <w:pPr>
              <w:jc w:val="center"/>
              <w:ind w:left="1008"/>
              <w:spacing w:after="0"/>
              <w:rPr>
                <w:sz w:val="20"/>
                <w:szCs w:val="20"/>
                <w:color w:val="auto"/>
              </w:rPr>
            </w:pPr>
            <w:r>
              <w:rPr>
                <w:rFonts w:ascii="Arial" w:cs="Arial" w:eastAsia="Arial" w:hAnsi="Arial"/>
                <w:sz w:val="14"/>
                <w:szCs w:val="14"/>
                <w:color w:val="auto"/>
                <w:w w:val="89"/>
              </w:rPr>
              <w:t>2033</w:t>
            </w:r>
          </w:p>
        </w:tc>
      </w:tr>
      <w:tr>
        <w:trPr>
          <w:trHeight w:val="182"/>
        </w:trPr>
        <w:tc>
          <w:tcPr>
            <w:tcW w:w="3340" w:type="dxa"/>
            <w:vAlign w:val="bottom"/>
          </w:tcPr>
          <w:p>
            <w:pPr>
              <w:ind w:left="120"/>
              <w:spacing w:after="0"/>
              <w:rPr>
                <w:sz w:val="20"/>
                <w:szCs w:val="20"/>
                <w:color w:val="auto"/>
              </w:rPr>
            </w:pPr>
            <w:r>
              <w:rPr>
                <w:rFonts w:ascii="Arial" w:cs="Arial" w:eastAsia="Arial" w:hAnsi="Arial"/>
                <w:sz w:val="14"/>
                <w:szCs w:val="14"/>
                <w:color w:val="auto"/>
              </w:rPr>
              <w:t>Utah Solar Portfolio</w:t>
            </w:r>
          </w:p>
        </w:tc>
        <w:tc>
          <w:tcPr>
            <w:tcW w:w="1640" w:type="dxa"/>
            <w:vAlign w:val="bottom"/>
          </w:tcPr>
          <w:p>
            <w:pPr>
              <w:jc w:val="right"/>
              <w:ind w:right="48"/>
              <w:spacing w:after="0"/>
              <w:rPr>
                <w:sz w:val="20"/>
                <w:szCs w:val="20"/>
                <w:color w:val="auto"/>
              </w:rPr>
            </w:pPr>
            <w:r>
              <w:rPr>
                <w:rFonts w:ascii="Arial" w:cs="Arial" w:eastAsia="Arial" w:hAnsi="Arial"/>
                <w:sz w:val="14"/>
                <w:szCs w:val="14"/>
                <w:color w:val="auto"/>
              </w:rPr>
              <w:t>100 %</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530</w:t>
            </w:r>
          </w:p>
        </w:tc>
        <w:tc>
          <w:tcPr>
            <w:tcW w:w="3020" w:type="dxa"/>
            <w:vAlign w:val="bottom"/>
          </w:tcPr>
          <w:p>
            <w:pPr>
              <w:ind w:left="120"/>
              <w:spacing w:after="0"/>
              <w:rPr>
                <w:sz w:val="20"/>
                <w:szCs w:val="20"/>
                <w:color w:val="auto"/>
              </w:rPr>
            </w:pPr>
            <w:r>
              <w:rPr>
                <w:rFonts w:ascii="Arial" w:cs="Arial" w:eastAsia="Arial" w:hAnsi="Arial"/>
                <w:sz w:val="14"/>
                <w:szCs w:val="14"/>
                <w:color w:val="auto"/>
              </w:rPr>
              <w:t>PacifiCorp</w:t>
            </w:r>
          </w:p>
        </w:tc>
        <w:tc>
          <w:tcPr>
            <w:tcW w:w="2160" w:type="dxa"/>
            <w:vAlign w:val="bottom"/>
          </w:tcPr>
          <w:p>
            <w:pPr>
              <w:jc w:val="center"/>
              <w:ind w:left="1008"/>
              <w:spacing w:after="0"/>
              <w:rPr>
                <w:sz w:val="20"/>
                <w:szCs w:val="20"/>
                <w:color w:val="auto"/>
              </w:rPr>
            </w:pPr>
            <w:r>
              <w:rPr>
                <w:rFonts w:ascii="Arial" w:cs="Arial" w:eastAsia="Arial" w:hAnsi="Arial"/>
                <w:sz w:val="14"/>
                <w:szCs w:val="14"/>
                <w:color w:val="auto"/>
                <w:w w:val="89"/>
              </w:rPr>
              <w:t>2036</w:t>
            </w:r>
          </w:p>
        </w:tc>
      </w:tr>
      <w:tr>
        <w:trPr>
          <w:trHeight w:val="20"/>
        </w:trPr>
        <w:tc>
          <w:tcPr>
            <w:tcW w:w="33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203"/>
        </w:trPr>
        <w:tc>
          <w:tcPr>
            <w:tcW w:w="3340" w:type="dxa"/>
            <w:vAlign w:val="bottom"/>
            <w:shd w:val="clear" w:color="auto" w:fill="CCEEFF"/>
          </w:tcPr>
          <w:p>
            <w:pPr>
              <w:ind w:left="120"/>
              <w:spacing w:after="0" w:line="202" w:lineRule="exact"/>
              <w:rPr>
                <w:sz w:val="20"/>
                <w:szCs w:val="20"/>
                <w:color w:val="auto"/>
              </w:rPr>
            </w:pPr>
            <w:r>
              <w:rPr>
                <w:rFonts w:ascii="Arial" w:cs="Arial" w:eastAsia="Arial" w:hAnsi="Arial"/>
                <w:sz w:val="23"/>
                <w:szCs w:val="23"/>
                <w:color w:val="auto"/>
                <w:vertAlign w:val="subscript"/>
              </w:rPr>
              <w:t>Waiawa</w:t>
            </w:r>
            <w:r>
              <w:rPr>
                <w:rFonts w:ascii="Arial" w:cs="Arial" w:eastAsia="Arial" w:hAnsi="Arial"/>
                <w:sz w:val="10"/>
                <w:szCs w:val="10"/>
                <w:color w:val="auto"/>
              </w:rPr>
              <w:t xml:space="preserve"> (b) (c)</w:t>
            </w:r>
          </w:p>
        </w:tc>
        <w:tc>
          <w:tcPr>
            <w:tcW w:w="1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50 %</w:t>
            </w: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36</w:t>
            </w:r>
          </w:p>
        </w:tc>
        <w:tc>
          <w:tcPr>
            <w:tcW w:w="30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Hawaiian Electric Company</w:t>
            </w:r>
          </w:p>
        </w:tc>
        <w:tc>
          <w:tcPr>
            <w:tcW w:w="2160" w:type="dxa"/>
            <w:vAlign w:val="bottom"/>
            <w:shd w:val="clear" w:color="auto" w:fill="CCEEFF"/>
          </w:tcPr>
          <w:p>
            <w:pPr>
              <w:jc w:val="center"/>
              <w:ind w:left="1008"/>
              <w:spacing w:after="0"/>
              <w:rPr>
                <w:sz w:val="20"/>
                <w:szCs w:val="20"/>
                <w:color w:val="auto"/>
              </w:rPr>
            </w:pPr>
            <w:r>
              <w:rPr>
                <w:rFonts w:ascii="Arial" w:cs="Arial" w:eastAsia="Arial" w:hAnsi="Arial"/>
                <w:sz w:val="14"/>
                <w:szCs w:val="14"/>
                <w:color w:val="auto"/>
                <w:w w:val="89"/>
              </w:rPr>
              <w:t>2043</w:t>
            </w:r>
          </w:p>
        </w:tc>
      </w:tr>
      <w:tr>
        <w:trPr>
          <w:trHeight w:val="196"/>
        </w:trPr>
        <w:tc>
          <w:tcPr>
            <w:tcW w:w="3340" w:type="dxa"/>
            <w:vAlign w:val="bottom"/>
          </w:tcPr>
          <w:p>
            <w:pPr>
              <w:ind w:left="460"/>
              <w:spacing w:after="0" w:line="196" w:lineRule="exact"/>
              <w:rPr>
                <w:sz w:val="20"/>
                <w:szCs w:val="20"/>
                <w:color w:val="auto"/>
              </w:rPr>
            </w:pPr>
            <w:r>
              <w:rPr>
                <w:rFonts w:ascii="Arial" w:cs="Arial" w:eastAsia="Arial" w:hAnsi="Arial"/>
                <w:sz w:val="16"/>
                <w:szCs w:val="16"/>
                <w:b w:val="1"/>
                <w:bCs w:val="1"/>
                <w:i w:val="1"/>
                <w:iCs w:val="1"/>
                <w:color w:val="auto"/>
              </w:rPr>
              <w:t xml:space="preserve">Total Utility Scale Solar </w:t>
            </w:r>
            <w:r>
              <w:rPr>
                <w:rFonts w:ascii="Arial" w:cs="Arial" w:eastAsia="Arial" w:hAnsi="Arial"/>
                <w:sz w:val="21"/>
                <w:szCs w:val="21"/>
                <w:b w:val="1"/>
                <w:bCs w:val="1"/>
                <w:i w:val="1"/>
                <w:iCs w:val="1"/>
                <w:color w:val="auto"/>
                <w:vertAlign w:val="superscript"/>
              </w:rPr>
              <w:t>(d)</w:t>
            </w:r>
          </w:p>
        </w:tc>
        <w:tc>
          <w:tcPr>
            <w:tcW w:w="164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1,652</w:t>
            </w:r>
          </w:p>
        </w:tc>
        <w:tc>
          <w:tcPr>
            <w:tcW w:w="302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16"/>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Distributed Solar</w:t>
            </w:r>
          </w:p>
        </w:tc>
        <w:tc>
          <w:tcPr>
            <w:tcW w:w="16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r>
      <w:tr>
        <w:trPr>
          <w:trHeight w:val="203"/>
        </w:trPr>
        <w:tc>
          <w:tcPr>
            <w:tcW w:w="3340" w:type="dxa"/>
            <w:vAlign w:val="bottom"/>
          </w:tcPr>
          <w:p>
            <w:pPr>
              <w:ind w:left="120"/>
              <w:spacing w:after="0" w:line="203" w:lineRule="exact"/>
              <w:rPr>
                <w:sz w:val="20"/>
                <w:szCs w:val="20"/>
                <w:color w:val="auto"/>
              </w:rPr>
            </w:pPr>
            <w:r>
              <w:rPr>
                <w:rFonts w:ascii="Arial" w:cs="Arial" w:eastAsia="Arial" w:hAnsi="Arial"/>
                <w:sz w:val="14"/>
                <w:szCs w:val="14"/>
                <w:color w:val="auto"/>
              </w:rPr>
              <w:t xml:space="preserve">DGPV Fund Projects </w:t>
            </w:r>
            <w:r>
              <w:rPr>
                <w:rFonts w:ascii="Arial" w:cs="Arial" w:eastAsia="Arial" w:hAnsi="Arial"/>
                <w:sz w:val="21"/>
                <w:szCs w:val="21"/>
                <w:color w:val="auto"/>
                <w:vertAlign w:val="superscript"/>
              </w:rPr>
              <w:t>(b)</w:t>
            </w:r>
          </w:p>
        </w:tc>
        <w:tc>
          <w:tcPr>
            <w:tcW w:w="1640" w:type="dxa"/>
            <w:vAlign w:val="bottom"/>
          </w:tcPr>
          <w:p>
            <w:pPr>
              <w:jc w:val="right"/>
              <w:ind w:right="48"/>
              <w:spacing w:after="0"/>
              <w:rPr>
                <w:sz w:val="20"/>
                <w:szCs w:val="20"/>
                <w:color w:val="auto"/>
              </w:rPr>
            </w:pPr>
            <w:r>
              <w:rPr>
                <w:rFonts w:ascii="Arial" w:cs="Arial" w:eastAsia="Arial" w:hAnsi="Arial"/>
                <w:sz w:val="14"/>
                <w:szCs w:val="14"/>
                <w:color w:val="auto"/>
              </w:rPr>
              <w:t>100 %</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286</w:t>
            </w:r>
          </w:p>
        </w:tc>
        <w:tc>
          <w:tcPr>
            <w:tcW w:w="3020" w:type="dxa"/>
            <w:vAlign w:val="bottom"/>
          </w:tcPr>
          <w:p>
            <w:pPr>
              <w:ind w:left="120"/>
              <w:spacing w:after="0"/>
              <w:rPr>
                <w:sz w:val="20"/>
                <w:szCs w:val="20"/>
                <w:color w:val="auto"/>
              </w:rPr>
            </w:pPr>
            <w:r>
              <w:rPr>
                <w:rFonts w:ascii="Arial" w:cs="Arial" w:eastAsia="Arial" w:hAnsi="Arial"/>
                <w:sz w:val="14"/>
                <w:szCs w:val="14"/>
                <w:color w:val="auto"/>
              </w:rPr>
              <w:t>Various</w:t>
            </w:r>
          </w:p>
        </w:tc>
        <w:tc>
          <w:tcPr>
            <w:tcW w:w="2160" w:type="dxa"/>
            <w:vAlign w:val="bottom"/>
          </w:tcPr>
          <w:p>
            <w:pPr>
              <w:jc w:val="center"/>
              <w:ind w:left="1028"/>
              <w:spacing w:after="0"/>
              <w:rPr>
                <w:sz w:val="20"/>
                <w:szCs w:val="20"/>
                <w:color w:val="auto"/>
              </w:rPr>
            </w:pPr>
            <w:r>
              <w:rPr>
                <w:rFonts w:ascii="Arial" w:cs="Arial" w:eastAsia="Arial" w:hAnsi="Arial"/>
                <w:sz w:val="14"/>
                <w:szCs w:val="14"/>
                <w:color w:val="auto"/>
                <w:w w:val="93"/>
              </w:rPr>
              <w:t>2030 - 2044</w:t>
            </w:r>
          </w:p>
        </w:tc>
      </w:tr>
      <w:tr>
        <w:trPr>
          <w:trHeight w:val="189"/>
        </w:trPr>
        <w:tc>
          <w:tcPr>
            <w:tcW w:w="33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Solar Power Partners (SPP) Projects</w:t>
            </w:r>
          </w:p>
        </w:tc>
        <w:tc>
          <w:tcPr>
            <w:tcW w:w="1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100 %</w:t>
            </w: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w:t>
            </w:r>
          </w:p>
        </w:tc>
        <w:tc>
          <w:tcPr>
            <w:tcW w:w="30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Various</w:t>
            </w:r>
          </w:p>
        </w:tc>
        <w:tc>
          <w:tcPr>
            <w:tcW w:w="2160" w:type="dxa"/>
            <w:vAlign w:val="bottom"/>
            <w:shd w:val="clear" w:color="auto" w:fill="CCEEFF"/>
          </w:tcPr>
          <w:p>
            <w:pPr>
              <w:jc w:val="center"/>
              <w:ind w:left="1028"/>
              <w:spacing w:after="0"/>
              <w:rPr>
                <w:sz w:val="20"/>
                <w:szCs w:val="20"/>
                <w:color w:val="auto"/>
              </w:rPr>
            </w:pPr>
            <w:r>
              <w:rPr>
                <w:rFonts w:ascii="Arial" w:cs="Arial" w:eastAsia="Arial" w:hAnsi="Arial"/>
                <w:sz w:val="14"/>
                <w:szCs w:val="14"/>
                <w:color w:val="auto"/>
                <w:w w:val="93"/>
              </w:rPr>
              <w:t>2026 - 2037</w:t>
            </w:r>
          </w:p>
        </w:tc>
      </w:tr>
      <w:tr>
        <w:trPr>
          <w:trHeight w:val="197"/>
        </w:trPr>
        <w:tc>
          <w:tcPr>
            <w:tcW w:w="3340" w:type="dxa"/>
            <w:vAlign w:val="bottom"/>
          </w:tcPr>
          <w:p>
            <w:pPr>
              <w:ind w:left="120"/>
              <w:spacing w:after="0"/>
              <w:rPr>
                <w:sz w:val="20"/>
                <w:szCs w:val="20"/>
                <w:color w:val="auto"/>
              </w:rPr>
            </w:pPr>
            <w:r>
              <w:rPr>
                <w:rFonts w:ascii="Arial" w:cs="Arial" w:eastAsia="Arial" w:hAnsi="Arial"/>
                <w:sz w:val="14"/>
                <w:szCs w:val="14"/>
                <w:color w:val="auto"/>
              </w:rPr>
              <w:t>Other DG Projects</w:t>
            </w:r>
          </w:p>
        </w:tc>
        <w:tc>
          <w:tcPr>
            <w:tcW w:w="1640" w:type="dxa"/>
            <w:vAlign w:val="bottom"/>
          </w:tcPr>
          <w:p>
            <w:pPr>
              <w:jc w:val="right"/>
              <w:ind w:right="48"/>
              <w:spacing w:after="0"/>
              <w:rPr>
                <w:sz w:val="20"/>
                <w:szCs w:val="20"/>
                <w:color w:val="auto"/>
              </w:rPr>
            </w:pPr>
            <w:r>
              <w:rPr>
                <w:rFonts w:ascii="Arial" w:cs="Arial" w:eastAsia="Arial" w:hAnsi="Arial"/>
                <w:sz w:val="14"/>
                <w:szCs w:val="14"/>
                <w:color w:val="auto"/>
              </w:rPr>
              <w:t>100 %</w:t>
            </w: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w:t>
            </w:r>
          </w:p>
        </w:tc>
        <w:tc>
          <w:tcPr>
            <w:tcW w:w="3020" w:type="dxa"/>
            <w:vAlign w:val="bottom"/>
          </w:tcPr>
          <w:p>
            <w:pPr>
              <w:ind w:left="120"/>
              <w:spacing w:after="0"/>
              <w:rPr>
                <w:sz w:val="20"/>
                <w:szCs w:val="20"/>
                <w:color w:val="auto"/>
              </w:rPr>
            </w:pPr>
            <w:r>
              <w:rPr>
                <w:rFonts w:ascii="Arial" w:cs="Arial" w:eastAsia="Arial" w:hAnsi="Arial"/>
                <w:sz w:val="14"/>
                <w:szCs w:val="14"/>
                <w:color w:val="auto"/>
              </w:rPr>
              <w:t>Various</w:t>
            </w:r>
          </w:p>
        </w:tc>
        <w:tc>
          <w:tcPr>
            <w:tcW w:w="2160" w:type="dxa"/>
            <w:vAlign w:val="bottom"/>
          </w:tcPr>
          <w:p>
            <w:pPr>
              <w:jc w:val="center"/>
              <w:ind w:left="1028"/>
              <w:spacing w:after="0"/>
              <w:rPr>
                <w:sz w:val="20"/>
                <w:szCs w:val="20"/>
                <w:color w:val="auto"/>
              </w:rPr>
            </w:pPr>
            <w:r>
              <w:rPr>
                <w:rFonts w:ascii="Arial" w:cs="Arial" w:eastAsia="Arial" w:hAnsi="Arial"/>
                <w:sz w:val="14"/>
                <w:szCs w:val="14"/>
                <w:color w:val="auto"/>
                <w:w w:val="93"/>
              </w:rPr>
              <w:t>2023 - 2039</w:t>
            </w:r>
          </w:p>
        </w:tc>
      </w:tr>
      <w:tr>
        <w:trPr>
          <w:trHeight w:val="215"/>
        </w:trPr>
        <w:tc>
          <w:tcPr>
            <w:tcW w:w="3340" w:type="dxa"/>
            <w:vAlign w:val="bottom"/>
            <w:shd w:val="clear" w:color="auto" w:fill="CCEEFF"/>
          </w:tcPr>
          <w:p>
            <w:pPr>
              <w:ind w:left="460"/>
              <w:spacing w:after="0" w:line="216" w:lineRule="exact"/>
              <w:rPr>
                <w:sz w:val="20"/>
                <w:szCs w:val="20"/>
                <w:color w:val="auto"/>
              </w:rPr>
            </w:pPr>
            <w:r>
              <w:rPr>
                <w:rFonts w:ascii="Arial" w:cs="Arial" w:eastAsia="Arial" w:hAnsi="Arial"/>
                <w:sz w:val="16"/>
                <w:szCs w:val="16"/>
                <w:b w:val="1"/>
                <w:bCs w:val="1"/>
                <w:i w:val="1"/>
                <w:iCs w:val="1"/>
                <w:color w:val="auto"/>
              </w:rPr>
              <w:t xml:space="preserve">Total Distributed Solar </w:t>
            </w:r>
            <w:r>
              <w:rPr>
                <w:rFonts w:ascii="Arial" w:cs="Arial" w:eastAsia="Arial" w:hAnsi="Arial"/>
                <w:sz w:val="21"/>
                <w:szCs w:val="21"/>
                <w:b w:val="1"/>
                <w:bCs w:val="1"/>
                <w:i w:val="1"/>
                <w:iCs w:val="1"/>
                <w:color w:val="auto"/>
                <w:vertAlign w:val="superscript"/>
              </w:rPr>
              <w:t>(d)</w:t>
            </w:r>
          </w:p>
        </w:tc>
        <w:tc>
          <w:tcPr>
            <w:tcW w:w="16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332</w:t>
            </w:r>
          </w:p>
        </w:tc>
        <w:tc>
          <w:tcPr>
            <w:tcW w:w="30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3" w:name="page34"/>
    <w:bookmarkEnd w:id="33"/>
    <w:tbl>
      <w:tblPr>
        <w:tblLayout w:type="fixed"/>
        <w:tblInd w:w="20" w:type="dxa"/>
        <w:tblCellMar>
          <w:top w:w="0" w:type="dxa"/>
          <w:left w:w="0" w:type="dxa"/>
          <w:bottom w:w="0" w:type="dxa"/>
          <w:right w:w="0" w:type="dxa"/>
        </w:tblCellMar>
      </w:tblPr>
      <w:tr>
        <w:trPr>
          <w:trHeight w:val="161"/>
        </w:trPr>
        <w:tc>
          <w:tcPr>
            <w:tcW w:w="2220" w:type="dxa"/>
            <w:vAlign w:val="bottom"/>
            <w:vMerge w:val="restart"/>
          </w:tcPr>
          <w:p>
            <w:pPr>
              <w:spacing w:after="0"/>
              <w:rPr>
                <w:sz w:val="20"/>
                <w:szCs w:val="20"/>
                <w:color w:val="auto"/>
              </w:rPr>
            </w:pPr>
            <w:r>
              <w:rPr>
                <w:rFonts w:ascii="Arial" w:cs="Arial" w:eastAsia="Arial" w:hAnsi="Arial"/>
                <w:sz w:val="14"/>
                <w:szCs w:val="14"/>
                <w:b w:val="1"/>
                <w:bCs w:val="1"/>
                <w:color w:val="auto"/>
              </w:rPr>
              <w:t>Projects</w:t>
            </w:r>
          </w:p>
        </w:tc>
        <w:tc>
          <w:tcPr>
            <w:tcW w:w="2620" w:type="dxa"/>
            <w:vAlign w:val="bottom"/>
          </w:tcPr>
          <w:p>
            <w:pPr>
              <w:ind w:left="1700"/>
              <w:spacing w:after="0"/>
              <w:rPr>
                <w:sz w:val="20"/>
                <w:szCs w:val="20"/>
                <w:color w:val="auto"/>
              </w:rPr>
            </w:pPr>
            <w:r>
              <w:rPr>
                <w:rFonts w:ascii="Arial" w:cs="Arial" w:eastAsia="Arial" w:hAnsi="Arial"/>
                <w:sz w:val="14"/>
                <w:szCs w:val="14"/>
                <w:b w:val="1"/>
                <w:bCs w:val="1"/>
                <w:color w:val="auto"/>
              </w:rPr>
              <w:t>Percentage</w:t>
            </w:r>
          </w:p>
        </w:tc>
        <w:tc>
          <w:tcPr>
            <w:tcW w:w="1940" w:type="dxa"/>
            <w:vAlign w:val="bottom"/>
          </w:tcPr>
          <w:p>
            <w:pPr>
              <w:jc w:val="center"/>
              <w:ind w:right="588"/>
              <w:spacing w:after="0"/>
              <w:rPr>
                <w:sz w:val="20"/>
                <w:szCs w:val="20"/>
                <w:color w:val="auto"/>
              </w:rPr>
            </w:pPr>
            <w:r>
              <w:rPr>
                <w:rFonts w:ascii="Arial" w:cs="Arial" w:eastAsia="Arial" w:hAnsi="Arial"/>
                <w:sz w:val="14"/>
                <w:szCs w:val="14"/>
                <w:b w:val="1"/>
                <w:bCs w:val="1"/>
                <w:color w:val="auto"/>
                <w:w w:val="94"/>
              </w:rPr>
              <w:t>Net Capacity</w:t>
            </w:r>
          </w:p>
        </w:tc>
        <w:tc>
          <w:tcPr>
            <w:tcW w:w="2660" w:type="dxa"/>
            <w:vAlign w:val="bottom"/>
            <w:vMerge w:val="restart"/>
          </w:tcPr>
          <w:p>
            <w:pPr>
              <w:ind w:left="900"/>
              <w:spacing w:after="0"/>
              <w:rPr>
                <w:sz w:val="20"/>
                <w:szCs w:val="20"/>
                <w:color w:val="auto"/>
              </w:rPr>
            </w:pPr>
            <w:r>
              <w:rPr>
                <w:rFonts w:ascii="Arial" w:cs="Arial" w:eastAsia="Arial" w:hAnsi="Arial"/>
                <w:sz w:val="14"/>
                <w:szCs w:val="14"/>
                <w:b w:val="1"/>
                <w:bCs w:val="1"/>
                <w:color w:val="auto"/>
              </w:rPr>
              <w:t>Counterparty</w:t>
            </w:r>
          </w:p>
        </w:tc>
        <w:tc>
          <w:tcPr>
            <w:tcW w:w="1580" w:type="dxa"/>
            <w:vAlign w:val="bottom"/>
            <w:vMerge w:val="restart"/>
          </w:tcPr>
          <w:p>
            <w:pPr>
              <w:ind w:left="920"/>
              <w:spacing w:after="0"/>
              <w:rPr>
                <w:sz w:val="20"/>
                <w:szCs w:val="20"/>
                <w:color w:val="auto"/>
              </w:rPr>
            </w:pPr>
            <w:r>
              <w:rPr>
                <w:rFonts w:ascii="Arial" w:cs="Arial" w:eastAsia="Arial" w:hAnsi="Arial"/>
                <w:sz w:val="14"/>
                <w:szCs w:val="14"/>
                <w:b w:val="1"/>
                <w:bCs w:val="1"/>
                <w:color w:val="auto"/>
                <w:w w:val="93"/>
              </w:rPr>
              <w:t>Expiration</w:t>
            </w:r>
          </w:p>
        </w:tc>
        <w:tc>
          <w:tcPr>
            <w:tcW w:w="0" w:type="dxa"/>
            <w:vAlign w:val="bottom"/>
          </w:tcPr>
          <w:p>
            <w:pPr>
              <w:spacing w:after="0"/>
              <w:rPr>
                <w:sz w:val="1"/>
                <w:szCs w:val="1"/>
                <w:color w:val="auto"/>
              </w:rPr>
            </w:pPr>
          </w:p>
        </w:tc>
      </w:tr>
      <w:tr>
        <w:trPr>
          <w:trHeight w:val="234"/>
        </w:trPr>
        <w:tc>
          <w:tcPr>
            <w:tcW w:w="2220" w:type="dxa"/>
            <w:vAlign w:val="bottom"/>
            <w:vMerge w:val="continue"/>
          </w:tcPr>
          <w:p>
            <w:pPr>
              <w:spacing w:after="0"/>
              <w:rPr>
                <w:sz w:val="20"/>
                <w:szCs w:val="20"/>
                <w:color w:val="auto"/>
              </w:rPr>
            </w:pPr>
          </w:p>
        </w:tc>
        <w:tc>
          <w:tcPr>
            <w:tcW w:w="2620" w:type="dxa"/>
            <w:vAlign w:val="bottom"/>
          </w:tcPr>
          <w:p>
            <w:pPr>
              <w:ind w:left="1700"/>
              <w:spacing w:after="0"/>
              <w:rPr>
                <w:sz w:val="20"/>
                <w:szCs w:val="20"/>
                <w:color w:val="auto"/>
              </w:rPr>
            </w:pPr>
            <w:r>
              <w:rPr>
                <w:rFonts w:ascii="Arial" w:cs="Arial" w:eastAsia="Arial" w:hAnsi="Arial"/>
                <w:sz w:val="14"/>
                <w:szCs w:val="14"/>
                <w:b w:val="1"/>
                <w:bCs w:val="1"/>
                <w:color w:val="auto"/>
              </w:rPr>
              <w:t>Ownership</w:t>
            </w:r>
          </w:p>
        </w:tc>
        <w:tc>
          <w:tcPr>
            <w:tcW w:w="1940" w:type="dxa"/>
            <w:vAlign w:val="bottom"/>
          </w:tcPr>
          <w:p>
            <w:pPr>
              <w:jc w:val="center"/>
              <w:ind w:right="568"/>
              <w:spacing w:after="0" w:line="234" w:lineRule="exact"/>
              <w:rPr>
                <w:sz w:val="20"/>
                <w:szCs w:val="20"/>
                <w:color w:val="auto"/>
              </w:rPr>
            </w:pPr>
            <w:r>
              <w:rPr>
                <w:rFonts w:ascii="Arial" w:cs="Arial" w:eastAsia="Arial" w:hAnsi="Arial"/>
                <w:sz w:val="14"/>
                <w:szCs w:val="14"/>
                <w:b w:val="1"/>
                <w:bCs w:val="1"/>
                <w:color w:val="auto"/>
                <w:w w:val="97"/>
              </w:rPr>
              <w:t xml:space="preserve">(MW) </w:t>
            </w:r>
            <w:r>
              <w:rPr>
                <w:rFonts w:ascii="Arial" w:cs="Arial" w:eastAsia="Arial" w:hAnsi="Arial"/>
                <w:sz w:val="21"/>
                <w:szCs w:val="21"/>
                <w:b w:val="1"/>
                <w:bCs w:val="1"/>
                <w:color w:val="auto"/>
                <w:w w:val="97"/>
                <w:vertAlign w:val="superscript"/>
              </w:rPr>
              <w:t>(a)</w:t>
            </w:r>
          </w:p>
        </w:tc>
        <w:tc>
          <w:tcPr>
            <w:tcW w:w="2660" w:type="dxa"/>
            <w:vAlign w:val="bottom"/>
            <w:vMerge w:val="continue"/>
          </w:tcPr>
          <w:p>
            <w:pPr>
              <w:spacing w:after="0"/>
              <w:rPr>
                <w:sz w:val="20"/>
                <w:szCs w:val="20"/>
                <w:color w:val="auto"/>
              </w:rPr>
            </w:pPr>
          </w:p>
        </w:tc>
        <w:tc>
          <w:tcPr>
            <w:tcW w:w="15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b w:val="1"/>
          <w:bCs w:val="1"/>
          <w:i w:val="1"/>
          <w:iCs w:val="1"/>
          <w:color w:val="auto"/>
        </w:rPr>
        <w:t>Wind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Alta I</w:t>
            </w:r>
          </w:p>
        </w:tc>
        <w:tc>
          <w:tcPr>
            <w:tcW w:w="1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100 %</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4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SCE</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2035</w:t>
            </w:r>
          </w:p>
        </w:tc>
        <w:tc>
          <w:tcPr>
            <w:tcW w:w="0" w:type="dxa"/>
            <w:vAlign w:val="bottom"/>
          </w:tcPr>
          <w:p>
            <w:pPr>
              <w:spacing w:after="0"/>
              <w:rPr>
                <w:sz w:val="1"/>
                <w:szCs w:val="1"/>
                <w:color w:val="auto"/>
              </w:rPr>
            </w:pPr>
          </w:p>
        </w:tc>
      </w:tr>
      <w:tr>
        <w:trPr>
          <w:trHeight w:val="182"/>
        </w:trPr>
        <w:tc>
          <w:tcPr>
            <w:tcW w:w="3240" w:type="dxa"/>
            <w:vAlign w:val="bottom"/>
          </w:tcPr>
          <w:p>
            <w:pPr>
              <w:ind w:left="120"/>
              <w:spacing w:after="0"/>
              <w:rPr>
                <w:sz w:val="20"/>
                <w:szCs w:val="20"/>
                <w:color w:val="auto"/>
              </w:rPr>
            </w:pPr>
            <w:r>
              <w:rPr>
                <w:rFonts w:ascii="Arial" w:cs="Arial" w:eastAsia="Arial" w:hAnsi="Arial"/>
                <w:sz w:val="14"/>
                <w:szCs w:val="14"/>
                <w:color w:val="auto"/>
              </w:rPr>
              <w:t>Alta II</w:t>
            </w:r>
          </w:p>
        </w:tc>
        <w:tc>
          <w:tcPr>
            <w:tcW w:w="1740" w:type="dxa"/>
            <w:vAlign w:val="bottom"/>
          </w:tcPr>
          <w:p>
            <w:pPr>
              <w:jc w:val="right"/>
              <w:ind w:right="68"/>
              <w:spacing w:after="0"/>
              <w:rPr>
                <w:sz w:val="20"/>
                <w:szCs w:val="20"/>
                <w:color w:val="auto"/>
              </w:rPr>
            </w:pPr>
            <w:r>
              <w:rPr>
                <w:rFonts w:ascii="Arial" w:cs="Arial" w:eastAsia="Arial" w:hAnsi="Arial"/>
                <w:sz w:val="14"/>
                <w:szCs w:val="14"/>
                <w:color w:val="auto"/>
              </w:rPr>
              <w:t>100 %</w:t>
            </w:r>
          </w:p>
        </w:tc>
        <w:tc>
          <w:tcPr>
            <w:tcW w:w="1060" w:type="dxa"/>
            <w:vAlign w:val="bottom"/>
          </w:tcPr>
          <w:p>
            <w:pPr>
              <w:jc w:val="right"/>
              <w:spacing w:after="0"/>
              <w:rPr>
                <w:sz w:val="20"/>
                <w:szCs w:val="20"/>
                <w:color w:val="auto"/>
              </w:rPr>
            </w:pPr>
            <w:r>
              <w:rPr>
                <w:rFonts w:ascii="Arial" w:cs="Arial" w:eastAsia="Arial" w:hAnsi="Arial"/>
                <w:sz w:val="14"/>
                <w:szCs w:val="14"/>
                <w:color w:val="auto"/>
              </w:rPr>
              <w:t>150</w:t>
            </w:r>
          </w:p>
        </w:tc>
        <w:tc>
          <w:tcPr>
            <w:tcW w:w="4120" w:type="dxa"/>
            <w:vAlign w:val="bottom"/>
          </w:tcPr>
          <w:p>
            <w:pPr>
              <w:ind w:left="120"/>
              <w:spacing w:after="0"/>
              <w:rPr>
                <w:sz w:val="20"/>
                <w:szCs w:val="20"/>
                <w:color w:val="auto"/>
              </w:rPr>
            </w:pPr>
            <w:r>
              <w:rPr>
                <w:rFonts w:ascii="Arial" w:cs="Arial" w:eastAsia="Arial" w:hAnsi="Arial"/>
                <w:sz w:val="14"/>
                <w:szCs w:val="14"/>
                <w:color w:val="auto"/>
              </w:rPr>
              <w:t>SCE</w:t>
            </w:r>
          </w:p>
        </w:tc>
        <w:tc>
          <w:tcPr>
            <w:tcW w:w="1080" w:type="dxa"/>
            <w:vAlign w:val="bottom"/>
          </w:tcPr>
          <w:p>
            <w:pPr>
              <w:jc w:val="center"/>
              <w:spacing w:after="0"/>
              <w:rPr>
                <w:sz w:val="20"/>
                <w:szCs w:val="20"/>
                <w:color w:val="auto"/>
              </w:rPr>
            </w:pPr>
            <w:r>
              <w:rPr>
                <w:rFonts w:ascii="Arial" w:cs="Arial" w:eastAsia="Arial" w:hAnsi="Arial"/>
                <w:sz w:val="14"/>
                <w:szCs w:val="14"/>
                <w:color w:val="auto"/>
                <w:w w:val="89"/>
              </w:rPr>
              <w:t>2035</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Alta III</w:t>
            </w:r>
          </w:p>
        </w:tc>
        <w:tc>
          <w:tcPr>
            <w:tcW w:w="1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100 %</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4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SCE</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2035</w:t>
            </w:r>
          </w:p>
        </w:tc>
        <w:tc>
          <w:tcPr>
            <w:tcW w:w="0" w:type="dxa"/>
            <w:vAlign w:val="bottom"/>
          </w:tcPr>
          <w:p>
            <w:pPr>
              <w:spacing w:after="0"/>
              <w:rPr>
                <w:sz w:val="1"/>
                <w:szCs w:val="1"/>
                <w:color w:val="auto"/>
              </w:rPr>
            </w:pPr>
          </w:p>
        </w:tc>
      </w:tr>
      <w:tr>
        <w:trPr>
          <w:trHeight w:val="182"/>
        </w:trPr>
        <w:tc>
          <w:tcPr>
            <w:tcW w:w="3240" w:type="dxa"/>
            <w:vAlign w:val="bottom"/>
          </w:tcPr>
          <w:p>
            <w:pPr>
              <w:ind w:left="120"/>
              <w:spacing w:after="0"/>
              <w:rPr>
                <w:sz w:val="20"/>
                <w:szCs w:val="20"/>
                <w:color w:val="auto"/>
              </w:rPr>
            </w:pPr>
            <w:r>
              <w:rPr>
                <w:rFonts w:ascii="Arial" w:cs="Arial" w:eastAsia="Arial" w:hAnsi="Arial"/>
                <w:sz w:val="14"/>
                <w:szCs w:val="14"/>
                <w:color w:val="auto"/>
              </w:rPr>
              <w:t>Alta IV</w:t>
            </w:r>
          </w:p>
        </w:tc>
        <w:tc>
          <w:tcPr>
            <w:tcW w:w="1740" w:type="dxa"/>
            <w:vAlign w:val="bottom"/>
          </w:tcPr>
          <w:p>
            <w:pPr>
              <w:jc w:val="right"/>
              <w:ind w:right="68"/>
              <w:spacing w:after="0"/>
              <w:rPr>
                <w:sz w:val="20"/>
                <w:szCs w:val="20"/>
                <w:color w:val="auto"/>
              </w:rPr>
            </w:pPr>
            <w:r>
              <w:rPr>
                <w:rFonts w:ascii="Arial" w:cs="Arial" w:eastAsia="Arial" w:hAnsi="Arial"/>
                <w:sz w:val="14"/>
                <w:szCs w:val="14"/>
                <w:color w:val="auto"/>
              </w:rPr>
              <w:t>100 %</w:t>
            </w:r>
          </w:p>
        </w:tc>
        <w:tc>
          <w:tcPr>
            <w:tcW w:w="1060" w:type="dxa"/>
            <w:vAlign w:val="bottom"/>
          </w:tcPr>
          <w:p>
            <w:pPr>
              <w:jc w:val="right"/>
              <w:spacing w:after="0"/>
              <w:rPr>
                <w:sz w:val="20"/>
                <w:szCs w:val="20"/>
                <w:color w:val="auto"/>
              </w:rPr>
            </w:pPr>
            <w:r>
              <w:rPr>
                <w:rFonts w:ascii="Arial" w:cs="Arial" w:eastAsia="Arial" w:hAnsi="Arial"/>
                <w:sz w:val="14"/>
                <w:szCs w:val="14"/>
                <w:color w:val="auto"/>
              </w:rPr>
              <w:t>102</w:t>
            </w:r>
          </w:p>
        </w:tc>
        <w:tc>
          <w:tcPr>
            <w:tcW w:w="4120" w:type="dxa"/>
            <w:vAlign w:val="bottom"/>
          </w:tcPr>
          <w:p>
            <w:pPr>
              <w:ind w:left="120"/>
              <w:spacing w:after="0"/>
              <w:rPr>
                <w:sz w:val="20"/>
                <w:szCs w:val="20"/>
                <w:color w:val="auto"/>
              </w:rPr>
            </w:pPr>
            <w:r>
              <w:rPr>
                <w:rFonts w:ascii="Arial" w:cs="Arial" w:eastAsia="Arial" w:hAnsi="Arial"/>
                <w:sz w:val="14"/>
                <w:szCs w:val="14"/>
                <w:color w:val="auto"/>
              </w:rPr>
              <w:t>SCE</w:t>
            </w:r>
          </w:p>
        </w:tc>
        <w:tc>
          <w:tcPr>
            <w:tcW w:w="1080" w:type="dxa"/>
            <w:vAlign w:val="bottom"/>
          </w:tcPr>
          <w:p>
            <w:pPr>
              <w:jc w:val="center"/>
              <w:spacing w:after="0"/>
              <w:rPr>
                <w:sz w:val="20"/>
                <w:szCs w:val="20"/>
                <w:color w:val="auto"/>
              </w:rPr>
            </w:pPr>
            <w:r>
              <w:rPr>
                <w:rFonts w:ascii="Arial" w:cs="Arial" w:eastAsia="Arial" w:hAnsi="Arial"/>
                <w:sz w:val="14"/>
                <w:szCs w:val="14"/>
                <w:color w:val="auto"/>
                <w:w w:val="89"/>
              </w:rPr>
              <w:t>2035</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Alta V</w:t>
            </w:r>
          </w:p>
        </w:tc>
        <w:tc>
          <w:tcPr>
            <w:tcW w:w="17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100 %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168</w:t>
            </w:r>
          </w:p>
        </w:tc>
        <w:tc>
          <w:tcPr>
            <w:tcW w:w="4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SCE</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2035</w:t>
            </w:r>
          </w:p>
        </w:tc>
        <w:tc>
          <w:tcPr>
            <w:tcW w:w="0" w:type="dxa"/>
            <w:vAlign w:val="bottom"/>
          </w:tcPr>
          <w:p>
            <w:pPr>
              <w:spacing w:after="0"/>
              <w:rPr>
                <w:sz w:val="1"/>
                <w:szCs w:val="1"/>
                <w:color w:val="auto"/>
              </w:rPr>
            </w:pPr>
          </w:p>
        </w:tc>
      </w:tr>
      <w:tr>
        <w:trPr>
          <w:trHeight w:val="189"/>
        </w:trPr>
        <w:tc>
          <w:tcPr>
            <w:tcW w:w="3240" w:type="dxa"/>
            <w:vAlign w:val="bottom"/>
          </w:tcPr>
          <w:p>
            <w:pPr>
              <w:ind w:left="120"/>
              <w:spacing w:after="0" w:line="189" w:lineRule="exact"/>
              <w:rPr>
                <w:sz w:val="20"/>
                <w:szCs w:val="20"/>
                <w:color w:val="auto"/>
              </w:rPr>
            </w:pPr>
            <w:r>
              <w:rPr>
                <w:rFonts w:ascii="Arial" w:cs="Arial" w:eastAsia="Arial" w:hAnsi="Arial"/>
                <w:sz w:val="14"/>
                <w:szCs w:val="14"/>
                <w:color w:val="auto"/>
              </w:rPr>
              <w:t xml:space="preserve">Alta X </w:t>
            </w:r>
            <w:r>
              <w:rPr>
                <w:rFonts w:ascii="Arial" w:cs="Arial" w:eastAsia="Arial" w:hAnsi="Arial"/>
                <w:sz w:val="21"/>
                <w:szCs w:val="21"/>
                <w:color w:val="auto"/>
                <w:vertAlign w:val="superscript"/>
              </w:rPr>
              <w:t>(b)</w:t>
            </w:r>
          </w:p>
        </w:tc>
        <w:tc>
          <w:tcPr>
            <w:tcW w:w="1740" w:type="dxa"/>
            <w:vAlign w:val="bottom"/>
          </w:tcPr>
          <w:p>
            <w:pPr>
              <w:jc w:val="right"/>
              <w:ind w:right="68"/>
              <w:spacing w:after="0"/>
              <w:rPr>
                <w:sz w:val="20"/>
                <w:szCs w:val="20"/>
                <w:color w:val="auto"/>
              </w:rPr>
            </w:pPr>
            <w:r>
              <w:rPr>
                <w:rFonts w:ascii="Arial" w:cs="Arial" w:eastAsia="Arial" w:hAnsi="Arial"/>
                <w:sz w:val="14"/>
                <w:szCs w:val="14"/>
                <w:color w:val="auto"/>
              </w:rPr>
              <w:t>100 %</w:t>
            </w:r>
          </w:p>
        </w:tc>
        <w:tc>
          <w:tcPr>
            <w:tcW w:w="1060" w:type="dxa"/>
            <w:vAlign w:val="bottom"/>
          </w:tcPr>
          <w:p>
            <w:pPr>
              <w:jc w:val="right"/>
              <w:spacing w:after="0"/>
              <w:rPr>
                <w:sz w:val="20"/>
                <w:szCs w:val="20"/>
                <w:color w:val="auto"/>
              </w:rPr>
            </w:pPr>
            <w:r>
              <w:rPr>
                <w:rFonts w:ascii="Arial" w:cs="Arial" w:eastAsia="Arial" w:hAnsi="Arial"/>
                <w:sz w:val="14"/>
                <w:szCs w:val="14"/>
                <w:color w:val="auto"/>
              </w:rPr>
              <w:t>137</w:t>
            </w:r>
          </w:p>
        </w:tc>
        <w:tc>
          <w:tcPr>
            <w:tcW w:w="4120" w:type="dxa"/>
            <w:vAlign w:val="bottom"/>
          </w:tcPr>
          <w:p>
            <w:pPr>
              <w:ind w:left="120"/>
              <w:spacing w:after="0"/>
              <w:rPr>
                <w:sz w:val="20"/>
                <w:szCs w:val="20"/>
                <w:color w:val="auto"/>
              </w:rPr>
            </w:pPr>
            <w:r>
              <w:rPr>
                <w:rFonts w:ascii="Arial" w:cs="Arial" w:eastAsia="Arial" w:hAnsi="Arial"/>
                <w:sz w:val="14"/>
                <w:szCs w:val="14"/>
                <w:color w:val="auto"/>
              </w:rPr>
              <w:t>SCE</w:t>
            </w:r>
          </w:p>
        </w:tc>
        <w:tc>
          <w:tcPr>
            <w:tcW w:w="1080" w:type="dxa"/>
            <w:vAlign w:val="bottom"/>
          </w:tcPr>
          <w:p>
            <w:pPr>
              <w:jc w:val="center"/>
              <w:spacing w:after="0"/>
              <w:rPr>
                <w:sz w:val="20"/>
                <w:szCs w:val="20"/>
                <w:color w:val="auto"/>
              </w:rPr>
            </w:pPr>
            <w:r>
              <w:rPr>
                <w:rFonts w:ascii="Arial" w:cs="Arial" w:eastAsia="Arial" w:hAnsi="Arial"/>
                <w:sz w:val="14"/>
                <w:szCs w:val="14"/>
                <w:color w:val="auto"/>
                <w:w w:val="89"/>
              </w:rPr>
              <w:t>2038</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120"/>
              <w:spacing w:after="0" w:line="230" w:lineRule="exact"/>
              <w:rPr>
                <w:sz w:val="20"/>
                <w:szCs w:val="20"/>
                <w:color w:val="auto"/>
              </w:rPr>
            </w:pPr>
            <w:r>
              <w:rPr>
                <w:rFonts w:ascii="Arial" w:cs="Arial" w:eastAsia="Arial" w:hAnsi="Arial"/>
                <w:sz w:val="14"/>
                <w:szCs w:val="14"/>
                <w:color w:val="auto"/>
              </w:rPr>
              <w:t xml:space="preserve">Alta XI </w:t>
            </w:r>
            <w:r>
              <w:rPr>
                <w:rFonts w:ascii="Arial" w:cs="Arial" w:eastAsia="Arial" w:hAnsi="Arial"/>
                <w:sz w:val="21"/>
                <w:szCs w:val="21"/>
                <w:color w:val="auto"/>
                <w:vertAlign w:val="superscript"/>
              </w:rPr>
              <w:t>(b)</w:t>
            </w:r>
          </w:p>
        </w:tc>
        <w:tc>
          <w:tcPr>
            <w:tcW w:w="1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100 %</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4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SCE</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2038</w:t>
            </w:r>
          </w:p>
        </w:tc>
        <w:tc>
          <w:tcPr>
            <w:tcW w:w="0" w:type="dxa"/>
            <w:vAlign w:val="bottom"/>
          </w:tcPr>
          <w:p>
            <w:pPr>
              <w:spacing w:after="0"/>
              <w:rPr>
                <w:sz w:val="1"/>
                <w:szCs w:val="1"/>
                <w:color w:val="auto"/>
              </w:rPr>
            </w:pPr>
          </w:p>
        </w:tc>
      </w:tr>
      <w:tr>
        <w:trPr>
          <w:trHeight w:val="229"/>
        </w:trPr>
        <w:tc>
          <w:tcPr>
            <w:tcW w:w="3240" w:type="dxa"/>
            <w:vAlign w:val="bottom"/>
          </w:tcPr>
          <w:p>
            <w:pPr>
              <w:ind w:left="120"/>
              <w:spacing w:after="0" w:line="230" w:lineRule="exact"/>
              <w:rPr>
                <w:sz w:val="20"/>
                <w:szCs w:val="20"/>
                <w:color w:val="auto"/>
              </w:rPr>
            </w:pPr>
            <w:r>
              <w:rPr>
                <w:rFonts w:ascii="Arial" w:cs="Arial" w:eastAsia="Arial" w:hAnsi="Arial"/>
                <w:sz w:val="14"/>
                <w:szCs w:val="14"/>
                <w:color w:val="auto"/>
              </w:rPr>
              <w:t xml:space="preserve">Black Rock </w:t>
            </w:r>
            <w:r>
              <w:rPr>
                <w:rFonts w:ascii="Arial" w:cs="Arial" w:eastAsia="Arial" w:hAnsi="Arial"/>
                <w:sz w:val="21"/>
                <w:szCs w:val="21"/>
                <w:color w:val="auto"/>
                <w:vertAlign w:val="superscript"/>
              </w:rPr>
              <w:t>(b)</w:t>
            </w:r>
          </w:p>
        </w:tc>
        <w:tc>
          <w:tcPr>
            <w:tcW w:w="1740" w:type="dxa"/>
            <w:vAlign w:val="bottom"/>
          </w:tcPr>
          <w:p>
            <w:pPr>
              <w:jc w:val="right"/>
              <w:ind w:right="68"/>
              <w:spacing w:after="0"/>
              <w:rPr>
                <w:sz w:val="20"/>
                <w:szCs w:val="20"/>
                <w:color w:val="auto"/>
              </w:rPr>
            </w:pPr>
            <w:r>
              <w:rPr>
                <w:rFonts w:ascii="Arial" w:cs="Arial" w:eastAsia="Arial" w:hAnsi="Arial"/>
                <w:sz w:val="14"/>
                <w:szCs w:val="14"/>
                <w:color w:val="auto"/>
              </w:rPr>
              <w:t>50 %</w:t>
            </w:r>
          </w:p>
        </w:tc>
        <w:tc>
          <w:tcPr>
            <w:tcW w:w="1060" w:type="dxa"/>
            <w:vAlign w:val="bottom"/>
          </w:tcPr>
          <w:p>
            <w:pPr>
              <w:jc w:val="right"/>
              <w:spacing w:after="0"/>
              <w:rPr>
                <w:sz w:val="20"/>
                <w:szCs w:val="20"/>
                <w:color w:val="auto"/>
              </w:rPr>
            </w:pPr>
            <w:r>
              <w:rPr>
                <w:rFonts w:ascii="Arial" w:cs="Arial" w:eastAsia="Arial" w:hAnsi="Arial"/>
                <w:sz w:val="14"/>
                <w:szCs w:val="14"/>
                <w:color w:val="auto"/>
              </w:rPr>
              <w:t>58</w:t>
            </w:r>
          </w:p>
        </w:tc>
        <w:tc>
          <w:tcPr>
            <w:tcW w:w="4120" w:type="dxa"/>
            <w:vAlign w:val="bottom"/>
          </w:tcPr>
          <w:p>
            <w:pPr>
              <w:ind w:left="120"/>
              <w:spacing w:after="0"/>
              <w:rPr>
                <w:sz w:val="20"/>
                <w:szCs w:val="20"/>
                <w:color w:val="auto"/>
              </w:rPr>
            </w:pPr>
            <w:r>
              <w:rPr>
                <w:rFonts w:ascii="Arial" w:cs="Arial" w:eastAsia="Arial" w:hAnsi="Arial"/>
                <w:sz w:val="14"/>
                <w:szCs w:val="14"/>
                <w:color w:val="auto"/>
              </w:rPr>
              <w:t>Toyota and AEP</w:t>
            </w:r>
          </w:p>
        </w:tc>
        <w:tc>
          <w:tcPr>
            <w:tcW w:w="1080" w:type="dxa"/>
            <w:vAlign w:val="bottom"/>
          </w:tcPr>
          <w:p>
            <w:pPr>
              <w:jc w:val="center"/>
              <w:spacing w:after="0"/>
              <w:rPr>
                <w:sz w:val="20"/>
                <w:szCs w:val="20"/>
                <w:color w:val="auto"/>
              </w:rPr>
            </w:pPr>
            <w:r>
              <w:rPr>
                <w:rFonts w:ascii="Arial" w:cs="Arial" w:eastAsia="Arial" w:hAnsi="Arial"/>
                <w:sz w:val="14"/>
                <w:szCs w:val="14"/>
                <w:color w:val="auto"/>
                <w:w w:val="89"/>
              </w:rPr>
              <w:t>2036</w:t>
            </w:r>
          </w:p>
        </w:tc>
        <w:tc>
          <w:tcPr>
            <w:tcW w:w="0" w:type="dxa"/>
            <w:vAlign w:val="bottom"/>
          </w:tcPr>
          <w:p>
            <w:pPr>
              <w:spacing w:after="0"/>
              <w:rPr>
                <w:sz w:val="1"/>
                <w:szCs w:val="1"/>
                <w:color w:val="auto"/>
              </w:rPr>
            </w:pPr>
          </w:p>
        </w:tc>
      </w:tr>
      <w:tr>
        <w:trPr>
          <w:trHeight w:val="189"/>
        </w:trPr>
        <w:tc>
          <w:tcPr>
            <w:tcW w:w="3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Buffalo Bear</w:t>
            </w:r>
          </w:p>
        </w:tc>
        <w:tc>
          <w:tcPr>
            <w:tcW w:w="1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100 %</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4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Western Farmers Electric Co-operative</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2033</w:t>
            </w:r>
          </w:p>
        </w:tc>
        <w:tc>
          <w:tcPr>
            <w:tcW w:w="0" w:type="dxa"/>
            <w:vAlign w:val="bottom"/>
          </w:tcPr>
          <w:p>
            <w:pPr>
              <w:spacing w:after="0"/>
              <w:rPr>
                <w:sz w:val="1"/>
                <w:szCs w:val="1"/>
                <w:color w:val="auto"/>
              </w:rPr>
            </w:pPr>
          </w:p>
        </w:tc>
      </w:tr>
      <w:tr>
        <w:trPr>
          <w:trHeight w:val="182"/>
        </w:trPr>
        <w:tc>
          <w:tcPr>
            <w:tcW w:w="3240" w:type="dxa"/>
            <w:vAlign w:val="bottom"/>
          </w:tcPr>
          <w:p>
            <w:pPr>
              <w:ind w:left="120"/>
              <w:spacing w:after="0"/>
              <w:rPr>
                <w:sz w:val="20"/>
                <w:szCs w:val="20"/>
                <w:color w:val="auto"/>
              </w:rPr>
            </w:pPr>
            <w:r>
              <w:rPr>
                <w:rFonts w:ascii="Arial" w:cs="Arial" w:eastAsia="Arial" w:hAnsi="Arial"/>
                <w:sz w:val="14"/>
                <w:szCs w:val="14"/>
                <w:color w:val="auto"/>
              </w:rPr>
              <w:t>Capistrano Wind Portfolio</w:t>
            </w:r>
          </w:p>
        </w:tc>
        <w:tc>
          <w:tcPr>
            <w:tcW w:w="1740" w:type="dxa"/>
            <w:vAlign w:val="bottom"/>
          </w:tcPr>
          <w:p>
            <w:pPr>
              <w:jc w:val="right"/>
              <w:ind w:right="68"/>
              <w:spacing w:after="0"/>
              <w:rPr>
                <w:sz w:val="20"/>
                <w:szCs w:val="20"/>
                <w:color w:val="auto"/>
              </w:rPr>
            </w:pPr>
            <w:r>
              <w:rPr>
                <w:rFonts w:ascii="Arial" w:cs="Arial" w:eastAsia="Arial" w:hAnsi="Arial"/>
                <w:sz w:val="14"/>
                <w:szCs w:val="14"/>
                <w:color w:val="auto"/>
              </w:rPr>
              <w:t>100 %</w:t>
            </w:r>
          </w:p>
        </w:tc>
        <w:tc>
          <w:tcPr>
            <w:tcW w:w="1060" w:type="dxa"/>
            <w:vAlign w:val="bottom"/>
          </w:tcPr>
          <w:p>
            <w:pPr>
              <w:jc w:val="right"/>
              <w:spacing w:after="0"/>
              <w:rPr>
                <w:sz w:val="20"/>
                <w:szCs w:val="20"/>
                <w:color w:val="auto"/>
              </w:rPr>
            </w:pPr>
            <w:r>
              <w:rPr>
                <w:rFonts w:ascii="Arial" w:cs="Arial" w:eastAsia="Arial" w:hAnsi="Arial"/>
                <w:sz w:val="14"/>
                <w:szCs w:val="14"/>
                <w:color w:val="auto"/>
              </w:rPr>
              <w:t>413</w:t>
            </w:r>
          </w:p>
        </w:tc>
        <w:tc>
          <w:tcPr>
            <w:tcW w:w="4120" w:type="dxa"/>
            <w:vAlign w:val="bottom"/>
          </w:tcPr>
          <w:p>
            <w:pPr>
              <w:ind w:left="120"/>
              <w:spacing w:after="0"/>
              <w:rPr>
                <w:sz w:val="20"/>
                <w:szCs w:val="20"/>
                <w:color w:val="auto"/>
              </w:rPr>
            </w:pPr>
            <w:r>
              <w:rPr>
                <w:rFonts w:ascii="Arial" w:cs="Arial" w:eastAsia="Arial" w:hAnsi="Arial"/>
                <w:sz w:val="14"/>
                <w:szCs w:val="14"/>
                <w:color w:val="auto"/>
              </w:rPr>
              <w:t>Various</w:t>
            </w:r>
          </w:p>
        </w:tc>
        <w:tc>
          <w:tcPr>
            <w:tcW w:w="1080" w:type="dxa"/>
            <w:vAlign w:val="bottom"/>
          </w:tcPr>
          <w:p>
            <w:pPr>
              <w:jc w:val="center"/>
              <w:spacing w:after="0"/>
              <w:rPr>
                <w:sz w:val="20"/>
                <w:szCs w:val="20"/>
                <w:color w:val="auto"/>
              </w:rPr>
            </w:pPr>
            <w:r>
              <w:rPr>
                <w:rFonts w:ascii="Arial" w:cs="Arial" w:eastAsia="Arial" w:hAnsi="Arial"/>
                <w:sz w:val="14"/>
                <w:szCs w:val="14"/>
                <w:color w:val="auto"/>
                <w:w w:val="93"/>
              </w:rPr>
              <w:t>2030 - 2033</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240" w:type="dxa"/>
            <w:vAlign w:val="bottom"/>
            <w:shd w:val="clear" w:color="auto" w:fill="CCEEFF"/>
          </w:tcPr>
          <w:p>
            <w:pPr>
              <w:ind w:left="120"/>
              <w:spacing w:after="0" w:line="203" w:lineRule="exact"/>
              <w:rPr>
                <w:sz w:val="20"/>
                <w:szCs w:val="20"/>
                <w:color w:val="auto"/>
              </w:rPr>
            </w:pPr>
            <w:r>
              <w:rPr>
                <w:rFonts w:ascii="Arial" w:cs="Arial" w:eastAsia="Arial" w:hAnsi="Arial"/>
                <w:sz w:val="14"/>
                <w:szCs w:val="14"/>
                <w:color w:val="auto"/>
              </w:rPr>
              <w:t xml:space="preserve">Elbow Creek </w:t>
            </w:r>
            <w:r>
              <w:rPr>
                <w:rFonts w:ascii="Arial" w:cs="Arial" w:eastAsia="Arial" w:hAnsi="Arial"/>
                <w:sz w:val="21"/>
                <w:szCs w:val="21"/>
                <w:color w:val="auto"/>
                <w:vertAlign w:val="superscript"/>
              </w:rPr>
              <w:t>(b)</w:t>
            </w:r>
          </w:p>
        </w:tc>
        <w:tc>
          <w:tcPr>
            <w:tcW w:w="1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100 %</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4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Various</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2029</w:t>
            </w:r>
          </w:p>
        </w:tc>
        <w:tc>
          <w:tcPr>
            <w:tcW w:w="0" w:type="dxa"/>
            <w:vAlign w:val="bottom"/>
          </w:tcPr>
          <w:p>
            <w:pPr>
              <w:spacing w:after="0"/>
              <w:rPr>
                <w:sz w:val="1"/>
                <w:szCs w:val="1"/>
                <w:color w:val="auto"/>
              </w:rPr>
            </w:pPr>
          </w:p>
        </w:tc>
      </w:tr>
      <w:tr>
        <w:trPr>
          <w:trHeight w:val="186"/>
        </w:trPr>
        <w:tc>
          <w:tcPr>
            <w:tcW w:w="3240" w:type="dxa"/>
            <w:vAlign w:val="bottom"/>
          </w:tcPr>
          <w:p>
            <w:pPr>
              <w:ind w:left="120"/>
              <w:spacing w:after="0"/>
              <w:rPr>
                <w:sz w:val="20"/>
                <w:szCs w:val="20"/>
                <w:color w:val="auto"/>
              </w:rPr>
            </w:pPr>
            <w:r>
              <w:rPr>
                <w:rFonts w:ascii="Arial" w:cs="Arial" w:eastAsia="Arial" w:hAnsi="Arial"/>
                <w:sz w:val="14"/>
                <w:szCs w:val="14"/>
                <w:color w:val="auto"/>
              </w:rPr>
              <w:t>Elkhorn Ridge</w:t>
            </w:r>
          </w:p>
        </w:tc>
        <w:tc>
          <w:tcPr>
            <w:tcW w:w="1740" w:type="dxa"/>
            <w:vAlign w:val="bottom"/>
          </w:tcPr>
          <w:p>
            <w:pPr>
              <w:jc w:val="right"/>
              <w:ind w:right="68"/>
              <w:spacing w:after="0"/>
              <w:rPr>
                <w:sz w:val="20"/>
                <w:szCs w:val="20"/>
                <w:color w:val="auto"/>
              </w:rPr>
            </w:pPr>
            <w:r>
              <w:rPr>
                <w:rFonts w:ascii="Arial" w:cs="Arial" w:eastAsia="Arial" w:hAnsi="Arial"/>
                <w:sz w:val="14"/>
                <w:szCs w:val="14"/>
                <w:color w:val="auto"/>
              </w:rPr>
              <w:t>66.7 %</w:t>
            </w:r>
          </w:p>
        </w:tc>
        <w:tc>
          <w:tcPr>
            <w:tcW w:w="1060" w:type="dxa"/>
            <w:vAlign w:val="bottom"/>
          </w:tcPr>
          <w:p>
            <w:pPr>
              <w:jc w:val="right"/>
              <w:spacing w:after="0"/>
              <w:rPr>
                <w:sz w:val="20"/>
                <w:szCs w:val="20"/>
                <w:color w:val="auto"/>
              </w:rPr>
            </w:pPr>
            <w:r>
              <w:rPr>
                <w:rFonts w:ascii="Arial" w:cs="Arial" w:eastAsia="Arial" w:hAnsi="Arial"/>
                <w:sz w:val="14"/>
                <w:szCs w:val="14"/>
                <w:color w:val="auto"/>
              </w:rPr>
              <w:t>54</w:t>
            </w:r>
          </w:p>
        </w:tc>
        <w:tc>
          <w:tcPr>
            <w:tcW w:w="4120" w:type="dxa"/>
            <w:vAlign w:val="bottom"/>
          </w:tcPr>
          <w:p>
            <w:pPr>
              <w:ind w:left="120"/>
              <w:spacing w:after="0"/>
              <w:rPr>
                <w:sz w:val="20"/>
                <w:szCs w:val="20"/>
                <w:color w:val="auto"/>
              </w:rPr>
            </w:pPr>
            <w:r>
              <w:rPr>
                <w:rFonts w:ascii="Arial" w:cs="Arial" w:eastAsia="Arial" w:hAnsi="Arial"/>
                <w:sz w:val="14"/>
                <w:szCs w:val="14"/>
                <w:color w:val="auto"/>
              </w:rPr>
              <w:t>Nebraska Public Power District</w:t>
            </w:r>
          </w:p>
        </w:tc>
        <w:tc>
          <w:tcPr>
            <w:tcW w:w="1080" w:type="dxa"/>
            <w:vAlign w:val="bottom"/>
          </w:tcPr>
          <w:p>
            <w:pPr>
              <w:jc w:val="center"/>
              <w:spacing w:after="0"/>
              <w:rPr>
                <w:sz w:val="20"/>
                <w:szCs w:val="20"/>
                <w:color w:val="auto"/>
              </w:rPr>
            </w:pPr>
            <w:r>
              <w:rPr>
                <w:rFonts w:ascii="Arial" w:cs="Arial" w:eastAsia="Arial" w:hAnsi="Arial"/>
                <w:sz w:val="14"/>
                <w:szCs w:val="14"/>
                <w:color w:val="auto"/>
                <w:w w:val="89"/>
              </w:rPr>
              <w:t>2029</w:t>
            </w:r>
          </w:p>
        </w:tc>
        <w:tc>
          <w:tcPr>
            <w:tcW w:w="0" w:type="dxa"/>
            <w:vAlign w:val="bottom"/>
          </w:tcPr>
          <w:p>
            <w:pPr>
              <w:spacing w:after="0"/>
              <w:rPr>
                <w:sz w:val="1"/>
                <w:szCs w:val="1"/>
                <w:color w:val="auto"/>
              </w:rPr>
            </w:pPr>
          </w:p>
        </w:tc>
      </w:tr>
      <w:tr>
        <w:trPr>
          <w:trHeight w:val="186"/>
        </w:trPr>
        <w:tc>
          <w:tcPr>
            <w:tcW w:w="3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Forward</w:t>
            </w:r>
          </w:p>
        </w:tc>
        <w:tc>
          <w:tcPr>
            <w:tcW w:w="17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100 %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4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Constellation NewEnergy, Inc.</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2025</w:t>
            </w:r>
          </w:p>
        </w:tc>
        <w:tc>
          <w:tcPr>
            <w:tcW w:w="0" w:type="dxa"/>
            <w:vAlign w:val="bottom"/>
          </w:tcPr>
          <w:p>
            <w:pPr>
              <w:spacing w:after="0"/>
              <w:rPr>
                <w:sz w:val="1"/>
                <w:szCs w:val="1"/>
                <w:color w:val="auto"/>
              </w:rPr>
            </w:pPr>
          </w:p>
        </w:tc>
      </w:tr>
      <w:tr>
        <w:trPr>
          <w:trHeight w:val="182"/>
        </w:trPr>
        <w:tc>
          <w:tcPr>
            <w:tcW w:w="3240" w:type="dxa"/>
            <w:vAlign w:val="bottom"/>
          </w:tcPr>
          <w:p>
            <w:pPr>
              <w:ind w:left="120"/>
              <w:spacing w:after="0"/>
              <w:rPr>
                <w:sz w:val="20"/>
                <w:szCs w:val="20"/>
                <w:color w:val="auto"/>
              </w:rPr>
            </w:pPr>
            <w:r>
              <w:rPr>
                <w:rFonts w:ascii="Arial" w:cs="Arial" w:eastAsia="Arial" w:hAnsi="Arial"/>
                <w:sz w:val="14"/>
                <w:szCs w:val="14"/>
                <w:color w:val="auto"/>
              </w:rPr>
              <w:t>Goat Wind</w:t>
            </w:r>
          </w:p>
        </w:tc>
        <w:tc>
          <w:tcPr>
            <w:tcW w:w="1740" w:type="dxa"/>
            <w:vAlign w:val="bottom"/>
          </w:tcPr>
          <w:p>
            <w:pPr>
              <w:jc w:val="right"/>
              <w:ind w:right="68"/>
              <w:spacing w:after="0"/>
              <w:rPr>
                <w:sz w:val="20"/>
                <w:szCs w:val="20"/>
                <w:color w:val="auto"/>
              </w:rPr>
            </w:pPr>
            <w:r>
              <w:rPr>
                <w:rFonts w:ascii="Arial" w:cs="Arial" w:eastAsia="Arial" w:hAnsi="Arial"/>
                <w:sz w:val="14"/>
                <w:szCs w:val="14"/>
                <w:color w:val="auto"/>
              </w:rPr>
              <w:t>100 %</w:t>
            </w:r>
          </w:p>
        </w:tc>
        <w:tc>
          <w:tcPr>
            <w:tcW w:w="1060" w:type="dxa"/>
            <w:vAlign w:val="bottom"/>
          </w:tcPr>
          <w:p>
            <w:pPr>
              <w:jc w:val="right"/>
              <w:spacing w:after="0"/>
              <w:rPr>
                <w:sz w:val="20"/>
                <w:szCs w:val="20"/>
                <w:color w:val="auto"/>
              </w:rPr>
            </w:pPr>
            <w:r>
              <w:rPr>
                <w:rFonts w:ascii="Arial" w:cs="Arial" w:eastAsia="Arial" w:hAnsi="Arial"/>
                <w:sz w:val="14"/>
                <w:szCs w:val="14"/>
                <w:color w:val="auto"/>
              </w:rPr>
              <w:t>150</w:t>
            </w:r>
          </w:p>
        </w:tc>
        <w:tc>
          <w:tcPr>
            <w:tcW w:w="4120" w:type="dxa"/>
            <w:vAlign w:val="bottom"/>
          </w:tcPr>
          <w:p>
            <w:pPr>
              <w:ind w:left="120"/>
              <w:spacing w:after="0"/>
              <w:rPr>
                <w:sz w:val="20"/>
                <w:szCs w:val="20"/>
                <w:color w:val="auto"/>
              </w:rPr>
            </w:pPr>
            <w:r>
              <w:rPr>
                <w:rFonts w:ascii="Arial" w:cs="Arial" w:eastAsia="Arial" w:hAnsi="Arial"/>
                <w:sz w:val="14"/>
                <w:szCs w:val="14"/>
                <w:color w:val="auto"/>
              </w:rPr>
              <w:t>Dow Pipeline Company</w:t>
            </w:r>
          </w:p>
        </w:tc>
        <w:tc>
          <w:tcPr>
            <w:tcW w:w="1080" w:type="dxa"/>
            <w:vAlign w:val="bottom"/>
          </w:tcPr>
          <w:p>
            <w:pPr>
              <w:jc w:val="center"/>
              <w:spacing w:after="0"/>
              <w:rPr>
                <w:sz w:val="20"/>
                <w:szCs w:val="20"/>
                <w:color w:val="auto"/>
              </w:rPr>
            </w:pPr>
            <w:r>
              <w:rPr>
                <w:rFonts w:ascii="Arial" w:cs="Arial" w:eastAsia="Arial" w:hAnsi="Arial"/>
                <w:sz w:val="14"/>
                <w:szCs w:val="14"/>
                <w:color w:val="auto"/>
                <w:w w:val="89"/>
              </w:rPr>
              <w:t>2025</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240" w:type="dxa"/>
            <w:vAlign w:val="bottom"/>
            <w:shd w:val="clear" w:color="auto" w:fill="CCEEFF"/>
          </w:tcPr>
          <w:p>
            <w:pPr>
              <w:ind w:left="120"/>
              <w:spacing w:after="0" w:line="216" w:lineRule="exact"/>
              <w:rPr>
                <w:sz w:val="20"/>
                <w:szCs w:val="20"/>
                <w:color w:val="auto"/>
              </w:rPr>
            </w:pPr>
            <w:r>
              <w:rPr>
                <w:rFonts w:ascii="Arial" w:cs="Arial" w:eastAsia="Arial" w:hAnsi="Arial"/>
                <w:sz w:val="14"/>
                <w:szCs w:val="14"/>
                <w:color w:val="auto"/>
              </w:rPr>
              <w:t xml:space="preserve">Langford </w:t>
            </w:r>
            <w:r>
              <w:rPr>
                <w:rFonts w:ascii="Arial" w:cs="Arial" w:eastAsia="Arial" w:hAnsi="Arial"/>
                <w:sz w:val="21"/>
                <w:szCs w:val="21"/>
                <w:color w:val="auto"/>
                <w:vertAlign w:val="superscript"/>
              </w:rPr>
              <w:t>(b)</w:t>
            </w:r>
          </w:p>
        </w:tc>
        <w:tc>
          <w:tcPr>
            <w:tcW w:w="1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100 %</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w:t>
            </w:r>
          </w:p>
        </w:tc>
        <w:tc>
          <w:tcPr>
            <w:tcW w:w="4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Goldman Sachs</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2033</w:t>
            </w:r>
          </w:p>
        </w:tc>
        <w:tc>
          <w:tcPr>
            <w:tcW w:w="0" w:type="dxa"/>
            <w:vAlign w:val="bottom"/>
          </w:tcPr>
          <w:p>
            <w:pPr>
              <w:spacing w:after="0"/>
              <w:rPr>
                <w:sz w:val="1"/>
                <w:szCs w:val="1"/>
                <w:color w:val="auto"/>
              </w:rPr>
            </w:pPr>
          </w:p>
        </w:tc>
      </w:tr>
      <w:tr>
        <w:trPr>
          <w:trHeight w:val="182"/>
        </w:trPr>
        <w:tc>
          <w:tcPr>
            <w:tcW w:w="3240" w:type="dxa"/>
            <w:vAlign w:val="bottom"/>
          </w:tcPr>
          <w:p>
            <w:pPr>
              <w:ind w:left="120"/>
              <w:spacing w:after="0"/>
              <w:rPr>
                <w:sz w:val="20"/>
                <w:szCs w:val="20"/>
                <w:color w:val="auto"/>
              </w:rPr>
            </w:pPr>
            <w:r>
              <w:rPr>
                <w:rFonts w:ascii="Arial" w:cs="Arial" w:eastAsia="Arial" w:hAnsi="Arial"/>
                <w:sz w:val="14"/>
                <w:szCs w:val="14"/>
                <w:color w:val="auto"/>
              </w:rPr>
              <w:t>Laredo Ridge</w:t>
            </w:r>
          </w:p>
        </w:tc>
        <w:tc>
          <w:tcPr>
            <w:tcW w:w="1740" w:type="dxa"/>
            <w:vAlign w:val="bottom"/>
          </w:tcPr>
          <w:p>
            <w:pPr>
              <w:jc w:val="right"/>
              <w:ind w:right="68"/>
              <w:spacing w:after="0"/>
              <w:rPr>
                <w:sz w:val="20"/>
                <w:szCs w:val="20"/>
                <w:color w:val="auto"/>
              </w:rPr>
            </w:pPr>
            <w:r>
              <w:rPr>
                <w:rFonts w:ascii="Arial" w:cs="Arial" w:eastAsia="Arial" w:hAnsi="Arial"/>
                <w:sz w:val="14"/>
                <w:szCs w:val="14"/>
                <w:color w:val="auto"/>
              </w:rPr>
              <w:t>100 %</w:t>
            </w:r>
          </w:p>
        </w:tc>
        <w:tc>
          <w:tcPr>
            <w:tcW w:w="1060" w:type="dxa"/>
            <w:vAlign w:val="bottom"/>
          </w:tcPr>
          <w:p>
            <w:pPr>
              <w:jc w:val="right"/>
              <w:spacing w:after="0"/>
              <w:rPr>
                <w:sz w:val="20"/>
                <w:szCs w:val="20"/>
                <w:color w:val="auto"/>
              </w:rPr>
            </w:pPr>
            <w:r>
              <w:rPr>
                <w:rFonts w:ascii="Arial" w:cs="Arial" w:eastAsia="Arial" w:hAnsi="Arial"/>
                <w:sz w:val="14"/>
                <w:szCs w:val="14"/>
                <w:color w:val="auto"/>
              </w:rPr>
              <w:t>81</w:t>
            </w:r>
          </w:p>
        </w:tc>
        <w:tc>
          <w:tcPr>
            <w:tcW w:w="4120" w:type="dxa"/>
            <w:vAlign w:val="bottom"/>
          </w:tcPr>
          <w:p>
            <w:pPr>
              <w:ind w:left="120"/>
              <w:spacing w:after="0"/>
              <w:rPr>
                <w:sz w:val="20"/>
                <w:szCs w:val="20"/>
                <w:color w:val="auto"/>
              </w:rPr>
            </w:pPr>
            <w:r>
              <w:rPr>
                <w:rFonts w:ascii="Arial" w:cs="Arial" w:eastAsia="Arial" w:hAnsi="Arial"/>
                <w:sz w:val="14"/>
                <w:szCs w:val="14"/>
                <w:color w:val="auto"/>
              </w:rPr>
              <w:t>Nebraska Public Power District</w:t>
            </w:r>
          </w:p>
        </w:tc>
        <w:tc>
          <w:tcPr>
            <w:tcW w:w="1080" w:type="dxa"/>
            <w:vAlign w:val="bottom"/>
          </w:tcPr>
          <w:p>
            <w:pPr>
              <w:jc w:val="center"/>
              <w:spacing w:after="0"/>
              <w:rPr>
                <w:sz w:val="20"/>
                <w:szCs w:val="20"/>
                <w:color w:val="auto"/>
              </w:rPr>
            </w:pPr>
            <w:r>
              <w:rPr>
                <w:rFonts w:ascii="Arial" w:cs="Arial" w:eastAsia="Arial" w:hAnsi="Arial"/>
                <w:sz w:val="14"/>
                <w:szCs w:val="14"/>
                <w:color w:val="auto"/>
                <w:w w:val="89"/>
              </w:rPr>
              <w:t>2031</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Lookout</w:t>
            </w:r>
          </w:p>
        </w:tc>
        <w:tc>
          <w:tcPr>
            <w:tcW w:w="1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100 %</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4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Southern Maryland Electric Cooperative</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2030</w:t>
            </w:r>
          </w:p>
        </w:tc>
        <w:tc>
          <w:tcPr>
            <w:tcW w:w="0" w:type="dxa"/>
            <w:vAlign w:val="bottom"/>
          </w:tcPr>
          <w:p>
            <w:pPr>
              <w:spacing w:after="0"/>
              <w:rPr>
                <w:sz w:val="1"/>
                <w:szCs w:val="1"/>
                <w:color w:val="auto"/>
              </w:rPr>
            </w:pPr>
          </w:p>
        </w:tc>
      </w:tr>
      <w:tr>
        <w:trPr>
          <w:trHeight w:val="203"/>
        </w:trPr>
        <w:tc>
          <w:tcPr>
            <w:tcW w:w="3240" w:type="dxa"/>
            <w:vAlign w:val="bottom"/>
          </w:tcPr>
          <w:p>
            <w:pPr>
              <w:ind w:left="120"/>
              <w:spacing w:after="0" w:line="203" w:lineRule="exact"/>
              <w:rPr>
                <w:sz w:val="20"/>
                <w:szCs w:val="20"/>
                <w:color w:val="auto"/>
              </w:rPr>
            </w:pPr>
            <w:r>
              <w:rPr>
                <w:rFonts w:ascii="Arial" w:cs="Arial" w:eastAsia="Arial" w:hAnsi="Arial"/>
                <w:sz w:val="14"/>
                <w:szCs w:val="14"/>
                <w:color w:val="auto"/>
              </w:rPr>
              <w:t xml:space="preserve">Mesquite Sky </w:t>
            </w:r>
            <w:r>
              <w:rPr>
                <w:rFonts w:ascii="Arial" w:cs="Arial" w:eastAsia="Arial" w:hAnsi="Arial"/>
                <w:sz w:val="21"/>
                <w:szCs w:val="21"/>
                <w:color w:val="auto"/>
                <w:vertAlign w:val="superscript"/>
              </w:rPr>
              <w:t>(b)</w:t>
            </w:r>
          </w:p>
        </w:tc>
        <w:tc>
          <w:tcPr>
            <w:tcW w:w="1740" w:type="dxa"/>
            <w:vAlign w:val="bottom"/>
          </w:tcPr>
          <w:p>
            <w:pPr>
              <w:jc w:val="right"/>
              <w:ind w:right="68"/>
              <w:spacing w:after="0"/>
              <w:rPr>
                <w:sz w:val="20"/>
                <w:szCs w:val="20"/>
                <w:color w:val="auto"/>
              </w:rPr>
            </w:pPr>
            <w:r>
              <w:rPr>
                <w:rFonts w:ascii="Arial" w:cs="Arial" w:eastAsia="Arial" w:hAnsi="Arial"/>
                <w:sz w:val="14"/>
                <w:szCs w:val="14"/>
                <w:color w:val="auto"/>
              </w:rPr>
              <w:t>50 %</w:t>
            </w:r>
          </w:p>
        </w:tc>
        <w:tc>
          <w:tcPr>
            <w:tcW w:w="1060" w:type="dxa"/>
            <w:vAlign w:val="bottom"/>
          </w:tcPr>
          <w:p>
            <w:pPr>
              <w:jc w:val="right"/>
              <w:spacing w:after="0"/>
              <w:rPr>
                <w:sz w:val="20"/>
                <w:szCs w:val="20"/>
                <w:color w:val="auto"/>
              </w:rPr>
            </w:pPr>
            <w:r>
              <w:rPr>
                <w:rFonts w:ascii="Arial" w:cs="Arial" w:eastAsia="Arial" w:hAnsi="Arial"/>
                <w:sz w:val="14"/>
                <w:szCs w:val="14"/>
                <w:color w:val="auto"/>
              </w:rPr>
              <w:t>170</w:t>
            </w:r>
          </w:p>
        </w:tc>
        <w:tc>
          <w:tcPr>
            <w:tcW w:w="4120" w:type="dxa"/>
            <w:vAlign w:val="bottom"/>
          </w:tcPr>
          <w:p>
            <w:pPr>
              <w:ind w:left="120"/>
              <w:spacing w:after="0"/>
              <w:rPr>
                <w:sz w:val="20"/>
                <w:szCs w:val="20"/>
                <w:color w:val="auto"/>
              </w:rPr>
            </w:pPr>
            <w:r>
              <w:rPr>
                <w:rFonts w:ascii="Arial" w:cs="Arial" w:eastAsia="Arial" w:hAnsi="Arial"/>
                <w:sz w:val="14"/>
                <w:szCs w:val="14"/>
                <w:color w:val="auto"/>
              </w:rPr>
              <w:t>Various</w:t>
            </w:r>
          </w:p>
        </w:tc>
        <w:tc>
          <w:tcPr>
            <w:tcW w:w="1080" w:type="dxa"/>
            <w:vAlign w:val="bottom"/>
          </w:tcPr>
          <w:p>
            <w:pPr>
              <w:jc w:val="center"/>
              <w:spacing w:after="0"/>
              <w:rPr>
                <w:sz w:val="20"/>
                <w:szCs w:val="20"/>
                <w:color w:val="auto"/>
              </w:rPr>
            </w:pPr>
            <w:r>
              <w:rPr>
                <w:rFonts w:ascii="Arial" w:cs="Arial" w:eastAsia="Arial" w:hAnsi="Arial"/>
                <w:sz w:val="14"/>
                <w:szCs w:val="14"/>
                <w:color w:val="auto"/>
                <w:w w:val="93"/>
              </w:rPr>
              <w:t>2033 - 2036</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120"/>
              <w:spacing w:after="0" w:line="230" w:lineRule="exact"/>
              <w:rPr>
                <w:sz w:val="20"/>
                <w:szCs w:val="20"/>
                <w:color w:val="auto"/>
              </w:rPr>
            </w:pPr>
            <w:r>
              <w:rPr>
                <w:rFonts w:ascii="Arial" w:cs="Arial" w:eastAsia="Arial" w:hAnsi="Arial"/>
                <w:sz w:val="14"/>
                <w:szCs w:val="14"/>
                <w:color w:val="auto"/>
              </w:rPr>
              <w:t>Mesquite Sta</w:t>
            </w:r>
            <w:r>
              <w:rPr>
                <w:rFonts w:ascii="Arial" w:cs="Arial" w:eastAsia="Arial" w:hAnsi="Arial"/>
                <w:sz w:val="16"/>
                <w:szCs w:val="16"/>
                <w:color w:val="auto"/>
              </w:rPr>
              <w:t>r</w:t>
            </w:r>
            <w:r>
              <w:rPr>
                <w:rFonts w:ascii="Arial" w:cs="Arial" w:eastAsia="Arial" w:hAnsi="Arial"/>
                <w:sz w:val="14"/>
                <w:szCs w:val="14"/>
                <w:color w:val="auto"/>
              </w:rPr>
              <w:t xml:space="preserve"> </w:t>
            </w:r>
            <w:r>
              <w:rPr>
                <w:rFonts w:ascii="Arial" w:cs="Arial" w:eastAsia="Arial" w:hAnsi="Arial"/>
                <w:sz w:val="21"/>
                <w:szCs w:val="21"/>
                <w:color w:val="auto"/>
                <w:vertAlign w:val="superscript"/>
              </w:rPr>
              <w:t>(b)</w:t>
            </w:r>
          </w:p>
        </w:tc>
        <w:tc>
          <w:tcPr>
            <w:tcW w:w="1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50 %</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w:t>
            </w:r>
          </w:p>
        </w:tc>
        <w:tc>
          <w:tcPr>
            <w:tcW w:w="4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Various</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2032 - 2035</w:t>
            </w:r>
          </w:p>
        </w:tc>
        <w:tc>
          <w:tcPr>
            <w:tcW w:w="0" w:type="dxa"/>
            <w:vAlign w:val="bottom"/>
          </w:tcPr>
          <w:p>
            <w:pPr>
              <w:spacing w:after="0"/>
              <w:rPr>
                <w:sz w:val="1"/>
                <w:szCs w:val="1"/>
                <w:color w:val="auto"/>
              </w:rPr>
            </w:pPr>
          </w:p>
        </w:tc>
      </w:tr>
      <w:tr>
        <w:trPr>
          <w:trHeight w:val="186"/>
        </w:trPr>
        <w:tc>
          <w:tcPr>
            <w:tcW w:w="3240" w:type="dxa"/>
            <w:vAlign w:val="bottom"/>
          </w:tcPr>
          <w:p>
            <w:pPr>
              <w:ind w:left="120"/>
              <w:spacing w:after="0"/>
              <w:rPr>
                <w:sz w:val="20"/>
                <w:szCs w:val="20"/>
                <w:color w:val="auto"/>
              </w:rPr>
            </w:pPr>
            <w:r>
              <w:rPr>
                <w:rFonts w:ascii="Arial" w:cs="Arial" w:eastAsia="Arial" w:hAnsi="Arial"/>
                <w:sz w:val="14"/>
                <w:szCs w:val="14"/>
                <w:color w:val="auto"/>
              </w:rPr>
              <w:t>Mt. Storm</w:t>
            </w:r>
          </w:p>
        </w:tc>
        <w:tc>
          <w:tcPr>
            <w:tcW w:w="1740" w:type="dxa"/>
            <w:vAlign w:val="bottom"/>
          </w:tcPr>
          <w:p>
            <w:pPr>
              <w:jc w:val="right"/>
              <w:ind w:right="68"/>
              <w:spacing w:after="0"/>
              <w:rPr>
                <w:sz w:val="20"/>
                <w:szCs w:val="20"/>
                <w:color w:val="auto"/>
              </w:rPr>
            </w:pPr>
            <w:r>
              <w:rPr>
                <w:rFonts w:ascii="Arial" w:cs="Arial" w:eastAsia="Arial" w:hAnsi="Arial"/>
                <w:sz w:val="14"/>
                <w:szCs w:val="14"/>
                <w:color w:val="auto"/>
              </w:rPr>
              <w:t>100 %</w:t>
            </w:r>
          </w:p>
        </w:tc>
        <w:tc>
          <w:tcPr>
            <w:tcW w:w="1060" w:type="dxa"/>
            <w:vAlign w:val="bottom"/>
          </w:tcPr>
          <w:p>
            <w:pPr>
              <w:jc w:val="right"/>
              <w:spacing w:after="0"/>
              <w:rPr>
                <w:sz w:val="20"/>
                <w:szCs w:val="20"/>
                <w:color w:val="auto"/>
              </w:rPr>
            </w:pPr>
            <w:r>
              <w:rPr>
                <w:rFonts w:ascii="Arial" w:cs="Arial" w:eastAsia="Arial" w:hAnsi="Arial"/>
                <w:sz w:val="14"/>
                <w:szCs w:val="14"/>
                <w:color w:val="auto"/>
              </w:rPr>
              <w:t>264</w:t>
            </w:r>
          </w:p>
        </w:tc>
        <w:tc>
          <w:tcPr>
            <w:tcW w:w="4120" w:type="dxa"/>
            <w:vAlign w:val="bottom"/>
          </w:tcPr>
          <w:p>
            <w:pPr>
              <w:ind w:left="120"/>
              <w:spacing w:after="0"/>
              <w:rPr>
                <w:sz w:val="20"/>
                <w:szCs w:val="20"/>
                <w:color w:val="auto"/>
              </w:rPr>
            </w:pPr>
            <w:r>
              <w:rPr>
                <w:rFonts w:ascii="Arial" w:cs="Arial" w:eastAsia="Arial" w:hAnsi="Arial"/>
                <w:sz w:val="14"/>
                <w:szCs w:val="14"/>
                <w:color w:val="auto"/>
              </w:rPr>
              <w:t>Citigroup</w:t>
            </w:r>
          </w:p>
        </w:tc>
        <w:tc>
          <w:tcPr>
            <w:tcW w:w="1080" w:type="dxa"/>
            <w:vAlign w:val="bottom"/>
          </w:tcPr>
          <w:p>
            <w:pPr>
              <w:jc w:val="center"/>
              <w:spacing w:after="0"/>
              <w:rPr>
                <w:sz w:val="20"/>
                <w:szCs w:val="20"/>
                <w:color w:val="auto"/>
              </w:rPr>
            </w:pPr>
            <w:r>
              <w:rPr>
                <w:rFonts w:ascii="Arial" w:cs="Arial" w:eastAsia="Arial" w:hAnsi="Arial"/>
                <w:sz w:val="14"/>
                <w:szCs w:val="14"/>
                <w:color w:val="auto"/>
                <w:w w:val="89"/>
              </w:rPr>
              <w:t>2031</w:t>
            </w:r>
          </w:p>
        </w:tc>
        <w:tc>
          <w:tcPr>
            <w:tcW w:w="0" w:type="dxa"/>
            <w:vAlign w:val="bottom"/>
          </w:tcPr>
          <w:p>
            <w:pPr>
              <w:spacing w:after="0"/>
              <w:rPr>
                <w:sz w:val="1"/>
                <w:szCs w:val="1"/>
                <w:color w:val="auto"/>
              </w:rPr>
            </w:pPr>
          </w:p>
        </w:tc>
      </w:tr>
      <w:tr>
        <w:trPr>
          <w:trHeight w:val="186"/>
        </w:trPr>
        <w:tc>
          <w:tcPr>
            <w:tcW w:w="3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Ocotillo</w:t>
            </w:r>
          </w:p>
        </w:tc>
        <w:tc>
          <w:tcPr>
            <w:tcW w:w="17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100 %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4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N/A</w:t>
            </w:r>
          </w:p>
        </w:tc>
        <w:tc>
          <w:tcPr>
            <w:tcW w:w="10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240" w:type="dxa"/>
            <w:vAlign w:val="bottom"/>
          </w:tcPr>
          <w:p>
            <w:pPr>
              <w:ind w:left="120"/>
              <w:spacing w:after="0"/>
              <w:rPr>
                <w:sz w:val="20"/>
                <w:szCs w:val="20"/>
                <w:color w:val="auto"/>
              </w:rPr>
            </w:pPr>
            <w:r>
              <w:rPr>
                <w:rFonts w:ascii="Arial" w:cs="Arial" w:eastAsia="Arial" w:hAnsi="Arial"/>
                <w:sz w:val="14"/>
                <w:szCs w:val="14"/>
                <w:color w:val="auto"/>
              </w:rPr>
              <w:t>Odin</w:t>
            </w:r>
          </w:p>
        </w:tc>
        <w:tc>
          <w:tcPr>
            <w:tcW w:w="1740" w:type="dxa"/>
            <w:vAlign w:val="bottom"/>
          </w:tcPr>
          <w:p>
            <w:pPr>
              <w:jc w:val="right"/>
              <w:ind w:right="68"/>
              <w:spacing w:after="0"/>
              <w:rPr>
                <w:sz w:val="20"/>
                <w:szCs w:val="20"/>
                <w:color w:val="auto"/>
              </w:rPr>
            </w:pPr>
            <w:r>
              <w:rPr>
                <w:rFonts w:ascii="Arial" w:cs="Arial" w:eastAsia="Arial" w:hAnsi="Arial"/>
                <w:sz w:val="14"/>
                <w:szCs w:val="14"/>
                <w:color w:val="auto"/>
              </w:rPr>
              <w:t>99.9 %</w:t>
            </w:r>
          </w:p>
        </w:tc>
        <w:tc>
          <w:tcPr>
            <w:tcW w:w="1060" w:type="dxa"/>
            <w:vAlign w:val="bottom"/>
          </w:tcPr>
          <w:p>
            <w:pPr>
              <w:jc w:val="right"/>
              <w:spacing w:after="0"/>
              <w:rPr>
                <w:sz w:val="20"/>
                <w:szCs w:val="20"/>
                <w:color w:val="auto"/>
              </w:rPr>
            </w:pPr>
            <w:r>
              <w:rPr>
                <w:rFonts w:ascii="Arial" w:cs="Arial" w:eastAsia="Arial" w:hAnsi="Arial"/>
                <w:sz w:val="14"/>
                <w:szCs w:val="14"/>
                <w:color w:val="auto"/>
              </w:rPr>
              <w:t>21</w:t>
            </w:r>
          </w:p>
        </w:tc>
        <w:tc>
          <w:tcPr>
            <w:tcW w:w="4120" w:type="dxa"/>
            <w:vAlign w:val="bottom"/>
          </w:tcPr>
          <w:p>
            <w:pPr>
              <w:ind w:left="120"/>
              <w:spacing w:after="0"/>
              <w:rPr>
                <w:sz w:val="20"/>
                <w:szCs w:val="20"/>
                <w:color w:val="auto"/>
              </w:rPr>
            </w:pPr>
            <w:r>
              <w:rPr>
                <w:rFonts w:ascii="Arial" w:cs="Arial" w:eastAsia="Arial" w:hAnsi="Arial"/>
                <w:sz w:val="14"/>
                <w:szCs w:val="14"/>
                <w:color w:val="auto"/>
              </w:rPr>
              <w:t>Missouri River Energy Services</w:t>
            </w:r>
          </w:p>
        </w:tc>
        <w:tc>
          <w:tcPr>
            <w:tcW w:w="1080" w:type="dxa"/>
            <w:vAlign w:val="bottom"/>
          </w:tcPr>
          <w:p>
            <w:pPr>
              <w:jc w:val="center"/>
              <w:spacing w:after="0"/>
              <w:rPr>
                <w:sz w:val="20"/>
                <w:szCs w:val="20"/>
                <w:color w:val="auto"/>
              </w:rPr>
            </w:pPr>
            <w:r>
              <w:rPr>
                <w:rFonts w:ascii="Arial" w:cs="Arial" w:eastAsia="Arial" w:hAnsi="Arial"/>
                <w:sz w:val="14"/>
                <w:szCs w:val="14"/>
                <w:color w:val="auto"/>
                <w:w w:val="89"/>
              </w:rPr>
              <w:t>2028</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3240" w:type="dxa"/>
            <w:vAlign w:val="bottom"/>
            <w:vMerge w:val="restart"/>
            <w:shd w:val="clear" w:color="auto" w:fill="CCEEFF"/>
          </w:tcPr>
          <w:p>
            <w:pPr>
              <w:ind w:left="120"/>
              <w:spacing w:after="0"/>
              <w:rPr>
                <w:sz w:val="20"/>
                <w:szCs w:val="20"/>
                <w:color w:val="auto"/>
              </w:rPr>
            </w:pPr>
            <w:r>
              <w:rPr>
                <w:rFonts w:ascii="Arial" w:cs="Arial" w:eastAsia="Arial" w:hAnsi="Arial"/>
                <w:sz w:val="14"/>
                <w:szCs w:val="14"/>
                <w:color w:val="auto"/>
              </w:rPr>
              <w:t xml:space="preserve">Pinnacle </w:t>
            </w:r>
            <w:r>
              <w:rPr>
                <w:rFonts w:ascii="Arial" w:cs="Arial" w:eastAsia="Arial" w:hAnsi="Arial"/>
                <w:sz w:val="21"/>
                <w:szCs w:val="21"/>
                <w:color w:val="auto"/>
                <w:vertAlign w:val="superscript"/>
              </w:rPr>
              <w:t>(b)</w:t>
            </w:r>
          </w:p>
        </w:tc>
        <w:tc>
          <w:tcPr>
            <w:tcW w:w="17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100 %</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4120" w:type="dxa"/>
            <w:vAlign w:val="bottom"/>
            <w:shd w:val="clear" w:color="auto" w:fill="CCEEFF"/>
          </w:tcPr>
          <w:p>
            <w:pPr>
              <w:ind w:left="120"/>
              <w:spacing w:after="0" w:line="135" w:lineRule="exact"/>
              <w:rPr>
                <w:sz w:val="20"/>
                <w:szCs w:val="20"/>
                <w:color w:val="auto"/>
              </w:rPr>
            </w:pPr>
            <w:r>
              <w:rPr>
                <w:rFonts w:ascii="Arial" w:cs="Arial" w:eastAsia="Arial" w:hAnsi="Arial"/>
                <w:sz w:val="14"/>
                <w:szCs w:val="14"/>
                <w:color w:val="auto"/>
                <w:w w:val="98"/>
              </w:rPr>
              <w:t>Maryland Department of General Services and University System</w:t>
            </w:r>
          </w:p>
        </w:tc>
        <w:tc>
          <w:tcPr>
            <w:tcW w:w="10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9"/>
              </w:rPr>
              <w:t>2031</w:t>
            </w:r>
          </w:p>
        </w:tc>
        <w:tc>
          <w:tcPr>
            <w:tcW w:w="0" w:type="dxa"/>
            <w:vAlign w:val="bottom"/>
          </w:tcPr>
          <w:p>
            <w:pPr>
              <w:spacing w:after="0"/>
              <w:rPr>
                <w:sz w:val="1"/>
                <w:szCs w:val="1"/>
                <w:color w:val="auto"/>
              </w:rPr>
            </w:pPr>
          </w:p>
        </w:tc>
      </w:tr>
      <w:tr>
        <w:trPr>
          <w:trHeight w:val="203"/>
        </w:trPr>
        <w:tc>
          <w:tcPr>
            <w:tcW w:w="3240" w:type="dxa"/>
            <w:vAlign w:val="bottom"/>
            <w:vMerge w:val="continue"/>
            <w:shd w:val="clear" w:color="auto" w:fill="CCEEFF"/>
          </w:tcPr>
          <w:p>
            <w:pPr>
              <w:spacing w:after="0"/>
              <w:rPr>
                <w:sz w:val="17"/>
                <w:szCs w:val="17"/>
                <w:color w:val="auto"/>
              </w:rPr>
            </w:pPr>
          </w:p>
        </w:tc>
        <w:tc>
          <w:tcPr>
            <w:tcW w:w="1740" w:type="dxa"/>
            <w:vAlign w:val="bottom"/>
            <w:vMerge w:val="continue"/>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4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of Maryland</w:t>
            </w:r>
          </w:p>
        </w:tc>
        <w:tc>
          <w:tcPr>
            <w:tcW w:w="10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tcPr>
          <w:p>
            <w:pPr>
              <w:ind w:left="120"/>
              <w:spacing w:after="0" w:line="203" w:lineRule="exact"/>
              <w:rPr>
                <w:sz w:val="20"/>
                <w:szCs w:val="20"/>
                <w:color w:val="auto"/>
              </w:rPr>
            </w:pPr>
            <w:r>
              <w:rPr>
                <w:rFonts w:ascii="Arial" w:cs="Arial" w:eastAsia="Arial" w:hAnsi="Arial"/>
                <w:sz w:val="14"/>
                <w:szCs w:val="14"/>
                <w:color w:val="auto"/>
              </w:rPr>
              <w:t xml:space="preserve">Rattlesnake </w:t>
            </w:r>
            <w:r>
              <w:rPr>
                <w:rFonts w:ascii="Arial" w:cs="Arial" w:eastAsia="Arial" w:hAnsi="Arial"/>
                <w:sz w:val="21"/>
                <w:szCs w:val="21"/>
                <w:color w:val="auto"/>
                <w:vertAlign w:val="superscript"/>
              </w:rPr>
              <w:t>(b) (e)</w:t>
            </w:r>
          </w:p>
        </w:tc>
        <w:tc>
          <w:tcPr>
            <w:tcW w:w="1740" w:type="dxa"/>
            <w:vAlign w:val="bottom"/>
          </w:tcPr>
          <w:p>
            <w:pPr>
              <w:jc w:val="right"/>
              <w:ind w:right="68"/>
              <w:spacing w:after="0"/>
              <w:rPr>
                <w:sz w:val="20"/>
                <w:szCs w:val="20"/>
                <w:color w:val="auto"/>
              </w:rPr>
            </w:pPr>
            <w:r>
              <w:rPr>
                <w:rFonts w:ascii="Arial" w:cs="Arial" w:eastAsia="Arial" w:hAnsi="Arial"/>
                <w:sz w:val="14"/>
                <w:szCs w:val="14"/>
                <w:color w:val="auto"/>
              </w:rPr>
              <w:t>100 %</w:t>
            </w:r>
          </w:p>
        </w:tc>
        <w:tc>
          <w:tcPr>
            <w:tcW w:w="1060" w:type="dxa"/>
            <w:vAlign w:val="bottom"/>
          </w:tcPr>
          <w:p>
            <w:pPr>
              <w:jc w:val="right"/>
              <w:spacing w:after="0"/>
              <w:rPr>
                <w:sz w:val="20"/>
                <w:szCs w:val="20"/>
                <w:color w:val="auto"/>
              </w:rPr>
            </w:pPr>
            <w:r>
              <w:rPr>
                <w:rFonts w:ascii="Arial" w:cs="Arial" w:eastAsia="Arial" w:hAnsi="Arial"/>
                <w:sz w:val="14"/>
                <w:szCs w:val="14"/>
                <w:color w:val="auto"/>
              </w:rPr>
              <w:t>160</w:t>
            </w:r>
          </w:p>
        </w:tc>
        <w:tc>
          <w:tcPr>
            <w:tcW w:w="4120" w:type="dxa"/>
            <w:vAlign w:val="bottom"/>
          </w:tcPr>
          <w:p>
            <w:pPr>
              <w:ind w:left="120"/>
              <w:spacing w:after="0"/>
              <w:rPr>
                <w:sz w:val="20"/>
                <w:szCs w:val="20"/>
                <w:color w:val="auto"/>
              </w:rPr>
            </w:pPr>
            <w:r>
              <w:rPr>
                <w:rFonts w:ascii="Arial" w:cs="Arial" w:eastAsia="Arial" w:hAnsi="Arial"/>
                <w:sz w:val="14"/>
                <w:szCs w:val="14"/>
                <w:color w:val="auto"/>
              </w:rPr>
              <w:t>Avista Corporation</w:t>
            </w:r>
          </w:p>
        </w:tc>
        <w:tc>
          <w:tcPr>
            <w:tcW w:w="1080" w:type="dxa"/>
            <w:vAlign w:val="bottom"/>
          </w:tcPr>
          <w:p>
            <w:pPr>
              <w:jc w:val="center"/>
              <w:spacing w:after="0"/>
              <w:rPr>
                <w:sz w:val="20"/>
                <w:szCs w:val="20"/>
                <w:color w:val="auto"/>
              </w:rPr>
            </w:pPr>
            <w:r>
              <w:rPr>
                <w:rFonts w:ascii="Arial" w:cs="Arial" w:eastAsia="Arial" w:hAnsi="Arial"/>
                <w:sz w:val="14"/>
                <w:szCs w:val="14"/>
                <w:color w:val="auto"/>
                <w:w w:val="89"/>
              </w:rPr>
              <w:t>2040</w:t>
            </w:r>
          </w:p>
        </w:tc>
        <w:tc>
          <w:tcPr>
            <w:tcW w:w="0" w:type="dxa"/>
            <w:vAlign w:val="bottom"/>
          </w:tcPr>
          <w:p>
            <w:pPr>
              <w:spacing w:after="0"/>
              <w:rPr>
                <w:sz w:val="1"/>
                <w:szCs w:val="1"/>
                <w:color w:val="auto"/>
              </w:rPr>
            </w:pPr>
          </w:p>
        </w:tc>
      </w:tr>
      <w:tr>
        <w:trPr>
          <w:trHeight w:val="189"/>
        </w:trPr>
        <w:tc>
          <w:tcPr>
            <w:tcW w:w="3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San Juan Mesa</w:t>
            </w:r>
          </w:p>
        </w:tc>
        <w:tc>
          <w:tcPr>
            <w:tcW w:w="1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75 %</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4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Southwestern Public Service Company</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2025</w:t>
            </w:r>
          </w:p>
        </w:tc>
        <w:tc>
          <w:tcPr>
            <w:tcW w:w="0" w:type="dxa"/>
            <w:vAlign w:val="bottom"/>
          </w:tcPr>
          <w:p>
            <w:pPr>
              <w:spacing w:after="0"/>
              <w:rPr>
                <w:sz w:val="1"/>
                <w:szCs w:val="1"/>
                <w:color w:val="auto"/>
              </w:rPr>
            </w:pPr>
          </w:p>
        </w:tc>
      </w:tr>
      <w:tr>
        <w:trPr>
          <w:trHeight w:val="182"/>
        </w:trPr>
        <w:tc>
          <w:tcPr>
            <w:tcW w:w="3240" w:type="dxa"/>
            <w:vAlign w:val="bottom"/>
          </w:tcPr>
          <w:p>
            <w:pPr>
              <w:ind w:left="120"/>
              <w:spacing w:after="0"/>
              <w:rPr>
                <w:sz w:val="20"/>
                <w:szCs w:val="20"/>
                <w:color w:val="auto"/>
              </w:rPr>
            </w:pPr>
            <w:r>
              <w:rPr>
                <w:rFonts w:ascii="Arial" w:cs="Arial" w:eastAsia="Arial" w:hAnsi="Arial"/>
                <w:sz w:val="14"/>
                <w:szCs w:val="14"/>
                <w:color w:val="auto"/>
              </w:rPr>
              <w:t>Sleeping Bear</w:t>
            </w:r>
          </w:p>
        </w:tc>
        <w:tc>
          <w:tcPr>
            <w:tcW w:w="1740" w:type="dxa"/>
            <w:vAlign w:val="bottom"/>
          </w:tcPr>
          <w:p>
            <w:pPr>
              <w:jc w:val="right"/>
              <w:ind w:right="68"/>
              <w:spacing w:after="0"/>
              <w:rPr>
                <w:sz w:val="20"/>
                <w:szCs w:val="20"/>
                <w:color w:val="auto"/>
              </w:rPr>
            </w:pPr>
            <w:r>
              <w:rPr>
                <w:rFonts w:ascii="Arial" w:cs="Arial" w:eastAsia="Arial" w:hAnsi="Arial"/>
                <w:sz w:val="14"/>
                <w:szCs w:val="14"/>
                <w:color w:val="auto"/>
              </w:rPr>
              <w:t>100 %</w:t>
            </w:r>
          </w:p>
        </w:tc>
        <w:tc>
          <w:tcPr>
            <w:tcW w:w="1060" w:type="dxa"/>
            <w:vAlign w:val="bottom"/>
          </w:tcPr>
          <w:p>
            <w:pPr>
              <w:jc w:val="right"/>
              <w:spacing w:after="0"/>
              <w:rPr>
                <w:sz w:val="20"/>
                <w:szCs w:val="20"/>
                <w:color w:val="auto"/>
              </w:rPr>
            </w:pPr>
            <w:r>
              <w:rPr>
                <w:rFonts w:ascii="Arial" w:cs="Arial" w:eastAsia="Arial" w:hAnsi="Arial"/>
                <w:sz w:val="14"/>
                <w:szCs w:val="14"/>
                <w:color w:val="auto"/>
              </w:rPr>
              <w:t>95</w:t>
            </w:r>
          </w:p>
        </w:tc>
        <w:tc>
          <w:tcPr>
            <w:tcW w:w="4120" w:type="dxa"/>
            <w:vAlign w:val="bottom"/>
          </w:tcPr>
          <w:p>
            <w:pPr>
              <w:ind w:left="120"/>
              <w:spacing w:after="0"/>
              <w:rPr>
                <w:sz w:val="20"/>
                <w:szCs w:val="20"/>
                <w:color w:val="auto"/>
              </w:rPr>
            </w:pPr>
            <w:r>
              <w:rPr>
                <w:rFonts w:ascii="Arial" w:cs="Arial" w:eastAsia="Arial" w:hAnsi="Arial"/>
                <w:sz w:val="14"/>
                <w:szCs w:val="14"/>
                <w:color w:val="auto"/>
              </w:rPr>
              <w:t>Public Service Company of Oklahoma</w:t>
            </w:r>
          </w:p>
        </w:tc>
        <w:tc>
          <w:tcPr>
            <w:tcW w:w="1080" w:type="dxa"/>
            <w:vAlign w:val="bottom"/>
          </w:tcPr>
          <w:p>
            <w:pPr>
              <w:jc w:val="center"/>
              <w:spacing w:after="0"/>
              <w:rPr>
                <w:sz w:val="20"/>
                <w:szCs w:val="20"/>
                <w:color w:val="auto"/>
              </w:rPr>
            </w:pPr>
            <w:r>
              <w:rPr>
                <w:rFonts w:ascii="Arial" w:cs="Arial" w:eastAsia="Arial" w:hAnsi="Arial"/>
                <w:sz w:val="14"/>
                <w:szCs w:val="14"/>
                <w:color w:val="auto"/>
                <w:w w:val="89"/>
              </w:rPr>
              <w:t>2032</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South Trent</w:t>
            </w:r>
          </w:p>
        </w:tc>
        <w:tc>
          <w:tcPr>
            <w:tcW w:w="17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100 %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4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AEP Energy Partners</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2029</w:t>
            </w:r>
          </w:p>
        </w:tc>
        <w:tc>
          <w:tcPr>
            <w:tcW w:w="0" w:type="dxa"/>
            <w:vAlign w:val="bottom"/>
          </w:tcPr>
          <w:p>
            <w:pPr>
              <w:spacing w:after="0"/>
              <w:rPr>
                <w:sz w:val="1"/>
                <w:szCs w:val="1"/>
                <w:color w:val="auto"/>
              </w:rPr>
            </w:pPr>
          </w:p>
        </w:tc>
      </w:tr>
      <w:tr>
        <w:trPr>
          <w:trHeight w:val="186"/>
        </w:trPr>
        <w:tc>
          <w:tcPr>
            <w:tcW w:w="3240" w:type="dxa"/>
            <w:vAlign w:val="bottom"/>
          </w:tcPr>
          <w:p>
            <w:pPr>
              <w:ind w:left="120"/>
              <w:spacing w:after="0"/>
              <w:rPr>
                <w:sz w:val="20"/>
                <w:szCs w:val="20"/>
                <w:color w:val="auto"/>
              </w:rPr>
            </w:pPr>
            <w:r>
              <w:rPr>
                <w:rFonts w:ascii="Arial" w:cs="Arial" w:eastAsia="Arial" w:hAnsi="Arial"/>
                <w:sz w:val="14"/>
                <w:szCs w:val="14"/>
                <w:color w:val="auto"/>
              </w:rPr>
              <w:t>Spanish Fork</w:t>
            </w:r>
          </w:p>
        </w:tc>
        <w:tc>
          <w:tcPr>
            <w:tcW w:w="1740" w:type="dxa"/>
            <w:vAlign w:val="bottom"/>
          </w:tcPr>
          <w:p>
            <w:pPr>
              <w:jc w:val="right"/>
              <w:ind w:right="68"/>
              <w:spacing w:after="0"/>
              <w:rPr>
                <w:sz w:val="20"/>
                <w:szCs w:val="20"/>
                <w:color w:val="auto"/>
              </w:rPr>
            </w:pPr>
            <w:r>
              <w:rPr>
                <w:rFonts w:ascii="Arial" w:cs="Arial" w:eastAsia="Arial" w:hAnsi="Arial"/>
                <w:sz w:val="14"/>
                <w:szCs w:val="14"/>
                <w:color w:val="auto"/>
              </w:rPr>
              <w:t>100 %</w:t>
            </w:r>
          </w:p>
        </w:tc>
        <w:tc>
          <w:tcPr>
            <w:tcW w:w="1060" w:type="dxa"/>
            <w:vAlign w:val="bottom"/>
          </w:tcPr>
          <w:p>
            <w:pPr>
              <w:jc w:val="right"/>
              <w:spacing w:after="0"/>
              <w:rPr>
                <w:sz w:val="20"/>
                <w:szCs w:val="20"/>
                <w:color w:val="auto"/>
              </w:rPr>
            </w:pPr>
            <w:r>
              <w:rPr>
                <w:rFonts w:ascii="Arial" w:cs="Arial" w:eastAsia="Arial" w:hAnsi="Arial"/>
                <w:sz w:val="14"/>
                <w:szCs w:val="14"/>
                <w:color w:val="auto"/>
              </w:rPr>
              <w:t>19</w:t>
            </w:r>
          </w:p>
        </w:tc>
        <w:tc>
          <w:tcPr>
            <w:tcW w:w="4120" w:type="dxa"/>
            <w:vAlign w:val="bottom"/>
          </w:tcPr>
          <w:p>
            <w:pPr>
              <w:ind w:left="120"/>
              <w:spacing w:after="0"/>
              <w:rPr>
                <w:sz w:val="20"/>
                <w:szCs w:val="20"/>
                <w:color w:val="auto"/>
              </w:rPr>
            </w:pPr>
            <w:r>
              <w:rPr>
                <w:rFonts w:ascii="Arial" w:cs="Arial" w:eastAsia="Arial" w:hAnsi="Arial"/>
                <w:sz w:val="14"/>
                <w:szCs w:val="14"/>
                <w:color w:val="auto"/>
              </w:rPr>
              <w:t>PacifiCorp</w:t>
            </w:r>
          </w:p>
        </w:tc>
        <w:tc>
          <w:tcPr>
            <w:tcW w:w="1080" w:type="dxa"/>
            <w:vAlign w:val="bottom"/>
          </w:tcPr>
          <w:p>
            <w:pPr>
              <w:jc w:val="center"/>
              <w:spacing w:after="0"/>
              <w:rPr>
                <w:sz w:val="20"/>
                <w:szCs w:val="20"/>
                <w:color w:val="auto"/>
              </w:rPr>
            </w:pPr>
            <w:r>
              <w:rPr>
                <w:rFonts w:ascii="Arial" w:cs="Arial" w:eastAsia="Arial" w:hAnsi="Arial"/>
                <w:sz w:val="14"/>
                <w:szCs w:val="14"/>
                <w:color w:val="auto"/>
                <w:w w:val="89"/>
              </w:rPr>
              <w:t>2028</w:t>
            </w:r>
          </w:p>
        </w:tc>
        <w:tc>
          <w:tcPr>
            <w:tcW w:w="0" w:type="dxa"/>
            <w:vAlign w:val="bottom"/>
          </w:tcPr>
          <w:p>
            <w:pPr>
              <w:spacing w:after="0"/>
              <w:rPr>
                <w:sz w:val="1"/>
                <w:szCs w:val="1"/>
                <w:color w:val="auto"/>
              </w:rPr>
            </w:pPr>
          </w:p>
        </w:tc>
      </w:tr>
      <w:tr>
        <w:trPr>
          <w:trHeight w:val="233"/>
        </w:trPr>
        <w:tc>
          <w:tcPr>
            <w:tcW w:w="3240" w:type="dxa"/>
            <w:vAlign w:val="bottom"/>
            <w:shd w:val="clear" w:color="auto" w:fill="CCEEFF"/>
          </w:tcPr>
          <w:p>
            <w:pPr>
              <w:ind w:left="120"/>
              <w:spacing w:after="0" w:line="233" w:lineRule="exact"/>
              <w:rPr>
                <w:sz w:val="20"/>
                <w:szCs w:val="20"/>
                <w:color w:val="auto"/>
              </w:rPr>
            </w:pPr>
            <w:r>
              <w:rPr>
                <w:rFonts w:ascii="Arial" w:cs="Arial" w:eastAsia="Arial" w:hAnsi="Arial"/>
                <w:sz w:val="14"/>
                <w:szCs w:val="14"/>
                <w:color w:val="auto"/>
              </w:rPr>
              <w:t xml:space="preserve">Spring Canyon II </w:t>
            </w:r>
            <w:r>
              <w:rPr>
                <w:rFonts w:ascii="Arial" w:cs="Arial" w:eastAsia="Arial" w:hAnsi="Arial"/>
                <w:sz w:val="21"/>
                <w:szCs w:val="21"/>
                <w:color w:val="auto"/>
                <w:vertAlign w:val="superscript"/>
              </w:rPr>
              <w:t>(b)</w:t>
            </w:r>
          </w:p>
        </w:tc>
        <w:tc>
          <w:tcPr>
            <w:tcW w:w="1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90.1 %</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4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Platte River Power Authority</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2039</w:t>
            </w:r>
          </w:p>
        </w:tc>
        <w:tc>
          <w:tcPr>
            <w:tcW w:w="0" w:type="dxa"/>
            <w:vAlign w:val="bottom"/>
          </w:tcPr>
          <w:p>
            <w:pPr>
              <w:spacing w:after="0"/>
              <w:rPr>
                <w:sz w:val="1"/>
                <w:szCs w:val="1"/>
                <w:color w:val="auto"/>
              </w:rPr>
            </w:pPr>
          </w:p>
        </w:tc>
      </w:tr>
      <w:tr>
        <w:trPr>
          <w:trHeight w:val="230"/>
        </w:trPr>
        <w:tc>
          <w:tcPr>
            <w:tcW w:w="3240" w:type="dxa"/>
            <w:vAlign w:val="bottom"/>
          </w:tcPr>
          <w:p>
            <w:pPr>
              <w:ind w:left="120"/>
              <w:spacing w:after="0" w:line="230" w:lineRule="exact"/>
              <w:rPr>
                <w:sz w:val="20"/>
                <w:szCs w:val="20"/>
                <w:color w:val="auto"/>
              </w:rPr>
            </w:pPr>
            <w:r>
              <w:rPr>
                <w:rFonts w:ascii="Arial" w:cs="Arial" w:eastAsia="Arial" w:hAnsi="Arial"/>
                <w:sz w:val="14"/>
                <w:szCs w:val="14"/>
                <w:color w:val="auto"/>
              </w:rPr>
              <w:t xml:space="preserve">Spring Canyon III </w:t>
            </w:r>
            <w:r>
              <w:rPr>
                <w:rFonts w:ascii="Arial" w:cs="Arial" w:eastAsia="Arial" w:hAnsi="Arial"/>
                <w:sz w:val="21"/>
                <w:szCs w:val="21"/>
                <w:color w:val="auto"/>
                <w:vertAlign w:val="superscript"/>
              </w:rPr>
              <w:t>(b)</w:t>
            </w:r>
          </w:p>
        </w:tc>
        <w:tc>
          <w:tcPr>
            <w:tcW w:w="1740" w:type="dxa"/>
            <w:vAlign w:val="bottom"/>
          </w:tcPr>
          <w:p>
            <w:pPr>
              <w:jc w:val="right"/>
              <w:ind w:right="68"/>
              <w:spacing w:after="0"/>
              <w:rPr>
                <w:sz w:val="20"/>
                <w:szCs w:val="20"/>
                <w:color w:val="auto"/>
              </w:rPr>
            </w:pPr>
            <w:r>
              <w:rPr>
                <w:rFonts w:ascii="Arial" w:cs="Arial" w:eastAsia="Arial" w:hAnsi="Arial"/>
                <w:sz w:val="14"/>
                <w:szCs w:val="14"/>
                <w:color w:val="auto"/>
              </w:rPr>
              <w:t>90.1 %</w:t>
            </w:r>
          </w:p>
        </w:tc>
        <w:tc>
          <w:tcPr>
            <w:tcW w:w="1060" w:type="dxa"/>
            <w:vAlign w:val="bottom"/>
          </w:tcPr>
          <w:p>
            <w:pPr>
              <w:jc w:val="right"/>
              <w:spacing w:after="0"/>
              <w:rPr>
                <w:sz w:val="20"/>
                <w:szCs w:val="20"/>
                <w:color w:val="auto"/>
              </w:rPr>
            </w:pPr>
            <w:r>
              <w:rPr>
                <w:rFonts w:ascii="Arial" w:cs="Arial" w:eastAsia="Arial" w:hAnsi="Arial"/>
                <w:sz w:val="14"/>
                <w:szCs w:val="14"/>
                <w:color w:val="auto"/>
              </w:rPr>
              <w:t>26</w:t>
            </w:r>
          </w:p>
        </w:tc>
        <w:tc>
          <w:tcPr>
            <w:tcW w:w="4120" w:type="dxa"/>
            <w:vAlign w:val="bottom"/>
          </w:tcPr>
          <w:p>
            <w:pPr>
              <w:ind w:left="120"/>
              <w:spacing w:after="0"/>
              <w:rPr>
                <w:sz w:val="20"/>
                <w:szCs w:val="20"/>
                <w:color w:val="auto"/>
              </w:rPr>
            </w:pPr>
            <w:r>
              <w:rPr>
                <w:rFonts w:ascii="Arial" w:cs="Arial" w:eastAsia="Arial" w:hAnsi="Arial"/>
                <w:sz w:val="14"/>
                <w:szCs w:val="14"/>
                <w:color w:val="auto"/>
              </w:rPr>
              <w:t>Platte River Power Authority</w:t>
            </w:r>
          </w:p>
        </w:tc>
        <w:tc>
          <w:tcPr>
            <w:tcW w:w="1080" w:type="dxa"/>
            <w:vAlign w:val="bottom"/>
          </w:tcPr>
          <w:p>
            <w:pPr>
              <w:jc w:val="center"/>
              <w:spacing w:after="0"/>
              <w:rPr>
                <w:sz w:val="20"/>
                <w:szCs w:val="20"/>
                <w:color w:val="auto"/>
              </w:rPr>
            </w:pPr>
            <w:r>
              <w:rPr>
                <w:rFonts w:ascii="Arial" w:cs="Arial" w:eastAsia="Arial" w:hAnsi="Arial"/>
                <w:sz w:val="14"/>
                <w:szCs w:val="14"/>
                <w:color w:val="auto"/>
                <w:w w:val="89"/>
              </w:rPr>
              <w:t>2039</w:t>
            </w:r>
          </w:p>
        </w:tc>
        <w:tc>
          <w:tcPr>
            <w:tcW w:w="0" w:type="dxa"/>
            <w:vAlign w:val="bottom"/>
          </w:tcPr>
          <w:p>
            <w:pPr>
              <w:spacing w:after="0"/>
              <w:rPr>
                <w:sz w:val="1"/>
                <w:szCs w:val="1"/>
                <w:color w:val="auto"/>
              </w:rPr>
            </w:pPr>
          </w:p>
        </w:tc>
      </w:tr>
      <w:tr>
        <w:trPr>
          <w:trHeight w:val="189"/>
        </w:trPr>
        <w:tc>
          <w:tcPr>
            <w:tcW w:w="3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Taloga</w:t>
            </w:r>
          </w:p>
        </w:tc>
        <w:tc>
          <w:tcPr>
            <w:tcW w:w="1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100 %</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4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Oklahoma Gas &amp; Electric</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2031</w:t>
            </w:r>
          </w:p>
        </w:tc>
        <w:tc>
          <w:tcPr>
            <w:tcW w:w="0" w:type="dxa"/>
            <w:vAlign w:val="bottom"/>
          </w:tcPr>
          <w:p>
            <w:pPr>
              <w:spacing w:after="0"/>
              <w:rPr>
                <w:sz w:val="1"/>
                <w:szCs w:val="1"/>
                <w:color w:val="auto"/>
              </w:rPr>
            </w:pPr>
          </w:p>
        </w:tc>
      </w:tr>
      <w:tr>
        <w:trPr>
          <w:trHeight w:val="203"/>
        </w:trPr>
        <w:tc>
          <w:tcPr>
            <w:tcW w:w="3240" w:type="dxa"/>
            <w:vAlign w:val="bottom"/>
            <w:tcBorders>
              <w:bottom w:val="single" w:sz="8" w:color="CCEEFF"/>
            </w:tcBorders>
          </w:tcPr>
          <w:p>
            <w:pPr>
              <w:ind w:left="120"/>
              <w:spacing w:after="0" w:line="203" w:lineRule="exact"/>
              <w:rPr>
                <w:sz w:val="20"/>
                <w:szCs w:val="20"/>
                <w:color w:val="auto"/>
              </w:rPr>
            </w:pPr>
            <w:r>
              <w:rPr>
                <w:rFonts w:ascii="Arial" w:cs="Arial" w:eastAsia="Arial" w:hAnsi="Arial"/>
                <w:sz w:val="14"/>
                <w:szCs w:val="14"/>
                <w:color w:val="auto"/>
              </w:rPr>
              <w:t xml:space="preserve">Wildorado </w:t>
            </w:r>
            <w:r>
              <w:rPr>
                <w:rFonts w:ascii="Arial" w:cs="Arial" w:eastAsia="Arial" w:hAnsi="Arial"/>
                <w:sz w:val="21"/>
                <w:szCs w:val="21"/>
                <w:color w:val="auto"/>
                <w:vertAlign w:val="superscript"/>
              </w:rPr>
              <w:t>(b)</w:t>
            </w:r>
          </w:p>
        </w:tc>
        <w:tc>
          <w:tcPr>
            <w:tcW w:w="1740" w:type="dxa"/>
            <w:vAlign w:val="bottom"/>
            <w:tcBorders>
              <w:bottom w:val="single" w:sz="8" w:color="CCEEFF"/>
            </w:tcBorders>
          </w:tcPr>
          <w:p>
            <w:pPr>
              <w:jc w:val="right"/>
              <w:ind w:right="68"/>
              <w:spacing w:after="0"/>
              <w:rPr>
                <w:sz w:val="20"/>
                <w:szCs w:val="20"/>
                <w:color w:val="auto"/>
              </w:rPr>
            </w:pPr>
            <w:r>
              <w:rPr>
                <w:rFonts w:ascii="Arial" w:cs="Arial" w:eastAsia="Arial" w:hAnsi="Arial"/>
                <w:sz w:val="14"/>
                <w:szCs w:val="14"/>
                <w:color w:val="auto"/>
              </w:rPr>
              <w:t>100 %</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w:t>
            </w:r>
          </w:p>
        </w:tc>
        <w:tc>
          <w:tcPr>
            <w:tcW w:w="412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Southwestern Public Service Company</w:t>
            </w:r>
          </w:p>
        </w:tc>
        <w:tc>
          <w:tcPr>
            <w:tcW w:w="108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89"/>
              </w:rPr>
              <w:t>2027</w:t>
            </w:r>
          </w:p>
        </w:tc>
        <w:tc>
          <w:tcPr>
            <w:tcW w:w="0" w:type="dxa"/>
            <w:vAlign w:val="bottom"/>
          </w:tcPr>
          <w:p>
            <w:pPr>
              <w:spacing w:after="0"/>
              <w:rPr>
                <w:sz w:val="1"/>
                <w:szCs w:val="1"/>
                <w:color w:val="auto"/>
              </w:rPr>
            </w:pPr>
          </w:p>
        </w:tc>
      </w:tr>
      <w:tr>
        <w:trPr>
          <w:trHeight w:val="196"/>
        </w:trPr>
        <w:tc>
          <w:tcPr>
            <w:tcW w:w="3240" w:type="dxa"/>
            <w:vAlign w:val="bottom"/>
            <w:shd w:val="clear" w:color="auto" w:fill="CCEEFF"/>
          </w:tcPr>
          <w:p>
            <w:pPr>
              <w:ind w:left="460"/>
              <w:spacing w:after="0" w:line="196" w:lineRule="exact"/>
              <w:rPr>
                <w:sz w:val="20"/>
                <w:szCs w:val="20"/>
                <w:color w:val="auto"/>
              </w:rPr>
            </w:pPr>
            <w:r>
              <w:rPr>
                <w:rFonts w:ascii="Arial" w:cs="Arial" w:eastAsia="Arial" w:hAnsi="Arial"/>
                <w:sz w:val="16"/>
                <w:szCs w:val="16"/>
                <w:b w:val="1"/>
                <w:bCs w:val="1"/>
                <w:i w:val="1"/>
                <w:iCs w:val="1"/>
                <w:color w:val="auto"/>
              </w:rPr>
              <w:t xml:space="preserve">Total Wind </w:t>
            </w:r>
            <w:r>
              <w:rPr>
                <w:rFonts w:ascii="Arial" w:cs="Arial" w:eastAsia="Arial" w:hAnsi="Arial"/>
                <w:sz w:val="21"/>
                <w:szCs w:val="21"/>
                <w:b w:val="1"/>
                <w:bCs w:val="1"/>
                <w:i w:val="1"/>
                <w:iCs w:val="1"/>
                <w:color w:val="auto"/>
                <w:vertAlign w:val="superscript"/>
              </w:rPr>
              <w:t>(d)</w:t>
            </w:r>
          </w:p>
        </w:tc>
        <w:tc>
          <w:tcPr>
            <w:tcW w:w="1740" w:type="dxa"/>
            <w:vAlign w:val="bottom"/>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3,658</w:t>
            </w:r>
          </w:p>
        </w:tc>
        <w:tc>
          <w:tcPr>
            <w:tcW w:w="4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40" w:type="dxa"/>
            <w:vAlign w:val="bottom"/>
          </w:tcPr>
          <w:p>
            <w:pPr>
              <w:ind w:left="20"/>
              <w:spacing w:after="0"/>
              <w:rPr>
                <w:sz w:val="20"/>
                <w:szCs w:val="20"/>
                <w:color w:val="auto"/>
              </w:rPr>
            </w:pPr>
            <w:r>
              <w:rPr>
                <w:rFonts w:ascii="Arial" w:cs="Arial" w:eastAsia="Arial" w:hAnsi="Arial"/>
                <w:sz w:val="16"/>
                <w:szCs w:val="16"/>
                <w:b w:val="1"/>
                <w:bCs w:val="1"/>
                <w:color w:val="auto"/>
              </w:rPr>
              <w:t>Total net generation capacity</w:t>
            </w:r>
          </w:p>
        </w:tc>
        <w:tc>
          <w:tcPr>
            <w:tcW w:w="1740" w:type="dxa"/>
            <w:vAlign w:val="bottom"/>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8,114</w:t>
            </w:r>
          </w:p>
        </w:tc>
        <w:tc>
          <w:tcPr>
            <w:tcW w:w="4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138874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193" w:lineRule="exact"/>
        <w:rPr>
          <w:sz w:val="20"/>
          <w:szCs w:val="20"/>
          <w:color w:val="auto"/>
        </w:rPr>
      </w:pPr>
    </w:p>
    <w:p>
      <w:pPr>
        <w:ind w:left="240" w:hanging="151"/>
        <w:spacing w:after="0"/>
        <w:tabs>
          <w:tab w:leader="none" w:pos="240" w:val="left"/>
        </w:tabs>
        <w:numPr>
          <w:ilvl w:val="0"/>
          <w:numId w:val="20"/>
        </w:numPr>
        <w:rPr>
          <w:rFonts w:ascii="Arial" w:cs="Arial" w:eastAsia="Arial" w:hAnsi="Arial"/>
          <w:sz w:val="18"/>
          <w:szCs w:val="18"/>
          <w:color w:val="auto"/>
          <w:vertAlign w:val="superscript"/>
        </w:rPr>
      </w:pPr>
      <w:r>
        <w:rPr>
          <w:rFonts w:ascii="Arial" w:cs="Arial" w:eastAsia="Arial" w:hAnsi="Arial"/>
          <w:sz w:val="12"/>
          <w:szCs w:val="12"/>
          <w:color w:val="auto"/>
        </w:rPr>
        <w:t>Net capacity represents the maximum, or rated, generating capacity of the facility multiplied by the Company’s percentage ownership in the facility as of June 30, 2023.</w:t>
      </w:r>
    </w:p>
    <w:p>
      <w:pPr>
        <w:spacing w:after="0" w:line="59" w:lineRule="exact"/>
        <w:rPr>
          <w:rFonts w:ascii="Arial" w:cs="Arial" w:eastAsia="Arial" w:hAnsi="Arial"/>
          <w:sz w:val="18"/>
          <w:szCs w:val="18"/>
          <w:color w:val="auto"/>
          <w:vertAlign w:val="superscript"/>
        </w:rPr>
      </w:pPr>
    </w:p>
    <w:p>
      <w:pPr>
        <w:ind w:left="80" w:firstLine="9"/>
        <w:spacing w:after="0" w:line="232" w:lineRule="auto"/>
        <w:tabs>
          <w:tab w:leader="none" w:pos="249" w:val="left"/>
        </w:tabs>
        <w:numPr>
          <w:ilvl w:val="0"/>
          <w:numId w:val="20"/>
        </w:numPr>
        <w:rPr>
          <w:rFonts w:ascii="Arial" w:cs="Arial" w:eastAsia="Arial" w:hAnsi="Arial"/>
          <w:sz w:val="19"/>
          <w:szCs w:val="19"/>
          <w:color w:val="auto"/>
          <w:vertAlign w:val="superscript"/>
        </w:rPr>
      </w:pPr>
      <w:r>
        <w:rPr>
          <w:rFonts w:ascii="Arial" w:cs="Arial" w:eastAsia="Arial" w:hAnsi="Arial"/>
          <w:sz w:val="12"/>
          <w:szCs w:val="12"/>
          <w:color w:val="auto"/>
        </w:rPr>
        <w:t xml:space="preserve">Projects are part of tax equity arrangements and ownership percentage is based on cash to be distributed, as further described in Note 4, </w:t>
      </w:r>
      <w:r>
        <w:rPr>
          <w:rFonts w:ascii="Arial" w:cs="Arial" w:eastAsia="Arial" w:hAnsi="Arial"/>
          <w:sz w:val="12"/>
          <w:szCs w:val="12"/>
          <w:i w:val="1"/>
          <w:iCs w:val="1"/>
          <w:color w:val="auto"/>
        </w:rPr>
        <w:t>Investments Accounted for by the Equity Method and</w:t>
      </w:r>
      <w:r>
        <w:rPr>
          <w:rFonts w:ascii="Arial" w:cs="Arial" w:eastAsia="Arial" w:hAnsi="Arial"/>
          <w:sz w:val="12"/>
          <w:szCs w:val="12"/>
          <w:color w:val="auto"/>
        </w:rPr>
        <w:t xml:space="preserve"> </w:t>
      </w:r>
      <w:r>
        <w:rPr>
          <w:rFonts w:ascii="Arial" w:cs="Arial" w:eastAsia="Arial" w:hAnsi="Arial"/>
          <w:sz w:val="12"/>
          <w:szCs w:val="12"/>
          <w:i w:val="1"/>
          <w:iCs w:val="1"/>
          <w:color w:val="auto"/>
        </w:rPr>
        <w:t>Variable Interest Entities.</w:t>
      </w:r>
    </w:p>
    <w:p>
      <w:pPr>
        <w:spacing w:after="0" w:line="29" w:lineRule="exact"/>
        <w:rPr>
          <w:rFonts w:ascii="Arial" w:cs="Arial" w:eastAsia="Arial" w:hAnsi="Arial"/>
          <w:sz w:val="19"/>
          <w:szCs w:val="19"/>
          <w:color w:val="auto"/>
          <w:vertAlign w:val="superscript"/>
        </w:rPr>
      </w:pPr>
    </w:p>
    <w:p>
      <w:pPr>
        <w:ind w:left="260" w:hanging="171"/>
        <w:spacing w:after="0"/>
        <w:tabs>
          <w:tab w:leader="none" w:pos="260" w:val="left"/>
        </w:tabs>
        <w:numPr>
          <w:ilvl w:val="0"/>
          <w:numId w:val="20"/>
        </w:numPr>
        <w:rPr>
          <w:rFonts w:ascii="Arial" w:cs="Arial" w:eastAsia="Arial" w:hAnsi="Arial"/>
          <w:sz w:val="21"/>
          <w:szCs w:val="21"/>
          <w:color w:val="auto"/>
          <w:vertAlign w:val="superscript"/>
        </w:rPr>
      </w:pPr>
      <w:r>
        <w:rPr>
          <w:rFonts w:ascii="Arial" w:cs="Arial" w:eastAsia="Arial" w:hAnsi="Arial"/>
          <w:sz w:val="13"/>
          <w:szCs w:val="13"/>
          <w:color w:val="auto"/>
        </w:rPr>
        <w:t>Includes storage capacity that matches the facility’s rated generating capacity.</w:t>
      </w:r>
    </w:p>
    <w:p>
      <w:pPr>
        <w:spacing w:after="0" w:line="87" w:lineRule="exact"/>
        <w:rPr>
          <w:rFonts w:ascii="Arial" w:cs="Arial" w:eastAsia="Arial" w:hAnsi="Arial"/>
          <w:sz w:val="21"/>
          <w:szCs w:val="21"/>
          <w:color w:val="auto"/>
          <w:vertAlign w:val="superscript"/>
        </w:rPr>
      </w:pPr>
    </w:p>
    <w:p>
      <w:pPr>
        <w:jc w:val="both"/>
        <w:ind w:left="80" w:firstLine="9"/>
        <w:spacing w:after="0" w:line="236" w:lineRule="auto"/>
        <w:tabs>
          <w:tab w:leader="none" w:pos="268" w:val="left"/>
        </w:tabs>
        <w:numPr>
          <w:ilvl w:val="0"/>
          <w:numId w:val="20"/>
        </w:numPr>
        <w:rPr>
          <w:rFonts w:ascii="Arial" w:cs="Arial" w:eastAsia="Arial" w:hAnsi="Arial"/>
          <w:sz w:val="21"/>
          <w:szCs w:val="21"/>
          <w:color w:val="auto"/>
          <w:vertAlign w:val="superscript"/>
        </w:rPr>
      </w:pPr>
      <w:r>
        <w:rPr>
          <w:rFonts w:ascii="Arial" w:cs="Arial" w:eastAsia="Arial" w:hAnsi="Arial"/>
          <w:sz w:val="13"/>
          <w:szCs w:val="13"/>
          <w:color w:val="auto"/>
        </w:rPr>
        <w:t>Typical average capacity factors are 25% for solar facilities and 25-45% for wind facilities. For the six months ended June 30, 2023, the Company's solar and wind facilities had weighted-average capacity factors of 27% and 31%, respectively. For the six months ended June 30, 2022, the Company’s solar and wind facilities had weighted-average capacity factors of 30% and 35%, respectively. The weight-average capacity factors can vary based on seasonality and weather conditions.</w:t>
      </w:r>
    </w:p>
    <w:p>
      <w:pPr>
        <w:spacing w:after="0" w:line="28" w:lineRule="exact"/>
        <w:rPr>
          <w:rFonts w:ascii="Arial" w:cs="Arial" w:eastAsia="Arial" w:hAnsi="Arial"/>
          <w:sz w:val="21"/>
          <w:szCs w:val="21"/>
          <w:color w:val="auto"/>
          <w:vertAlign w:val="superscript"/>
        </w:rPr>
      </w:pPr>
    </w:p>
    <w:p>
      <w:pPr>
        <w:ind w:left="260" w:hanging="171"/>
        <w:spacing w:after="0"/>
        <w:tabs>
          <w:tab w:leader="none" w:pos="260" w:val="left"/>
        </w:tabs>
        <w:numPr>
          <w:ilvl w:val="0"/>
          <w:numId w:val="20"/>
        </w:numPr>
        <w:rPr>
          <w:rFonts w:ascii="Arial" w:cs="Arial" w:eastAsia="Arial" w:hAnsi="Arial"/>
          <w:sz w:val="20"/>
          <w:szCs w:val="20"/>
          <w:color w:val="auto"/>
          <w:vertAlign w:val="superscript"/>
        </w:rPr>
      </w:pPr>
      <w:r>
        <w:rPr>
          <w:rFonts w:ascii="Arial" w:cs="Arial" w:eastAsia="Arial" w:hAnsi="Arial"/>
          <w:sz w:val="13"/>
          <w:szCs w:val="13"/>
          <w:color w:val="auto"/>
        </w:rPr>
        <w:t>Rattlesnake has a deliverable capacity of 144 MW.</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0"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Significant Events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Drop Down Transactions</w:t>
      </w:r>
    </w:p>
    <w:p>
      <w:pPr>
        <w:spacing w:after="0" w:line="171" w:lineRule="exact"/>
        <w:rPr>
          <w:sz w:val="20"/>
          <w:szCs w:val="20"/>
          <w:color w:val="auto"/>
        </w:rPr>
      </w:pPr>
    </w:p>
    <w:p>
      <w:pPr>
        <w:jc w:val="both"/>
        <w:ind w:left="660" w:hanging="328"/>
        <w:spacing w:after="0" w:line="288"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On June 30, 2023, the Company, through its indirect subsidiary, Rosie Class B LLC, the indirect owner of the Rosamond Central solar project, became the owner of the Class B membership interests of Rosie Central BESS in order to facilitate and fund the construction of a 147 MW BESS project that will be co-located at the Rosamond Central solar facility. Clearway Renew indirectly owns the Class A membership interests. The Company’s investment consists of $10 million contributed into Rosie Central BESS, funded through contributions from the Company and its cash equity investor in Rosie TargetCo LLC, which consolidates Rosie Class B LLC. On July 3, 2023, Rosie Class B LLC contributed an additional $20 million into Rosie Central BESS. Additionally, on June 30, 2023, Rosamond Central entered into an asset purchase agreement with Rosie Central BESS to acquire the BESS project assets at mechanical completion for a purchase price of $360 million, of which $72 million is payable at mechanical completion with the remaining $288 million payable at substantial completion. The Company will fund $17 million of the purchase price at mechanical completion and $67 million of the purchase price at substantial completion. See Note 4, </w:t>
      </w:r>
      <w:r>
        <w:rPr>
          <w:rFonts w:ascii="Arial" w:cs="Arial" w:eastAsia="Arial" w:hAnsi="Arial"/>
          <w:sz w:val="16"/>
          <w:szCs w:val="16"/>
          <w:i w:val="1"/>
          <w:iCs w:val="1"/>
          <w:color w:val="auto"/>
        </w:rPr>
        <w:t>Investments Accounted for by the</w:t>
      </w:r>
      <w:r>
        <w:rPr>
          <w:rFonts w:ascii="Arial" w:cs="Arial" w:eastAsia="Arial" w:hAnsi="Arial"/>
          <w:sz w:val="16"/>
          <w:szCs w:val="16"/>
          <w:color w:val="auto"/>
        </w:rPr>
        <w:t xml:space="preserve"> </w:t>
      </w:r>
      <w:r>
        <w:rPr>
          <w:rFonts w:ascii="Arial" w:cs="Arial" w:eastAsia="Arial" w:hAnsi="Arial"/>
          <w:sz w:val="16"/>
          <w:szCs w:val="16"/>
          <w:i w:val="1"/>
          <w:iCs w:val="1"/>
          <w:color w:val="auto"/>
        </w:rPr>
        <w:t>Equity Method and Variable Interest Entities</w:t>
      </w:r>
      <w:r>
        <w:rPr>
          <w:rFonts w:ascii="Arial" w:cs="Arial" w:eastAsia="Arial" w:hAnsi="Arial"/>
          <w:sz w:val="16"/>
          <w:szCs w:val="16"/>
          <w:color w:val="auto"/>
        </w:rPr>
        <w:t>, for further discussion of the transactions.</w:t>
      </w:r>
    </w:p>
    <w:p>
      <w:pPr>
        <w:spacing w:after="0" w:line="114" w:lineRule="exact"/>
        <w:rPr>
          <w:rFonts w:ascii="Arial" w:cs="Arial" w:eastAsia="Arial" w:hAnsi="Arial"/>
          <w:sz w:val="16"/>
          <w:szCs w:val="16"/>
          <w:color w:val="auto"/>
        </w:rPr>
      </w:pPr>
    </w:p>
    <w:p>
      <w:pPr>
        <w:jc w:val="both"/>
        <w:ind w:left="660" w:hanging="328"/>
        <w:spacing w:after="0" w:line="255"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On May 19, 2023, the Company, through an indirect subsidiary, entered into an agreement with Clearway Renew to acquire Cedar Creek Holdco LLC, which is the indirect owner of the Cedar Creek wind project, a 160 MW project located in Bingham County, Idaho, for $107 million in cash, subject to customary working capital adjustments. Upon the closing of the transaction, the Company will indirectly own all of the Class B membership interests in Cedar Creek TE Holdco LLC, a tax equity fund which will consolidate the Cedar Creek wind project, while a tax equity investor will own all of the Class A membership interests. The consummation of the transaction is subject to customary closing conditions and certain third-party approvals and is expected in the first half of 2024.</w:t>
      </w:r>
    </w:p>
    <w:p>
      <w:pPr>
        <w:spacing w:after="0" w:line="138" w:lineRule="exact"/>
        <w:rPr>
          <w:rFonts w:ascii="Arial" w:cs="Arial" w:eastAsia="Arial" w:hAnsi="Arial"/>
          <w:sz w:val="18"/>
          <w:szCs w:val="18"/>
          <w:color w:val="auto"/>
        </w:rPr>
      </w:pPr>
    </w:p>
    <w:p>
      <w:pPr>
        <w:jc w:val="both"/>
        <w:ind w:left="660" w:hanging="328"/>
        <w:spacing w:after="0" w:line="301"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On May 3, 2023, the Company entered into an agreement with Clearway Renew to repower the Cedro Hill wind project, which is included in the Capistrano Wind Portfolio and is located in Bruni, Texas. The Company expects to invest approximately $63 million in net corporate capital, subject to closing adjustments. Contingent upon achieving repowering commercial operations in the second half of 2024, the 160 MW project will sell power to its existing counterparty, an investment-grade utility, for an additional 15 years ending in 2045 under an amended PPA.</w:t>
      </w:r>
    </w:p>
    <w:p>
      <w:pPr>
        <w:spacing w:after="0" w:line="103" w:lineRule="exact"/>
        <w:rPr>
          <w:rFonts w:ascii="Arial" w:cs="Arial" w:eastAsia="Arial" w:hAnsi="Arial"/>
          <w:sz w:val="16"/>
          <w:szCs w:val="16"/>
          <w:color w:val="auto"/>
        </w:rPr>
      </w:pPr>
    </w:p>
    <w:p>
      <w:pPr>
        <w:jc w:val="both"/>
        <w:ind w:left="660" w:hanging="328"/>
        <w:spacing w:after="0" w:line="271"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 xml:space="preserve">On February 17, 2023, the Company, through its indirect subsidiary, Daggett Solar Investment LLC, acquired the Class A membership interests in Daggett TargetCo LLC, the indirect owner of the Daggett 3 solar project, a 300 MW solar project with matching storage capacity that is currently under construction, located in San Bernardino, California from Clearway Renew for cash consideration of $21 million. Simultaneously, a cash equity investor acquired the Class B membership interests in Daggett TargetCo LLC from Clearway Renew for cash consideration of $129 million. The Company and the cash equity investor then contributed their Class A and B membership interests, respectively, into Daggett Renewable Holdco LLC, a partnership between the Company and the cash equity investor, which consolidates Daggett TargetCo LLC. Daggett TargetCo LLC consolidates, as the indirect owner of the primary beneficiary, a tax equity fund, Daggett TE Holdco LLC, which owns the Daggett 3 solar project. See Note 3, </w:t>
      </w:r>
      <w:r>
        <w:rPr>
          <w:rFonts w:ascii="Arial" w:cs="Arial" w:eastAsia="Arial" w:hAnsi="Arial"/>
          <w:sz w:val="17"/>
          <w:szCs w:val="17"/>
          <w:i w:val="1"/>
          <w:iCs w:val="1"/>
          <w:color w:val="auto"/>
        </w:rPr>
        <w:t>Acquisitions and Dispositions</w:t>
      </w:r>
      <w:r>
        <w:rPr>
          <w:rFonts w:ascii="Arial" w:cs="Arial" w:eastAsia="Arial" w:hAnsi="Arial"/>
          <w:sz w:val="17"/>
          <w:szCs w:val="17"/>
          <w:color w:val="auto"/>
        </w:rPr>
        <w:t>, for further discussion of the transaction.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Financing Activities</w:t>
      </w:r>
    </w:p>
    <w:p>
      <w:pPr>
        <w:spacing w:after="0" w:line="171" w:lineRule="exact"/>
        <w:rPr>
          <w:sz w:val="20"/>
          <w:szCs w:val="20"/>
          <w:color w:val="auto"/>
        </w:rPr>
      </w:pPr>
    </w:p>
    <w:p>
      <w:pPr>
        <w:ind w:left="660" w:hanging="328"/>
        <w:spacing w:after="0" w:line="277" w:lineRule="auto"/>
        <w:tabs>
          <w:tab w:leader="none" w:pos="660" w:val="left"/>
        </w:tabs>
        <w:numPr>
          <w:ilvl w:val="0"/>
          <w:numId w:val="22"/>
        </w:numPr>
        <w:rPr>
          <w:rFonts w:ascii="Arial" w:cs="Arial" w:eastAsia="Arial" w:hAnsi="Arial"/>
          <w:sz w:val="16"/>
          <w:szCs w:val="16"/>
          <w:b w:val="1"/>
          <w:bCs w:val="1"/>
          <w:i w:val="1"/>
          <w:iCs w:val="1"/>
          <w:color w:val="auto"/>
        </w:rPr>
      </w:pPr>
      <w:r>
        <w:rPr>
          <w:rFonts w:ascii="Arial" w:cs="Arial" w:eastAsia="Arial" w:hAnsi="Arial"/>
          <w:sz w:val="18"/>
          <w:szCs w:val="18"/>
          <w:color w:val="auto"/>
        </w:rPr>
        <w:t xml:space="preserve">On March 15, 2023, Clearway Energy Operating LLC refinanced the Amended and Restated Credit Agreement. See Note 7, </w:t>
      </w:r>
      <w:r>
        <w:rPr>
          <w:rFonts w:ascii="Arial" w:cs="Arial" w:eastAsia="Arial" w:hAnsi="Arial"/>
          <w:sz w:val="18"/>
          <w:szCs w:val="18"/>
          <w:i w:val="1"/>
          <w:iCs w:val="1"/>
          <w:color w:val="auto"/>
        </w:rPr>
        <w:t>Long-term Debt</w:t>
      </w:r>
      <w:r>
        <w:rPr>
          <w:rFonts w:ascii="Arial" w:cs="Arial" w:eastAsia="Arial" w:hAnsi="Arial"/>
          <w:sz w:val="18"/>
          <w:szCs w:val="18"/>
          <w:color w:val="auto"/>
        </w:rPr>
        <w:t>, for further discussion of the amendment.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Project-level Financing Activities</w:t>
      </w:r>
    </w:p>
    <w:p>
      <w:pPr>
        <w:spacing w:after="0" w:line="171" w:lineRule="exact"/>
        <w:rPr>
          <w:sz w:val="20"/>
          <w:szCs w:val="20"/>
          <w:color w:val="auto"/>
        </w:rPr>
      </w:pPr>
    </w:p>
    <w:p>
      <w:pPr>
        <w:ind w:left="660" w:hanging="328"/>
        <w:spacing w:after="0" w:line="308" w:lineRule="auto"/>
        <w:tabs>
          <w:tab w:leader="none" w:pos="660" w:val="left"/>
        </w:tabs>
        <w:numPr>
          <w:ilvl w:val="0"/>
          <w:numId w:val="23"/>
        </w:numPr>
        <w:rPr>
          <w:rFonts w:ascii="Arial" w:cs="Arial" w:eastAsia="Arial" w:hAnsi="Arial"/>
          <w:sz w:val="15"/>
          <w:szCs w:val="15"/>
          <w:b w:val="1"/>
          <w:bCs w:val="1"/>
          <w:i w:val="1"/>
          <w:iCs w:val="1"/>
          <w:color w:val="auto"/>
        </w:rPr>
      </w:pPr>
      <w:r>
        <w:rPr>
          <w:rFonts w:ascii="Arial" w:cs="Arial" w:eastAsia="Arial" w:hAnsi="Arial"/>
          <w:sz w:val="17"/>
          <w:szCs w:val="17"/>
          <w:color w:val="auto"/>
        </w:rPr>
        <w:t xml:space="preserve">In connection with the 2022 Drop Down of Waiawa and the 2023 Drop Down of Daggett 3, the Company assumed non-recourse project-level debt. See Note 7, </w:t>
      </w:r>
      <w:r>
        <w:rPr>
          <w:rFonts w:ascii="Arial" w:cs="Arial" w:eastAsia="Arial" w:hAnsi="Arial"/>
          <w:sz w:val="17"/>
          <w:szCs w:val="17"/>
          <w:i w:val="1"/>
          <w:iCs w:val="1"/>
          <w:color w:val="auto"/>
        </w:rPr>
        <w:t>Long-term Debt</w:t>
      </w:r>
      <w:r>
        <w:rPr>
          <w:rFonts w:ascii="Arial" w:cs="Arial" w:eastAsia="Arial" w:hAnsi="Arial"/>
          <w:sz w:val="17"/>
          <w:szCs w:val="17"/>
          <w:color w:val="auto"/>
        </w:rPr>
        <w:t>, for further discussion of the non-recourse project-level debt associated with each project.</w:t>
      </w:r>
    </w:p>
    <w:p>
      <w:pPr>
        <w:spacing w:after="0" w:line="92" w:lineRule="exact"/>
        <w:rPr>
          <w:rFonts w:ascii="Arial" w:cs="Arial" w:eastAsia="Arial" w:hAnsi="Arial"/>
          <w:sz w:val="15"/>
          <w:szCs w:val="15"/>
          <w:b w:val="1"/>
          <w:bCs w:val="1"/>
          <w:i w:val="1"/>
          <w:iCs w:val="1"/>
          <w:color w:val="auto"/>
        </w:rPr>
      </w:pPr>
    </w:p>
    <w:p>
      <w:pPr>
        <w:jc w:val="both"/>
        <w:ind w:left="660" w:hanging="328"/>
        <w:spacing w:after="0" w:line="259" w:lineRule="auto"/>
        <w:tabs>
          <w:tab w:leader="none" w:pos="660" w:val="left"/>
        </w:tabs>
        <w:numPr>
          <w:ilvl w:val="0"/>
          <w:numId w:val="23"/>
        </w:numPr>
        <w:rPr>
          <w:rFonts w:ascii="Arial" w:cs="Arial" w:eastAsia="Arial" w:hAnsi="Arial"/>
          <w:sz w:val="16"/>
          <w:szCs w:val="16"/>
          <w:b w:val="1"/>
          <w:bCs w:val="1"/>
          <w:i w:val="1"/>
          <w:iCs w:val="1"/>
          <w:color w:val="auto"/>
        </w:rPr>
      </w:pPr>
      <w:r>
        <w:rPr>
          <w:rFonts w:ascii="Arial" w:cs="Arial" w:eastAsia="Arial" w:hAnsi="Arial"/>
          <w:sz w:val="18"/>
          <w:szCs w:val="18"/>
          <w:color w:val="auto"/>
        </w:rPr>
        <w:t xml:space="preserve">On June 30, 2023, Rosie Class B LLC amended its financing agreement. On July 3, 2023, the Company received total loan proceeds of $138 million under the refinancing. Also on July 3, 2023, Rosie Class B LLC issued a loan to a consolidated subsidiary of Clearway Renew in the aggregate principal amount of $117 million in order to finance the construction of the BESS project. See Note 7, </w:t>
      </w:r>
      <w:r>
        <w:rPr>
          <w:rFonts w:ascii="Arial" w:cs="Arial" w:eastAsia="Arial" w:hAnsi="Arial"/>
          <w:sz w:val="18"/>
          <w:szCs w:val="18"/>
          <w:i w:val="1"/>
          <w:iCs w:val="1"/>
          <w:color w:val="auto"/>
        </w:rPr>
        <w:t>Long-term Debt</w:t>
      </w:r>
      <w:r>
        <w:rPr>
          <w:rFonts w:ascii="Arial" w:cs="Arial" w:eastAsia="Arial" w:hAnsi="Arial"/>
          <w:sz w:val="18"/>
          <w:szCs w:val="18"/>
          <w:color w:val="auto"/>
        </w:rPr>
        <w:t>, for further discussion of the project financing activities.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Environmental Matters</w:t>
      </w:r>
    </w:p>
    <w:p>
      <w:pPr>
        <w:spacing w:after="0" w:line="17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 is subject to a wide range of environmental laws during the development, construction, ownership and operation of facilities. These existing and future laws generally require that governmental permits and approvals be obtained before construction and maintained during operation of facilities. The Company is obligated to comply with all environmental laws and regulations applicable within each jurisdiction and required to implement environmental programs and procedures to monitor and control risks associated with the construction, operation and decommissioning of regulated or permitted energy assets. Federal and state environmental laws have historically become more stringent over time, although this trend could change in the future.</w:t>
      </w:r>
    </w:p>
    <w:p>
      <w:pPr>
        <w:spacing w:after="0" w:line="13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 xml:space="preserve">The Company’s environmental matters are further described in the Company’s 2022 Form 10-K in Item 1,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 </w:t>
      </w:r>
      <w:r>
        <w:rPr>
          <w:rFonts w:ascii="Arial" w:cs="Arial" w:eastAsia="Arial" w:hAnsi="Arial"/>
          <w:sz w:val="18"/>
          <w:szCs w:val="18"/>
          <w:i w:val="1"/>
          <w:iCs w:val="1"/>
          <w:color w:val="auto"/>
        </w:rPr>
        <w:t>Environmental Matters</w:t>
      </w:r>
      <w:r>
        <w:rPr>
          <w:rFonts w:ascii="Arial" w:cs="Arial" w:eastAsia="Arial" w:hAnsi="Arial"/>
          <w:sz w:val="18"/>
          <w:szCs w:val="18"/>
          <w:color w:val="auto"/>
        </w:rPr>
        <w:t xml:space="preserve"> and Item 1A,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75"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 xml:space="preserve">The Company’s regulatory matters are described in the Company’s 2022 Form 10-K in Item 1,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 </w:t>
      </w:r>
      <w:r>
        <w:rPr>
          <w:rFonts w:ascii="Arial" w:cs="Arial" w:eastAsia="Arial" w:hAnsi="Arial"/>
          <w:sz w:val="18"/>
          <w:szCs w:val="18"/>
          <w:i w:val="1"/>
          <w:iCs w:val="1"/>
          <w:color w:val="auto"/>
        </w:rPr>
        <w:t>Regulatory Matters</w:t>
      </w:r>
      <w:r>
        <w:rPr>
          <w:rFonts w:ascii="Arial" w:cs="Arial" w:eastAsia="Arial" w:hAnsi="Arial"/>
          <w:sz w:val="18"/>
          <w:szCs w:val="18"/>
          <w:color w:val="auto"/>
        </w:rPr>
        <w:t xml:space="preserve"> and Item 1A, </w:t>
      </w:r>
      <w:r>
        <w:rPr>
          <w:rFonts w:ascii="Arial" w:cs="Arial" w:eastAsia="Arial" w:hAnsi="Arial"/>
          <w:sz w:val="18"/>
          <w:szCs w:val="18"/>
          <w:i w:val="1"/>
          <w:iCs w:val="1"/>
          <w:color w:val="auto"/>
        </w:rPr>
        <w:t>Risk</w:t>
      </w:r>
      <w:r>
        <w:rPr>
          <w:rFonts w:ascii="Arial" w:cs="Arial" w:eastAsia="Arial" w:hAnsi="Arial"/>
          <w:sz w:val="18"/>
          <w:szCs w:val="18"/>
          <w:color w:val="auto"/>
        </w:rPr>
        <w:t xml:space="preserve"> </w:t>
      </w:r>
      <w:r>
        <w:rPr>
          <w:rFonts w:ascii="Arial" w:cs="Arial" w:eastAsia="Arial" w:hAnsi="Arial"/>
          <w:sz w:val="18"/>
          <w:szCs w:val="18"/>
          <w:i w:val="1"/>
          <w:iCs w:val="1"/>
          <w:color w:val="auto"/>
        </w:rPr>
        <w:t>Factors.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provides selected financial information:</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00" w:type="dxa"/>
            <w:vAlign w:val="bottom"/>
            <w:gridSpan w:val="9"/>
          </w:tcPr>
          <w:p>
            <w:pPr>
              <w:jc w:val="right"/>
              <w:ind w:right="780"/>
              <w:spacing w:after="0"/>
              <w:rPr>
                <w:sz w:val="20"/>
                <w:szCs w:val="20"/>
                <w:color w:val="auto"/>
              </w:rPr>
            </w:pPr>
            <w:r>
              <w:rPr>
                <w:rFonts w:ascii="Arial" w:cs="Arial" w:eastAsia="Arial" w:hAnsi="Arial"/>
                <w:sz w:val="14"/>
                <w:szCs w:val="14"/>
                <w:b w:val="1"/>
                <w:bCs w:val="1"/>
                <w:color w:val="auto"/>
                <w:w w:val="96"/>
              </w:rPr>
              <w:t>Three months ended June 30,</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40" w:type="dxa"/>
            <w:vAlign w:val="bottom"/>
            <w:gridSpan w:val="9"/>
          </w:tcPr>
          <w:p>
            <w:pPr>
              <w:jc w:val="center"/>
              <w:ind w:right="211"/>
              <w:spacing w:after="0"/>
              <w:rPr>
                <w:sz w:val="20"/>
                <w:szCs w:val="20"/>
                <w:color w:val="auto"/>
              </w:rPr>
            </w:pPr>
            <w:r>
              <w:rPr>
                <w:rFonts w:ascii="Arial" w:cs="Arial" w:eastAsia="Arial" w:hAnsi="Arial"/>
                <w:sz w:val="14"/>
                <w:szCs w:val="14"/>
                <w:b w:val="1"/>
                <w:bCs w:val="1"/>
                <w:color w:val="auto"/>
                <w:w w:val="89"/>
              </w:rPr>
              <w:t>Six months ended June 30,</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20" w:type="dxa"/>
            <w:vAlign w:val="bottom"/>
            <w:gridSpan w:val="2"/>
            <w:vMerge w:val="continue"/>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254"/>
              <w:spacing w:after="0" w:line="142" w:lineRule="exact"/>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256"/>
              <w:spacing w:after="0" w:line="142" w:lineRule="exact"/>
              <w:rPr>
                <w:sz w:val="20"/>
                <w:szCs w:val="20"/>
                <w:color w:val="auto"/>
              </w:rPr>
            </w:pPr>
            <w:r>
              <w:rPr>
                <w:rFonts w:ascii="Arial" w:cs="Arial" w:eastAsia="Arial" w:hAnsi="Arial"/>
                <w:sz w:val="14"/>
                <w:szCs w:val="14"/>
                <w:b w:val="1"/>
                <w:bCs w:val="1"/>
                <w:color w:val="auto"/>
              </w:rPr>
              <w:t>2023</w:t>
            </w:r>
          </w:p>
        </w:tc>
        <w:tc>
          <w:tcPr>
            <w:tcW w:w="820" w:type="dxa"/>
            <w:vAlign w:val="bottom"/>
            <w:tcBorders>
              <w:top w:val="single" w:sz="8" w:color="auto"/>
            </w:tcBorders>
            <w:gridSpan w:val="4"/>
          </w:tcPr>
          <w:p>
            <w:pPr>
              <w:jc w:val="right"/>
              <w:ind w:right="80"/>
              <w:spacing w:after="0" w:line="142" w:lineRule="exact"/>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20" w:type="dxa"/>
            <w:vAlign w:val="bottom"/>
          </w:tcPr>
          <w:p>
            <w:pPr>
              <w:spacing w:after="0" w:line="20" w:lineRule="exact"/>
              <w:rPr>
                <w:sz w:val="1"/>
                <w:szCs w:val="1"/>
                <w:color w:val="auto"/>
              </w:rPr>
            </w:pPr>
          </w:p>
        </w:tc>
        <w:tc>
          <w:tcPr>
            <w:tcW w:w="482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Operating Revenues</w:t>
            </w: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8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shd w:val="clear" w:color="auto" w:fill="CCEEFF"/>
          </w:tcPr>
          <w:p>
            <w:pPr>
              <w:spacing w:after="0"/>
              <w:rPr>
                <w:sz w:val="21"/>
                <w:szCs w:val="21"/>
                <w:color w:val="auto"/>
              </w:rPr>
            </w:pPr>
          </w:p>
        </w:tc>
        <w:tc>
          <w:tcPr>
            <w:tcW w:w="48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Energy and capacity revenues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5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5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791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20" w:type="dxa"/>
            <w:vAlign w:val="bottom"/>
            <w:gridSpan w:val="2"/>
          </w:tcPr>
          <w:p>
            <w:pPr>
              <w:ind w:left="120"/>
              <w:spacing w:after="0"/>
              <w:rPr>
                <w:sz w:val="20"/>
                <w:szCs w:val="20"/>
                <w:color w:val="auto"/>
              </w:rPr>
            </w:pPr>
            <w:r>
              <w:rPr>
                <w:rFonts w:ascii="Arial" w:cs="Arial" w:eastAsia="Arial" w:hAnsi="Arial"/>
                <w:sz w:val="17"/>
                <w:szCs w:val="17"/>
                <w:color w:val="auto"/>
              </w:rPr>
              <w:t>Other revenue</w:t>
            </w:r>
          </w:p>
        </w:tc>
        <w:tc>
          <w:tcPr>
            <w:tcW w:w="2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gridSpan w:val="3"/>
          </w:tcPr>
          <w:p>
            <w:pPr>
              <w:jc w:val="right"/>
              <w:ind w:right="6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8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Contract amortization</w:t>
            </w:r>
          </w:p>
        </w:tc>
        <w:tc>
          <w:tcPr>
            <w:tcW w:w="2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482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Mark-to-market for economic hedges</w:t>
            </w:r>
          </w:p>
        </w:tc>
        <w:tc>
          <w:tcPr>
            <w:tcW w:w="2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(178)</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48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 operating revenues</w:t>
            </w: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368</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582</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gridSpan w:val="2"/>
          </w:tcPr>
          <w:p>
            <w:pPr>
              <w:spacing w:after="0"/>
              <w:rPr>
                <w:sz w:val="20"/>
                <w:szCs w:val="20"/>
                <w:color w:val="auto"/>
              </w:rPr>
            </w:pPr>
            <w:r>
              <w:rPr>
                <w:rFonts w:ascii="Arial" w:cs="Arial" w:eastAsia="Arial" w:hAnsi="Arial"/>
                <w:sz w:val="18"/>
                <w:szCs w:val="18"/>
                <w:b w:val="1"/>
                <w:bCs w:val="1"/>
                <w:color w:val="auto"/>
              </w:rPr>
              <w:t>Operating Costs and Expenses</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8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Cost of fuels</w:t>
            </w:r>
          </w:p>
        </w:tc>
        <w:tc>
          <w:tcPr>
            <w:tcW w:w="2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20" w:type="dxa"/>
            <w:vAlign w:val="bottom"/>
            <w:gridSpan w:val="2"/>
          </w:tcPr>
          <w:p>
            <w:pPr>
              <w:ind w:left="120"/>
              <w:spacing w:after="0"/>
              <w:rPr>
                <w:sz w:val="20"/>
                <w:szCs w:val="20"/>
                <w:color w:val="auto"/>
              </w:rPr>
            </w:pPr>
            <w:r>
              <w:rPr>
                <w:rFonts w:ascii="Arial" w:cs="Arial" w:eastAsia="Arial" w:hAnsi="Arial"/>
                <w:sz w:val="18"/>
                <w:szCs w:val="18"/>
                <w:color w:val="auto"/>
              </w:rPr>
              <w:t>Operations and maintenance</w:t>
            </w:r>
          </w:p>
        </w:tc>
        <w:tc>
          <w:tcPr>
            <w:tcW w:w="24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0" w:type="dxa"/>
            <w:vAlign w:val="bottom"/>
            <w:gridSpan w:val="3"/>
          </w:tcPr>
          <w:p>
            <w:pPr>
              <w:jc w:val="right"/>
              <w:ind w:right="60"/>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48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 costs of operations</w:t>
            </w:r>
          </w:p>
        </w:tc>
        <w:tc>
          <w:tcPr>
            <w:tcW w:w="2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5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20" w:type="dxa"/>
            <w:vAlign w:val="bottom"/>
            <w:gridSpan w:val="2"/>
          </w:tcPr>
          <w:p>
            <w:pPr>
              <w:ind w:left="120"/>
              <w:spacing w:after="0"/>
              <w:rPr>
                <w:sz w:val="20"/>
                <w:szCs w:val="20"/>
                <w:color w:val="auto"/>
              </w:rPr>
            </w:pPr>
            <w:r>
              <w:rPr>
                <w:rFonts w:ascii="Arial" w:cs="Arial" w:eastAsia="Arial" w:hAnsi="Arial"/>
                <w:sz w:val="18"/>
                <w:szCs w:val="18"/>
                <w:color w:val="auto"/>
              </w:rPr>
              <w:t>Depreciation, amortization and accretion</w:t>
            </w:r>
          </w:p>
        </w:tc>
        <w:tc>
          <w:tcPr>
            <w:tcW w:w="2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gridSpan w:val="3"/>
          </w:tcPr>
          <w:p>
            <w:pPr>
              <w:jc w:val="right"/>
              <w:ind w:right="60"/>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8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5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20" w:type="dxa"/>
            <w:vAlign w:val="bottom"/>
            <w:gridSpan w:val="2"/>
          </w:tcPr>
          <w:p>
            <w:pPr>
              <w:ind w:left="120"/>
              <w:spacing w:after="0"/>
              <w:rPr>
                <w:sz w:val="20"/>
                <w:szCs w:val="20"/>
                <w:color w:val="auto"/>
              </w:rPr>
            </w:pPr>
            <w:r>
              <w:rPr>
                <w:rFonts w:ascii="Arial" w:cs="Arial" w:eastAsia="Arial" w:hAnsi="Arial"/>
                <w:sz w:val="17"/>
                <w:szCs w:val="17"/>
                <w:color w:val="auto"/>
              </w:rPr>
              <w:t>Transaction and integration costs</w:t>
            </w:r>
          </w:p>
        </w:tc>
        <w:tc>
          <w:tcPr>
            <w:tcW w:w="2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gridSpan w:val="3"/>
          </w:tcPr>
          <w:p>
            <w:pPr>
              <w:jc w:val="right"/>
              <w:ind w:right="6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19"/>
                <w:szCs w:val="19"/>
                <w:color w:val="auto"/>
              </w:rPr>
            </w:pPr>
          </w:p>
        </w:tc>
        <w:tc>
          <w:tcPr>
            <w:tcW w:w="48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Development costs</w:t>
            </w:r>
          </w:p>
        </w:tc>
        <w:tc>
          <w:tcPr>
            <w:tcW w:w="2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gridSpan w:val="2"/>
          </w:tcPr>
          <w:p>
            <w:pPr>
              <w:ind w:left="200"/>
              <w:spacing w:after="0"/>
              <w:rPr>
                <w:sz w:val="20"/>
                <w:szCs w:val="20"/>
                <w:color w:val="auto"/>
              </w:rPr>
            </w:pPr>
            <w:r>
              <w:rPr>
                <w:rFonts w:ascii="Arial" w:cs="Arial" w:eastAsia="Arial" w:hAnsi="Arial"/>
                <w:sz w:val="18"/>
                <w:szCs w:val="18"/>
                <w:color w:val="auto"/>
              </w:rPr>
              <w:t>Total operating costs and expenses</w:t>
            </w:r>
          </w:p>
        </w:tc>
        <w:tc>
          <w:tcPr>
            <w:tcW w:w="24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503</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0" w:type="dxa"/>
            <w:vAlign w:val="bottom"/>
            <w:gridSpan w:val="3"/>
          </w:tcPr>
          <w:p>
            <w:pPr>
              <w:jc w:val="right"/>
              <w:ind w:right="60"/>
              <w:spacing w:after="0"/>
              <w:rPr>
                <w:sz w:val="20"/>
                <w:szCs w:val="20"/>
                <w:color w:val="auto"/>
              </w:rPr>
            </w:pPr>
            <w:r>
              <w:rPr>
                <w:rFonts w:ascii="Arial" w:cs="Arial" w:eastAsia="Arial" w:hAnsi="Arial"/>
                <w:sz w:val="18"/>
                <w:szCs w:val="18"/>
                <w:color w:val="auto"/>
              </w:rPr>
              <w:t>518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4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Gain on sale of business</w:t>
            </w:r>
          </w:p>
        </w:tc>
        <w:tc>
          <w:tcPr>
            <w:tcW w:w="24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1,291</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(1,291)</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7"/>
              </w:rPr>
              <w:t>1,291</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1,408</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(1,259)</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w w:val="97"/>
              </w:rPr>
              <w:t>1,355</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(1,164)</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20" w:type="dxa"/>
            <w:vAlign w:val="bottom"/>
            <w:gridSpan w:val="2"/>
          </w:tcPr>
          <w:p>
            <w:pPr>
              <w:ind w:left="120"/>
              <w:spacing w:after="0"/>
              <w:rPr>
                <w:sz w:val="20"/>
                <w:szCs w:val="20"/>
                <w:color w:val="auto"/>
              </w:rPr>
            </w:pPr>
            <w:r>
              <w:rPr>
                <w:rFonts w:ascii="Arial" w:cs="Arial" w:eastAsia="Arial" w:hAnsi="Arial"/>
                <w:sz w:val="18"/>
                <w:szCs w:val="18"/>
                <w:color w:val="auto"/>
              </w:rPr>
              <w:t>Equity in earnings of unconsolidated affiliates</w:t>
            </w:r>
          </w:p>
        </w:tc>
        <w:tc>
          <w:tcPr>
            <w:tcW w:w="2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gridSpan w:val="3"/>
          </w:tcPr>
          <w:p>
            <w:pPr>
              <w:jc w:val="right"/>
              <w:ind w:right="6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8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 income, net</w:t>
            </w:r>
          </w:p>
        </w:tc>
        <w:tc>
          <w:tcPr>
            <w:tcW w:w="24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5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gridSpan w:val="2"/>
          </w:tcPr>
          <w:p>
            <w:pPr>
              <w:ind w:left="120"/>
              <w:spacing w:after="0"/>
              <w:rPr>
                <w:sz w:val="20"/>
                <w:szCs w:val="20"/>
                <w:color w:val="auto"/>
              </w:rPr>
            </w:pPr>
            <w:r>
              <w:rPr>
                <w:rFonts w:ascii="Arial" w:cs="Arial" w:eastAsia="Arial" w:hAnsi="Arial"/>
                <w:sz w:val="18"/>
                <w:szCs w:val="18"/>
                <w:color w:val="auto"/>
              </w:rPr>
              <w:t>Loss on debt extinguishment</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8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Derivative interest income</w:t>
            </w:r>
          </w:p>
        </w:tc>
        <w:tc>
          <w:tcPr>
            <w:tcW w:w="2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482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Other interest expense</w:t>
            </w:r>
          </w:p>
        </w:tc>
        <w:tc>
          <w:tcPr>
            <w:tcW w:w="2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48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 other expense, net</w:t>
            </w: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1,376</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(1,270)</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w w:val="97"/>
              </w:rPr>
              <w:t>1,278</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(1,224)</w:t>
            </w: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4820" w:type="dxa"/>
            <w:vAlign w:val="bottom"/>
            <w:gridSpan w:val="2"/>
            <w:shd w:val="clear" w:color="auto" w:fill="CCEEFF"/>
          </w:tcPr>
          <w:p>
            <w:pPr>
              <w:ind w:left="120"/>
              <w:spacing w:after="0" w:line="169" w:lineRule="exact"/>
              <w:rPr>
                <w:sz w:val="20"/>
                <w:szCs w:val="20"/>
                <w:color w:val="auto"/>
              </w:rPr>
            </w:pPr>
            <w:r>
              <w:rPr>
                <w:rFonts w:ascii="Arial" w:cs="Arial" w:eastAsia="Arial" w:hAnsi="Arial"/>
                <w:sz w:val="18"/>
                <w:szCs w:val="18"/>
                <w:color w:val="auto"/>
              </w:rPr>
              <w:t>Less: Net loss attributable to noncontrolling interests and</w:t>
            </w: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52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shd w:val="clear" w:color="auto" w:fill="CCEEFF"/>
          </w:tcPr>
          <w:p>
            <w:pPr>
              <w:spacing w:after="0"/>
              <w:rPr>
                <w:sz w:val="19"/>
                <w:szCs w:val="19"/>
                <w:color w:val="auto"/>
              </w:rPr>
            </w:pPr>
          </w:p>
        </w:tc>
        <w:tc>
          <w:tcPr>
            <w:tcW w:w="48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redeemable noncontrolling interests</w:t>
            </w:r>
          </w:p>
        </w:tc>
        <w:tc>
          <w:tcPr>
            <w:tcW w:w="2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gridSpan w:val="2"/>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gridSpan w:val="2"/>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gridSpan w:val="3"/>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gridSpan w:val="2"/>
          </w:tcPr>
          <w:p>
            <w:pPr>
              <w:spacing w:after="0"/>
              <w:rPr>
                <w:sz w:val="20"/>
                <w:szCs w:val="20"/>
                <w:color w:val="auto"/>
              </w:rPr>
            </w:pPr>
            <w:r>
              <w:rPr>
                <w:rFonts w:ascii="Arial" w:cs="Arial" w:eastAsia="Arial" w:hAnsi="Arial"/>
                <w:sz w:val="18"/>
                <w:szCs w:val="18"/>
                <w:b w:val="1"/>
                <w:bCs w:val="1"/>
                <w:color w:val="auto"/>
              </w:rPr>
              <w:t>Net Income Attributable to Clearway Energy LLC</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1,382</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(1,276)</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w w:val="97"/>
              </w:rPr>
              <w:t>1,324</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4"/>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80" w:type="dxa"/>
            <w:vAlign w:val="bottom"/>
            <w:gridSpan w:val="7"/>
          </w:tcPr>
          <w:p>
            <w:pPr>
              <w:jc w:val="right"/>
              <w:ind w:right="340"/>
              <w:spacing w:after="0"/>
              <w:rPr>
                <w:sz w:val="20"/>
                <w:szCs w:val="20"/>
                <w:color w:val="auto"/>
              </w:rPr>
            </w:pPr>
            <w:r>
              <w:rPr>
                <w:rFonts w:ascii="Arial" w:cs="Arial" w:eastAsia="Arial" w:hAnsi="Arial"/>
                <w:sz w:val="14"/>
                <w:szCs w:val="14"/>
                <w:b w:val="1"/>
                <w:bCs w:val="1"/>
                <w:color w:val="auto"/>
                <w:w w:val="92"/>
              </w:rPr>
              <w:t>Three months ended June 30,</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40" w:type="dxa"/>
            <w:vAlign w:val="bottom"/>
            <w:gridSpan w:val="9"/>
          </w:tcPr>
          <w:p>
            <w:pPr>
              <w:jc w:val="right"/>
              <w:ind w:right="51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4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Business metrics:</w:t>
            </w: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gridSpan w:val="3"/>
          </w:tcPr>
          <w:p>
            <w:pPr>
              <w:ind w:left="140"/>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ind w:right="131"/>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4"/>
          </w:tcPr>
          <w:p>
            <w:pPr>
              <w:jc w:val="right"/>
              <w:ind w:right="290"/>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451"/>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4820" w:type="dxa"/>
            <w:vAlign w:val="bottom"/>
            <w:tcBorders>
              <w:top w:val="single" w:sz="8" w:color="CCEEFF"/>
            </w:tcBorders>
            <w:gridSpan w:val="2"/>
            <w:shd w:val="clear" w:color="auto" w:fill="CCEEFF"/>
          </w:tcPr>
          <w:p>
            <w:pPr>
              <w:ind w:left="120"/>
              <w:spacing w:after="0" w:line="223" w:lineRule="exact"/>
              <w:rPr>
                <w:sz w:val="20"/>
                <w:szCs w:val="20"/>
                <w:color w:val="auto"/>
              </w:rPr>
            </w:pPr>
            <w:r>
              <w:rPr>
                <w:rFonts w:ascii="Arial" w:cs="Arial" w:eastAsia="Arial" w:hAnsi="Arial"/>
                <w:sz w:val="18"/>
                <w:szCs w:val="18"/>
                <w:color w:val="auto"/>
              </w:rPr>
              <w:t xml:space="preserve">Solar MWh generated/sold (in thousands) </w:t>
            </w:r>
            <w:r>
              <w:rPr>
                <w:rFonts w:ascii="Arial" w:cs="Arial" w:eastAsia="Arial" w:hAnsi="Arial"/>
                <w:sz w:val="23"/>
                <w:szCs w:val="23"/>
                <w:color w:val="auto"/>
                <w:vertAlign w:val="superscript"/>
              </w:rPr>
              <w:t>(a)</w:t>
            </w:r>
          </w:p>
        </w:tc>
        <w:tc>
          <w:tcPr>
            <w:tcW w:w="2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1,544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1,538</w:t>
            </w:r>
          </w:p>
        </w:tc>
        <w:tc>
          <w:tcPr>
            <w:tcW w:w="2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2,410</w:t>
            </w:r>
          </w:p>
        </w:tc>
        <w:tc>
          <w:tcPr>
            <w:tcW w:w="1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2,598</w:t>
            </w: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4820" w:type="dxa"/>
            <w:vAlign w:val="bottom"/>
            <w:tcBorders>
              <w:bottom w:val="single" w:sz="8" w:color="CCEEFF"/>
            </w:tcBorders>
            <w:gridSpan w:val="2"/>
          </w:tcPr>
          <w:p>
            <w:pPr>
              <w:ind w:left="120"/>
              <w:spacing w:after="0" w:line="243" w:lineRule="exact"/>
              <w:rPr>
                <w:sz w:val="20"/>
                <w:szCs w:val="20"/>
                <w:color w:val="auto"/>
              </w:rPr>
            </w:pPr>
            <w:r>
              <w:rPr>
                <w:rFonts w:ascii="Arial" w:cs="Arial" w:eastAsia="Arial" w:hAnsi="Arial"/>
                <w:sz w:val="18"/>
                <w:szCs w:val="18"/>
                <w:color w:val="auto"/>
              </w:rPr>
              <w:t xml:space="preserve">Wind MWh generated/sold (in thousands) </w:t>
            </w:r>
            <w:r>
              <w:rPr>
                <w:rFonts w:ascii="Arial" w:cs="Arial" w:eastAsia="Arial" w:hAnsi="Arial"/>
                <w:sz w:val="23"/>
                <w:szCs w:val="23"/>
                <w:color w:val="auto"/>
                <w:vertAlign w:val="superscript"/>
              </w:rPr>
              <w:t>(a)</w:t>
            </w:r>
          </w:p>
        </w:tc>
        <w:tc>
          <w:tcPr>
            <w:tcW w:w="24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2,433</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2,878</w:t>
            </w:r>
          </w:p>
        </w:tc>
        <w:tc>
          <w:tcPr>
            <w:tcW w:w="2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5,177</w:t>
            </w:r>
          </w:p>
        </w:tc>
        <w:tc>
          <w:tcPr>
            <w:tcW w:w="1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5,137</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820" w:type="dxa"/>
            <w:vAlign w:val="bottom"/>
            <w:tcBorders>
              <w:bottom w:val="single" w:sz="8" w:color="CCEEFF"/>
            </w:tcBorders>
            <w:gridSpan w:val="2"/>
            <w:shd w:val="clear" w:color="auto" w:fill="CCEEFF"/>
          </w:tcPr>
          <w:p>
            <w:pPr>
              <w:spacing w:after="0" w:line="223" w:lineRule="exact"/>
              <w:rPr>
                <w:sz w:val="20"/>
                <w:szCs w:val="20"/>
                <w:color w:val="auto"/>
              </w:rPr>
            </w:pPr>
            <w:r>
              <w:rPr>
                <w:rFonts w:ascii="Arial" w:cs="Arial" w:eastAsia="Arial" w:hAnsi="Arial"/>
                <w:sz w:val="18"/>
                <w:szCs w:val="18"/>
                <w:color w:val="auto"/>
              </w:rPr>
              <w:t xml:space="preserve">Renewables MWh generated/sold (in thousands) </w:t>
            </w:r>
            <w:r>
              <w:rPr>
                <w:rFonts w:ascii="Arial" w:cs="Arial" w:eastAsia="Arial" w:hAnsi="Arial"/>
                <w:sz w:val="23"/>
                <w:szCs w:val="23"/>
                <w:color w:val="auto"/>
                <w:vertAlign w:val="superscript"/>
              </w:rPr>
              <w:t>(a)</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3,977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4,416</w:t>
            </w:r>
          </w:p>
        </w:tc>
        <w:tc>
          <w:tcPr>
            <w:tcW w:w="2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7,587</w:t>
            </w:r>
          </w:p>
        </w:tc>
        <w:tc>
          <w:tcPr>
            <w:tcW w:w="1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7,735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20" w:type="dxa"/>
            <w:vAlign w:val="bottom"/>
            <w:tcBorders>
              <w:top w:val="single" w:sz="8" w:color="CCEEFF"/>
            </w:tcBorders>
            <w:gridSpan w:val="2"/>
            <w:vMerge w:val="restart"/>
          </w:tcPr>
          <w:p>
            <w:pPr>
              <w:spacing w:after="0" w:line="243" w:lineRule="exact"/>
              <w:rPr>
                <w:sz w:val="20"/>
                <w:szCs w:val="20"/>
                <w:color w:val="auto"/>
              </w:rPr>
            </w:pPr>
            <w:r>
              <w:rPr>
                <w:rFonts w:ascii="Arial" w:cs="Arial" w:eastAsia="Arial" w:hAnsi="Arial"/>
                <w:sz w:val="18"/>
                <w:szCs w:val="18"/>
                <w:color w:val="auto"/>
              </w:rPr>
              <w:t xml:space="preserve">Thermal MWt sold (in thousands) </w:t>
            </w:r>
            <w:r>
              <w:rPr>
                <w:rFonts w:ascii="Arial" w:cs="Arial" w:eastAsia="Arial" w:hAnsi="Arial"/>
                <w:sz w:val="23"/>
                <w:szCs w:val="23"/>
                <w:color w:val="auto"/>
                <w:vertAlign w:val="superscript"/>
              </w:rPr>
              <w:t>(b)</w:t>
            </w: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820" w:type="dxa"/>
            <w:vAlign w:val="bottom"/>
            <w:tcBorders>
              <w:top w:val="single" w:sz="8" w:color="CCEEFF"/>
            </w:tcBorders>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131"/>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183</w:t>
            </w:r>
          </w:p>
        </w:tc>
        <w:tc>
          <w:tcPr>
            <w:tcW w:w="2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ind w:right="131"/>
              <w:spacing w:after="0" w:line="203" w:lineRule="exact"/>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820" w:type="dxa"/>
            <w:vAlign w:val="bottom"/>
            <w:gridSpan w:val="2"/>
            <w:shd w:val="clear" w:color="auto" w:fill="CCEEFF"/>
          </w:tcPr>
          <w:p>
            <w:pPr>
              <w:spacing w:after="0" w:line="243" w:lineRule="exact"/>
              <w:rPr>
                <w:sz w:val="20"/>
                <w:szCs w:val="20"/>
                <w:color w:val="auto"/>
              </w:rPr>
            </w:pPr>
            <w:r>
              <w:rPr>
                <w:rFonts w:ascii="Arial" w:cs="Arial" w:eastAsia="Arial" w:hAnsi="Arial"/>
                <w:sz w:val="18"/>
                <w:szCs w:val="18"/>
                <w:color w:val="auto"/>
              </w:rPr>
              <w:t xml:space="preserve">Thermal MWh sold (in thousands) </w:t>
            </w:r>
            <w:r>
              <w:rPr>
                <w:rFonts w:ascii="Arial" w:cs="Arial" w:eastAsia="Arial" w:hAnsi="Arial"/>
                <w:sz w:val="23"/>
                <w:szCs w:val="23"/>
                <w:color w:val="auto"/>
                <w:vertAlign w:val="superscript"/>
              </w:rPr>
              <w:t>(b)</w:t>
            </w:r>
          </w:p>
        </w:tc>
        <w:tc>
          <w:tcPr>
            <w:tcW w:w="2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gridSpan w:val="2"/>
          </w:tcPr>
          <w:p>
            <w:pPr>
              <w:spacing w:after="0" w:line="230" w:lineRule="exact"/>
              <w:rPr>
                <w:sz w:val="20"/>
                <w:szCs w:val="20"/>
                <w:color w:val="auto"/>
              </w:rPr>
            </w:pPr>
            <w:r>
              <w:rPr>
                <w:rFonts w:ascii="Arial" w:cs="Arial" w:eastAsia="Arial" w:hAnsi="Arial"/>
                <w:sz w:val="18"/>
                <w:szCs w:val="18"/>
                <w:color w:val="auto"/>
              </w:rPr>
              <w:t xml:space="preserve">Conventional MWh generated (in thousands) </w:t>
            </w:r>
            <w:r>
              <w:rPr>
                <w:rFonts w:ascii="Arial" w:cs="Arial" w:eastAsia="Arial" w:hAnsi="Arial"/>
                <w:sz w:val="23"/>
                <w:szCs w:val="23"/>
                <w:color w:val="auto"/>
                <w:vertAlign w:val="superscript"/>
              </w:rPr>
              <w:t>(a) (c)</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ind w:right="131"/>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289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227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ind w:right="131"/>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Conventional equivalent availability factor</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88.3 %</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82.3 %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135445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pacing w:after="0" w:line="207" w:lineRule="exact"/>
        <w:rPr>
          <w:sz w:val="20"/>
          <w:szCs w:val="20"/>
          <w:color w:val="auto"/>
        </w:rPr>
      </w:pPr>
    </w:p>
    <w:p>
      <w:pPr>
        <w:ind w:left="240" w:hanging="151"/>
        <w:spacing w:after="0"/>
        <w:tabs>
          <w:tab w:leader="none" w:pos="240" w:val="left"/>
        </w:tabs>
        <w:numPr>
          <w:ilvl w:val="0"/>
          <w:numId w:val="24"/>
        </w:numPr>
        <w:rPr>
          <w:rFonts w:ascii="Arial" w:cs="Arial" w:eastAsia="Arial" w:hAnsi="Arial"/>
          <w:sz w:val="18"/>
          <w:szCs w:val="18"/>
          <w:color w:val="auto"/>
          <w:vertAlign w:val="superscript"/>
        </w:rPr>
      </w:pPr>
      <w:r>
        <w:rPr>
          <w:rFonts w:ascii="Arial" w:cs="Arial" w:eastAsia="Arial" w:hAnsi="Arial"/>
          <w:sz w:val="12"/>
          <w:szCs w:val="12"/>
          <w:color w:val="auto"/>
        </w:rPr>
        <w:t>Volumes do not include the MWh generated/sold by the Company’s equity method investments.</w:t>
      </w:r>
    </w:p>
    <w:p>
      <w:pPr>
        <w:spacing w:after="0" w:line="5" w:lineRule="exact"/>
        <w:rPr>
          <w:rFonts w:ascii="Arial" w:cs="Arial" w:eastAsia="Arial" w:hAnsi="Arial"/>
          <w:sz w:val="18"/>
          <w:szCs w:val="18"/>
          <w:color w:val="auto"/>
          <w:vertAlign w:val="superscript"/>
        </w:rPr>
      </w:pPr>
    </w:p>
    <w:p>
      <w:pPr>
        <w:ind w:left="260" w:hanging="171"/>
        <w:spacing w:after="0" w:line="186" w:lineRule="auto"/>
        <w:tabs>
          <w:tab w:leader="none" w:pos="260" w:val="left"/>
        </w:tabs>
        <w:numPr>
          <w:ilvl w:val="0"/>
          <w:numId w:val="24"/>
        </w:numPr>
        <w:rPr>
          <w:rFonts w:ascii="Arial" w:cs="Arial" w:eastAsia="Arial" w:hAnsi="Arial"/>
          <w:sz w:val="19"/>
          <w:szCs w:val="19"/>
          <w:color w:val="auto"/>
          <w:vertAlign w:val="superscript"/>
        </w:rPr>
      </w:pPr>
      <w:r>
        <w:rPr>
          <w:rFonts w:ascii="Arial" w:cs="Arial" w:eastAsia="Arial" w:hAnsi="Arial"/>
          <w:sz w:val="12"/>
          <w:szCs w:val="12"/>
          <w:color w:val="auto"/>
        </w:rPr>
        <w:t>On May 1, 2022, the Company completed the sale of 100% of its interests in the Thermal Business to KKR.</w:t>
      </w:r>
    </w:p>
    <w:p>
      <w:pPr>
        <w:spacing w:after="0" w:line="6" w:lineRule="exact"/>
        <w:rPr>
          <w:rFonts w:ascii="Arial" w:cs="Arial" w:eastAsia="Arial" w:hAnsi="Arial"/>
          <w:sz w:val="19"/>
          <w:szCs w:val="19"/>
          <w:color w:val="auto"/>
          <w:vertAlign w:val="superscript"/>
        </w:rPr>
      </w:pPr>
    </w:p>
    <w:p>
      <w:pPr>
        <w:ind w:left="240" w:hanging="151"/>
        <w:spacing w:after="0" w:line="186" w:lineRule="auto"/>
        <w:tabs>
          <w:tab w:leader="none" w:pos="240" w:val="left"/>
        </w:tabs>
        <w:numPr>
          <w:ilvl w:val="0"/>
          <w:numId w:val="24"/>
        </w:numPr>
        <w:rPr>
          <w:rFonts w:ascii="Arial" w:cs="Arial" w:eastAsia="Arial" w:hAnsi="Arial"/>
          <w:sz w:val="19"/>
          <w:szCs w:val="19"/>
          <w:color w:val="auto"/>
          <w:vertAlign w:val="superscript"/>
        </w:rPr>
      </w:pPr>
      <w:r>
        <w:rPr>
          <w:rFonts w:ascii="Arial" w:cs="Arial" w:eastAsia="Arial" w:hAnsi="Arial"/>
          <w:sz w:val="12"/>
          <w:szCs w:val="12"/>
          <w:color w:val="auto"/>
        </w:rPr>
        <w:t>Volumes generated in 2022 were not sold as the Conventional facilities sold only capacity rather than energy prior to 2023.</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7" w:name="page38"/>
    <w:bookmarkEnd w:id="37"/>
    <w:p>
      <w:pPr>
        <w:ind w:right="3000"/>
        <w:spacing w:after="0" w:line="440" w:lineRule="auto"/>
        <w:rPr>
          <w:sz w:val="20"/>
          <w:szCs w:val="20"/>
          <w:color w:val="auto"/>
        </w:rPr>
      </w:pPr>
      <w:r>
        <w:rPr>
          <w:rFonts w:ascii="Arial" w:cs="Arial" w:eastAsia="Arial" w:hAnsi="Arial"/>
          <w:sz w:val="18"/>
          <w:szCs w:val="18"/>
          <w:b w:val="1"/>
          <w:bCs w:val="1"/>
          <w:color w:val="auto"/>
        </w:rPr>
        <w:t xml:space="preserve">Management’s Discussion of the Results of Operations for the Three Months Ended June 30, 2023 and 2022 </w:t>
      </w:r>
      <w:r>
        <w:rPr>
          <w:rFonts w:ascii="Arial" w:cs="Arial" w:eastAsia="Arial" w:hAnsi="Arial"/>
          <w:sz w:val="18"/>
          <w:szCs w:val="18"/>
          <w:b w:val="1"/>
          <w:bCs w:val="1"/>
          <w:i w:val="1"/>
          <w:iCs w:val="1"/>
          <w:color w:val="auto"/>
        </w:rPr>
        <w:t>Operating Revenues</w:t>
      </w:r>
    </w:p>
    <w:p>
      <w:pPr>
        <w:spacing w:after="0" w:line="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Operating revenues increased by $38 million during the three months ended June 30, 2023, compared to the same period in 2022, due to a combination of the drivers summarized in the table below:</w:t>
      </w:r>
    </w:p>
    <w:p>
      <w:pPr>
        <w:spacing w:after="0" w:line="49" w:lineRule="exact"/>
        <w:rPr>
          <w:sz w:val="20"/>
          <w:szCs w:val="20"/>
          <w:color w:val="auto"/>
        </w:rPr>
      </w:pPr>
    </w:p>
    <w:p>
      <w:pPr>
        <w:ind w:left="10120"/>
        <w:spacing w:after="0"/>
        <w:rPr>
          <w:sz w:val="20"/>
          <w:szCs w:val="20"/>
          <w:color w:val="auto"/>
        </w:rPr>
      </w:pPr>
      <w:r>
        <w:rPr>
          <w:rFonts w:ascii="Arial" w:cs="Arial" w:eastAsia="Arial" w:hAnsi="Arial"/>
          <w:sz w:val="16"/>
          <w:szCs w:val="16"/>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20320</wp:posOffset>
            </wp:positionV>
            <wp:extent cx="88328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8328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p>
      <w:pPr>
        <w:spacing w:after="0" w:line="1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000" w:type="dxa"/>
            <w:vAlign w:val="bottom"/>
          </w:tcPr>
          <w:p>
            <w:pPr>
              <w:spacing w:after="0"/>
              <w:rPr>
                <w:sz w:val="20"/>
                <w:szCs w:val="20"/>
                <w:color w:val="auto"/>
              </w:rPr>
            </w:pPr>
            <w:r>
              <w:rPr>
                <w:rFonts w:ascii="Arial" w:cs="Arial" w:eastAsia="Arial" w:hAnsi="Arial"/>
                <w:sz w:val="18"/>
                <w:szCs w:val="18"/>
                <w:b w:val="1"/>
                <w:bCs w:val="1"/>
                <w:color w:val="auto"/>
              </w:rPr>
              <w:t>Renewables Segment</w:t>
            </w:r>
          </w:p>
        </w:tc>
        <w:tc>
          <w:tcPr>
            <w:tcW w:w="7820" w:type="dxa"/>
            <w:vAlign w:val="bottom"/>
          </w:tcPr>
          <w:p>
            <w:pPr>
              <w:ind w:left="240"/>
              <w:spacing w:after="0"/>
              <w:rPr>
                <w:sz w:val="20"/>
                <w:szCs w:val="20"/>
                <w:color w:val="auto"/>
              </w:rPr>
            </w:pPr>
            <w:r>
              <w:rPr>
                <w:rFonts w:ascii="Arial" w:cs="Arial" w:eastAsia="Arial" w:hAnsi="Arial"/>
                <w:sz w:val="18"/>
                <w:szCs w:val="18"/>
                <w:color w:val="auto"/>
                <w:w w:val="94"/>
              </w:rPr>
              <w:t>Decrease driven primarily by lower than average wind production in 2023, compared with higher than</w:t>
            </w:r>
          </w:p>
        </w:tc>
        <w:tc>
          <w:tcPr>
            <w:tcW w:w="0" w:type="dxa"/>
            <w:vAlign w:val="bottom"/>
          </w:tcPr>
          <w:p>
            <w:pPr>
              <w:spacing w:after="0"/>
              <w:rPr>
                <w:sz w:val="1"/>
                <w:szCs w:val="1"/>
                <w:color w:val="auto"/>
              </w:rPr>
            </w:pPr>
          </w:p>
        </w:tc>
      </w:tr>
      <w:tr>
        <w:trPr>
          <w:trHeight w:val="229"/>
        </w:trPr>
        <w:tc>
          <w:tcPr>
            <w:tcW w:w="2000" w:type="dxa"/>
            <w:vAlign w:val="bottom"/>
          </w:tcPr>
          <w:p>
            <w:pPr>
              <w:spacing w:after="0"/>
              <w:rPr>
                <w:sz w:val="19"/>
                <w:szCs w:val="19"/>
                <w:color w:val="auto"/>
              </w:rPr>
            </w:pPr>
          </w:p>
        </w:tc>
        <w:tc>
          <w:tcPr>
            <w:tcW w:w="7820" w:type="dxa"/>
            <w:vAlign w:val="bottom"/>
          </w:tcPr>
          <w:p>
            <w:pPr>
              <w:ind w:left="240"/>
              <w:spacing w:after="0"/>
              <w:rPr>
                <w:sz w:val="20"/>
                <w:szCs w:val="20"/>
                <w:color w:val="auto"/>
              </w:rPr>
            </w:pPr>
            <w:r>
              <w:rPr>
                <w:rFonts w:ascii="Arial" w:cs="Arial" w:eastAsia="Arial" w:hAnsi="Arial"/>
                <w:sz w:val="18"/>
                <w:szCs w:val="18"/>
                <w:color w:val="auto"/>
              </w:rPr>
              <w:t>average wind production in 2022.</w:t>
            </w:r>
          </w:p>
        </w:tc>
        <w:tc>
          <w:tcPr>
            <w:tcW w:w="0" w:type="dxa"/>
            <w:vAlign w:val="bottom"/>
          </w:tcPr>
          <w:p>
            <w:pPr>
              <w:spacing w:after="0"/>
              <w:rPr>
                <w:sz w:val="1"/>
                <w:szCs w:val="1"/>
                <w:color w:val="auto"/>
              </w:rPr>
            </w:pPr>
          </w:p>
        </w:tc>
      </w:tr>
      <w:tr>
        <w:trPr>
          <w:trHeight w:val="230"/>
        </w:trPr>
        <w:tc>
          <w:tcPr>
            <w:tcW w:w="2000" w:type="dxa"/>
            <w:vAlign w:val="bottom"/>
          </w:tcPr>
          <w:p>
            <w:pPr>
              <w:spacing w:after="0"/>
              <w:rPr>
                <w:sz w:val="19"/>
                <w:szCs w:val="19"/>
                <w:color w:val="auto"/>
              </w:rPr>
            </w:pPr>
          </w:p>
        </w:tc>
        <w:tc>
          <w:tcPr>
            <w:tcW w:w="7820" w:type="dxa"/>
            <w:vAlign w:val="bottom"/>
          </w:tcPr>
          <w:p>
            <w:pPr>
              <w:ind w:left="240"/>
              <w:spacing w:after="0"/>
              <w:rPr>
                <w:sz w:val="20"/>
                <w:szCs w:val="20"/>
                <w:color w:val="auto"/>
              </w:rPr>
            </w:pPr>
            <w:r>
              <w:rPr>
                <w:rFonts w:ascii="Arial" w:cs="Arial" w:eastAsia="Arial" w:hAnsi="Arial"/>
                <w:sz w:val="18"/>
                <w:szCs w:val="18"/>
                <w:color w:val="auto"/>
              </w:rPr>
              <w:t>Increase driven primarily by the acquisition of the Capistrano Wind Portfolio in August 2022.</w:t>
            </w:r>
          </w:p>
        </w:tc>
        <w:tc>
          <w:tcPr>
            <w:tcW w:w="0" w:type="dxa"/>
            <w:vAlign w:val="bottom"/>
          </w:tcPr>
          <w:p>
            <w:pPr>
              <w:spacing w:after="0"/>
              <w:rPr>
                <w:sz w:val="1"/>
                <w:szCs w:val="1"/>
                <w:color w:val="auto"/>
              </w:rPr>
            </w:pPr>
          </w:p>
        </w:tc>
      </w:tr>
      <w:tr>
        <w:trPr>
          <w:trHeight w:val="189"/>
        </w:trPr>
        <w:tc>
          <w:tcPr>
            <w:tcW w:w="2000" w:type="dxa"/>
            <w:vAlign w:val="bottom"/>
          </w:tcPr>
          <w:p>
            <w:pPr>
              <w:spacing w:after="0"/>
              <w:rPr>
                <w:sz w:val="16"/>
                <w:szCs w:val="16"/>
                <w:color w:val="auto"/>
              </w:rPr>
            </w:pPr>
          </w:p>
        </w:tc>
        <w:tc>
          <w:tcPr>
            <w:tcW w:w="7820" w:type="dxa"/>
            <w:vAlign w:val="bottom"/>
          </w:tcPr>
          <w:p>
            <w:pPr>
              <w:ind w:left="240"/>
              <w:spacing w:after="0" w:line="189" w:lineRule="exact"/>
              <w:rPr>
                <w:sz w:val="20"/>
                <w:szCs w:val="20"/>
                <w:color w:val="auto"/>
              </w:rPr>
            </w:pPr>
            <w:r>
              <w:rPr>
                <w:rFonts w:ascii="Arial" w:cs="Arial" w:eastAsia="Arial" w:hAnsi="Arial"/>
                <w:sz w:val="18"/>
                <w:szCs w:val="18"/>
                <w:color w:val="auto"/>
                <w:w w:val="92"/>
              </w:rPr>
              <w:t>Increase for solar acquisitions driven by Mililani I and Waiawa, which reached commercial operations in</w:t>
            </w:r>
          </w:p>
        </w:tc>
        <w:tc>
          <w:tcPr>
            <w:tcW w:w="0" w:type="dxa"/>
            <w:vAlign w:val="bottom"/>
          </w:tcPr>
          <w:p>
            <w:pPr>
              <w:spacing w:after="0"/>
              <w:rPr>
                <w:sz w:val="1"/>
                <w:szCs w:val="1"/>
                <w:color w:val="auto"/>
              </w:rPr>
            </w:pPr>
          </w:p>
        </w:tc>
      </w:tr>
      <w:tr>
        <w:trPr>
          <w:trHeight w:val="230"/>
        </w:trPr>
        <w:tc>
          <w:tcPr>
            <w:tcW w:w="2000" w:type="dxa"/>
            <w:vAlign w:val="bottom"/>
            <w:vMerge w:val="restart"/>
          </w:tcPr>
          <w:p>
            <w:pPr>
              <w:spacing w:after="0"/>
              <w:rPr>
                <w:sz w:val="20"/>
                <w:szCs w:val="20"/>
                <w:color w:val="auto"/>
              </w:rPr>
            </w:pPr>
            <w:r>
              <w:rPr>
                <w:rFonts w:ascii="Arial" w:cs="Arial" w:eastAsia="Arial" w:hAnsi="Arial"/>
                <w:sz w:val="18"/>
                <w:szCs w:val="18"/>
                <w:b w:val="1"/>
                <w:bCs w:val="1"/>
                <w:color w:val="auto"/>
              </w:rPr>
              <w:t>Conventional Segment</w:t>
            </w:r>
          </w:p>
        </w:tc>
        <w:tc>
          <w:tcPr>
            <w:tcW w:w="7820" w:type="dxa"/>
            <w:vAlign w:val="bottom"/>
          </w:tcPr>
          <w:p>
            <w:pPr>
              <w:ind w:left="240"/>
              <w:spacing w:after="0"/>
              <w:rPr>
                <w:sz w:val="20"/>
                <w:szCs w:val="20"/>
                <w:color w:val="auto"/>
              </w:rPr>
            </w:pPr>
            <w:r>
              <w:rPr>
                <w:rFonts w:ascii="Arial" w:cs="Arial" w:eastAsia="Arial" w:hAnsi="Arial"/>
                <w:sz w:val="18"/>
                <w:szCs w:val="18"/>
                <w:color w:val="auto"/>
                <w:w w:val="99"/>
              </w:rPr>
              <w:t>July 2022 and January 2023, respectively, offset by the disposition of Kawailoa in August 2022.</w:t>
            </w:r>
          </w:p>
        </w:tc>
        <w:tc>
          <w:tcPr>
            <w:tcW w:w="0" w:type="dxa"/>
            <w:vAlign w:val="bottom"/>
          </w:tcPr>
          <w:p>
            <w:pPr>
              <w:spacing w:after="0"/>
              <w:rPr>
                <w:sz w:val="1"/>
                <w:szCs w:val="1"/>
                <w:color w:val="auto"/>
              </w:rPr>
            </w:pPr>
          </w:p>
        </w:tc>
      </w:tr>
      <w:tr>
        <w:trPr>
          <w:trHeight w:val="176"/>
        </w:trPr>
        <w:tc>
          <w:tcPr>
            <w:tcW w:w="2000" w:type="dxa"/>
            <w:vAlign w:val="bottom"/>
            <w:vMerge w:val="continue"/>
          </w:tcPr>
          <w:p>
            <w:pPr>
              <w:spacing w:after="0"/>
              <w:rPr>
                <w:sz w:val="15"/>
                <w:szCs w:val="15"/>
                <w:color w:val="auto"/>
              </w:rPr>
            </w:pPr>
          </w:p>
        </w:tc>
        <w:tc>
          <w:tcPr>
            <w:tcW w:w="7820" w:type="dxa"/>
            <w:vAlign w:val="bottom"/>
          </w:tcPr>
          <w:p>
            <w:pPr>
              <w:ind w:left="240"/>
              <w:spacing w:after="0" w:line="176" w:lineRule="exact"/>
              <w:rPr>
                <w:sz w:val="20"/>
                <w:szCs w:val="20"/>
                <w:color w:val="auto"/>
              </w:rPr>
            </w:pPr>
            <w:r>
              <w:rPr>
                <w:rFonts w:ascii="Arial" w:cs="Arial" w:eastAsia="Arial" w:hAnsi="Arial"/>
                <w:sz w:val="18"/>
                <w:szCs w:val="18"/>
                <w:color w:val="auto"/>
                <w:w w:val="93"/>
              </w:rPr>
              <w:t>Increase driven by the sales-type lease revenue recognition of the Marsh Landing Black Start addition</w:t>
            </w:r>
          </w:p>
        </w:tc>
        <w:tc>
          <w:tcPr>
            <w:tcW w:w="0" w:type="dxa"/>
            <w:vAlign w:val="bottom"/>
          </w:tcPr>
          <w:p>
            <w:pPr>
              <w:spacing w:after="0"/>
              <w:rPr>
                <w:sz w:val="1"/>
                <w:szCs w:val="1"/>
                <w:color w:val="auto"/>
              </w:rPr>
            </w:pPr>
          </w:p>
        </w:tc>
      </w:tr>
      <w:tr>
        <w:trPr>
          <w:trHeight w:val="230"/>
        </w:trPr>
        <w:tc>
          <w:tcPr>
            <w:tcW w:w="2000" w:type="dxa"/>
            <w:vAlign w:val="bottom"/>
          </w:tcPr>
          <w:p>
            <w:pPr>
              <w:spacing w:after="0"/>
              <w:rPr>
                <w:sz w:val="20"/>
                <w:szCs w:val="20"/>
                <w:color w:val="auto"/>
              </w:rPr>
            </w:pPr>
          </w:p>
        </w:tc>
        <w:tc>
          <w:tcPr>
            <w:tcW w:w="7820" w:type="dxa"/>
            <w:vAlign w:val="bottom"/>
          </w:tcPr>
          <w:p>
            <w:pPr>
              <w:ind w:left="240"/>
              <w:spacing w:after="0"/>
              <w:rPr>
                <w:sz w:val="20"/>
                <w:szCs w:val="20"/>
                <w:color w:val="auto"/>
              </w:rPr>
            </w:pPr>
            <w:r>
              <w:rPr>
                <w:rFonts w:ascii="Arial" w:cs="Arial" w:eastAsia="Arial" w:hAnsi="Arial"/>
                <w:sz w:val="18"/>
                <w:szCs w:val="18"/>
                <w:color w:val="auto"/>
              </w:rPr>
              <w:t>that commenced operations on May 31, 2023.</w:t>
            </w:r>
          </w:p>
        </w:tc>
        <w:tc>
          <w:tcPr>
            <w:tcW w:w="0" w:type="dxa"/>
            <w:vAlign w:val="bottom"/>
          </w:tcPr>
          <w:p>
            <w:pPr>
              <w:spacing w:after="0"/>
              <w:rPr>
                <w:sz w:val="1"/>
                <w:szCs w:val="1"/>
                <w:color w:val="auto"/>
              </w:rPr>
            </w:pPr>
          </w:p>
        </w:tc>
      </w:tr>
      <w:tr>
        <w:trPr>
          <w:trHeight w:val="188"/>
        </w:trPr>
        <w:tc>
          <w:tcPr>
            <w:tcW w:w="2000" w:type="dxa"/>
            <w:vAlign w:val="bottom"/>
          </w:tcPr>
          <w:p>
            <w:pPr>
              <w:spacing w:after="0"/>
              <w:rPr>
                <w:sz w:val="16"/>
                <w:szCs w:val="16"/>
                <w:color w:val="auto"/>
              </w:rPr>
            </w:pPr>
          </w:p>
        </w:tc>
        <w:tc>
          <w:tcPr>
            <w:tcW w:w="7820" w:type="dxa"/>
            <w:vAlign w:val="bottom"/>
          </w:tcPr>
          <w:p>
            <w:pPr>
              <w:ind w:left="240"/>
              <w:spacing w:after="0" w:line="189" w:lineRule="exact"/>
              <w:rPr>
                <w:sz w:val="20"/>
                <w:szCs w:val="20"/>
                <w:color w:val="auto"/>
              </w:rPr>
            </w:pPr>
            <w:r>
              <w:rPr>
                <w:rFonts w:ascii="Arial" w:cs="Arial" w:eastAsia="Arial" w:hAnsi="Arial"/>
                <w:sz w:val="18"/>
                <w:szCs w:val="18"/>
                <w:color w:val="auto"/>
                <w:w w:val="98"/>
              </w:rPr>
              <w:t>Increase at El Segundo facility primarily driven by higher availability due to the timing of the 2023</w:t>
            </w:r>
          </w:p>
        </w:tc>
        <w:tc>
          <w:tcPr>
            <w:tcW w:w="0" w:type="dxa"/>
            <w:vAlign w:val="bottom"/>
          </w:tcPr>
          <w:p>
            <w:pPr>
              <w:spacing w:after="0"/>
              <w:rPr>
                <w:sz w:val="1"/>
                <w:szCs w:val="1"/>
                <w:color w:val="auto"/>
              </w:rPr>
            </w:pPr>
          </w:p>
        </w:tc>
      </w:tr>
      <w:tr>
        <w:trPr>
          <w:trHeight w:val="229"/>
        </w:trPr>
        <w:tc>
          <w:tcPr>
            <w:tcW w:w="2000" w:type="dxa"/>
            <w:vAlign w:val="bottom"/>
          </w:tcPr>
          <w:p>
            <w:pPr>
              <w:spacing w:after="0"/>
              <w:rPr>
                <w:sz w:val="19"/>
                <w:szCs w:val="19"/>
                <w:color w:val="auto"/>
              </w:rPr>
            </w:pPr>
          </w:p>
        </w:tc>
        <w:tc>
          <w:tcPr>
            <w:tcW w:w="7820" w:type="dxa"/>
            <w:vAlign w:val="bottom"/>
          </w:tcPr>
          <w:p>
            <w:pPr>
              <w:ind w:left="240"/>
              <w:spacing w:after="0"/>
              <w:rPr>
                <w:sz w:val="20"/>
                <w:szCs w:val="20"/>
                <w:color w:val="auto"/>
              </w:rPr>
            </w:pPr>
            <w:r>
              <w:rPr>
                <w:rFonts w:ascii="Arial" w:cs="Arial" w:eastAsia="Arial" w:hAnsi="Arial"/>
                <w:sz w:val="18"/>
                <w:szCs w:val="18"/>
                <w:color w:val="auto"/>
              </w:rPr>
              <w:t>annual planned maintenance outages.</w:t>
            </w:r>
          </w:p>
        </w:tc>
        <w:tc>
          <w:tcPr>
            <w:tcW w:w="0" w:type="dxa"/>
            <w:vAlign w:val="bottom"/>
          </w:tcPr>
          <w:p>
            <w:pPr>
              <w:spacing w:after="0"/>
              <w:rPr>
                <w:sz w:val="1"/>
                <w:szCs w:val="1"/>
                <w:color w:val="auto"/>
              </w:rPr>
            </w:pPr>
          </w:p>
        </w:tc>
      </w:tr>
      <w:tr>
        <w:trPr>
          <w:trHeight w:val="189"/>
        </w:trPr>
        <w:tc>
          <w:tcPr>
            <w:tcW w:w="2000" w:type="dxa"/>
            <w:vAlign w:val="bottom"/>
          </w:tcPr>
          <w:p>
            <w:pPr>
              <w:spacing w:after="0"/>
              <w:rPr>
                <w:sz w:val="16"/>
                <w:szCs w:val="16"/>
                <w:color w:val="auto"/>
              </w:rPr>
            </w:pPr>
          </w:p>
        </w:tc>
        <w:tc>
          <w:tcPr>
            <w:tcW w:w="7820" w:type="dxa"/>
            <w:vAlign w:val="bottom"/>
          </w:tcPr>
          <w:p>
            <w:pPr>
              <w:ind w:left="240"/>
              <w:spacing w:after="0" w:line="189" w:lineRule="exact"/>
              <w:rPr>
                <w:sz w:val="20"/>
                <w:szCs w:val="20"/>
                <w:color w:val="auto"/>
              </w:rPr>
            </w:pPr>
            <w:r>
              <w:rPr>
                <w:rFonts w:ascii="Arial" w:cs="Arial" w:eastAsia="Arial" w:hAnsi="Arial"/>
                <w:sz w:val="18"/>
                <w:szCs w:val="18"/>
                <w:color w:val="auto"/>
                <w:w w:val="95"/>
              </w:rPr>
              <w:t>Decrease at Walnut Creek and Marsh Landing facilities primarily driven by lower prices for capacity</w:t>
            </w: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7820" w:type="dxa"/>
            <w:vAlign w:val="bottom"/>
          </w:tcPr>
          <w:p>
            <w:pPr>
              <w:ind w:left="240"/>
              <w:spacing w:after="0" w:line="176" w:lineRule="exact"/>
              <w:rPr>
                <w:sz w:val="20"/>
                <w:szCs w:val="20"/>
                <w:color w:val="auto"/>
              </w:rPr>
            </w:pPr>
            <w:r>
              <w:rPr>
                <w:rFonts w:ascii="Arial" w:cs="Arial" w:eastAsia="Arial" w:hAnsi="Arial"/>
                <w:sz w:val="18"/>
                <w:szCs w:val="18"/>
                <w:color w:val="auto"/>
                <w:w w:val="90"/>
              </w:rPr>
              <w:t>revenue due to the expiring PPAs during the second quarter of 2023 and commencement of RA capacity</w:t>
            </w:r>
          </w:p>
        </w:tc>
        <w:tc>
          <w:tcPr>
            <w:tcW w:w="0" w:type="dxa"/>
            <w:vAlign w:val="bottom"/>
          </w:tcPr>
          <w:p>
            <w:pPr>
              <w:spacing w:after="0"/>
              <w:rPr>
                <w:sz w:val="1"/>
                <w:szCs w:val="1"/>
                <w:color w:val="auto"/>
              </w:rPr>
            </w:pPr>
          </w:p>
        </w:tc>
      </w:tr>
      <w:tr>
        <w:trPr>
          <w:trHeight w:val="229"/>
        </w:trPr>
        <w:tc>
          <w:tcPr>
            <w:tcW w:w="2000" w:type="dxa"/>
            <w:vAlign w:val="bottom"/>
            <w:vMerge w:val="restart"/>
          </w:tcPr>
          <w:p>
            <w:pPr>
              <w:spacing w:after="0"/>
              <w:rPr>
                <w:sz w:val="20"/>
                <w:szCs w:val="20"/>
                <w:color w:val="auto"/>
              </w:rPr>
            </w:pPr>
            <w:r>
              <w:rPr>
                <w:rFonts w:ascii="Arial" w:cs="Arial" w:eastAsia="Arial" w:hAnsi="Arial"/>
                <w:sz w:val="18"/>
                <w:szCs w:val="18"/>
                <w:b w:val="1"/>
                <w:bCs w:val="1"/>
                <w:color w:val="auto"/>
              </w:rPr>
              <w:t>Thermal Segment</w:t>
            </w:r>
          </w:p>
        </w:tc>
        <w:tc>
          <w:tcPr>
            <w:tcW w:w="7820" w:type="dxa"/>
            <w:vAlign w:val="bottom"/>
          </w:tcPr>
          <w:p>
            <w:pPr>
              <w:ind w:left="240"/>
              <w:spacing w:after="0"/>
              <w:rPr>
                <w:sz w:val="20"/>
                <w:szCs w:val="20"/>
                <w:color w:val="auto"/>
              </w:rPr>
            </w:pPr>
            <w:r>
              <w:rPr>
                <w:rFonts w:ascii="Arial" w:cs="Arial" w:eastAsia="Arial" w:hAnsi="Arial"/>
                <w:sz w:val="18"/>
                <w:szCs w:val="18"/>
                <w:color w:val="auto"/>
              </w:rPr>
              <w:t>revenue.</w:t>
            </w:r>
          </w:p>
        </w:tc>
        <w:tc>
          <w:tcPr>
            <w:tcW w:w="0" w:type="dxa"/>
            <w:vAlign w:val="bottom"/>
          </w:tcPr>
          <w:p>
            <w:pPr>
              <w:spacing w:after="0"/>
              <w:rPr>
                <w:sz w:val="1"/>
                <w:szCs w:val="1"/>
                <w:color w:val="auto"/>
              </w:rPr>
            </w:pPr>
          </w:p>
        </w:tc>
      </w:tr>
      <w:tr>
        <w:trPr>
          <w:trHeight w:val="230"/>
        </w:trPr>
        <w:tc>
          <w:tcPr>
            <w:tcW w:w="2000" w:type="dxa"/>
            <w:vAlign w:val="bottom"/>
            <w:vMerge w:val="continue"/>
          </w:tcPr>
          <w:p>
            <w:pPr>
              <w:spacing w:after="0"/>
              <w:rPr>
                <w:sz w:val="20"/>
                <w:szCs w:val="20"/>
                <w:color w:val="auto"/>
              </w:rPr>
            </w:pPr>
          </w:p>
        </w:tc>
        <w:tc>
          <w:tcPr>
            <w:tcW w:w="7820" w:type="dxa"/>
            <w:vAlign w:val="bottom"/>
          </w:tcPr>
          <w:p>
            <w:pPr>
              <w:ind w:left="240"/>
              <w:spacing w:after="0"/>
              <w:rPr>
                <w:sz w:val="20"/>
                <w:szCs w:val="20"/>
                <w:color w:val="auto"/>
              </w:rPr>
            </w:pPr>
            <w:r>
              <w:rPr>
                <w:rFonts w:ascii="Arial" w:cs="Arial" w:eastAsia="Arial" w:hAnsi="Arial"/>
                <w:sz w:val="18"/>
                <w:szCs w:val="18"/>
                <w:color w:val="auto"/>
              </w:rPr>
              <w:t>Decrease in revenue due to the sale of the Thermal business on May 1, 2022.</w:t>
            </w:r>
          </w:p>
        </w:tc>
        <w:tc>
          <w:tcPr>
            <w:tcW w:w="0" w:type="dxa"/>
            <w:vAlign w:val="bottom"/>
          </w:tcPr>
          <w:p>
            <w:pPr>
              <w:spacing w:after="0"/>
              <w:rPr>
                <w:sz w:val="1"/>
                <w:szCs w:val="1"/>
                <w:color w:val="auto"/>
              </w:rPr>
            </w:pPr>
          </w:p>
        </w:tc>
      </w:tr>
      <w:tr>
        <w:trPr>
          <w:trHeight w:val="189"/>
        </w:trPr>
        <w:tc>
          <w:tcPr>
            <w:tcW w:w="2000" w:type="dxa"/>
            <w:vAlign w:val="bottom"/>
          </w:tcPr>
          <w:p>
            <w:pPr>
              <w:spacing w:after="0" w:line="189" w:lineRule="exact"/>
              <w:rPr>
                <w:sz w:val="20"/>
                <w:szCs w:val="20"/>
                <w:color w:val="auto"/>
              </w:rPr>
            </w:pPr>
            <w:r>
              <w:rPr>
                <w:rFonts w:ascii="Arial" w:cs="Arial" w:eastAsia="Arial" w:hAnsi="Arial"/>
                <w:sz w:val="18"/>
                <w:szCs w:val="18"/>
                <w:b w:val="1"/>
                <w:bCs w:val="1"/>
                <w:color w:val="auto"/>
              </w:rPr>
              <w:t>Mark-to-market for</w:t>
            </w:r>
          </w:p>
        </w:tc>
        <w:tc>
          <w:tcPr>
            <w:tcW w:w="7820" w:type="dxa"/>
            <w:vAlign w:val="bottom"/>
          </w:tcPr>
          <w:p>
            <w:pPr>
              <w:ind w:left="240"/>
              <w:spacing w:after="0" w:line="189" w:lineRule="exact"/>
              <w:rPr>
                <w:sz w:val="20"/>
                <w:szCs w:val="20"/>
                <w:color w:val="auto"/>
              </w:rPr>
            </w:pPr>
            <w:r>
              <w:rPr>
                <w:rFonts w:ascii="Arial" w:cs="Arial" w:eastAsia="Arial" w:hAnsi="Arial"/>
                <w:sz w:val="18"/>
                <w:szCs w:val="18"/>
                <w:color w:val="auto"/>
                <w:w w:val="98"/>
              </w:rPr>
              <w:t>Increase primarily driven by decreases in forward power prices in the ERCOT and PJM markets.</w:t>
            </w:r>
          </w:p>
        </w:tc>
        <w:tc>
          <w:tcPr>
            <w:tcW w:w="0" w:type="dxa"/>
            <w:vAlign w:val="bottom"/>
          </w:tcPr>
          <w:p>
            <w:pPr>
              <w:spacing w:after="0"/>
              <w:rPr>
                <w:sz w:val="1"/>
                <w:szCs w:val="1"/>
                <w:color w:val="auto"/>
              </w:rPr>
            </w:pPr>
          </w:p>
        </w:tc>
      </w:tr>
      <w:tr>
        <w:trPr>
          <w:trHeight w:val="225"/>
        </w:trPr>
        <w:tc>
          <w:tcPr>
            <w:tcW w:w="2000" w:type="dxa"/>
            <w:vAlign w:val="bottom"/>
          </w:tcPr>
          <w:p>
            <w:pPr>
              <w:spacing w:after="0"/>
              <w:rPr>
                <w:sz w:val="20"/>
                <w:szCs w:val="20"/>
                <w:color w:val="auto"/>
              </w:rPr>
            </w:pPr>
            <w:r>
              <w:rPr>
                <w:rFonts w:ascii="Arial" w:cs="Arial" w:eastAsia="Arial" w:hAnsi="Arial"/>
                <w:sz w:val="18"/>
                <w:szCs w:val="18"/>
                <w:b w:val="1"/>
                <w:bCs w:val="1"/>
                <w:color w:val="auto"/>
              </w:rPr>
              <w:t>economic hedges</w:t>
            </w:r>
          </w:p>
        </w:tc>
        <w:tc>
          <w:tcPr>
            <w:tcW w:w="7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line="193" w:lineRule="exact"/>
              <w:rPr>
                <w:sz w:val="20"/>
                <w:szCs w:val="20"/>
                <w:color w:val="auto"/>
              </w:rPr>
            </w:pPr>
            <w:r>
              <w:rPr>
                <w:rFonts w:ascii="Arial" w:cs="Arial" w:eastAsia="Arial" w:hAnsi="Arial"/>
                <w:sz w:val="18"/>
                <w:szCs w:val="18"/>
                <w:b w:val="1"/>
                <w:bCs w:val="1"/>
                <w:color w:val="auto"/>
              </w:rPr>
              <w:t>Contract amortization</w:t>
            </w:r>
          </w:p>
        </w:tc>
        <w:tc>
          <w:tcPr>
            <w:tcW w:w="7820" w:type="dxa"/>
            <w:vAlign w:val="bottom"/>
          </w:tcPr>
          <w:p>
            <w:pPr>
              <w:ind w:left="240"/>
              <w:spacing w:after="0" w:line="193" w:lineRule="exact"/>
              <w:rPr>
                <w:sz w:val="20"/>
                <w:szCs w:val="20"/>
                <w:color w:val="auto"/>
              </w:rPr>
            </w:pPr>
            <w:r>
              <w:rPr>
                <w:rFonts w:ascii="Arial" w:cs="Arial" w:eastAsia="Arial" w:hAnsi="Arial"/>
                <w:sz w:val="18"/>
                <w:szCs w:val="18"/>
                <w:color w:val="auto"/>
                <w:w w:val="94"/>
              </w:rPr>
              <w:t>Increase primarily driven by amortization of the intangible assets of PPAs related to the acquisition of</w:t>
            </w:r>
          </w:p>
        </w:tc>
        <w:tc>
          <w:tcPr>
            <w:tcW w:w="0" w:type="dxa"/>
            <w:vAlign w:val="bottom"/>
          </w:tcPr>
          <w:p>
            <w:pPr>
              <w:spacing w:after="0"/>
              <w:rPr>
                <w:sz w:val="1"/>
                <w:szCs w:val="1"/>
                <w:color w:val="auto"/>
              </w:rPr>
            </w:pPr>
          </w:p>
        </w:tc>
      </w:tr>
      <w:tr>
        <w:trPr>
          <w:trHeight w:val="230"/>
        </w:trPr>
        <w:tc>
          <w:tcPr>
            <w:tcW w:w="2000" w:type="dxa"/>
            <w:vAlign w:val="bottom"/>
          </w:tcPr>
          <w:p>
            <w:pPr>
              <w:spacing w:after="0"/>
              <w:rPr>
                <w:sz w:val="20"/>
                <w:szCs w:val="20"/>
                <w:color w:val="auto"/>
              </w:rPr>
            </w:pPr>
          </w:p>
        </w:tc>
        <w:tc>
          <w:tcPr>
            <w:tcW w:w="7820" w:type="dxa"/>
            <w:vAlign w:val="bottom"/>
          </w:tcPr>
          <w:p>
            <w:pPr>
              <w:ind w:left="240"/>
              <w:spacing w:after="0"/>
              <w:rPr>
                <w:sz w:val="20"/>
                <w:szCs w:val="20"/>
                <w:color w:val="auto"/>
              </w:rPr>
            </w:pPr>
            <w:r>
              <w:rPr>
                <w:rFonts w:ascii="Arial" w:cs="Arial" w:eastAsia="Arial" w:hAnsi="Arial"/>
                <w:sz w:val="18"/>
                <w:szCs w:val="18"/>
                <w:color w:val="auto"/>
              </w:rPr>
              <w:t>the Capistrano Wind Portfolio in August 2022.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-2245360</wp:posOffset>
            </wp:positionV>
            <wp:extent cx="7132320" cy="2571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-1842770</wp:posOffset>
            </wp:positionV>
            <wp:extent cx="7132320" cy="2660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2660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-1311275</wp:posOffset>
            </wp:positionV>
            <wp:extent cx="7132320" cy="2571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-676910</wp:posOffset>
            </wp:positionV>
            <wp:extent cx="7132320" cy="1543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2654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1049" w:hanging="1049"/>
        <w:spacing w:after="0"/>
        <w:tabs>
          <w:tab w:leader="none" w:pos="1049" w:val="left"/>
        </w:tabs>
        <w:numPr>
          <w:ilvl w:val="0"/>
          <w:numId w:val="25"/>
        </w:numPr>
        <w:rPr>
          <w:rFonts w:ascii="Arial" w:cs="Arial" w:eastAsia="Arial" w:hAnsi="Arial"/>
          <w:sz w:val="16"/>
          <w:szCs w:val="16"/>
          <w:color w:val="auto"/>
        </w:rPr>
      </w:pPr>
      <w:r>
        <w:rPr>
          <w:rFonts w:ascii="Arial" w:cs="Arial" w:eastAsia="Arial" w:hAnsi="Arial"/>
          <w:sz w:val="16"/>
          <w:szCs w:val="16"/>
          <w:color w:val="auto"/>
        </w:rPr>
        <w:t>(46)</w:t>
      </w:r>
    </w:p>
    <w:p>
      <w:pPr>
        <w:spacing w:after="0" w:line="46" w:lineRule="exact"/>
        <w:rPr>
          <w:rFonts w:ascii="Arial" w:cs="Arial" w:eastAsia="Arial" w:hAnsi="Arial"/>
          <w:sz w:val="16"/>
          <w:szCs w:val="16"/>
          <w:color w:val="auto"/>
        </w:rPr>
      </w:pPr>
    </w:p>
    <w:p>
      <w:pPr>
        <w:ind w:left="1109"/>
        <w:spacing w:after="0"/>
        <w:rPr>
          <w:rFonts w:ascii="Arial" w:cs="Arial" w:eastAsia="Arial" w:hAnsi="Arial"/>
          <w:sz w:val="16"/>
          <w:szCs w:val="16"/>
          <w:color w:val="auto"/>
        </w:rPr>
      </w:pPr>
      <w:r>
        <w:rPr>
          <w:rFonts w:ascii="Arial" w:cs="Arial" w:eastAsia="Arial" w:hAnsi="Arial"/>
          <w:sz w:val="18"/>
          <w:szCs w:val="18"/>
          <w:color w:val="auto"/>
        </w:rPr>
        <w:t>16</w:t>
      </w:r>
    </w:p>
    <w:p>
      <w:pPr>
        <w:spacing w:after="0" w:line="211" w:lineRule="exact"/>
        <w:rPr>
          <w:sz w:val="20"/>
          <w:szCs w:val="20"/>
          <w:color w:val="auto"/>
        </w:rPr>
      </w:pPr>
    </w:p>
    <w:p>
      <w:pPr>
        <w:ind w:left="1209"/>
        <w:spacing w:after="0"/>
        <w:rPr>
          <w:sz w:val="20"/>
          <w:szCs w:val="20"/>
          <w:color w:val="auto"/>
        </w:rPr>
      </w:pPr>
      <w:r>
        <w:rPr>
          <w:rFonts w:ascii="Arial" w:cs="Arial" w:eastAsia="Arial" w:hAnsi="Arial"/>
          <w:sz w:val="18"/>
          <w:szCs w:val="18"/>
          <w:color w:val="auto"/>
        </w:rPr>
        <w:t>2</w:t>
      </w:r>
    </w:p>
    <w:p>
      <w:pPr>
        <w:spacing w:after="0" w:line="198" w:lineRule="exact"/>
        <w:rPr>
          <w:sz w:val="20"/>
          <w:szCs w:val="20"/>
          <w:color w:val="auto"/>
        </w:rPr>
      </w:pPr>
    </w:p>
    <w:p>
      <w:pPr>
        <w:ind w:left="1109"/>
        <w:spacing w:after="0"/>
        <w:rPr>
          <w:sz w:val="20"/>
          <w:szCs w:val="20"/>
          <w:color w:val="auto"/>
        </w:rPr>
      </w:pPr>
      <w:r>
        <w:rPr>
          <w:rFonts w:ascii="Arial" w:cs="Arial" w:eastAsia="Arial" w:hAnsi="Arial"/>
          <w:sz w:val="18"/>
          <w:szCs w:val="18"/>
          <w:color w:val="auto"/>
        </w:rPr>
        <w:t>21</w:t>
      </w:r>
    </w:p>
    <w:p>
      <w:pPr>
        <w:spacing w:after="0" w:line="212" w:lineRule="exact"/>
        <w:rPr>
          <w:sz w:val="20"/>
          <w:szCs w:val="20"/>
          <w:color w:val="auto"/>
        </w:rPr>
      </w:pPr>
    </w:p>
    <w:p>
      <w:pPr>
        <w:ind w:left="1209"/>
        <w:spacing w:after="0"/>
        <w:rPr>
          <w:sz w:val="20"/>
          <w:szCs w:val="20"/>
          <w:color w:val="auto"/>
        </w:rPr>
      </w:pPr>
      <w:r>
        <w:rPr>
          <w:rFonts w:ascii="Arial" w:cs="Arial" w:eastAsia="Arial" w:hAnsi="Arial"/>
          <w:sz w:val="18"/>
          <w:szCs w:val="18"/>
          <w:color w:val="auto"/>
        </w:rPr>
        <w:t>6</w:t>
      </w:r>
    </w:p>
    <w:p>
      <w:pPr>
        <w:spacing w:after="0" w:line="387" w:lineRule="exact"/>
        <w:rPr>
          <w:sz w:val="20"/>
          <w:szCs w:val="20"/>
          <w:color w:val="auto"/>
        </w:rPr>
      </w:pPr>
    </w:p>
    <w:p>
      <w:pPr>
        <w:ind w:left="1049"/>
        <w:spacing w:after="0"/>
        <w:rPr>
          <w:sz w:val="20"/>
          <w:szCs w:val="20"/>
          <w:color w:val="auto"/>
        </w:rPr>
      </w:pPr>
      <w:r>
        <w:rPr>
          <w:rFonts w:ascii="Arial" w:cs="Arial" w:eastAsia="Arial" w:hAnsi="Arial"/>
          <w:sz w:val="16"/>
          <w:szCs w:val="16"/>
          <w:color w:val="auto"/>
        </w:rPr>
        <w:t>(15)</w:t>
      </w:r>
    </w:p>
    <w:p>
      <w:pPr>
        <w:spacing w:after="0" w:line="46" w:lineRule="exact"/>
        <w:rPr>
          <w:sz w:val="20"/>
          <w:szCs w:val="20"/>
          <w:color w:val="auto"/>
        </w:rPr>
      </w:pPr>
    </w:p>
    <w:p>
      <w:pPr>
        <w:ind w:left="1049"/>
        <w:spacing w:after="0"/>
        <w:rPr>
          <w:sz w:val="20"/>
          <w:szCs w:val="20"/>
          <w:color w:val="auto"/>
        </w:rPr>
      </w:pPr>
      <w:r>
        <w:rPr>
          <w:rFonts w:ascii="Arial" w:cs="Arial" w:eastAsia="Arial" w:hAnsi="Arial"/>
          <w:sz w:val="16"/>
          <w:szCs w:val="16"/>
          <w:color w:val="auto"/>
        </w:rPr>
        <w:t>(18)</w:t>
      </w:r>
    </w:p>
    <w:p>
      <w:pPr>
        <w:spacing w:after="0" w:line="234" w:lineRule="exact"/>
        <w:rPr>
          <w:sz w:val="20"/>
          <w:szCs w:val="20"/>
          <w:color w:val="auto"/>
        </w:rPr>
      </w:pPr>
    </w:p>
    <w:p>
      <w:pPr>
        <w:ind w:left="1109"/>
        <w:spacing w:after="0"/>
        <w:rPr>
          <w:sz w:val="20"/>
          <w:szCs w:val="20"/>
          <w:color w:val="auto"/>
        </w:rPr>
      </w:pPr>
      <w:r>
        <w:rPr>
          <w:rFonts w:ascii="Arial" w:cs="Arial" w:eastAsia="Arial" w:hAnsi="Arial"/>
          <w:sz w:val="18"/>
          <w:szCs w:val="18"/>
          <w:color w:val="auto"/>
        </w:rPr>
        <w:t>78</w:t>
      </w:r>
    </w:p>
    <w:p>
      <w:pPr>
        <w:spacing w:after="0" w:line="198"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23495</wp:posOffset>
            </wp:positionV>
            <wp:extent cx="88328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30" w:lineRule="exact"/>
        <w:rPr>
          <w:sz w:val="20"/>
          <w:szCs w:val="20"/>
          <w:color w:val="auto"/>
        </w:rPr>
      </w:pPr>
    </w:p>
    <w:p>
      <w:pPr>
        <w:ind w:left="1109" w:hanging="1109"/>
        <w:spacing w:after="0"/>
        <w:tabs>
          <w:tab w:leader="none" w:pos="1109" w:val="left"/>
        </w:tabs>
        <w:numPr>
          <w:ilvl w:val="0"/>
          <w:numId w:val="26"/>
        </w:numPr>
        <w:rPr>
          <w:rFonts w:ascii="Arial" w:cs="Arial" w:eastAsia="Arial" w:hAnsi="Arial"/>
          <w:sz w:val="18"/>
          <w:szCs w:val="18"/>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14605</wp:posOffset>
            </wp:positionV>
            <wp:extent cx="88328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83285" cy="825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40640</wp:posOffset>
            </wp:positionV>
            <wp:extent cx="88328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8328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840" w:space="31"/>
            <w:col w:w="1369"/>
          </w:cols>
          <w:pgMar w:left="320" w:top="891" w:right="339" w:bottom="1440" w:gutter="0" w:footer="0" w:header="0"/>
          <w:type w:val="continuous"/>
        </w:sectPr>
      </w:pP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Fuels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Cost of fuels increased by $9 million during the three months ended June 30, 2023, compared to the same period in 2022, due to a $15 million increase for the Conventional segment primarily due to the associated costs of the sales-type lease recognition of the Marsh Landing Black Start addition that commenced operations on May 31, 2023, as further described in Note 2, </w:t>
      </w:r>
      <w:r>
        <w:rPr>
          <w:rFonts w:ascii="Arial" w:cs="Arial" w:eastAsia="Arial" w:hAnsi="Arial"/>
          <w:sz w:val="18"/>
          <w:szCs w:val="18"/>
          <w:i w:val="1"/>
          <w:iCs w:val="1"/>
          <w:color w:val="auto"/>
        </w:rPr>
        <w:t>Summary of Significant Accounting Policie</w:t>
      </w:r>
      <w:r>
        <w:rPr>
          <w:rFonts w:ascii="Arial" w:cs="Arial" w:eastAsia="Arial" w:hAnsi="Arial"/>
          <w:sz w:val="18"/>
          <w:szCs w:val="18"/>
          <w:color w:val="auto"/>
        </w:rPr>
        <w:t>s, offset by a $6 million decrease driven by the sale of the Thermal Business on May 1, 2022.</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Sale of Business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May 1, 2022, the Company completed the sale of 100% of its interests in the Thermal Business to KKR, resulting in a gain on sale of business of approximately $1.29 billion.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 Earnings of Unconsolidated Affiliates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Equity in earnings of unconsolidated affiliates decreased by $7 million during the three months ended June 30, 2023, compared to the same period in 2022, primarily due to the change in fair value of interest rate swaps, as well as lower wind production.</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Interest expense increased by $8 million during the three months ended June 30, 2023, compared to the same period in 2022, primarily due to the following:</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8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92"/>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226"/>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interest rate swaps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7"/>
        </w:trPr>
        <w:tc>
          <w:tcPr>
            <w:tcW w:w="9840" w:type="dxa"/>
            <w:vAlign w:val="bottom"/>
          </w:tcPr>
          <w:p>
            <w:pPr>
              <w:ind w:left="20"/>
              <w:spacing w:after="0"/>
              <w:rPr>
                <w:sz w:val="20"/>
                <w:szCs w:val="20"/>
                <w:color w:val="auto"/>
              </w:rPr>
            </w:pPr>
            <w:r>
              <w:rPr>
                <w:rFonts w:ascii="Arial" w:cs="Arial" w:eastAsia="Arial" w:hAnsi="Arial"/>
                <w:sz w:val="18"/>
                <w:szCs w:val="18"/>
                <w:color w:val="auto"/>
              </w:rPr>
              <w:t>Decrease in interest expense due to decreased principal balances of project-level debt</w:t>
            </w: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6"/>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Decrease in interest expense due to the sale of the Thermal Business on May 1, 2022</w:t>
            </w: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76"/>
        </w:trPr>
        <w:tc>
          <w:tcPr>
            <w:tcW w:w="9840" w:type="dxa"/>
            <w:vAlign w:val="bottom"/>
          </w:tcPr>
          <w:p>
            <w:pPr>
              <w:ind w:left="20"/>
              <w:spacing w:after="0" w:line="176" w:lineRule="exact"/>
              <w:rPr>
                <w:sz w:val="20"/>
                <w:szCs w:val="20"/>
                <w:color w:val="auto"/>
              </w:rPr>
            </w:pPr>
            <w:r>
              <w:rPr>
                <w:rFonts w:ascii="Arial" w:cs="Arial" w:eastAsia="Arial" w:hAnsi="Arial"/>
                <w:sz w:val="18"/>
                <w:szCs w:val="18"/>
                <w:color w:val="auto"/>
              </w:rPr>
              <w:t>Decrease in interest expense due to decreased principal balances of Corporate debt, which includes repayment</w:t>
            </w: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9840" w:type="dxa"/>
            <w:vAlign w:val="bottom"/>
          </w:tcPr>
          <w:p>
            <w:pPr>
              <w:ind w:left="20"/>
              <w:spacing w:after="0" w:line="189" w:lineRule="exact"/>
              <w:rPr>
                <w:sz w:val="20"/>
                <w:szCs w:val="20"/>
                <w:color w:val="auto"/>
              </w:rPr>
            </w:pPr>
            <w:r>
              <w:rPr>
                <w:rFonts w:ascii="Arial" w:cs="Arial" w:eastAsia="Arial" w:hAnsi="Arial"/>
                <w:sz w:val="18"/>
                <w:szCs w:val="18"/>
                <w:color w:val="auto"/>
              </w:rPr>
              <w:t>of the outstanding borrowings under the Bridge Loan Agreement and the revolving credit facility on May 3,</w:t>
            </w:r>
          </w:p>
        </w:tc>
        <w:tc>
          <w:tcPr>
            <w:tcW w:w="200" w:type="dxa"/>
            <w:vAlign w:val="bottom"/>
          </w:tcPr>
          <w:p>
            <w:pPr>
              <w:spacing w:after="0"/>
              <w:rPr>
                <w:sz w:val="16"/>
                <w:szCs w:val="16"/>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7"/>
        </w:trPr>
        <w:tc>
          <w:tcPr>
            <w:tcW w:w="9840" w:type="dxa"/>
            <w:vAlign w:val="bottom"/>
          </w:tcPr>
          <w:p>
            <w:pPr>
              <w:ind w:left="20"/>
              <w:spacing w:after="0"/>
              <w:rPr>
                <w:sz w:val="20"/>
                <w:szCs w:val="20"/>
                <w:color w:val="auto"/>
              </w:rPr>
            </w:pPr>
            <w:r>
              <w:rPr>
                <w:rFonts w:ascii="Arial" w:cs="Arial" w:eastAsia="Arial" w:hAnsi="Arial"/>
                <w:sz w:val="18"/>
                <w:szCs w:val="18"/>
                <w:color w:val="auto"/>
              </w:rPr>
              <w:t>2022</w:t>
            </w: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98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98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Attributable to Noncontrolling Interests and Redeemable Noncontrolling Interests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For the three months ended June 30, 2023, net (loss) income attributable to noncontrolling interests and redeemable noncontrolling interests was comprised of the following:</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8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(In millions)</w:t>
            </w:r>
          </w:p>
        </w:tc>
      </w:tr>
      <w:tr>
        <w:trPr>
          <w:trHeight w:val="239"/>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Losses attributable to tax equity financing arrangements and the application of the HLBV method</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center"/>
              <w:ind w:left="772"/>
              <w:spacing w:after="0"/>
              <w:rPr>
                <w:sz w:val="20"/>
                <w:szCs w:val="20"/>
                <w:color w:val="auto"/>
              </w:rPr>
            </w:pPr>
            <w:r>
              <w:rPr>
                <w:rFonts w:ascii="Arial" w:cs="Arial" w:eastAsia="Arial" w:hAnsi="Arial"/>
                <w:sz w:val="18"/>
                <w:szCs w:val="18"/>
                <w:color w:val="auto"/>
                <w:w w:val="93"/>
              </w:rPr>
              <w:t>(11)</w:t>
            </w:r>
          </w:p>
        </w:tc>
      </w:tr>
      <w:tr>
        <w:trPr>
          <w:trHeight w:val="230"/>
        </w:trPr>
        <w:tc>
          <w:tcPr>
            <w:tcW w:w="9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attributable to third-party partnerships</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792"/>
              <w:spacing w:after="0"/>
              <w:rPr>
                <w:sz w:val="20"/>
                <w:szCs w:val="20"/>
                <w:color w:val="auto"/>
              </w:rPr>
            </w:pPr>
            <w:r>
              <w:rPr>
                <w:rFonts w:ascii="Arial" w:cs="Arial" w:eastAsia="Arial" w:hAnsi="Arial"/>
                <w:sz w:val="18"/>
                <w:szCs w:val="18"/>
                <w:color w:val="auto"/>
                <w:w w:val="79"/>
              </w:rPr>
              <w:t>11</w:t>
            </w:r>
          </w:p>
        </w:tc>
      </w:tr>
      <w:tr>
        <w:trPr>
          <w:trHeight w:val="248"/>
        </w:trPr>
        <w:tc>
          <w:tcPr>
            <w:tcW w:w="98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center"/>
              <w:ind w:left="772"/>
              <w:spacing w:after="0"/>
              <w:rPr>
                <w:sz w:val="20"/>
                <w:szCs w:val="20"/>
                <w:color w:val="auto"/>
              </w:rPr>
            </w:pPr>
            <w:r>
              <w:rPr>
                <w:rFonts w:ascii="Arial" w:cs="Arial" w:eastAsia="Arial" w:hAnsi="Arial"/>
                <w:sz w:val="18"/>
                <w:szCs w:val="18"/>
                <w:color w:val="auto"/>
                <w:w w:val="99"/>
              </w:rPr>
              <w:t>—</w:t>
            </w:r>
          </w:p>
        </w:tc>
      </w:tr>
      <w:tr>
        <w:trPr>
          <w:trHeight w:val="20"/>
        </w:trPr>
        <w:tc>
          <w:tcPr>
            <w:tcW w:w="98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For the three months ended June 30, 2022, the Company had a net loss of $6 million attributable to noncontrolling interests and redeemable noncontrolling interests with respect to its tax equity financing arrangements and the application of the HLBV method.</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Management’s Discussion of the Results of Operations for the Six Months Ended June 30, 2023 and 2022</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Revenues</w:t>
      </w:r>
    </w:p>
    <w:p>
      <w:pPr>
        <w:spacing w:after="0" w:line="17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Operating revenues increased by $112 million during the six months ended June 30, 2023, compared to the same period in 2022, due to a combination of the drivers summarized in the table below:</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22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72"/>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172"/>
        </w:trPr>
        <w:tc>
          <w:tcPr>
            <w:tcW w:w="2220" w:type="dxa"/>
            <w:vAlign w:val="bottom"/>
            <w:shd w:val="clear" w:color="auto" w:fill="CCEEFF"/>
          </w:tcPr>
          <w:p>
            <w:pPr>
              <w:ind w:left="20"/>
              <w:spacing w:after="0" w:line="172" w:lineRule="exact"/>
              <w:rPr>
                <w:sz w:val="20"/>
                <w:szCs w:val="20"/>
                <w:color w:val="auto"/>
              </w:rPr>
            </w:pPr>
            <w:r>
              <w:rPr>
                <w:rFonts w:ascii="Arial" w:cs="Arial" w:eastAsia="Arial" w:hAnsi="Arial"/>
                <w:sz w:val="18"/>
                <w:szCs w:val="18"/>
                <w:b w:val="1"/>
                <w:bCs w:val="1"/>
                <w:color w:val="auto"/>
              </w:rPr>
              <w:t>Renewables Segment</w:t>
            </w:r>
          </w:p>
        </w:tc>
        <w:tc>
          <w:tcPr>
            <w:tcW w:w="7820" w:type="dxa"/>
            <w:vAlign w:val="bottom"/>
            <w:gridSpan w:val="3"/>
            <w:shd w:val="clear" w:color="auto" w:fill="CCEEFF"/>
          </w:tcPr>
          <w:p>
            <w:pPr>
              <w:ind w:left="440"/>
              <w:spacing w:after="0" w:line="172" w:lineRule="exact"/>
              <w:rPr>
                <w:sz w:val="20"/>
                <w:szCs w:val="20"/>
                <w:color w:val="auto"/>
              </w:rPr>
            </w:pPr>
            <w:r>
              <w:rPr>
                <w:rFonts w:ascii="Arial" w:cs="Arial" w:eastAsia="Arial" w:hAnsi="Arial"/>
                <w:sz w:val="18"/>
                <w:szCs w:val="18"/>
                <w:color w:val="auto"/>
                <w:w w:val="98"/>
              </w:rPr>
              <w:t>Decrease driven primarily by lower than average wind production during the second quarter of</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9"/>
        </w:trPr>
        <w:tc>
          <w:tcPr>
            <w:tcW w:w="2220" w:type="dxa"/>
            <w:vAlign w:val="bottom"/>
            <w:shd w:val="clear" w:color="auto" w:fill="CCEEFF"/>
          </w:tcPr>
          <w:p>
            <w:pPr>
              <w:spacing w:after="0"/>
              <w:rPr>
                <w:sz w:val="19"/>
                <w:szCs w:val="19"/>
                <w:color w:val="auto"/>
              </w:rPr>
            </w:pPr>
          </w:p>
        </w:tc>
        <w:tc>
          <w:tcPr>
            <w:tcW w:w="73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2"/>
              </w:rPr>
              <w:t>2023, compared with higher than average wind production during the second quarter of 2022.</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20" w:type="dxa"/>
            <w:vAlign w:val="bottom"/>
          </w:tcPr>
          <w:p>
            <w:pPr>
              <w:spacing w:after="0"/>
              <w:rPr>
                <w:sz w:val="19"/>
                <w:szCs w:val="19"/>
                <w:color w:val="auto"/>
              </w:rPr>
            </w:pPr>
          </w:p>
        </w:tc>
        <w:tc>
          <w:tcPr>
            <w:tcW w:w="7360" w:type="dxa"/>
            <w:vAlign w:val="bottom"/>
          </w:tcPr>
          <w:p>
            <w:pPr>
              <w:ind w:left="440"/>
              <w:spacing w:after="0"/>
              <w:rPr>
                <w:sz w:val="20"/>
                <w:szCs w:val="20"/>
                <w:color w:val="auto"/>
              </w:rPr>
            </w:pPr>
            <w:r>
              <w:rPr>
                <w:rFonts w:ascii="Arial" w:cs="Arial" w:eastAsia="Arial" w:hAnsi="Arial"/>
                <w:sz w:val="18"/>
                <w:szCs w:val="18"/>
                <w:color w:val="auto"/>
              </w:rPr>
              <w:t>Decrease driven primarily by lower solar generation due to weather.</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2220" w:type="dxa"/>
            <w:vAlign w:val="bottom"/>
            <w:shd w:val="clear" w:color="auto" w:fill="CCEEFF"/>
          </w:tcPr>
          <w:p>
            <w:pPr>
              <w:spacing w:after="0"/>
              <w:rPr>
                <w:sz w:val="21"/>
                <w:szCs w:val="21"/>
                <w:color w:val="auto"/>
              </w:rPr>
            </w:pPr>
          </w:p>
        </w:tc>
        <w:tc>
          <w:tcPr>
            <w:tcW w:w="73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4"/>
              </w:rPr>
              <w:t>Increase driven primarily by the acquisition of the Capistrano Wind Portfolio in August 2022.</w:t>
            </w:r>
          </w:p>
        </w:tc>
        <w:tc>
          <w:tcPr>
            <w:tcW w:w="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76"/>
        </w:trPr>
        <w:tc>
          <w:tcPr>
            <w:tcW w:w="2220" w:type="dxa"/>
            <w:vAlign w:val="bottom"/>
          </w:tcPr>
          <w:p>
            <w:pPr>
              <w:spacing w:after="0"/>
              <w:rPr>
                <w:sz w:val="15"/>
                <w:szCs w:val="15"/>
                <w:color w:val="auto"/>
              </w:rPr>
            </w:pPr>
          </w:p>
        </w:tc>
        <w:tc>
          <w:tcPr>
            <w:tcW w:w="7820" w:type="dxa"/>
            <w:vAlign w:val="bottom"/>
            <w:gridSpan w:val="3"/>
          </w:tcPr>
          <w:p>
            <w:pPr>
              <w:ind w:left="440"/>
              <w:spacing w:after="0" w:line="176" w:lineRule="exact"/>
              <w:rPr>
                <w:sz w:val="20"/>
                <w:szCs w:val="20"/>
                <w:color w:val="auto"/>
              </w:rPr>
            </w:pPr>
            <w:r>
              <w:rPr>
                <w:rFonts w:ascii="Arial" w:cs="Arial" w:eastAsia="Arial" w:hAnsi="Arial"/>
                <w:sz w:val="18"/>
                <w:szCs w:val="18"/>
                <w:color w:val="auto"/>
              </w:rPr>
              <w:t>Increase for solar acquisitions driven by Mililani I and Waiawa, which reached commercial</w:t>
            </w: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20" w:type="dxa"/>
            <w:vAlign w:val="bottom"/>
          </w:tcPr>
          <w:p>
            <w:pPr>
              <w:spacing w:after="0"/>
              <w:rPr>
                <w:sz w:val="15"/>
                <w:szCs w:val="15"/>
                <w:color w:val="auto"/>
              </w:rPr>
            </w:pPr>
          </w:p>
        </w:tc>
        <w:tc>
          <w:tcPr>
            <w:tcW w:w="7820" w:type="dxa"/>
            <w:vAlign w:val="bottom"/>
            <w:gridSpan w:val="3"/>
          </w:tcPr>
          <w:p>
            <w:pPr>
              <w:ind w:left="440"/>
              <w:spacing w:after="0" w:line="176" w:lineRule="exact"/>
              <w:rPr>
                <w:sz w:val="20"/>
                <w:szCs w:val="20"/>
                <w:color w:val="auto"/>
              </w:rPr>
            </w:pPr>
            <w:r>
              <w:rPr>
                <w:rFonts w:ascii="Arial" w:cs="Arial" w:eastAsia="Arial" w:hAnsi="Arial"/>
                <w:sz w:val="18"/>
                <w:szCs w:val="18"/>
                <w:color w:val="auto"/>
                <w:w w:val="97"/>
              </w:rPr>
              <w:t>operations in July 2022 and January 2023, respectively, offset by the disposition of Kawailoa in</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2220" w:type="dxa"/>
            <w:vAlign w:val="bottom"/>
          </w:tcPr>
          <w:p>
            <w:pPr>
              <w:spacing w:after="0"/>
              <w:rPr>
                <w:sz w:val="20"/>
                <w:szCs w:val="20"/>
                <w:color w:val="auto"/>
              </w:rPr>
            </w:pPr>
          </w:p>
        </w:tc>
        <w:tc>
          <w:tcPr>
            <w:tcW w:w="7360" w:type="dxa"/>
            <w:vAlign w:val="bottom"/>
          </w:tcPr>
          <w:p>
            <w:pPr>
              <w:ind w:left="440"/>
              <w:spacing w:after="0"/>
              <w:rPr>
                <w:sz w:val="20"/>
                <w:szCs w:val="20"/>
                <w:color w:val="auto"/>
              </w:rPr>
            </w:pPr>
            <w:r>
              <w:rPr>
                <w:rFonts w:ascii="Arial" w:cs="Arial" w:eastAsia="Arial" w:hAnsi="Arial"/>
                <w:sz w:val="18"/>
                <w:szCs w:val="18"/>
                <w:color w:val="auto"/>
              </w:rPr>
              <w:t>August 2022.</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22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b w:val="1"/>
                <w:bCs w:val="1"/>
                <w:color w:val="auto"/>
              </w:rPr>
              <w:t>Conventional Segment</w:t>
            </w:r>
          </w:p>
        </w:tc>
        <w:tc>
          <w:tcPr>
            <w:tcW w:w="7360" w:type="dxa"/>
            <w:vAlign w:val="bottom"/>
            <w:shd w:val="clear" w:color="auto" w:fill="CCEEFF"/>
          </w:tcPr>
          <w:p>
            <w:pPr>
              <w:ind w:left="440"/>
              <w:spacing w:after="0" w:line="182" w:lineRule="exact"/>
              <w:rPr>
                <w:sz w:val="20"/>
                <w:szCs w:val="20"/>
                <w:color w:val="auto"/>
              </w:rPr>
            </w:pPr>
            <w:r>
              <w:rPr>
                <w:rFonts w:ascii="Arial" w:cs="Arial" w:eastAsia="Arial" w:hAnsi="Arial"/>
                <w:sz w:val="18"/>
                <w:szCs w:val="18"/>
                <w:color w:val="auto"/>
                <w:w w:val="99"/>
              </w:rPr>
              <w:t>Decrease at Walnut Creek and Marsh Landing facilities primarily driven by lower prices</w:t>
            </w:r>
          </w:p>
        </w:tc>
        <w:tc>
          <w:tcPr>
            <w:tcW w:w="460" w:type="dxa"/>
            <w:vAlign w:val="bottom"/>
            <w:gridSpan w:val="2"/>
            <w:shd w:val="clear" w:color="auto" w:fill="CCEEFF"/>
          </w:tcPr>
          <w:p>
            <w:pPr>
              <w:jc w:val="right"/>
              <w:ind w:right="200"/>
              <w:spacing w:after="0" w:line="182" w:lineRule="exact"/>
              <w:rPr>
                <w:sz w:val="20"/>
                <w:szCs w:val="20"/>
                <w:color w:val="auto"/>
              </w:rPr>
            </w:pPr>
            <w:r>
              <w:rPr>
                <w:rFonts w:ascii="Arial" w:cs="Arial" w:eastAsia="Arial" w:hAnsi="Arial"/>
                <w:sz w:val="18"/>
                <w:szCs w:val="18"/>
                <w:color w:val="auto"/>
              </w:rPr>
              <w:t>for</w:t>
            </w: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220" w:type="dxa"/>
            <w:vAlign w:val="bottom"/>
            <w:shd w:val="clear" w:color="auto" w:fill="CCEEFF"/>
          </w:tcPr>
          <w:p>
            <w:pPr>
              <w:spacing w:after="0"/>
              <w:rPr>
                <w:sz w:val="15"/>
                <w:szCs w:val="15"/>
                <w:color w:val="auto"/>
              </w:rPr>
            </w:pPr>
          </w:p>
        </w:tc>
        <w:tc>
          <w:tcPr>
            <w:tcW w:w="7820" w:type="dxa"/>
            <w:vAlign w:val="bottom"/>
            <w:gridSpan w:val="3"/>
            <w:shd w:val="clear" w:color="auto" w:fill="CCEEFF"/>
          </w:tcPr>
          <w:p>
            <w:pPr>
              <w:ind w:left="440"/>
              <w:spacing w:after="0" w:line="176" w:lineRule="exact"/>
              <w:rPr>
                <w:sz w:val="20"/>
                <w:szCs w:val="20"/>
                <w:color w:val="auto"/>
              </w:rPr>
            </w:pPr>
            <w:r>
              <w:rPr>
                <w:rFonts w:ascii="Arial" w:cs="Arial" w:eastAsia="Arial" w:hAnsi="Arial"/>
                <w:sz w:val="18"/>
                <w:szCs w:val="18"/>
                <w:color w:val="auto"/>
                <w:w w:val="94"/>
              </w:rPr>
              <w:t>capacity revenue due to the expiring PPAs during the second quarter of 2023 and commencement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2220" w:type="dxa"/>
            <w:vAlign w:val="bottom"/>
            <w:shd w:val="clear" w:color="auto" w:fill="CCEEFF"/>
          </w:tcPr>
          <w:p>
            <w:pPr>
              <w:spacing w:after="0"/>
              <w:rPr>
                <w:sz w:val="21"/>
                <w:szCs w:val="21"/>
                <w:color w:val="auto"/>
              </w:rPr>
            </w:pPr>
          </w:p>
        </w:tc>
        <w:tc>
          <w:tcPr>
            <w:tcW w:w="7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of RA capacity revenue.</w:t>
            </w:r>
          </w:p>
        </w:tc>
        <w:tc>
          <w:tcPr>
            <w:tcW w:w="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891" w:right="339" w:bottom="1440" w:gutter="0" w:footer="0" w:header="0"/>
        </w:sectPr>
      </w:pPr>
    </w:p>
    <w:p>
      <w:pPr>
        <w:ind w:left="2660"/>
        <w:spacing w:after="0" w:line="234" w:lineRule="auto"/>
        <w:rPr>
          <w:sz w:val="20"/>
          <w:szCs w:val="20"/>
          <w:color w:val="auto"/>
        </w:rPr>
      </w:pPr>
      <w:r>
        <w:rPr>
          <w:rFonts w:ascii="Arial" w:cs="Arial" w:eastAsia="Arial" w:hAnsi="Arial"/>
          <w:sz w:val="18"/>
          <w:szCs w:val="18"/>
          <w:color w:val="auto"/>
        </w:rPr>
        <w:t>Decrease driven by outages at the Walnut Creek and Marsh Landing facilities during the first quarter of 2023, resulting in lower capacity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654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2660"/>
        <w:spacing w:after="0" w:line="242" w:lineRule="auto"/>
        <w:rPr>
          <w:sz w:val="20"/>
          <w:szCs w:val="20"/>
          <w:color w:val="auto"/>
        </w:rPr>
      </w:pPr>
      <w:r>
        <w:rPr>
          <w:rFonts w:ascii="Arial" w:cs="Arial" w:eastAsia="Arial" w:hAnsi="Arial"/>
          <w:sz w:val="18"/>
          <w:szCs w:val="18"/>
          <w:color w:val="auto"/>
        </w:rPr>
        <w:t>Decrease primarily driven by longer planned maintenance outages at the El Segundo facility in 2023.</w:t>
      </w:r>
    </w:p>
    <w:p>
      <w:pPr>
        <w:spacing w:after="0" w:line="1" w:lineRule="exact"/>
        <w:rPr>
          <w:sz w:val="20"/>
          <w:szCs w:val="20"/>
          <w:color w:val="auto"/>
        </w:rPr>
      </w:pPr>
    </w:p>
    <w:p>
      <w:pPr>
        <w:ind w:left="2660"/>
        <w:spacing w:after="0" w:line="234" w:lineRule="auto"/>
        <w:rPr>
          <w:sz w:val="20"/>
          <w:szCs w:val="20"/>
          <w:color w:val="auto"/>
        </w:rPr>
      </w:pPr>
      <w:r>
        <w:rPr>
          <w:rFonts w:ascii="Arial" w:cs="Arial" w:eastAsia="Arial" w:hAnsi="Arial"/>
          <w:sz w:val="18"/>
          <w:szCs w:val="18"/>
          <w:color w:val="auto"/>
        </w:rPr>
        <w:t>Increase driven by the sales-type lease revenue recognition of the Marsh Landing Black Start addition that commenced operations on May 31, 2023.</w:t>
      </w:r>
    </w:p>
    <w:p>
      <w:pPr>
        <w:spacing w:after="0" w:line="10" w:lineRule="exact"/>
        <w:rPr>
          <w:sz w:val="20"/>
          <w:szCs w:val="20"/>
          <w:color w:val="auto"/>
        </w:rPr>
      </w:pPr>
    </w:p>
    <w:p>
      <w:pPr>
        <w:ind w:left="20"/>
        <w:spacing w:after="0"/>
        <w:tabs>
          <w:tab w:leader="none" w:pos="2640" w:val="left"/>
        </w:tabs>
        <w:rPr>
          <w:sz w:val="20"/>
          <w:szCs w:val="20"/>
          <w:color w:val="auto"/>
        </w:rPr>
      </w:pPr>
      <w:r>
        <w:rPr>
          <w:rFonts w:ascii="Arial" w:cs="Arial" w:eastAsia="Arial" w:hAnsi="Arial"/>
          <w:sz w:val="18"/>
          <w:szCs w:val="18"/>
          <w:b w:val="1"/>
          <w:bCs w:val="1"/>
          <w:color w:val="auto"/>
        </w:rPr>
        <w:t>Thermal Segment</w:t>
      </w:r>
      <w:r>
        <w:rPr>
          <w:sz w:val="20"/>
          <w:szCs w:val="20"/>
          <w:color w:val="auto"/>
        </w:rPr>
        <w:tab/>
      </w:r>
      <w:r>
        <w:rPr>
          <w:rFonts w:ascii="Arial" w:cs="Arial" w:eastAsia="Arial" w:hAnsi="Arial"/>
          <w:sz w:val="16"/>
          <w:szCs w:val="16"/>
          <w:color w:val="auto"/>
        </w:rPr>
        <w:t>Decrease primarily driven by the sale of the Thermal Business on May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0"/>
        <w:spacing w:after="0"/>
        <w:tabs>
          <w:tab w:leader="none" w:pos="2640" w:val="left"/>
        </w:tabs>
        <w:rPr>
          <w:sz w:val="20"/>
          <w:szCs w:val="20"/>
          <w:color w:val="auto"/>
        </w:rPr>
      </w:pPr>
      <w:r>
        <w:rPr>
          <w:rFonts w:ascii="Arial" w:cs="Arial" w:eastAsia="Arial" w:hAnsi="Arial"/>
          <w:sz w:val="18"/>
          <w:szCs w:val="18"/>
          <w:b w:val="1"/>
          <w:bCs w:val="1"/>
          <w:color w:val="auto"/>
        </w:rPr>
        <w:t>Mark-to-market economic</w:t>
      </w:r>
      <w:r>
        <w:rPr>
          <w:sz w:val="20"/>
          <w:szCs w:val="20"/>
          <w:color w:val="auto"/>
        </w:rPr>
        <w:tab/>
      </w:r>
      <w:r>
        <w:rPr>
          <w:rFonts w:ascii="Arial" w:cs="Arial" w:eastAsia="Arial" w:hAnsi="Arial"/>
          <w:sz w:val="16"/>
          <w:szCs w:val="16"/>
          <w:color w:val="auto"/>
        </w:rPr>
        <w:t>Increase primarily driven by decreases in forward power prices in the ERCOT and PJM markets.</w:t>
      </w:r>
    </w:p>
    <w:p>
      <w:pPr>
        <w:ind w:left="20"/>
        <w:spacing w:after="0"/>
        <w:rPr>
          <w:sz w:val="20"/>
          <w:szCs w:val="20"/>
          <w:color w:val="auto"/>
        </w:rPr>
      </w:pPr>
      <w:r>
        <w:rPr>
          <w:rFonts w:ascii="Arial" w:cs="Arial" w:eastAsia="Arial" w:hAnsi="Arial"/>
          <w:sz w:val="18"/>
          <w:szCs w:val="18"/>
          <w:b w:val="1"/>
          <w:bCs w:val="1"/>
          <w:color w:val="auto"/>
        </w:rPr>
        <w:t>hedging activities</w:t>
      </w:r>
    </w:p>
    <w:p>
      <w:pPr>
        <w:spacing w:after="0" w:line="5" w:lineRule="exact"/>
        <w:rPr>
          <w:sz w:val="20"/>
          <w:szCs w:val="20"/>
          <w:color w:val="auto"/>
        </w:rPr>
      </w:pPr>
    </w:p>
    <w:p>
      <w:pPr>
        <w:ind w:left="20"/>
        <w:spacing w:after="0"/>
        <w:tabs>
          <w:tab w:leader="none" w:pos="2640" w:val="left"/>
        </w:tabs>
        <w:rPr>
          <w:sz w:val="20"/>
          <w:szCs w:val="20"/>
          <w:color w:val="auto"/>
        </w:rPr>
      </w:pPr>
      <w:r>
        <w:rPr>
          <w:rFonts w:ascii="Arial" w:cs="Arial" w:eastAsia="Arial" w:hAnsi="Arial"/>
          <w:sz w:val="18"/>
          <w:szCs w:val="18"/>
          <w:b w:val="1"/>
          <w:bCs w:val="1"/>
          <w:color w:val="auto"/>
        </w:rPr>
        <w:t>Contract amortization</w:t>
      </w:r>
      <w:r>
        <w:rPr>
          <w:sz w:val="20"/>
          <w:szCs w:val="20"/>
          <w:color w:val="auto"/>
        </w:rPr>
        <w:tab/>
      </w:r>
      <w:r>
        <w:rPr>
          <w:rFonts w:ascii="Arial" w:cs="Arial" w:eastAsia="Arial" w:hAnsi="Arial"/>
          <w:sz w:val="16"/>
          <w:szCs w:val="16"/>
          <w:color w:val="auto"/>
        </w:rPr>
        <w:t>Increase primarily driven by amortization of the intangible assets of PPAs related to the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2571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ind w:left="2660"/>
        <w:spacing w:after="0"/>
        <w:rPr>
          <w:sz w:val="20"/>
          <w:szCs w:val="20"/>
          <w:color w:val="auto"/>
        </w:rPr>
      </w:pPr>
      <w:r>
        <w:rPr>
          <w:rFonts w:ascii="Arial" w:cs="Arial" w:eastAsia="Arial" w:hAnsi="Arial"/>
          <w:sz w:val="18"/>
          <w:szCs w:val="18"/>
          <w:color w:val="auto"/>
        </w:rPr>
        <w:t>of the Capistrano Wind Portfolio in August 2022.</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(5)</w:t>
      </w:r>
    </w:p>
    <w:p>
      <w:pPr>
        <w:spacing w:after="0" w:line="212"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(2)</w:t>
      </w:r>
    </w:p>
    <w:p>
      <w:pPr>
        <w:spacing w:after="0" w:line="198" w:lineRule="exact"/>
        <w:rPr>
          <w:sz w:val="20"/>
          <w:szCs w:val="20"/>
          <w:color w:val="auto"/>
        </w:rPr>
      </w:pPr>
    </w:p>
    <w:p>
      <w:pPr>
        <w:ind w:left="1109"/>
        <w:spacing w:after="0"/>
        <w:rPr>
          <w:sz w:val="20"/>
          <w:szCs w:val="20"/>
          <w:color w:val="auto"/>
        </w:rPr>
      </w:pPr>
      <w:r>
        <w:rPr>
          <w:rFonts w:ascii="Arial" w:cs="Arial" w:eastAsia="Arial" w:hAnsi="Arial"/>
          <w:sz w:val="18"/>
          <w:szCs w:val="18"/>
          <w:color w:val="auto"/>
        </w:rPr>
        <w:t>21</w:t>
      </w:r>
    </w:p>
    <w:p>
      <w:pPr>
        <w:spacing w:after="0" w:line="36"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(77)</w:t>
      </w:r>
    </w:p>
    <w:p>
      <w:pPr>
        <w:spacing w:after="0" w:line="198" w:lineRule="exact"/>
        <w:rPr>
          <w:sz w:val="20"/>
          <w:szCs w:val="20"/>
          <w:color w:val="auto"/>
        </w:rPr>
      </w:pPr>
    </w:p>
    <w:p>
      <w:pPr>
        <w:ind w:left="1029"/>
        <w:spacing w:after="0"/>
        <w:rPr>
          <w:sz w:val="20"/>
          <w:szCs w:val="20"/>
          <w:color w:val="auto"/>
        </w:rPr>
      </w:pPr>
      <w:r>
        <w:rPr>
          <w:rFonts w:ascii="Arial" w:cs="Arial" w:eastAsia="Arial" w:hAnsi="Arial"/>
          <w:sz w:val="18"/>
          <w:szCs w:val="18"/>
          <w:color w:val="auto"/>
        </w:rPr>
        <w:t>223</w:t>
      </w:r>
    </w:p>
    <w:p>
      <w:pPr>
        <w:spacing w:after="0" w:line="212"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88328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16" w:lineRule="exact"/>
        <w:rPr>
          <w:sz w:val="20"/>
          <w:szCs w:val="20"/>
          <w:color w:val="auto"/>
        </w:rPr>
      </w:pPr>
    </w:p>
    <w:p>
      <w:pPr>
        <w:ind w:left="1029" w:hanging="1029"/>
        <w:spacing w:after="0"/>
        <w:tabs>
          <w:tab w:leader="none" w:pos="1029" w:val="left"/>
        </w:tabs>
        <w:numPr>
          <w:ilvl w:val="0"/>
          <w:numId w:val="27"/>
        </w:numPr>
        <w:rPr>
          <w:rFonts w:ascii="Arial" w:cs="Arial" w:eastAsia="Arial" w:hAnsi="Arial"/>
          <w:sz w:val="18"/>
          <w:szCs w:val="18"/>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88328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8328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40640</wp:posOffset>
            </wp:positionV>
            <wp:extent cx="88328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8328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840" w:space="31"/>
            <w:col w:w="1369"/>
          </w:cols>
          <w:pgMar w:left="320" w:top="891" w:right="339" w:bottom="1440" w:gutter="0" w:footer="0" w:header="0"/>
          <w:type w:val="continuous"/>
        </w:sectPr>
      </w:pP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Fuels</w:t>
      </w:r>
    </w:p>
    <w:p>
      <w:pPr>
        <w:spacing w:after="0" w:line="25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Cost of fuels decreased by $13 million during the six months ended June 30, 2023, compared to the same period in 2022, due to the sale of the Thermal Business on May 1, 2022, which resulted in a decrease of $28 million, offset by a $15 million increase for the Conventional segment primarily due to the associated costs of the sales-type lease recognition of the Marsh Landing Black Start addition that commenced operations on May 31, 2023, as further described in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Operations and Maintenance Expense</w:t>
      </w:r>
    </w:p>
    <w:p>
      <w:pPr>
        <w:spacing w:after="0" w:line="17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Operations and maintenance expense increased by $7 million during the six months ended June 30, 2023, compared to the same period in 2022, due to a combination of the drivers summarized in the table below:</w:t>
      </w:r>
    </w:p>
    <w:p>
      <w:pPr>
        <w:spacing w:after="0" w:line="49" w:lineRule="exact"/>
        <w:rPr>
          <w:sz w:val="20"/>
          <w:szCs w:val="20"/>
          <w:color w:val="auto"/>
        </w:rPr>
      </w:pPr>
    </w:p>
    <w:p>
      <w:pPr>
        <w:ind w:left="10120"/>
        <w:spacing w:after="0"/>
        <w:rPr>
          <w:sz w:val="20"/>
          <w:szCs w:val="20"/>
          <w:color w:val="auto"/>
        </w:rPr>
      </w:pPr>
      <w:r>
        <w:rPr>
          <w:rFonts w:ascii="Arial" w:cs="Arial" w:eastAsia="Arial" w:hAnsi="Arial"/>
          <w:sz w:val="16"/>
          <w:szCs w:val="16"/>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20320</wp:posOffset>
            </wp:positionV>
            <wp:extent cx="88328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8328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2180" w:type="dxa"/>
            <w:vAlign w:val="bottom"/>
          </w:tcPr>
          <w:p>
            <w:pPr>
              <w:spacing w:after="0"/>
              <w:rPr>
                <w:sz w:val="20"/>
                <w:szCs w:val="20"/>
                <w:color w:val="auto"/>
              </w:rPr>
            </w:pPr>
            <w:r>
              <w:rPr>
                <w:rFonts w:ascii="Arial" w:cs="Arial" w:eastAsia="Arial" w:hAnsi="Arial"/>
                <w:sz w:val="18"/>
                <w:szCs w:val="18"/>
                <w:b w:val="1"/>
                <w:bCs w:val="1"/>
                <w:color w:val="auto"/>
              </w:rPr>
              <w:t>Renewables Segment</w:t>
            </w:r>
          </w:p>
        </w:tc>
        <w:tc>
          <w:tcPr>
            <w:tcW w:w="7620" w:type="dxa"/>
            <w:vAlign w:val="bottom"/>
          </w:tcPr>
          <w:p>
            <w:pPr>
              <w:ind w:left="460"/>
              <w:spacing w:after="0"/>
              <w:rPr>
                <w:sz w:val="20"/>
                <w:szCs w:val="20"/>
                <w:color w:val="auto"/>
              </w:rPr>
            </w:pPr>
            <w:r>
              <w:rPr>
                <w:rFonts w:ascii="Arial" w:cs="Arial" w:eastAsia="Arial" w:hAnsi="Arial"/>
                <w:sz w:val="18"/>
                <w:szCs w:val="18"/>
                <w:color w:val="auto"/>
                <w:w w:val="97"/>
              </w:rPr>
              <w:t>Increase primarily driven by the acquisition of the Capistrano Wind Portfolio in August 2022.</w:t>
            </w:r>
          </w:p>
        </w:tc>
        <w:tc>
          <w:tcPr>
            <w:tcW w:w="0" w:type="dxa"/>
            <w:vAlign w:val="bottom"/>
          </w:tcPr>
          <w:p>
            <w:pPr>
              <w:spacing w:after="0"/>
              <w:rPr>
                <w:sz w:val="1"/>
                <w:szCs w:val="1"/>
                <w:color w:val="auto"/>
              </w:rPr>
            </w:pPr>
          </w:p>
        </w:tc>
      </w:tr>
      <w:tr>
        <w:trPr>
          <w:trHeight w:val="230"/>
        </w:trPr>
        <w:tc>
          <w:tcPr>
            <w:tcW w:w="2180" w:type="dxa"/>
            <w:vAlign w:val="bottom"/>
          </w:tcPr>
          <w:p>
            <w:pPr>
              <w:spacing w:after="0"/>
              <w:rPr>
                <w:sz w:val="20"/>
                <w:szCs w:val="20"/>
                <w:color w:val="auto"/>
              </w:rPr>
            </w:pPr>
          </w:p>
        </w:tc>
        <w:tc>
          <w:tcPr>
            <w:tcW w:w="7620" w:type="dxa"/>
            <w:vAlign w:val="bottom"/>
          </w:tcPr>
          <w:p>
            <w:pPr>
              <w:ind w:left="460"/>
              <w:spacing w:after="0"/>
              <w:rPr>
                <w:sz w:val="20"/>
                <w:szCs w:val="20"/>
                <w:color w:val="auto"/>
              </w:rPr>
            </w:pPr>
            <w:r>
              <w:rPr>
                <w:rFonts w:ascii="Arial" w:cs="Arial" w:eastAsia="Arial" w:hAnsi="Arial"/>
                <w:sz w:val="18"/>
                <w:szCs w:val="18"/>
                <w:color w:val="auto"/>
              </w:rPr>
              <w:t>Increase primarily driven by maintenance activities at the wind facilities.</w:t>
            </w:r>
          </w:p>
        </w:tc>
        <w:tc>
          <w:tcPr>
            <w:tcW w:w="0" w:type="dxa"/>
            <w:vAlign w:val="bottom"/>
          </w:tcPr>
          <w:p>
            <w:pPr>
              <w:spacing w:after="0"/>
              <w:rPr>
                <w:sz w:val="1"/>
                <w:szCs w:val="1"/>
                <w:color w:val="auto"/>
              </w:rPr>
            </w:pPr>
          </w:p>
        </w:tc>
      </w:tr>
      <w:tr>
        <w:trPr>
          <w:trHeight w:val="189"/>
        </w:trPr>
        <w:tc>
          <w:tcPr>
            <w:tcW w:w="2180" w:type="dxa"/>
            <w:vAlign w:val="bottom"/>
          </w:tcPr>
          <w:p>
            <w:pPr>
              <w:spacing w:after="0"/>
              <w:rPr>
                <w:sz w:val="16"/>
                <w:szCs w:val="16"/>
                <w:color w:val="auto"/>
              </w:rPr>
            </w:pPr>
          </w:p>
        </w:tc>
        <w:tc>
          <w:tcPr>
            <w:tcW w:w="7620" w:type="dxa"/>
            <w:vAlign w:val="bottom"/>
          </w:tcPr>
          <w:p>
            <w:pPr>
              <w:ind w:left="460"/>
              <w:spacing w:after="0" w:line="189" w:lineRule="exact"/>
              <w:rPr>
                <w:sz w:val="20"/>
                <w:szCs w:val="20"/>
                <w:color w:val="auto"/>
              </w:rPr>
            </w:pPr>
            <w:r>
              <w:rPr>
                <w:rFonts w:ascii="Arial" w:cs="Arial" w:eastAsia="Arial" w:hAnsi="Arial"/>
                <w:sz w:val="18"/>
                <w:szCs w:val="18"/>
                <w:color w:val="auto"/>
                <w:w w:val="92"/>
              </w:rPr>
              <w:t>Increase for solar acquisitions driven by Daggett 3 in February 2023, Mililani I in March 2022 and</w:t>
            </w:r>
          </w:p>
        </w:tc>
        <w:tc>
          <w:tcPr>
            <w:tcW w:w="0" w:type="dxa"/>
            <w:vAlign w:val="bottom"/>
          </w:tcPr>
          <w:p>
            <w:pPr>
              <w:spacing w:after="0"/>
              <w:rPr>
                <w:sz w:val="1"/>
                <w:szCs w:val="1"/>
                <w:color w:val="auto"/>
              </w:rPr>
            </w:pPr>
          </w:p>
        </w:tc>
      </w:tr>
      <w:tr>
        <w:trPr>
          <w:trHeight w:val="229"/>
        </w:trPr>
        <w:tc>
          <w:tcPr>
            <w:tcW w:w="2180" w:type="dxa"/>
            <w:vAlign w:val="bottom"/>
            <w:vMerge w:val="restart"/>
          </w:tcPr>
          <w:p>
            <w:pPr>
              <w:spacing w:after="0"/>
              <w:rPr>
                <w:sz w:val="20"/>
                <w:szCs w:val="20"/>
                <w:color w:val="auto"/>
              </w:rPr>
            </w:pPr>
            <w:r>
              <w:rPr>
                <w:rFonts w:ascii="Arial" w:cs="Arial" w:eastAsia="Arial" w:hAnsi="Arial"/>
                <w:sz w:val="18"/>
                <w:szCs w:val="18"/>
                <w:b w:val="1"/>
                <w:bCs w:val="1"/>
                <w:color w:val="auto"/>
              </w:rPr>
              <w:t>Conventional Segment</w:t>
            </w:r>
          </w:p>
        </w:tc>
        <w:tc>
          <w:tcPr>
            <w:tcW w:w="7620" w:type="dxa"/>
            <w:vAlign w:val="bottom"/>
          </w:tcPr>
          <w:p>
            <w:pPr>
              <w:ind w:left="460"/>
              <w:spacing w:after="0"/>
              <w:rPr>
                <w:sz w:val="20"/>
                <w:szCs w:val="20"/>
                <w:color w:val="auto"/>
              </w:rPr>
            </w:pPr>
            <w:r>
              <w:rPr>
                <w:rFonts w:ascii="Arial" w:cs="Arial" w:eastAsia="Arial" w:hAnsi="Arial"/>
                <w:sz w:val="18"/>
                <w:szCs w:val="18"/>
                <w:color w:val="auto"/>
              </w:rPr>
              <w:t>Waiawa in November 2022, offset by the disposition of Kawailoa in August 2022.</w:t>
            </w:r>
          </w:p>
        </w:tc>
        <w:tc>
          <w:tcPr>
            <w:tcW w:w="0" w:type="dxa"/>
            <w:vAlign w:val="bottom"/>
          </w:tcPr>
          <w:p>
            <w:pPr>
              <w:spacing w:after="0"/>
              <w:rPr>
                <w:sz w:val="1"/>
                <w:szCs w:val="1"/>
                <w:color w:val="auto"/>
              </w:rPr>
            </w:pPr>
          </w:p>
        </w:tc>
      </w:tr>
      <w:tr>
        <w:trPr>
          <w:trHeight w:val="230"/>
        </w:trPr>
        <w:tc>
          <w:tcPr>
            <w:tcW w:w="2180" w:type="dxa"/>
            <w:vAlign w:val="bottom"/>
            <w:vMerge w:val="continue"/>
          </w:tcPr>
          <w:p>
            <w:pPr>
              <w:spacing w:after="0"/>
              <w:rPr>
                <w:sz w:val="20"/>
                <w:szCs w:val="20"/>
                <w:color w:val="auto"/>
              </w:rPr>
            </w:pPr>
          </w:p>
        </w:tc>
        <w:tc>
          <w:tcPr>
            <w:tcW w:w="7620" w:type="dxa"/>
            <w:vAlign w:val="bottom"/>
          </w:tcPr>
          <w:p>
            <w:pPr>
              <w:ind w:left="460"/>
              <w:spacing w:after="0"/>
              <w:rPr>
                <w:sz w:val="20"/>
                <w:szCs w:val="20"/>
                <w:color w:val="auto"/>
              </w:rPr>
            </w:pPr>
            <w:r>
              <w:rPr>
                <w:rFonts w:ascii="Arial" w:cs="Arial" w:eastAsia="Arial" w:hAnsi="Arial"/>
                <w:sz w:val="18"/>
                <w:szCs w:val="18"/>
                <w:color w:val="auto"/>
              </w:rPr>
              <w:t>Increase primarily driven by outages at the Walnut Creek and Marsh Landing facilities.</w:t>
            </w:r>
          </w:p>
        </w:tc>
        <w:tc>
          <w:tcPr>
            <w:tcW w:w="0" w:type="dxa"/>
            <w:vAlign w:val="bottom"/>
          </w:tcPr>
          <w:p>
            <w:pPr>
              <w:spacing w:after="0"/>
              <w:rPr>
                <w:sz w:val="1"/>
                <w:szCs w:val="1"/>
                <w:color w:val="auto"/>
              </w:rPr>
            </w:pPr>
          </w:p>
        </w:tc>
      </w:tr>
      <w:tr>
        <w:trPr>
          <w:trHeight w:val="189"/>
        </w:trPr>
        <w:tc>
          <w:tcPr>
            <w:tcW w:w="2180" w:type="dxa"/>
            <w:vAlign w:val="bottom"/>
          </w:tcPr>
          <w:p>
            <w:pPr>
              <w:spacing w:after="0"/>
              <w:rPr>
                <w:sz w:val="16"/>
                <w:szCs w:val="16"/>
                <w:color w:val="auto"/>
              </w:rPr>
            </w:pPr>
          </w:p>
        </w:tc>
        <w:tc>
          <w:tcPr>
            <w:tcW w:w="7620" w:type="dxa"/>
            <w:vAlign w:val="bottom"/>
          </w:tcPr>
          <w:p>
            <w:pPr>
              <w:ind w:left="460"/>
              <w:spacing w:after="0" w:line="189" w:lineRule="exact"/>
              <w:rPr>
                <w:sz w:val="20"/>
                <w:szCs w:val="20"/>
                <w:color w:val="auto"/>
              </w:rPr>
            </w:pPr>
            <w:r>
              <w:rPr>
                <w:rFonts w:ascii="Arial" w:cs="Arial" w:eastAsia="Arial" w:hAnsi="Arial"/>
                <w:sz w:val="18"/>
                <w:szCs w:val="18"/>
                <w:color w:val="auto"/>
                <w:w w:val="91"/>
              </w:rPr>
              <w:t>Increase primarily driven by higher costs related to additional planned maintenance outages at the</w:t>
            </w:r>
          </w:p>
        </w:tc>
        <w:tc>
          <w:tcPr>
            <w:tcW w:w="0" w:type="dxa"/>
            <w:vAlign w:val="bottom"/>
          </w:tcPr>
          <w:p>
            <w:pPr>
              <w:spacing w:after="0"/>
              <w:rPr>
                <w:sz w:val="1"/>
                <w:szCs w:val="1"/>
                <w:color w:val="auto"/>
              </w:rPr>
            </w:pPr>
          </w:p>
        </w:tc>
      </w:tr>
      <w:tr>
        <w:trPr>
          <w:trHeight w:val="229"/>
        </w:trPr>
        <w:tc>
          <w:tcPr>
            <w:tcW w:w="2180" w:type="dxa"/>
            <w:vAlign w:val="bottom"/>
            <w:vMerge w:val="restart"/>
          </w:tcPr>
          <w:p>
            <w:pPr>
              <w:spacing w:after="0"/>
              <w:rPr>
                <w:sz w:val="20"/>
                <w:szCs w:val="20"/>
                <w:color w:val="auto"/>
              </w:rPr>
            </w:pPr>
            <w:r>
              <w:rPr>
                <w:rFonts w:ascii="Arial" w:cs="Arial" w:eastAsia="Arial" w:hAnsi="Arial"/>
                <w:sz w:val="18"/>
                <w:szCs w:val="18"/>
                <w:b w:val="1"/>
                <w:bCs w:val="1"/>
                <w:color w:val="auto"/>
              </w:rPr>
              <w:t>Thermal Segment</w:t>
            </w:r>
          </w:p>
        </w:tc>
        <w:tc>
          <w:tcPr>
            <w:tcW w:w="7620" w:type="dxa"/>
            <w:vAlign w:val="bottom"/>
          </w:tcPr>
          <w:p>
            <w:pPr>
              <w:ind w:left="460"/>
              <w:spacing w:after="0"/>
              <w:rPr>
                <w:sz w:val="20"/>
                <w:szCs w:val="20"/>
                <w:color w:val="auto"/>
              </w:rPr>
            </w:pPr>
            <w:r>
              <w:rPr>
                <w:rFonts w:ascii="Arial" w:cs="Arial" w:eastAsia="Arial" w:hAnsi="Arial"/>
                <w:sz w:val="18"/>
                <w:szCs w:val="18"/>
                <w:color w:val="auto"/>
              </w:rPr>
              <w:t>El Segundo facility in 2023.</w:t>
            </w:r>
          </w:p>
        </w:tc>
        <w:tc>
          <w:tcPr>
            <w:tcW w:w="0" w:type="dxa"/>
            <w:vAlign w:val="bottom"/>
          </w:tcPr>
          <w:p>
            <w:pPr>
              <w:spacing w:after="0"/>
              <w:rPr>
                <w:sz w:val="1"/>
                <w:szCs w:val="1"/>
                <w:color w:val="auto"/>
              </w:rPr>
            </w:pPr>
          </w:p>
        </w:tc>
      </w:tr>
      <w:tr>
        <w:trPr>
          <w:trHeight w:val="230"/>
        </w:trPr>
        <w:tc>
          <w:tcPr>
            <w:tcW w:w="2180" w:type="dxa"/>
            <w:vAlign w:val="bottom"/>
            <w:vMerge w:val="continue"/>
          </w:tcPr>
          <w:p>
            <w:pPr>
              <w:spacing w:after="0"/>
              <w:rPr>
                <w:sz w:val="20"/>
                <w:szCs w:val="20"/>
                <w:color w:val="auto"/>
              </w:rPr>
            </w:pPr>
          </w:p>
        </w:tc>
        <w:tc>
          <w:tcPr>
            <w:tcW w:w="7620" w:type="dxa"/>
            <w:vAlign w:val="bottom"/>
          </w:tcPr>
          <w:p>
            <w:pPr>
              <w:ind w:left="460"/>
              <w:spacing w:after="0"/>
              <w:rPr>
                <w:sz w:val="20"/>
                <w:szCs w:val="20"/>
                <w:color w:val="auto"/>
              </w:rPr>
            </w:pPr>
            <w:r>
              <w:rPr>
                <w:rFonts w:ascii="Arial" w:cs="Arial" w:eastAsia="Arial" w:hAnsi="Arial"/>
                <w:sz w:val="18"/>
                <w:szCs w:val="18"/>
                <w:color w:val="auto"/>
              </w:rPr>
              <w:t>Decrease primarily driven by the sale of the Thermal Business on May 1, 2022.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-1113790</wp:posOffset>
            </wp:positionV>
            <wp:extent cx="7132320" cy="1454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-814070</wp:posOffset>
            </wp:positionV>
            <wp:extent cx="7132320" cy="2571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2571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631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ind w:left="1140" w:hanging="1137"/>
        <w:spacing w:after="0"/>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11</w:t>
      </w:r>
    </w:p>
    <w:p>
      <w:pPr>
        <w:spacing w:after="0" w:line="23"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6</w:t>
      </w:r>
    </w:p>
    <w:p>
      <w:pPr>
        <w:spacing w:after="0" w:line="211"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2</w:t>
      </w:r>
    </w:p>
    <w:p>
      <w:pPr>
        <w:spacing w:after="0" w:line="23"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4</w:t>
      </w:r>
    </w:p>
    <w:p>
      <w:pPr>
        <w:spacing w:after="0" w:line="211"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2</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88328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83285" cy="8255"/>
                    </a:xfrm>
                    <a:prstGeom prst="rect">
                      <a:avLst/>
                    </a:prstGeom>
                    <a:noFill/>
                  </pic:spPr>
                </pic:pic>
              </a:graphicData>
            </a:graphic>
          </wp:anchor>
        </w:drawing>
      </w:r>
    </w:p>
    <w:p>
      <w:pPr>
        <w:spacing w:after="0" w:line="15" w:lineRule="exact"/>
        <w:rPr>
          <w:sz w:val="20"/>
          <w:szCs w:val="20"/>
          <w:color w:val="auto"/>
        </w:rPr>
      </w:pPr>
    </w:p>
    <w:p>
      <w:pPr>
        <w:ind w:left="1220" w:hanging="1217"/>
        <w:spacing w:after="0"/>
        <w:tabs>
          <w:tab w:leader="none" w:pos="12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40640</wp:posOffset>
            </wp:positionV>
            <wp:extent cx="88328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8328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820" w:space="40"/>
            <w:col w:w="1380"/>
          </w:cols>
          <w:pgMar w:left="320" w:top="895" w:right="339" w:bottom="1440" w:gutter="0" w:footer="0" w:header="0"/>
          <w:type w:val="continuous"/>
        </w:sectPr>
      </w:pP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Costs of Operations Expense</w:t>
      </w:r>
    </w:p>
    <w:p>
      <w:pPr>
        <w:spacing w:after="0" w:line="63"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Other costs of operations expense decreased by $8 million during the six months ended June 30, 2023, compared to the same period in 2022, primarily due to the sale of the Thermal Business on May 1, 2022 and a decrease in property taxes in both the Conventional and the Renewables segments.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Sale of Business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May 1, 2022, the Company completed the sale of 100% of its interests in the Thermal Business to KKR, resulting in a gain on sale of business of approximately $1.29 billion.</w:t>
      </w:r>
    </w:p>
    <w:p>
      <w:pPr>
        <w:spacing w:after="0" w:line="116"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Equity in Earnings of Unconsolidated Affiliates</w:t>
      </w:r>
    </w:p>
    <w:p>
      <w:pPr>
        <w:spacing w:after="0" w:line="171"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Equity in earnings of unconsolidated affiliates decreased by $14 million during the six months ended June 30, 2023, compared to the same period in 2022, primarily due to the change in fair value of interest swaps and higher depreciation expense, as well as lower wind production.</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Other income, net increased by $12 million during the six months ended June 30, 2023, compared to the same period in 2022, primarily due to higher interest income earned on investments in money market and time deposit accounts, which have retained larger balances as a result of the proceeds received from the sale of the Thermal Business on May 1, 2022.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Interest expense increased by $60 million during the six months ended June 30, 2023, compared to the same period in 2022, primarily due to the following:</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8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226"/>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interest rate swaps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37"/>
        </w:trPr>
        <w:tc>
          <w:tcPr>
            <w:tcW w:w="9840" w:type="dxa"/>
            <w:vAlign w:val="bottom"/>
          </w:tcPr>
          <w:p>
            <w:pPr>
              <w:ind w:left="20"/>
              <w:spacing w:after="0"/>
              <w:rPr>
                <w:sz w:val="20"/>
                <w:szCs w:val="20"/>
                <w:color w:val="auto"/>
              </w:rPr>
            </w:pPr>
            <w:r>
              <w:rPr>
                <w:rFonts w:ascii="Arial" w:cs="Arial" w:eastAsia="Arial" w:hAnsi="Arial"/>
                <w:sz w:val="18"/>
                <w:szCs w:val="18"/>
                <w:color w:val="auto"/>
              </w:rPr>
              <w:t>Decrease in interest expense due to decreased principal balances of project-level debt</w:t>
            </w:r>
          </w:p>
        </w:tc>
        <w:tc>
          <w:tcPr>
            <w:tcW w:w="200" w:type="dxa"/>
            <w:vAlign w:val="bottom"/>
          </w:tcPr>
          <w:p>
            <w:pPr>
              <w:spacing w:after="0"/>
              <w:rPr>
                <w:sz w:val="20"/>
                <w:szCs w:val="20"/>
                <w:color w:val="auto"/>
              </w:rPr>
            </w:pPr>
          </w:p>
        </w:tc>
        <w:tc>
          <w:tcPr>
            <w:tcW w:w="1200" w:type="dxa"/>
            <w:vAlign w:val="bottom"/>
          </w:tcPr>
          <w:p>
            <w:pPr>
              <w:ind w:left="960"/>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36"/>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Decrease in interest expense due to the sale of the Thermal Business on May 1, 2022</w:t>
            </w: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ind w:left="960"/>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175"/>
        </w:trPr>
        <w:tc>
          <w:tcPr>
            <w:tcW w:w="9840" w:type="dxa"/>
            <w:vAlign w:val="bottom"/>
          </w:tcPr>
          <w:p>
            <w:pPr>
              <w:ind w:left="20"/>
              <w:spacing w:after="0" w:line="176" w:lineRule="exact"/>
              <w:rPr>
                <w:sz w:val="20"/>
                <w:szCs w:val="20"/>
                <w:color w:val="auto"/>
              </w:rPr>
            </w:pPr>
            <w:r>
              <w:rPr>
                <w:rFonts w:ascii="Arial" w:cs="Arial" w:eastAsia="Arial" w:hAnsi="Arial"/>
                <w:sz w:val="18"/>
                <w:szCs w:val="18"/>
                <w:color w:val="auto"/>
              </w:rPr>
              <w:t>Decrease in interest expense due to decreased principal balances of Corporate debt, which includes repayment</w:t>
            </w: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9840" w:type="dxa"/>
            <w:vAlign w:val="bottom"/>
          </w:tcPr>
          <w:p>
            <w:pPr>
              <w:ind w:left="20"/>
              <w:spacing w:after="0" w:line="189" w:lineRule="exact"/>
              <w:rPr>
                <w:sz w:val="20"/>
                <w:szCs w:val="20"/>
                <w:color w:val="auto"/>
              </w:rPr>
            </w:pPr>
            <w:r>
              <w:rPr>
                <w:rFonts w:ascii="Arial" w:cs="Arial" w:eastAsia="Arial" w:hAnsi="Arial"/>
                <w:sz w:val="18"/>
                <w:szCs w:val="18"/>
                <w:color w:val="auto"/>
              </w:rPr>
              <w:t>of the outstanding borrowings under the Bridge Loan Agreement and the revolving credit facility on May 3,</w:t>
            </w:r>
          </w:p>
        </w:tc>
        <w:tc>
          <w:tcPr>
            <w:tcW w:w="200" w:type="dxa"/>
            <w:vAlign w:val="bottom"/>
          </w:tcPr>
          <w:p>
            <w:pPr>
              <w:spacing w:after="0"/>
              <w:rPr>
                <w:sz w:val="16"/>
                <w:szCs w:val="16"/>
                <w:color w:val="auto"/>
              </w:rPr>
            </w:pPr>
          </w:p>
        </w:tc>
        <w:tc>
          <w:tcPr>
            <w:tcW w:w="1200" w:type="dxa"/>
            <w:vAlign w:val="bottom"/>
            <w:vMerge w:val="restart"/>
          </w:tcPr>
          <w:p>
            <w:pPr>
              <w:ind w:left="960"/>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30"/>
        </w:trPr>
        <w:tc>
          <w:tcPr>
            <w:tcW w:w="9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2022</w:t>
            </w: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98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98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Net Loss Attributable to Noncontrolling Interests and Redeemable Noncontrolling Interests</w:t>
      </w:r>
    </w:p>
    <w:p>
      <w:pPr>
        <w:spacing w:after="0" w:line="17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For the six months ended June 30, 2023, the Company had a net loss of $30 million attributable to noncontrolling interests and redeemable noncontrolling interests comprised of the following:</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8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(In millions)</w:t>
            </w:r>
          </w:p>
        </w:tc>
      </w:tr>
      <w:tr>
        <w:trPr>
          <w:trHeight w:val="226"/>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Losses attributable to tax equity financing arrangements and the application of the HLBV method</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center"/>
              <w:ind w:left="772"/>
              <w:spacing w:after="0"/>
              <w:rPr>
                <w:sz w:val="20"/>
                <w:szCs w:val="20"/>
                <w:color w:val="auto"/>
              </w:rPr>
            </w:pPr>
            <w:r>
              <w:rPr>
                <w:rFonts w:ascii="Arial" w:cs="Arial" w:eastAsia="Arial" w:hAnsi="Arial"/>
                <w:sz w:val="18"/>
                <w:szCs w:val="18"/>
                <w:color w:val="auto"/>
                <w:w w:val="93"/>
              </w:rPr>
              <w:t>(44)</w:t>
            </w:r>
          </w:p>
        </w:tc>
      </w:tr>
      <w:tr>
        <w:trPr>
          <w:trHeight w:val="229"/>
        </w:trPr>
        <w:tc>
          <w:tcPr>
            <w:tcW w:w="9840" w:type="dxa"/>
            <w:vAlign w:val="bottom"/>
          </w:tcPr>
          <w:p>
            <w:pPr>
              <w:ind w:left="20"/>
              <w:spacing w:after="0"/>
              <w:rPr>
                <w:sz w:val="20"/>
                <w:szCs w:val="20"/>
                <w:color w:val="auto"/>
              </w:rPr>
            </w:pPr>
            <w:r>
              <w:rPr>
                <w:rFonts w:ascii="Arial" w:cs="Arial" w:eastAsia="Arial" w:hAnsi="Arial"/>
                <w:sz w:val="18"/>
                <w:szCs w:val="18"/>
                <w:color w:val="auto"/>
              </w:rPr>
              <w:t>Income attributable to third-party partnerships</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772"/>
              <w:spacing w:after="0"/>
              <w:rPr>
                <w:sz w:val="20"/>
                <w:szCs w:val="20"/>
                <w:color w:val="auto"/>
              </w:rPr>
            </w:pPr>
            <w:r>
              <w:rPr>
                <w:rFonts w:ascii="Arial" w:cs="Arial" w:eastAsia="Arial" w:hAnsi="Arial"/>
                <w:sz w:val="18"/>
                <w:szCs w:val="18"/>
                <w:color w:val="auto"/>
                <w:w w:val="89"/>
              </w:rPr>
              <w:t>14</w:t>
            </w:r>
          </w:p>
        </w:tc>
      </w:tr>
      <w:tr>
        <w:trPr>
          <w:trHeight w:val="248"/>
        </w:trPr>
        <w:tc>
          <w:tcPr>
            <w:tcW w:w="98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center"/>
              <w:ind w:left="772"/>
              <w:spacing w:after="0"/>
              <w:rPr>
                <w:sz w:val="20"/>
                <w:szCs w:val="20"/>
                <w:color w:val="auto"/>
              </w:rPr>
            </w:pPr>
            <w:r>
              <w:rPr>
                <w:rFonts w:ascii="Arial" w:cs="Arial" w:eastAsia="Arial" w:hAnsi="Arial"/>
                <w:sz w:val="18"/>
                <w:szCs w:val="18"/>
                <w:color w:val="auto"/>
                <w:w w:val="93"/>
              </w:rPr>
              <w:t>(30)</w:t>
            </w:r>
          </w:p>
        </w:tc>
      </w:tr>
      <w:tr>
        <w:trPr>
          <w:trHeight w:val="20"/>
        </w:trPr>
        <w:tc>
          <w:tcPr>
            <w:tcW w:w="98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For the six months ended June 30, 2022, the Company had a net loss of $46 million attributable to noncontrolling interests and redeemable noncontrolling interests comprised of the following:</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8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72"/>
              <w:spacing w:after="0"/>
              <w:rPr>
                <w:sz w:val="20"/>
                <w:szCs w:val="20"/>
                <w:color w:val="auto"/>
              </w:rPr>
            </w:pPr>
            <w:r>
              <w:rPr>
                <w:rFonts w:ascii="Arial" w:cs="Arial" w:eastAsia="Arial" w:hAnsi="Arial"/>
                <w:sz w:val="16"/>
                <w:szCs w:val="16"/>
                <w:b w:val="1"/>
                <w:bCs w:val="1"/>
                <w:color w:val="auto"/>
              </w:rPr>
              <w:t>(In millions)</w:t>
            </w:r>
          </w:p>
        </w:tc>
      </w:tr>
      <w:tr>
        <w:trPr>
          <w:trHeight w:val="226"/>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Losses attributable to tax equity financing arrangements and the application of the HLBV method</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29"/>
        </w:trPr>
        <w:tc>
          <w:tcPr>
            <w:tcW w:w="9840" w:type="dxa"/>
            <w:vAlign w:val="bottom"/>
          </w:tcPr>
          <w:p>
            <w:pPr>
              <w:ind w:left="20"/>
              <w:spacing w:after="0"/>
              <w:rPr>
                <w:sz w:val="20"/>
                <w:szCs w:val="20"/>
                <w:color w:val="auto"/>
              </w:rPr>
            </w:pPr>
            <w:r>
              <w:rPr>
                <w:rFonts w:ascii="Arial" w:cs="Arial" w:eastAsia="Arial" w:hAnsi="Arial"/>
                <w:sz w:val="18"/>
                <w:szCs w:val="18"/>
                <w:color w:val="auto"/>
              </w:rPr>
              <w:t>Losses attributable to third-party partnerships</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r>
      <w:tr>
        <w:trPr>
          <w:trHeight w:val="255"/>
        </w:trPr>
        <w:tc>
          <w:tcPr>
            <w:tcW w:w="98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0"/>
        </w:trPr>
        <w:tc>
          <w:tcPr>
            <w:tcW w:w="98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231F20"/>
        </w:rPr>
        <w:t xml:space="preserve">The Company’s principal liquidity requirements are to meet its financial commitments, finance current operations, fund capital expenditures, including acquisitions from time to time, service debt and pay distributions. </w:t>
      </w:r>
      <w:r>
        <w:rPr>
          <w:rFonts w:ascii="Arial" w:cs="Arial" w:eastAsia="Arial" w:hAnsi="Arial"/>
          <w:sz w:val="17"/>
          <w:szCs w:val="17"/>
          <w:color w:val="000000"/>
        </w:rPr>
        <w:t>As a normal part of the Company’s business, depending on market conditions,</w:t>
      </w:r>
      <w:r>
        <w:rPr>
          <w:rFonts w:ascii="Arial" w:cs="Arial" w:eastAsia="Arial" w:hAnsi="Arial"/>
          <w:sz w:val="17"/>
          <w:szCs w:val="17"/>
          <w:color w:val="231F20"/>
        </w:rPr>
        <w:t xml:space="preserve"> </w:t>
      </w:r>
      <w:r>
        <w:rPr>
          <w:rFonts w:ascii="Arial" w:cs="Arial" w:eastAsia="Arial" w:hAnsi="Arial"/>
          <w:sz w:val="17"/>
          <w:szCs w:val="17"/>
          <w:color w:val="000000"/>
        </w:rPr>
        <w:t>the Company will from time to time consider opportunities to repay, redeem, repurchase or refinance its indebtedness. Changes in the Company’s operating plans, lower than anticipated sales, increased expenses, acquisitions or other events may cause the Company to seek additional debt or equity financing in future periods. There can be no guarantee that financing will be available on acceptable terms or at all. Debt financing, if available, could impose additional cash payment obligations and additional covenants and operating restrictions.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Liquidity Position</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June 30, 2023</w:t>
      </w:r>
      <w:r>
        <w:rPr>
          <w:rFonts w:ascii="Arial" w:cs="Arial" w:eastAsia="Arial" w:hAnsi="Arial"/>
          <w:sz w:val="18"/>
          <w:szCs w:val="18"/>
          <w:color w:val="231F20"/>
        </w:rPr>
        <w:t xml:space="preserve"> and </w:t>
      </w:r>
      <w:r>
        <w:rPr>
          <w:rFonts w:ascii="Arial" w:cs="Arial" w:eastAsia="Arial" w:hAnsi="Arial"/>
          <w:sz w:val="18"/>
          <w:szCs w:val="18"/>
          <w:color w:val="000000"/>
        </w:rPr>
        <w:t>December 31, 2022</w:t>
      </w:r>
      <w:r>
        <w:rPr>
          <w:rFonts w:ascii="Arial" w:cs="Arial" w:eastAsia="Arial" w:hAnsi="Arial"/>
          <w:sz w:val="18"/>
          <w:szCs w:val="18"/>
          <w:color w:val="231F20"/>
        </w:rPr>
        <w:t>, the Company’s liquidity was approximately $1.43 billion and $1.37 billion, respectively, comprised of cash, restricted cash and availability under the Company’s revolving credit facility.</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58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4"/>
                <w:szCs w:val="14"/>
                <w:color w:val="auto"/>
              </w:rPr>
            </w:pPr>
          </w:p>
        </w:tc>
        <w:tc>
          <w:tcPr>
            <w:tcW w:w="1460" w:type="dxa"/>
            <w:vAlign w:val="bottom"/>
          </w:tcPr>
          <w:p>
            <w:pPr>
              <w:jc w:val="right"/>
              <w:ind w:right="372"/>
              <w:spacing w:after="0"/>
              <w:rPr>
                <w:sz w:val="20"/>
                <w:szCs w:val="20"/>
                <w:color w:val="auto"/>
              </w:rPr>
            </w:pPr>
            <w:r>
              <w:rPr>
                <w:rFonts w:ascii="Arial" w:cs="Arial" w:eastAsia="Arial" w:hAnsi="Arial"/>
                <w:sz w:val="14"/>
                <w:szCs w:val="14"/>
                <w:b w:val="1"/>
                <w:bCs w:val="1"/>
                <w:color w:val="auto"/>
              </w:rPr>
              <w:t>June 30, 2023</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jc w:val="right"/>
              <w:ind w:right="212"/>
              <w:spacing w:after="0"/>
              <w:rPr>
                <w:sz w:val="20"/>
                <w:szCs w:val="20"/>
                <w:color w:val="auto"/>
              </w:rPr>
            </w:pPr>
            <w:r>
              <w:rPr>
                <w:rFonts w:ascii="Arial" w:cs="Arial" w:eastAsia="Arial" w:hAnsi="Arial"/>
                <w:sz w:val="14"/>
                <w:szCs w:val="14"/>
                <w:b w:val="1"/>
                <w:bCs w:val="1"/>
                <w:color w:val="auto"/>
                <w:w w:val="98"/>
              </w:rPr>
              <w:t>December 31, 2022</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8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3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7580" w:type="dxa"/>
            <w:vAlign w:val="bottom"/>
            <w:gridSpan w:val="2"/>
          </w:tcPr>
          <w:p>
            <w:pPr>
              <w:ind w:left="120"/>
              <w:spacing w:after="0"/>
              <w:rPr>
                <w:sz w:val="20"/>
                <w:szCs w:val="20"/>
                <w:color w:val="auto"/>
              </w:rPr>
            </w:pPr>
            <w:r>
              <w:rPr>
                <w:rFonts w:ascii="Arial" w:cs="Arial" w:eastAsia="Arial" w:hAnsi="Arial"/>
                <w:sz w:val="18"/>
                <w:szCs w:val="18"/>
                <w:color w:val="auto"/>
              </w:rPr>
              <w:t>Clearway Energy LLC, excluding subsidiaries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413</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536</w:t>
            </w:r>
          </w:p>
        </w:tc>
      </w:tr>
      <w:tr>
        <w:trPr>
          <w:trHeight w:val="236"/>
        </w:trPr>
        <w:tc>
          <w:tcPr>
            <w:tcW w:w="20" w:type="dxa"/>
            <w:vAlign w:val="bottom"/>
            <w:shd w:val="clear" w:color="auto" w:fill="CCEEFF"/>
          </w:tcPr>
          <w:p>
            <w:pPr>
              <w:spacing w:after="0"/>
              <w:rPr>
                <w:sz w:val="20"/>
                <w:szCs w:val="20"/>
                <w:color w:val="auto"/>
              </w:rPr>
            </w:pPr>
          </w:p>
        </w:tc>
        <w:tc>
          <w:tcPr>
            <w:tcW w:w="75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Subsidiaries</w:t>
            </w:r>
          </w:p>
        </w:tc>
        <w:tc>
          <w:tcPr>
            <w:tcW w:w="3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29"/>
        </w:trPr>
        <w:tc>
          <w:tcPr>
            <w:tcW w:w="20" w:type="dxa"/>
            <w:vAlign w:val="bottom"/>
          </w:tcPr>
          <w:p>
            <w:pPr>
              <w:spacing w:after="0"/>
              <w:rPr>
                <w:sz w:val="19"/>
                <w:szCs w:val="19"/>
                <w:color w:val="auto"/>
              </w:rPr>
            </w:pPr>
          </w:p>
        </w:tc>
        <w:tc>
          <w:tcPr>
            <w:tcW w:w="7580" w:type="dxa"/>
            <w:vAlign w:val="bottom"/>
            <w:gridSpan w:val="2"/>
          </w:tcPr>
          <w:p>
            <w:pPr>
              <w:spacing w:after="0"/>
              <w:rPr>
                <w:sz w:val="20"/>
                <w:szCs w:val="20"/>
                <w:color w:val="auto"/>
              </w:rPr>
            </w:pPr>
            <w:r>
              <w:rPr>
                <w:rFonts w:ascii="Arial" w:cs="Arial" w:eastAsia="Arial" w:hAnsi="Arial"/>
                <w:sz w:val="18"/>
                <w:szCs w:val="18"/>
                <w:b w:val="1"/>
                <w:bCs w:val="1"/>
                <w:color w:val="auto"/>
              </w:rPr>
              <w:t>Restricted cash:</w:t>
            </w:r>
          </w:p>
        </w:tc>
        <w:tc>
          <w:tcPr>
            <w:tcW w:w="3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43"/>
        </w:trPr>
        <w:tc>
          <w:tcPr>
            <w:tcW w:w="20" w:type="dxa"/>
            <w:vAlign w:val="bottom"/>
            <w:shd w:val="clear" w:color="auto" w:fill="CCEEFF"/>
          </w:tcPr>
          <w:p>
            <w:pPr>
              <w:spacing w:after="0"/>
              <w:rPr>
                <w:sz w:val="21"/>
                <w:szCs w:val="21"/>
                <w:color w:val="auto"/>
              </w:rPr>
            </w:pPr>
          </w:p>
        </w:tc>
        <w:tc>
          <w:tcPr>
            <w:tcW w:w="75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Operating accounts</w:t>
            </w:r>
          </w:p>
        </w:tc>
        <w:tc>
          <w:tcPr>
            <w:tcW w:w="30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29"/>
        </w:trPr>
        <w:tc>
          <w:tcPr>
            <w:tcW w:w="20" w:type="dxa"/>
            <w:vAlign w:val="bottom"/>
          </w:tcPr>
          <w:p>
            <w:pPr>
              <w:spacing w:after="0"/>
              <w:rPr>
                <w:sz w:val="19"/>
                <w:szCs w:val="19"/>
                <w:color w:val="auto"/>
              </w:rPr>
            </w:pPr>
          </w:p>
        </w:tc>
        <w:tc>
          <w:tcPr>
            <w:tcW w:w="7580" w:type="dxa"/>
            <w:vAlign w:val="bottom"/>
            <w:gridSpan w:val="2"/>
          </w:tcPr>
          <w:p>
            <w:pPr>
              <w:ind w:left="120"/>
              <w:spacing w:after="0"/>
              <w:rPr>
                <w:sz w:val="20"/>
                <w:szCs w:val="20"/>
                <w:color w:val="auto"/>
              </w:rPr>
            </w:pPr>
            <w:r>
              <w:rPr>
                <w:rFonts w:ascii="Arial" w:cs="Arial" w:eastAsia="Arial" w:hAnsi="Arial"/>
                <w:sz w:val="18"/>
                <w:szCs w:val="18"/>
                <w:color w:val="auto"/>
              </w:rPr>
              <w:t>Reserves, including debt service, distributions, performance obligations and other reserves</w:t>
            </w: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w:t>
            </w:r>
          </w:p>
        </w:tc>
      </w:tr>
      <w:tr>
        <w:trPr>
          <w:trHeight w:val="223"/>
        </w:trPr>
        <w:tc>
          <w:tcPr>
            <w:tcW w:w="20" w:type="dxa"/>
            <w:vAlign w:val="bottom"/>
            <w:shd w:val="clear" w:color="auto" w:fill="CCEEFF"/>
          </w:tcPr>
          <w:p>
            <w:pPr>
              <w:spacing w:after="0"/>
              <w:rPr>
                <w:sz w:val="19"/>
                <w:szCs w:val="19"/>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cash, cash equivalents and restricted cash</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w:t>
            </w:r>
          </w:p>
        </w:tc>
      </w:tr>
      <w:tr>
        <w:trPr>
          <w:trHeight w:val="243"/>
        </w:trPr>
        <w:tc>
          <w:tcPr>
            <w:tcW w:w="20" w:type="dxa"/>
            <w:vAlign w:val="bottom"/>
            <w:tcBorders>
              <w:bottom w:val="single" w:sz="8" w:color="CCEEFF"/>
            </w:tcBorders>
          </w:tcPr>
          <w:p>
            <w:pPr>
              <w:spacing w:after="0"/>
              <w:rPr>
                <w:sz w:val="21"/>
                <w:szCs w:val="21"/>
                <w:color w:val="auto"/>
              </w:rPr>
            </w:pPr>
          </w:p>
        </w:tc>
        <w:tc>
          <w:tcPr>
            <w:tcW w:w="758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Revolving credit facility availability</w:t>
            </w:r>
          </w:p>
        </w:tc>
        <w:tc>
          <w:tcPr>
            <w:tcW w:w="3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liquidity</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68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231F20"/>
        </w:rPr>
        <w:t xml:space="preserve">The Company’s liquidity includes $371 million and $339 million of restricted cash balances as of June 30, 2023 and December 31, </w:t>
      </w:r>
      <w:r>
        <w:rPr>
          <w:rFonts w:ascii="Arial" w:cs="Arial" w:eastAsia="Arial" w:hAnsi="Arial"/>
          <w:sz w:val="16"/>
          <w:szCs w:val="16"/>
          <w:color w:val="000000"/>
        </w:rPr>
        <w:t>2022</w:t>
      </w:r>
      <w:r>
        <w:rPr>
          <w:rFonts w:ascii="Arial" w:cs="Arial" w:eastAsia="Arial" w:hAnsi="Arial"/>
          <w:sz w:val="16"/>
          <w:szCs w:val="16"/>
          <w:color w:val="231F20"/>
        </w:rPr>
        <w:t xml:space="preserve">, respectively. Restricted cash consists primarily of funds to satisfy the requirements of certain debt arrangements and funds held within the Company’s projects that are restricted in their use. As of </w:t>
      </w:r>
      <w:r>
        <w:rPr>
          <w:rFonts w:ascii="Arial" w:cs="Arial" w:eastAsia="Arial" w:hAnsi="Arial"/>
          <w:sz w:val="16"/>
          <w:szCs w:val="16"/>
          <w:color w:val="000000"/>
        </w:rPr>
        <w:t>June 30, 2023, these restricted funds were comprised of $104 million designated to fund operating expenses,</w:t>
      </w:r>
      <w:r>
        <w:rPr>
          <w:rFonts w:ascii="Arial" w:cs="Arial" w:eastAsia="Arial" w:hAnsi="Arial"/>
          <w:sz w:val="16"/>
          <w:szCs w:val="16"/>
          <w:color w:val="231F20"/>
        </w:rPr>
        <w:t xml:space="preserve"> </w:t>
      </w:r>
      <w:r>
        <w:rPr>
          <w:rFonts w:ascii="Arial" w:cs="Arial" w:eastAsia="Arial" w:hAnsi="Arial"/>
          <w:sz w:val="16"/>
          <w:szCs w:val="16"/>
          <w:color w:val="000000"/>
        </w:rPr>
        <w:t>approximately $168 million designated for current debt service payments and $85 million restricted for reserves including debt service, performance obligations and other reserves, as well as capital expenditures. The remaining $14 million is held in distribution reserve accounts.</w:t>
      </w:r>
    </w:p>
    <w:p>
      <w:pPr>
        <w:spacing w:after="0" w:line="10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Clearway Energy LLC and Clearway Energy Operating LLC Revolving Credit Facility</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March 15, 2023, Clearway Energy Operating LLC refinanced the Amended and Restated Credit Agreement, which (i) replaced LIBOR with SOFR plus a credit spread adjustment of 0.10% as the applicable reference rate, (ii) increased the available revolving commitments to an aggregate principal amount of $700 million, (iii) extended the maturity date to March 15, 2028, (iv) increased the letter of credit sublimit to $594 million and (v) implemented certain other technical modifications.</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As of June 30, 2023, the Company had no outstanding borrowings under the revolving credit facility and $188 million in letters of credit outstanding.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231F20"/>
        </w:rPr>
        <w:t>The facility will continue to be used for general corporate purposes including financing of future acquisitions and posting letters of credit.</w:t>
      </w:r>
    </w:p>
    <w:p>
      <w:pPr>
        <w:spacing w:after="0" w:line="15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231F20"/>
        </w:rPr>
        <w:t>Management believes that the Company’s liquidity position, cash flows from operations, and availability under its revolving credit facility will be adequate to meet the Company’s financial commitments; debt service obligations; growth, operating and maintenance capital expenditures; and to fund distributions to Clearway, Inc. and CEG. Management continues to regularly monitor the Company’s ability to finance the needs of its operating, financing and investing activity within the dictates of prudent balance sheet management.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Sources of Liquidity</w:t>
      </w:r>
    </w:p>
    <w:p>
      <w:pPr>
        <w:spacing w:after="0" w:line="171" w:lineRule="exact"/>
        <w:rPr>
          <w:sz w:val="20"/>
          <w:szCs w:val="20"/>
          <w:color w:val="auto"/>
        </w:rPr>
      </w:pPr>
    </w:p>
    <w:p>
      <w:pPr>
        <w:jc w:val="both"/>
        <w:ind w:firstLine="405"/>
        <w:spacing w:after="0" w:line="283" w:lineRule="auto"/>
        <w:rPr>
          <w:sz w:val="20"/>
          <w:szCs w:val="20"/>
          <w:color w:val="auto"/>
        </w:rPr>
      </w:pPr>
      <w:r>
        <w:rPr>
          <w:rFonts w:ascii="Arial" w:cs="Arial" w:eastAsia="Arial" w:hAnsi="Arial"/>
          <w:sz w:val="16"/>
          <w:szCs w:val="16"/>
          <w:color w:val="231F20"/>
        </w:rPr>
        <w:t xml:space="preserve">The Company’s principal sources of liquidity include cash on hand, cash generated from operations, proceeds from sales of assets, borrowings under new and existing financing arrangements and the issuance of additional equity and debt securities by Clearway, Inc. or the Company as appropriate given market conditions. As described in Note 7, </w:t>
      </w:r>
      <w:r>
        <w:rPr>
          <w:rFonts w:ascii="Arial" w:cs="Arial" w:eastAsia="Arial" w:hAnsi="Arial"/>
          <w:sz w:val="16"/>
          <w:szCs w:val="16"/>
          <w:i w:val="1"/>
          <w:iCs w:val="1"/>
          <w:color w:val="231F20"/>
        </w:rPr>
        <w:t>Long-term Debt</w:t>
      </w:r>
      <w:r>
        <w:rPr>
          <w:rFonts w:ascii="Arial" w:cs="Arial" w:eastAsia="Arial" w:hAnsi="Arial"/>
          <w:sz w:val="16"/>
          <w:szCs w:val="16"/>
          <w:color w:val="231F20"/>
        </w:rPr>
        <w:t xml:space="preserve">, to this Form 10-Q and Item 15 — Note 10, </w:t>
      </w:r>
      <w:r>
        <w:rPr>
          <w:rFonts w:ascii="Arial" w:cs="Arial" w:eastAsia="Arial" w:hAnsi="Arial"/>
          <w:sz w:val="16"/>
          <w:szCs w:val="16"/>
          <w:i w:val="1"/>
          <w:iCs w:val="1"/>
          <w:color w:val="231F20"/>
        </w:rPr>
        <w:t>Long-term Debt</w:t>
      </w:r>
      <w:r>
        <w:rPr>
          <w:rFonts w:ascii="Arial" w:cs="Arial" w:eastAsia="Arial" w:hAnsi="Arial"/>
          <w:sz w:val="16"/>
          <w:szCs w:val="16"/>
          <w:color w:val="231F20"/>
        </w:rPr>
        <w:t xml:space="preserve">, to the consolidated financial statements included in the Company’s </w:t>
      </w:r>
      <w:r>
        <w:rPr>
          <w:rFonts w:ascii="Arial" w:cs="Arial" w:eastAsia="Arial" w:hAnsi="Arial"/>
          <w:sz w:val="16"/>
          <w:szCs w:val="16"/>
          <w:color w:val="000000"/>
        </w:rPr>
        <w:t>2022 Form 10-K</w:t>
      </w:r>
      <w:r>
        <w:rPr>
          <w:rFonts w:ascii="Arial" w:cs="Arial" w:eastAsia="Arial" w:hAnsi="Arial"/>
          <w:sz w:val="16"/>
          <w:szCs w:val="16"/>
          <w:color w:val="231F20"/>
        </w:rPr>
        <w:t xml:space="preserve"> , the Company’s financing arrangements consist of </w:t>
      </w:r>
      <w:r>
        <w:rPr>
          <w:rFonts w:ascii="Arial" w:cs="Arial" w:eastAsia="Arial" w:hAnsi="Arial"/>
          <w:sz w:val="16"/>
          <w:szCs w:val="16"/>
          <w:color w:val="000000"/>
        </w:rPr>
        <w:t>corporate level debt, which includes Senior</w:t>
      </w:r>
      <w:r>
        <w:rPr>
          <w:rFonts w:ascii="Arial" w:cs="Arial" w:eastAsia="Arial" w:hAnsi="Arial"/>
          <w:sz w:val="16"/>
          <w:szCs w:val="16"/>
          <w:color w:val="231F20"/>
        </w:rPr>
        <w:t xml:space="preserve"> </w:t>
      </w:r>
      <w:r>
        <w:rPr>
          <w:rFonts w:ascii="Arial" w:cs="Arial" w:eastAsia="Arial" w:hAnsi="Arial"/>
          <w:sz w:val="16"/>
          <w:szCs w:val="16"/>
          <w:color w:val="000000"/>
        </w:rPr>
        <w:t>Notes, intercompany borrowings with Clearway, Inc. and the revolving credit facility, the ATM Program and project-level financings for its various assets.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3" w:name="page44"/>
    <w:bookmarkEnd w:id="43"/>
    <w:p>
      <w:pPr>
        <w:ind w:left="420"/>
        <w:spacing w:after="0"/>
        <w:rPr>
          <w:sz w:val="20"/>
          <w:szCs w:val="20"/>
          <w:color w:val="auto"/>
        </w:rPr>
      </w:pPr>
      <w:r>
        <w:rPr>
          <w:rFonts w:ascii="Arial" w:cs="Arial" w:eastAsia="Arial" w:hAnsi="Arial"/>
          <w:sz w:val="18"/>
          <w:szCs w:val="18"/>
          <w:i w:val="1"/>
          <w:iCs w:val="1"/>
          <w:color w:val="auto"/>
        </w:rPr>
        <w:t>Credit Ratings</w:t>
      </w:r>
    </w:p>
    <w:p>
      <w:pPr>
        <w:spacing w:after="0" w:line="171"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Credit rating agencies rate a firm’s public debt securities. These ratings are utilized by the debt markets in evaluating a firm’s credit risk. Ratings influence the price paid to issue new debt securities by indicating to the market the Company’s ability to pay principal, interest and preferred dividends. Rating agencies evaluate a firm’s industry, cash flow, leverage, liquidity and hedge profile, among other factors, in their credit analysis of a firm’s credit risk. As of June 30, 2023, the Company’s 2028 Senior Notes, 2031 Senior Notes and 2032 Senior Notes were rated BB by S&amp;P and Ba2 by Moody’s.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Uses of Liquidity</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231F20"/>
        </w:rPr>
        <w:t xml:space="preserve">The Company’s requirements for liquidity and capital resources, other than for operating its facilities, are categorized as: (i) debt service obligations, as described more fully in </w:t>
      </w:r>
      <w:r>
        <w:rPr>
          <w:rFonts w:ascii="Arial" w:cs="Arial" w:eastAsia="Arial" w:hAnsi="Arial"/>
          <w:sz w:val="18"/>
          <w:szCs w:val="18"/>
          <w:color w:val="000000"/>
        </w:rPr>
        <w:t>Note 7</w:t>
      </w:r>
      <w:r>
        <w:rPr>
          <w:rFonts w:ascii="Arial" w:cs="Arial" w:eastAsia="Arial" w:hAnsi="Arial"/>
          <w:sz w:val="18"/>
          <w:szCs w:val="18"/>
          <w:color w:val="231F20"/>
        </w:rPr>
        <w:t xml:space="preserve">, </w:t>
      </w:r>
      <w:r>
        <w:rPr>
          <w:rFonts w:ascii="Arial" w:cs="Arial" w:eastAsia="Arial" w:hAnsi="Arial"/>
          <w:sz w:val="18"/>
          <w:szCs w:val="18"/>
          <w:i w:val="1"/>
          <w:iCs w:val="1"/>
          <w:color w:val="000000"/>
        </w:rPr>
        <w:t>Long-term Debt</w:t>
      </w:r>
      <w:r>
        <w:rPr>
          <w:rFonts w:ascii="Arial" w:cs="Arial" w:eastAsia="Arial" w:hAnsi="Arial"/>
          <w:sz w:val="18"/>
          <w:szCs w:val="18"/>
          <w:color w:val="000000"/>
        </w:rPr>
        <w:t>;</w:t>
      </w:r>
      <w:r>
        <w:rPr>
          <w:rFonts w:ascii="Arial" w:cs="Arial" w:eastAsia="Arial" w:hAnsi="Arial"/>
          <w:sz w:val="18"/>
          <w:szCs w:val="18"/>
          <w:color w:val="231F20"/>
        </w:rPr>
        <w:t xml:space="preserve"> (ii) capital expenditures; (iii) off-balance sheet arrangements; (iv) acquisitions and investments, as described more fully in </w:t>
      </w:r>
      <w:r>
        <w:rPr>
          <w:rFonts w:ascii="Arial" w:cs="Arial" w:eastAsia="Arial" w:hAnsi="Arial"/>
          <w:sz w:val="18"/>
          <w:szCs w:val="18"/>
          <w:color w:val="000000"/>
        </w:rPr>
        <w:t>Note 3,</w:t>
      </w:r>
      <w:r>
        <w:rPr>
          <w:rFonts w:ascii="Arial" w:cs="Arial" w:eastAsia="Arial" w:hAnsi="Arial"/>
          <w:sz w:val="18"/>
          <w:szCs w:val="18"/>
          <w:color w:val="231F20"/>
        </w:rPr>
        <w:t xml:space="preserve"> </w:t>
      </w:r>
      <w:r>
        <w:rPr>
          <w:rFonts w:ascii="Arial" w:cs="Arial" w:eastAsia="Arial" w:hAnsi="Arial"/>
          <w:sz w:val="18"/>
          <w:szCs w:val="18"/>
          <w:i w:val="1"/>
          <w:iCs w:val="1"/>
          <w:color w:val="000000"/>
        </w:rPr>
        <w:t>Acquisitions and Dispositions</w:t>
      </w:r>
      <w:r>
        <w:rPr>
          <w:rFonts w:ascii="Arial" w:cs="Arial" w:eastAsia="Arial" w:hAnsi="Arial"/>
          <w:sz w:val="18"/>
          <w:szCs w:val="18"/>
          <w:color w:val="231F20"/>
        </w:rPr>
        <w:t xml:space="preserve"> </w:t>
      </w:r>
      <w:r>
        <w:rPr>
          <w:rFonts w:ascii="Arial" w:cs="Arial" w:eastAsia="Arial" w:hAnsi="Arial"/>
          <w:sz w:val="18"/>
          <w:szCs w:val="18"/>
          <w:color w:val="000000"/>
        </w:rPr>
        <w:t>and Note 4,</w:t>
      </w:r>
      <w:r>
        <w:rPr>
          <w:rFonts w:ascii="Arial" w:cs="Arial" w:eastAsia="Arial" w:hAnsi="Arial"/>
          <w:sz w:val="18"/>
          <w:szCs w:val="18"/>
          <w:color w:val="231F20"/>
        </w:rPr>
        <w:t xml:space="preserve"> </w:t>
      </w:r>
      <w:r>
        <w:rPr>
          <w:rFonts w:ascii="Arial" w:cs="Arial" w:eastAsia="Arial" w:hAnsi="Arial"/>
          <w:sz w:val="18"/>
          <w:szCs w:val="18"/>
          <w:i w:val="1"/>
          <w:iCs w:val="1"/>
          <w:color w:val="000000"/>
        </w:rPr>
        <w:t>Investments Accounted for by the Equity Method and Variable Interest Entities;</w:t>
      </w:r>
      <w:r>
        <w:rPr>
          <w:rFonts w:ascii="Arial" w:cs="Arial" w:eastAsia="Arial" w:hAnsi="Arial"/>
          <w:sz w:val="18"/>
          <w:szCs w:val="18"/>
          <w:color w:val="231F20"/>
        </w:rPr>
        <w:t xml:space="preserve"> and (v) distributions.</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Capital Expenditures</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231F20"/>
        </w:rPr>
        <w:t>The Company’s capital spending program is mainly focused on maintenance capital expenditures, consisting of costs to maintain the assets currently operating, such as costs to replace or refurbish assets during routine maintenance, and growth capital expenditures consisting of costs to construct new assets and costs to complete the construction of assets where construction is in process.</w:t>
      </w:r>
    </w:p>
    <w:p>
      <w:pPr>
        <w:spacing w:after="0" w:line="13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231F20"/>
        </w:rPr>
        <w:t xml:space="preserve">For the six months ended </w:t>
      </w:r>
      <w:r>
        <w:rPr>
          <w:rFonts w:ascii="Arial" w:cs="Arial" w:eastAsia="Arial" w:hAnsi="Arial"/>
          <w:sz w:val="18"/>
          <w:szCs w:val="18"/>
          <w:color w:val="000000"/>
        </w:rPr>
        <w:t>June 30, 2023</w:t>
      </w:r>
      <w:r>
        <w:rPr>
          <w:rFonts w:ascii="Arial" w:cs="Arial" w:eastAsia="Arial" w:hAnsi="Arial"/>
          <w:sz w:val="18"/>
          <w:szCs w:val="18"/>
          <w:color w:val="231F20"/>
        </w:rPr>
        <w:t xml:space="preserve">, the Company used approximately $109 million to fund capital expenditures, including growth </w:t>
      </w:r>
      <w:r>
        <w:rPr>
          <w:rFonts w:ascii="Arial" w:cs="Arial" w:eastAsia="Arial" w:hAnsi="Arial"/>
          <w:sz w:val="18"/>
          <w:szCs w:val="18"/>
          <w:color w:val="000000"/>
        </w:rPr>
        <w:t>expenditures</w:t>
      </w:r>
      <w:r>
        <w:rPr>
          <w:rFonts w:ascii="Arial" w:cs="Arial" w:eastAsia="Arial" w:hAnsi="Arial"/>
          <w:sz w:val="18"/>
          <w:szCs w:val="18"/>
          <w:color w:val="231F20"/>
        </w:rPr>
        <w:t xml:space="preserve"> </w:t>
      </w:r>
      <w:r>
        <w:rPr>
          <w:rFonts w:ascii="Arial" w:cs="Arial" w:eastAsia="Arial" w:hAnsi="Arial"/>
          <w:sz w:val="18"/>
          <w:szCs w:val="18"/>
          <w:color w:val="000000"/>
        </w:rPr>
        <w:t>of $96 million in the Renewables segment, funded through construction-related financing. Renewables segment capital expenditures included $86 million incurred in connection with the Daggett 3 solar project, $7 million incurred in connection with the Waiawa solar project and $3 million incurred by other wind and solar projects. In addition, the Company incurred $13 million in maintenance capital expenditures. The Company estimates $35 million of maintenance expenditures for 2023. These estimates are subject to continuing review and adjustment. Actual capital expenditures may vary from these estimates.</w:t>
      </w:r>
    </w:p>
    <w:p>
      <w:pPr>
        <w:spacing w:after="0" w:line="13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Obligations under Certain Guarantee Contracts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color w:val="231F20"/>
        </w:rPr>
        <w:t>The Company may enter into guarantee arrangements in the normal course of business to facilitate commercial transactions with third parties.</w:t>
      </w:r>
    </w:p>
    <w:p>
      <w:pPr>
        <w:spacing w:after="0" w:line="18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Retained or Contingent Interests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does not have any material retained or contingent interests in assets transferred to an unconsolidated entity.</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Obligations Arising Out of a Variable Interest in an Unconsolidated Entity</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As of June 30, 2023, the Company has several investments with an ownership interest percentage of 50% or less in energy and an energy-related entity that is accounted for under the equity method. GenConn is a variable interest entity for which the Company is not the primary beneficiary. The Company’s pro-rata share of non-recourse debt held by unconsolidated affiliates was approximately $317 million as of June 30, 2023. This indebtedness may restrict the ability of these subsidiaries to issue dividends or distributions to the Company.</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Contractual Obligations and Commercial Commitments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 xml:space="preserve">The Company has a variety of contractual obligations and other commercial commitments that represent prospective cash requirements in addition to the Company’s capital expenditure programs, as disclosed in the Company’s </w:t>
      </w:r>
      <w:r>
        <w:rPr>
          <w:rFonts w:ascii="Arial" w:cs="Arial" w:eastAsia="Arial" w:hAnsi="Arial"/>
          <w:sz w:val="18"/>
          <w:szCs w:val="18"/>
          <w:color w:val="231F20"/>
        </w:rPr>
        <w:t>2022</w:t>
      </w:r>
      <w:r>
        <w:rPr>
          <w:rFonts w:ascii="Arial" w:cs="Arial" w:eastAsia="Arial" w:hAnsi="Arial"/>
          <w:sz w:val="18"/>
          <w:szCs w:val="18"/>
          <w:color w:val="auto"/>
        </w:rPr>
        <w:t xml:space="preserve"> Form 10-K.</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Acquisitions and Investments</w:t>
      </w:r>
    </w:p>
    <w:p>
      <w:pPr>
        <w:spacing w:after="0" w:line="171" w:lineRule="exact"/>
        <w:rPr>
          <w:sz w:val="20"/>
          <w:szCs w:val="20"/>
          <w:color w:val="auto"/>
        </w:rPr>
      </w:pPr>
    </w:p>
    <w:p>
      <w:pPr>
        <w:jc w:val="both"/>
        <w:ind w:firstLine="405"/>
        <w:spacing w:after="0" w:line="248" w:lineRule="auto"/>
        <w:rPr>
          <w:sz w:val="20"/>
          <w:szCs w:val="20"/>
          <w:color w:val="auto"/>
        </w:rPr>
      </w:pPr>
      <w:r>
        <w:rPr>
          <w:rFonts w:ascii="Arial" w:cs="Arial" w:eastAsia="Arial" w:hAnsi="Arial"/>
          <w:sz w:val="18"/>
          <w:szCs w:val="18"/>
          <w:color w:val="auto"/>
        </w:rPr>
        <w:t>The Company intends to acquire generation assets developed and constructed by CEG, as well as generation assets from third parties where the Company believes its knowledge of the market and operating expertise provides a competitive advantage, and to utilize such acquisitions as a means to grow its business.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4" w:name="page45"/>
    <w:bookmarkEnd w:id="44"/>
    <w:p>
      <w:pPr>
        <w:jc w:val="both"/>
        <w:ind w:firstLine="405"/>
        <w:spacing w:after="0" w:line="269" w:lineRule="auto"/>
        <w:rPr>
          <w:sz w:val="20"/>
          <w:szCs w:val="20"/>
          <w:color w:val="auto"/>
        </w:rPr>
      </w:pPr>
      <w:r>
        <w:rPr>
          <w:rFonts w:ascii="Arial" w:cs="Arial" w:eastAsia="Arial" w:hAnsi="Arial"/>
          <w:sz w:val="17"/>
          <w:szCs w:val="17"/>
          <w:i w:val="1"/>
          <w:iCs w:val="1"/>
          <w:color w:val="auto"/>
        </w:rPr>
        <w:t xml:space="preserve">Rosie Central BESS </w:t>
      </w:r>
      <w:r>
        <w:rPr>
          <w:rFonts w:ascii="Arial" w:cs="Arial" w:eastAsia="Arial" w:hAnsi="Arial"/>
          <w:sz w:val="17"/>
          <w:szCs w:val="17"/>
          <w:color w:val="auto"/>
        </w:rPr>
        <w:t>— On June 30, 2023, the Company, through its indirect subsidiary, Rosie Class B LLC, the indirect owner of the Rosamond</w:t>
      </w:r>
      <w:r>
        <w:rPr>
          <w:rFonts w:ascii="Arial" w:cs="Arial" w:eastAsia="Arial" w:hAnsi="Arial"/>
          <w:sz w:val="17"/>
          <w:szCs w:val="17"/>
          <w:i w:val="1"/>
          <w:iCs w:val="1"/>
          <w:color w:val="auto"/>
        </w:rPr>
        <w:t xml:space="preserve"> </w:t>
      </w:r>
      <w:r>
        <w:rPr>
          <w:rFonts w:ascii="Arial" w:cs="Arial" w:eastAsia="Arial" w:hAnsi="Arial"/>
          <w:sz w:val="17"/>
          <w:szCs w:val="17"/>
          <w:color w:val="auto"/>
        </w:rPr>
        <w:t>Central solar project, became the owner of the Class B membership interests of Rosie Central BESS in order to facilitate and fund the construction of a 147 MW BESS project that will be co-located at the Rosamond Central solar facility. Clearway Renew indirectly owns the Class A membership interests. The Company’s investment consists of $10 million contributed into Rosie Central BESS, funded through contributions from the Company and its cash equity investor in Rosie TargetCo LLC, which consolidates Rosie Class B LLC. On July 3, 2023, Rosie Class B LLC contributed an additional $20 million into Rosie Central BESS. Additionally, on June 30, 2023, Rosamond Central entered into an asset purchase agreement with Rosie Central BESS to acquire the BESS project assets at mechanical completion for a purchase price of $360 million, of which $72 million is payable at mechanical completion with the remaining $288 million payable at substantial completion. The Company will fund $17 million of the purchase price at mechanical completion and $67 million of the purchase price at substantial completion. The BESS project is anticipated to reach mechanical completion in the second half of 2023 and to reach substantial completion in the first half of 2024.</w:t>
      </w:r>
    </w:p>
    <w:p>
      <w:pPr>
        <w:spacing w:after="0" w:line="13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On June 30, 2023, Rosie Class B LLC amended its financing agreement. On July 3, 2023, the Company received total loan proceeds of $138 million under the refinancing, which is net of $5 million in debt issuance costs. Also on July 3, 2023, Rosie Class B LLC issued a loan to a consolidated subsidiary of Clearway Renew in the aggregate principal amount of $117 million in order to finance the construction of the BESS project.</w:t>
      </w:r>
    </w:p>
    <w:p>
      <w:pPr>
        <w:spacing w:after="0" w:line="11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i w:val="1"/>
          <w:iCs w:val="1"/>
          <w:color w:val="auto"/>
        </w:rPr>
        <w:t xml:space="preserve">Waiawa Drop Down </w:t>
      </w:r>
      <w:r>
        <w:rPr>
          <w:rFonts w:ascii="Arial" w:cs="Arial" w:eastAsia="Arial" w:hAnsi="Arial"/>
          <w:sz w:val="18"/>
          <w:szCs w:val="18"/>
          <w:color w:val="auto"/>
        </w:rPr>
        <w:t>— In connection with the 2022 Drop Down of Waiawa, the Company assumed the project’s financing agreement, which includes</w:t>
      </w:r>
      <w:r>
        <w:rPr>
          <w:rFonts w:ascii="Arial" w:cs="Arial" w:eastAsia="Arial" w:hAnsi="Arial"/>
          <w:sz w:val="18"/>
          <w:szCs w:val="18"/>
          <w:i w:val="1"/>
          <w:iCs w:val="1"/>
          <w:color w:val="auto"/>
        </w:rPr>
        <w:t xml:space="preserve"> </w:t>
      </w:r>
      <w:r>
        <w:rPr>
          <w:rFonts w:ascii="Arial" w:cs="Arial" w:eastAsia="Arial" w:hAnsi="Arial"/>
          <w:sz w:val="18"/>
          <w:szCs w:val="18"/>
          <w:color w:val="auto"/>
        </w:rPr>
        <w:t>a construction loan that converted to a term loan on March 30, 2023 upon the project reaching substantial completion and a tax equity bridge loan that was repaid on March 30, 2023.</w:t>
      </w:r>
    </w:p>
    <w:p>
      <w:pPr>
        <w:spacing w:after="0" w:line="130"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i w:val="1"/>
          <w:iCs w:val="1"/>
          <w:color w:val="auto"/>
        </w:rPr>
        <w:t xml:space="preserve">Daggett 3 Drop Down </w:t>
      </w:r>
      <w:r>
        <w:rPr>
          <w:rFonts w:ascii="Arial" w:cs="Arial" w:eastAsia="Arial" w:hAnsi="Arial"/>
          <w:sz w:val="16"/>
          <w:szCs w:val="16"/>
          <w:color w:val="auto"/>
        </w:rPr>
        <w:t>— On February 17, 2023, the Company, through its indirect subsidiary, Daggett Solar Investment LLC, acquired the Class A</w:t>
      </w:r>
      <w:r>
        <w:rPr>
          <w:rFonts w:ascii="Arial" w:cs="Arial" w:eastAsia="Arial" w:hAnsi="Arial"/>
          <w:sz w:val="16"/>
          <w:szCs w:val="16"/>
          <w:i w:val="1"/>
          <w:iCs w:val="1"/>
          <w:color w:val="auto"/>
        </w:rPr>
        <w:t xml:space="preserve"> </w:t>
      </w:r>
      <w:r>
        <w:rPr>
          <w:rFonts w:ascii="Arial" w:cs="Arial" w:eastAsia="Arial" w:hAnsi="Arial"/>
          <w:sz w:val="16"/>
          <w:szCs w:val="16"/>
          <w:color w:val="auto"/>
        </w:rPr>
        <w:t>membership interests in Daggett TargetCo LLC, the indirect owner of the Daggett 3 solar project, from Clearway Renew for cash consideration of $21 million and then contributed its Class A membership interests into Daggett Renewable Holdco LLC, a partnership between the Company and a cash equity investor, which consolidates Daggett TargetCo LLC. Daggett TargetCo LLC consolidates, as the indirect owner of the primary beneficiary, a tax equity fund, Daggett TE Holdco LLC, which owns the Daggett 3 solar project. Daggett 3 has PPAs with investment-grade counterparties that have a 15-year weighted average contract duration that commence when the underlying operating assets reach commercial operations, which is expected to occur in the second half of 2023. The acquisition was funded with existing sources of liquidity. As part of the acquisition, the Company assumed the project’s financing agreement, which included a construction loan that converts to a term loan upon the project reaching substantial completion, a tax equity bridge loan that will be repaid when the project reaches substantial completion and a sponsor equity bridge loan that was repaid at acquisition date. Subsequent to the acquisition, CEG funded an additional $43 million in project completion costs, which will be repaid with the proceeds received when the project reaches substantial completion, which is expected to occur in the second half of 2023.</w:t>
      </w:r>
    </w:p>
    <w:p>
      <w:pPr>
        <w:spacing w:after="0" w:line="11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Cash Distributions to Clearway, Inc. and CEG</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intends to distribute to its unit holders in the form of a quarterly distribution all of the CAFD it generates each quarter less reserves for the prudent conduct of the business, including among others, maintenance capital expenditures to maintain the operating capacity of the assets. Distributions on the Company’s units are subject to available capital, market conditions and compliance with associated laws, regulations and other contractual obligations. The Company expects that, based on current circumstances, comparable cash distributions will continue to be paid in the foreseeable future.</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lists the distributions paid on the Company’s Class A, B, C and D units during the six months ended June 30, 2023:</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center"/>
              <w:ind w:right="42"/>
              <w:spacing w:after="0"/>
              <w:rPr>
                <w:sz w:val="20"/>
                <w:szCs w:val="20"/>
                <w:color w:val="auto"/>
              </w:rPr>
            </w:pPr>
            <w:r>
              <w:rPr>
                <w:rFonts w:ascii="Arial" w:cs="Arial" w:eastAsia="Arial" w:hAnsi="Arial"/>
                <w:sz w:val="14"/>
                <w:szCs w:val="14"/>
                <w:b w:val="1"/>
                <w:bCs w:val="1"/>
                <w:color w:val="auto"/>
                <w:w w:val="93"/>
              </w:rPr>
              <w:t>Second Quarter</w:t>
            </w:r>
          </w:p>
        </w:tc>
        <w:tc>
          <w:tcPr>
            <w:tcW w:w="100" w:type="dxa"/>
            <w:vAlign w:val="bottom"/>
          </w:tcPr>
          <w:p>
            <w:pPr>
              <w:spacing w:after="0"/>
              <w:rPr>
                <w:sz w:val="14"/>
                <w:szCs w:val="14"/>
                <w:color w:val="auto"/>
              </w:rPr>
            </w:pPr>
          </w:p>
        </w:tc>
        <w:tc>
          <w:tcPr>
            <w:tcW w:w="13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First Quarter 2023</w:t>
            </w:r>
          </w:p>
        </w:tc>
        <w:tc>
          <w:tcPr>
            <w:tcW w:w="0" w:type="dxa"/>
            <w:vAlign w:val="bottom"/>
          </w:tcPr>
          <w:p>
            <w:pPr>
              <w:spacing w:after="0"/>
              <w:rPr>
                <w:sz w:val="1"/>
                <w:szCs w:val="1"/>
                <w:color w:val="auto"/>
              </w:rPr>
            </w:pPr>
          </w:p>
        </w:tc>
      </w:tr>
      <w:tr>
        <w:trPr>
          <w:trHeight w:val="192"/>
        </w:trPr>
        <w:tc>
          <w:tcPr>
            <w:tcW w:w="85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Distributions per Class A, B, C and D unit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0.3818</w:t>
            </w:r>
          </w:p>
        </w:tc>
        <w:tc>
          <w:tcPr>
            <w:tcW w:w="52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0.3745</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August 7, 2023, the Company declared a distribution on its Class A, Class B, Class C and Class D units of $0.3891 per unit payable on September 15, 2023 to unit holders of record as of September 1, 2023.</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Cash Flow Discussion</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reflect the changes in cash flows for the comparative periods: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40" w:type="dxa"/>
            <w:vAlign w:val="bottom"/>
          </w:tcPr>
          <w:p>
            <w:pPr>
              <w:spacing w:after="0"/>
              <w:rPr>
                <w:sz w:val="16"/>
                <w:szCs w:val="16"/>
                <w:color w:val="auto"/>
              </w:rPr>
            </w:pPr>
          </w:p>
        </w:tc>
        <w:tc>
          <w:tcPr>
            <w:tcW w:w="2280" w:type="dxa"/>
            <w:vAlign w:val="bottom"/>
            <w:gridSpan w:val="3"/>
          </w:tcPr>
          <w:p>
            <w:pPr>
              <w:jc w:val="right"/>
              <w:ind w:right="2"/>
              <w:spacing w:after="0"/>
              <w:rPr>
                <w:sz w:val="20"/>
                <w:szCs w:val="20"/>
                <w:color w:val="auto"/>
              </w:rPr>
            </w:pPr>
            <w:r>
              <w:rPr>
                <w:rFonts w:ascii="Arial" w:cs="Arial" w:eastAsia="Arial" w:hAnsi="Arial"/>
                <w:sz w:val="14"/>
                <w:szCs w:val="14"/>
                <w:b w:val="1"/>
                <w:bCs w:val="1"/>
                <w:color w:val="auto"/>
              </w:rPr>
              <w:t>Six months ended June 30,</w:t>
            </w: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1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7140" w:type="dxa"/>
            <w:vAlign w:val="bottom"/>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9"/>
        </w:trPr>
        <w:tc>
          <w:tcPr>
            <w:tcW w:w="7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540" w:type="dxa"/>
            <w:vAlign w:val="bottom"/>
            <w:gridSpan w:val="4"/>
          </w:tcPr>
          <w:p>
            <w:pPr>
              <w:jc w:val="right"/>
              <w:ind w:right="41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840" w:type="dxa"/>
            <w:vAlign w:val="bottom"/>
            <w:shd w:val="clear" w:color="auto" w:fill="CCEEFF"/>
          </w:tcPr>
          <w:p>
            <w:pPr>
              <w:jc w:val="right"/>
              <w:ind w:right="662"/>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235</w:t>
            </w:r>
          </w:p>
        </w:tc>
        <w:tc>
          <w:tcPr>
            <w:tcW w:w="900" w:type="dxa"/>
            <w:vAlign w:val="bottom"/>
            <w:shd w:val="clear" w:color="auto" w:fill="CCEEFF"/>
          </w:tcPr>
          <w:p>
            <w:pPr>
              <w:jc w:val="right"/>
              <w:ind w:right="64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140" w:type="dxa"/>
            <w:vAlign w:val="bottom"/>
          </w:tcPr>
          <w:p>
            <w:pPr>
              <w:ind w:left="20"/>
              <w:spacing w:after="0"/>
              <w:rPr>
                <w:sz w:val="20"/>
                <w:szCs w:val="20"/>
                <w:color w:val="auto"/>
              </w:rPr>
            </w:pPr>
            <w:r>
              <w:rPr>
                <w:rFonts w:ascii="Arial" w:cs="Arial" w:eastAsia="Arial" w:hAnsi="Arial"/>
                <w:sz w:val="18"/>
                <w:szCs w:val="18"/>
                <w:color w:val="auto"/>
              </w:rPr>
              <w:t>Net cash (used in) provided by investing activities</w:t>
            </w:r>
          </w:p>
        </w:tc>
        <w:tc>
          <w:tcPr>
            <w:tcW w:w="840" w:type="dxa"/>
            <w:vAlign w:val="bottom"/>
          </w:tcPr>
          <w:p>
            <w:pPr>
              <w:spacing w:after="0"/>
              <w:rPr>
                <w:sz w:val="20"/>
                <w:szCs w:val="20"/>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90"/>
              </w:rPr>
              <w:t>(116)</w:t>
            </w:r>
          </w:p>
        </w:tc>
        <w:tc>
          <w:tcPr>
            <w:tcW w:w="9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1,331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(1,447)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840" w:type="dxa"/>
            <w:vAlign w:val="bottom"/>
            <w:shd w:val="clear" w:color="auto" w:fill="CCEEFF"/>
          </w:tcPr>
          <w:p>
            <w:pPr>
              <w:spacing w:after="0"/>
              <w:rPr>
                <w:sz w:val="20"/>
                <w:szCs w:val="20"/>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(197)</w:t>
            </w:r>
          </w:p>
        </w:tc>
        <w:tc>
          <w:tcPr>
            <w:tcW w:w="90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7140" w:type="dxa"/>
            <w:vAlign w:val="bottom"/>
          </w:tcPr>
          <w:p>
            <w:pPr>
              <w:ind w:left="420"/>
              <w:spacing w:after="0"/>
              <w:rPr>
                <w:sz w:val="20"/>
                <w:szCs w:val="20"/>
                <w:color w:val="auto"/>
              </w:rPr>
            </w:pPr>
            <w:r>
              <w:rPr>
                <w:rFonts w:ascii="Arial" w:cs="Arial" w:eastAsia="Arial" w:hAnsi="Arial"/>
                <w:sz w:val="18"/>
                <w:szCs w:val="18"/>
                <w:b w:val="1"/>
                <w:bCs w:val="1"/>
                <w:i w:val="1"/>
                <w:iCs w:val="1"/>
                <w:color w:val="auto"/>
              </w:rPr>
              <w:t>Net Cash Provided by Operating Activities</w:t>
            </w: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140" w:type="dxa"/>
            <w:vAlign w:val="bottom"/>
          </w:tcPr>
          <w:p>
            <w:pPr>
              <w:ind w:left="20"/>
              <w:spacing w:after="0"/>
              <w:rPr>
                <w:sz w:val="20"/>
                <w:szCs w:val="20"/>
                <w:color w:val="auto"/>
              </w:rPr>
            </w:pPr>
            <w:r>
              <w:rPr>
                <w:rFonts w:ascii="Arial" w:cs="Arial" w:eastAsia="Arial" w:hAnsi="Arial"/>
                <w:sz w:val="18"/>
                <w:szCs w:val="18"/>
                <w:color w:val="auto"/>
              </w:rPr>
              <w:t>Changes to net cash provided by operating activities were driven by:</w:t>
            </w: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jc w:val="right"/>
              <w:ind w:right="151"/>
              <w:spacing w:after="0"/>
              <w:rPr>
                <w:sz w:val="20"/>
                <w:szCs w:val="20"/>
                <w:color w:val="auto"/>
              </w:rPr>
            </w:pPr>
            <w:r>
              <w:rPr>
                <w:rFonts w:ascii="Arial" w:cs="Arial" w:eastAsia="Arial" w:hAnsi="Arial"/>
                <w:sz w:val="16"/>
                <w:szCs w:val="16"/>
                <w:b w:val="1"/>
                <w:bCs w:val="1"/>
                <w:color w:val="auto"/>
              </w:rPr>
              <w:t>(In millions)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Decrease in operating income adjusted for non-cash items</w:t>
            </w:r>
          </w:p>
        </w:tc>
        <w:tc>
          <w:tcPr>
            <w:tcW w:w="8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9420" w:type="dxa"/>
            <w:vAlign w:val="bottom"/>
            <w:gridSpan w:val="4"/>
          </w:tcPr>
          <w:p>
            <w:pPr>
              <w:ind w:left="140"/>
              <w:spacing w:after="0"/>
              <w:rPr>
                <w:sz w:val="20"/>
                <w:szCs w:val="20"/>
                <w:color w:val="auto"/>
              </w:rPr>
            </w:pPr>
            <w:r>
              <w:rPr>
                <w:rFonts w:ascii="Arial" w:cs="Arial" w:eastAsia="Arial" w:hAnsi="Arial"/>
                <w:sz w:val="18"/>
                <w:szCs w:val="18"/>
                <w:color w:val="auto"/>
                <w:w w:val="93"/>
              </w:rPr>
              <w:t>Increase in working capital primarily driven by the timing of accounts receivable collections and payments of current liabilities</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Decrease in distributions from unconsolidated affiliates</w:t>
            </w:r>
          </w:p>
        </w:tc>
        <w:tc>
          <w:tcPr>
            <w:tcW w:w="8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40" w:type="dxa"/>
            <w:vAlign w:val="bottom"/>
          </w:tcPr>
          <w:p>
            <w:pPr>
              <w:ind w:left="140"/>
              <w:spacing w:after="0"/>
              <w:rPr>
                <w:sz w:val="20"/>
                <w:szCs w:val="20"/>
                <w:color w:val="auto"/>
              </w:rPr>
            </w:pPr>
            <w:r>
              <w:rPr>
                <w:rFonts w:ascii="Arial" w:cs="Arial" w:eastAsia="Arial" w:hAnsi="Arial"/>
                <w:sz w:val="18"/>
                <w:szCs w:val="18"/>
                <w:color w:val="auto"/>
                <w:w w:val="91"/>
              </w:rPr>
              <w:t>Transaction expenses paid on May 1, 2022 in connection with the sale of the Thermal Business</w:t>
            </w:r>
          </w:p>
        </w:tc>
        <w:tc>
          <w:tcPr>
            <w:tcW w:w="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1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bottom w:val="single" w:sz="8" w:color="CCEEFF"/>
            </w:tcBorders>
            <w:vMerge w:val="restart"/>
          </w:tcPr>
          <w:p>
            <w:pPr>
              <w:ind w:left="420"/>
              <w:spacing w:after="0"/>
              <w:rPr>
                <w:sz w:val="20"/>
                <w:szCs w:val="20"/>
                <w:color w:val="auto"/>
              </w:rPr>
            </w:pPr>
            <w:r>
              <w:rPr>
                <w:rFonts w:ascii="Arial" w:cs="Arial" w:eastAsia="Arial" w:hAnsi="Arial"/>
                <w:sz w:val="18"/>
                <w:szCs w:val="18"/>
                <w:b w:val="1"/>
                <w:bCs w:val="1"/>
                <w:i w:val="1"/>
                <w:iCs w:val="1"/>
                <w:color w:val="auto"/>
              </w:rPr>
              <w:t>Net Cash (Used in) Provided by Investing Activities</w:t>
            </w:r>
          </w:p>
        </w:tc>
        <w:tc>
          <w:tcPr>
            <w:tcW w:w="8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14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7140" w:type="dxa"/>
            <w:vAlign w:val="bottom"/>
          </w:tcPr>
          <w:p>
            <w:pPr>
              <w:ind w:left="20"/>
              <w:spacing w:after="0"/>
              <w:rPr>
                <w:sz w:val="20"/>
                <w:szCs w:val="20"/>
                <w:color w:val="auto"/>
              </w:rPr>
            </w:pPr>
            <w:r>
              <w:rPr>
                <w:rFonts w:ascii="Arial" w:cs="Arial" w:eastAsia="Arial" w:hAnsi="Arial"/>
                <w:sz w:val="18"/>
                <w:szCs w:val="18"/>
                <w:color w:val="auto"/>
              </w:rPr>
              <w:t>Changes to net cash (used in) provided by investing activities were driven by:</w:t>
            </w: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jc w:val="right"/>
              <w:ind w:right="131"/>
              <w:spacing w:after="0"/>
              <w:rPr>
                <w:sz w:val="20"/>
                <w:szCs w:val="20"/>
                <w:color w:val="auto"/>
              </w:rPr>
            </w:pPr>
            <w:r>
              <w:rPr>
                <w:rFonts w:ascii="Arial" w:cs="Arial" w:eastAsia="Arial" w:hAnsi="Arial"/>
                <w:sz w:val="16"/>
                <w:szCs w:val="16"/>
                <w:b w:val="1"/>
                <w:bCs w:val="1"/>
                <w:color w:val="auto"/>
              </w:rPr>
              <w:t>(In millions)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the sale of the Thermal Business in 2022</w:t>
            </w:r>
          </w:p>
        </w:tc>
        <w:tc>
          <w:tcPr>
            <w:tcW w:w="8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140" w:type="dxa"/>
            <w:vAlign w:val="bottom"/>
          </w:tcPr>
          <w:p>
            <w:pPr>
              <w:ind w:left="140"/>
              <w:spacing w:after="0"/>
              <w:rPr>
                <w:sz w:val="20"/>
                <w:szCs w:val="20"/>
                <w:color w:val="auto"/>
              </w:rPr>
            </w:pPr>
            <w:r>
              <w:rPr>
                <w:rFonts w:ascii="Arial" w:cs="Arial" w:eastAsia="Arial" w:hAnsi="Arial"/>
                <w:sz w:val="18"/>
                <w:szCs w:val="18"/>
                <w:color w:val="auto"/>
              </w:rPr>
              <w:t>Increase in capital expenditures</w:t>
            </w:r>
          </w:p>
        </w:tc>
        <w:tc>
          <w:tcPr>
            <w:tcW w:w="8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Increase in investments in unconsolidated affiliates</w:t>
            </w:r>
          </w:p>
        </w:tc>
        <w:tc>
          <w:tcPr>
            <w:tcW w:w="8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140" w:type="dxa"/>
            <w:vAlign w:val="bottom"/>
          </w:tcPr>
          <w:p>
            <w:pPr>
              <w:ind w:left="140"/>
              <w:spacing w:after="0"/>
              <w:rPr>
                <w:sz w:val="20"/>
                <w:szCs w:val="20"/>
                <w:color w:val="auto"/>
              </w:rPr>
            </w:pPr>
            <w:r>
              <w:rPr>
                <w:rFonts w:ascii="Arial" w:cs="Arial" w:eastAsia="Arial" w:hAnsi="Arial"/>
                <w:sz w:val="18"/>
                <w:szCs w:val="18"/>
                <w:color w:val="auto"/>
              </w:rPr>
              <w:t>Decrease in cash paid for Drop Down Assets</w:t>
            </w:r>
          </w:p>
        </w:tc>
        <w:tc>
          <w:tcPr>
            <w:tcW w:w="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Increase in the return of investment from unconsolidated affiliates</w:t>
            </w:r>
          </w:p>
        </w:tc>
        <w:tc>
          <w:tcPr>
            <w:tcW w:w="8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gridSpan w:val="2"/>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Net Cash Used in Financing Activities</w:t>
      </w:r>
    </w:p>
    <w:p>
      <w:pPr>
        <w:sectPr>
          <w:pgSz w:w="11900" w:h="16838" w:orient="portrait"/>
          <w:cols w:equalWidth="0" w:num="1">
            <w:col w:w="11240"/>
          </w:cols>
          <w:pgMar w:left="320" w:top="891" w:right="339" w:bottom="1440" w:gutter="0" w:footer="0" w:header="0"/>
        </w:sectPr>
      </w:pPr>
    </w:p>
    <w:p>
      <w:pPr>
        <w:spacing w:after="0" w:line="104"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Changes in net cash used in financing activities were driven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543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1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Increase in contributions from noncontrolling interest members and CEG, net of distributions</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Decrease in payments for the revolving credit facility, net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543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Decrease in payments for long-term debt, net of proceeds</w:t>
      </w:r>
    </w:p>
    <w:p>
      <w:pPr>
        <w:spacing w:after="0" w:line="3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Cash released from escrow distributed to CEG in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46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Tax related distributions in 2023</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Increase in distributions paid to unit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543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ind w:left="207"/>
        <w:spacing w:after="0"/>
        <w:rPr>
          <w:sz w:val="20"/>
          <w:szCs w:val="20"/>
          <w:color w:val="auto"/>
        </w:rPr>
      </w:pPr>
      <w:r>
        <w:rPr>
          <w:rFonts w:ascii="Arial" w:cs="Arial" w:eastAsia="Arial" w:hAnsi="Arial"/>
          <w:sz w:val="16"/>
          <w:szCs w:val="16"/>
          <w:b w:val="1"/>
          <w:bCs w:val="1"/>
          <w:color w:val="auto"/>
        </w:rPr>
        <w:t>(In millions)</w:t>
      </w:r>
    </w:p>
    <w:p>
      <w:pPr>
        <w:spacing w:after="0" w:line="45" w:lineRule="exact"/>
        <w:rPr>
          <w:sz w:val="20"/>
          <w:szCs w:val="20"/>
          <w:color w:val="auto"/>
        </w:rPr>
      </w:pPr>
    </w:p>
    <w:p>
      <w:pPr>
        <w:ind w:left="927" w:hanging="927"/>
        <w:spacing w:after="0"/>
        <w:tabs>
          <w:tab w:leader="none" w:pos="927" w:val="left"/>
        </w:tabs>
        <w:numPr>
          <w:ilvl w:val="0"/>
          <w:numId w:val="30"/>
        </w:numPr>
        <w:rPr>
          <w:rFonts w:ascii="Arial" w:cs="Arial" w:eastAsia="Arial" w:hAnsi="Arial"/>
          <w:sz w:val="18"/>
          <w:szCs w:val="18"/>
          <w:color w:val="auto"/>
        </w:rPr>
      </w:pPr>
      <w:r>
        <w:rPr>
          <w:rFonts w:ascii="Arial" w:cs="Arial" w:eastAsia="Arial" w:hAnsi="Arial"/>
          <w:sz w:val="18"/>
          <w:szCs w:val="18"/>
          <w:color w:val="auto"/>
        </w:rPr>
        <w:t>282</w:t>
      </w:r>
    </w:p>
    <w:p>
      <w:pPr>
        <w:spacing w:after="0" w:line="23" w:lineRule="exact"/>
        <w:rPr>
          <w:rFonts w:ascii="Arial" w:cs="Arial" w:eastAsia="Arial" w:hAnsi="Arial"/>
          <w:sz w:val="18"/>
          <w:szCs w:val="18"/>
          <w:color w:val="auto"/>
        </w:rPr>
      </w:pPr>
    </w:p>
    <w:p>
      <w:pPr>
        <w:ind w:left="927"/>
        <w:spacing w:after="0"/>
        <w:rPr>
          <w:rFonts w:ascii="Arial" w:cs="Arial" w:eastAsia="Arial" w:hAnsi="Arial"/>
          <w:sz w:val="18"/>
          <w:szCs w:val="18"/>
          <w:color w:val="auto"/>
        </w:rPr>
      </w:pPr>
      <w:r>
        <w:rPr>
          <w:rFonts w:ascii="Arial" w:cs="Arial" w:eastAsia="Arial" w:hAnsi="Arial"/>
          <w:sz w:val="18"/>
          <w:szCs w:val="18"/>
          <w:color w:val="auto"/>
        </w:rPr>
        <w:t>245</w:t>
      </w:r>
    </w:p>
    <w:p>
      <w:pPr>
        <w:spacing w:after="0" w:line="22" w:lineRule="exact"/>
        <w:rPr>
          <w:rFonts w:ascii="Arial" w:cs="Arial" w:eastAsia="Arial" w:hAnsi="Arial"/>
          <w:sz w:val="18"/>
          <w:szCs w:val="18"/>
          <w:color w:val="auto"/>
        </w:rPr>
      </w:pPr>
    </w:p>
    <w:p>
      <w:pPr>
        <w:ind w:left="927"/>
        <w:spacing w:after="0"/>
        <w:rPr>
          <w:rFonts w:ascii="Arial" w:cs="Arial" w:eastAsia="Arial" w:hAnsi="Arial"/>
          <w:sz w:val="18"/>
          <w:szCs w:val="18"/>
          <w:color w:val="auto"/>
        </w:rPr>
      </w:pPr>
      <w:r>
        <w:rPr>
          <w:rFonts w:ascii="Arial" w:cs="Arial" w:eastAsia="Arial" w:hAnsi="Arial"/>
          <w:sz w:val="18"/>
          <w:szCs w:val="18"/>
          <w:color w:val="auto"/>
        </w:rPr>
        <w:t>245</w:t>
      </w:r>
    </w:p>
    <w:p>
      <w:pPr>
        <w:spacing w:after="0" w:line="35" w:lineRule="exact"/>
        <w:rPr>
          <w:rFonts w:ascii="Arial" w:cs="Arial" w:eastAsia="Arial" w:hAnsi="Arial"/>
          <w:sz w:val="18"/>
          <w:szCs w:val="18"/>
          <w:color w:val="auto"/>
        </w:rPr>
      </w:pPr>
    </w:p>
    <w:p>
      <w:pPr>
        <w:ind w:left="1027"/>
        <w:spacing w:after="0"/>
        <w:rPr>
          <w:rFonts w:ascii="Arial" w:cs="Arial" w:eastAsia="Arial" w:hAnsi="Arial"/>
          <w:sz w:val="18"/>
          <w:szCs w:val="18"/>
          <w:color w:val="auto"/>
        </w:rPr>
      </w:pPr>
      <w:r>
        <w:rPr>
          <w:rFonts w:ascii="Arial" w:cs="Arial" w:eastAsia="Arial" w:hAnsi="Arial"/>
          <w:sz w:val="18"/>
          <w:szCs w:val="18"/>
          <w:color w:val="auto"/>
        </w:rPr>
        <w:t>64</w:t>
      </w:r>
    </w:p>
    <w:p>
      <w:pPr>
        <w:spacing w:after="0" w:line="23" w:lineRule="exact"/>
        <w:rPr>
          <w:rFonts w:ascii="Arial" w:cs="Arial" w:eastAsia="Arial" w:hAnsi="Arial"/>
          <w:sz w:val="18"/>
          <w:szCs w:val="18"/>
          <w:color w:val="auto"/>
        </w:rPr>
      </w:pPr>
    </w:p>
    <w:p>
      <w:pPr>
        <w:ind w:left="947"/>
        <w:spacing w:after="0"/>
        <w:rPr>
          <w:rFonts w:ascii="Arial" w:cs="Arial" w:eastAsia="Arial" w:hAnsi="Arial"/>
          <w:sz w:val="18"/>
          <w:szCs w:val="18"/>
          <w:color w:val="auto"/>
        </w:rPr>
      </w:pPr>
      <w:r>
        <w:rPr>
          <w:rFonts w:ascii="Arial" w:cs="Arial" w:eastAsia="Arial" w:hAnsi="Arial"/>
          <w:sz w:val="16"/>
          <w:szCs w:val="16"/>
          <w:color w:val="auto"/>
        </w:rPr>
        <w:t>(45)</w:t>
      </w:r>
    </w:p>
    <w:p>
      <w:pPr>
        <w:spacing w:after="0" w:line="45" w:lineRule="exact"/>
        <w:rPr>
          <w:rFonts w:ascii="Arial" w:cs="Arial" w:eastAsia="Arial" w:hAnsi="Arial"/>
          <w:sz w:val="18"/>
          <w:szCs w:val="18"/>
          <w:color w:val="auto"/>
        </w:rPr>
      </w:pPr>
    </w:p>
    <w:p>
      <w:pPr>
        <w:ind w:left="947"/>
        <w:spacing w:after="0"/>
        <w:rPr>
          <w:rFonts w:ascii="Arial" w:cs="Arial" w:eastAsia="Arial" w:hAnsi="Arial"/>
          <w:sz w:val="18"/>
          <w:szCs w:val="18"/>
          <w:color w:val="auto"/>
        </w:rPr>
      </w:pPr>
      <w:r>
        <w:rPr>
          <w:rFonts w:ascii="Arial" w:cs="Arial" w:eastAsia="Arial" w:hAnsi="Arial"/>
          <w:sz w:val="16"/>
          <w:szCs w:val="16"/>
          <w:color w:val="auto"/>
        </w:rPr>
        <w:t>(12)</w:t>
      </w:r>
    </w:p>
    <w:p>
      <w:pPr>
        <w:spacing w:after="0" w:line="45" w:lineRule="exact"/>
        <w:rPr>
          <w:rFonts w:ascii="Arial" w:cs="Arial" w:eastAsia="Arial" w:hAnsi="Arial"/>
          <w:sz w:val="18"/>
          <w:szCs w:val="18"/>
          <w:color w:val="auto"/>
        </w:rPr>
      </w:pPr>
    </w:p>
    <w:p>
      <w:pPr>
        <w:ind w:left="1107"/>
        <w:spacing w:after="0"/>
        <w:rPr>
          <w:rFonts w:ascii="Arial" w:cs="Arial" w:eastAsia="Arial" w:hAnsi="Arial"/>
          <w:sz w:val="18"/>
          <w:szCs w:val="18"/>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22860</wp:posOffset>
            </wp:positionV>
            <wp:extent cx="8229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9" w:lineRule="exact"/>
        <w:rPr>
          <w:sz w:val="20"/>
          <w:szCs w:val="20"/>
          <w:color w:val="auto"/>
        </w:rPr>
      </w:pPr>
    </w:p>
    <w:p>
      <w:pPr>
        <w:ind w:left="927" w:hanging="927"/>
        <w:spacing w:after="0"/>
        <w:tabs>
          <w:tab w:leader="none" w:pos="927" w:val="left"/>
        </w:tabs>
        <w:numPr>
          <w:ilvl w:val="0"/>
          <w:numId w:val="31"/>
        </w:numPr>
        <w:rPr>
          <w:rFonts w:ascii="Arial" w:cs="Arial" w:eastAsia="Arial" w:hAnsi="Arial"/>
          <w:sz w:val="18"/>
          <w:szCs w:val="18"/>
          <w:color w:val="auto"/>
        </w:rPr>
      </w:pPr>
      <w:r>
        <w:rPr>
          <w:rFonts w:ascii="Arial" w:cs="Arial" w:eastAsia="Arial" w:hAnsi="Arial"/>
          <w:sz w:val="18"/>
          <w:szCs w:val="18"/>
          <w:color w:val="auto"/>
        </w:rPr>
        <w:t>780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14605</wp:posOffset>
            </wp:positionV>
            <wp:extent cx="8229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22960" cy="825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40640</wp:posOffset>
            </wp:positionV>
            <wp:extent cx="8229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213" w:space="720"/>
            <w:col w:w="1307"/>
          </w:cols>
          <w:pgMar w:left="320" w:top="891" w:right="339" w:bottom="1440" w:gutter="0" w:footer="0" w:header="0"/>
          <w:type w:val="continuous"/>
        </w:sectPr>
      </w:pP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Derivative Instruments</w:t>
      </w:r>
    </w:p>
    <w:p>
      <w:pPr>
        <w:spacing w:after="0" w:line="17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231F20"/>
        </w:rPr>
        <w:t>The Company may enter into commodity purchase contracts and other energy-related financial instruments to mitigate variability in earnings due to fluctuations in spot market prices. In addition, in order to mitigate interest rate risk associated with the issuance of variable rate debt, the Company enters into interest rate swap agreements.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46" w:name="page47"/>
    <w:bookmarkEnd w:id="46"/>
    <w:p>
      <w:pPr>
        <w:jc w:val="both"/>
        <w:ind w:firstLine="486"/>
        <w:spacing w:after="0" w:line="279" w:lineRule="auto"/>
        <w:rPr>
          <w:sz w:val="20"/>
          <w:szCs w:val="20"/>
          <w:color w:val="auto"/>
        </w:rPr>
      </w:pPr>
      <w:r>
        <w:rPr>
          <w:rFonts w:ascii="Arial" w:cs="Arial" w:eastAsia="Arial" w:hAnsi="Arial"/>
          <w:sz w:val="17"/>
          <w:szCs w:val="17"/>
          <w:color w:val="231F20"/>
        </w:rPr>
        <w:t xml:space="preserve">The tables below disclose the activities of non-exchange traded contracts accounted for at fair value in accordance with ASC 820. Specifically, these tables disaggregate realized and unrealized changes in fair value; disaggregate estimated fair values at </w:t>
      </w:r>
      <w:r>
        <w:rPr>
          <w:rFonts w:ascii="Arial" w:cs="Arial" w:eastAsia="Arial" w:hAnsi="Arial"/>
          <w:sz w:val="17"/>
          <w:szCs w:val="17"/>
          <w:color w:val="000000"/>
        </w:rPr>
        <w:t>June 30, 2023</w:t>
      </w:r>
      <w:r>
        <w:rPr>
          <w:rFonts w:ascii="Arial" w:cs="Arial" w:eastAsia="Arial" w:hAnsi="Arial"/>
          <w:sz w:val="17"/>
          <w:szCs w:val="17"/>
          <w:color w:val="231F20"/>
        </w:rPr>
        <w:t xml:space="preserve">, based on their level within the fair value hierarchy defined in ASC 820; and indicate the maturities of contracts at </w:t>
      </w:r>
      <w:r>
        <w:rPr>
          <w:rFonts w:ascii="Arial" w:cs="Arial" w:eastAsia="Arial" w:hAnsi="Arial"/>
          <w:sz w:val="17"/>
          <w:szCs w:val="17"/>
          <w:color w:val="000000"/>
        </w:rPr>
        <w:t>June 30, 2023</w:t>
      </w:r>
      <w:r>
        <w:rPr>
          <w:rFonts w:ascii="Arial" w:cs="Arial" w:eastAsia="Arial" w:hAnsi="Arial"/>
          <w:sz w:val="17"/>
          <w:szCs w:val="17"/>
          <w:color w:val="231F20"/>
        </w:rPr>
        <w:t xml:space="preserve">. For a full discussion of the Company’s valuation methodology of its contracts, see </w:t>
      </w:r>
      <w:r>
        <w:rPr>
          <w:rFonts w:ascii="Arial" w:cs="Arial" w:eastAsia="Arial" w:hAnsi="Arial"/>
          <w:sz w:val="17"/>
          <w:szCs w:val="17"/>
          <w:i w:val="1"/>
          <w:iCs w:val="1"/>
          <w:color w:val="231F20"/>
        </w:rPr>
        <w:t>Derivative Fair Value Measurements</w:t>
      </w:r>
      <w:r>
        <w:rPr>
          <w:rFonts w:ascii="Arial" w:cs="Arial" w:eastAsia="Arial" w:hAnsi="Arial"/>
          <w:sz w:val="17"/>
          <w:szCs w:val="17"/>
          <w:color w:val="231F20"/>
        </w:rPr>
        <w:t xml:space="preserve"> in </w:t>
      </w:r>
      <w:r>
        <w:rPr>
          <w:rFonts w:ascii="Arial" w:cs="Arial" w:eastAsia="Arial" w:hAnsi="Arial"/>
          <w:sz w:val="17"/>
          <w:szCs w:val="17"/>
          <w:color w:val="000000"/>
        </w:rPr>
        <w:t>Note 5</w:t>
      </w:r>
      <w:r>
        <w:rPr>
          <w:rFonts w:ascii="Arial" w:cs="Arial" w:eastAsia="Arial" w:hAnsi="Arial"/>
          <w:sz w:val="17"/>
          <w:szCs w:val="17"/>
          <w:color w:val="231F20"/>
        </w:rPr>
        <w:t xml:space="preserve">, </w:t>
      </w:r>
      <w:r>
        <w:rPr>
          <w:rFonts w:ascii="Arial" w:cs="Arial" w:eastAsia="Arial" w:hAnsi="Arial"/>
          <w:sz w:val="17"/>
          <w:szCs w:val="17"/>
          <w:i w:val="1"/>
          <w:iCs w:val="1"/>
          <w:color w:val="000000"/>
        </w:rPr>
        <w:t>Fair Value of Financial Instruments</w:t>
      </w:r>
      <w:r>
        <w:rPr>
          <w:rFonts w:ascii="Arial" w:cs="Arial" w:eastAsia="Arial" w:hAnsi="Arial"/>
          <w:sz w:val="17"/>
          <w:szCs w:val="17"/>
          <w:color w:val="231F20"/>
        </w:rPr>
        <w: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4740" w:type="dxa"/>
            <w:vAlign w:val="bottom"/>
            <w:gridSpan w:val="3"/>
          </w:tcPr>
          <w:p>
            <w:pPr>
              <w:spacing w:after="0"/>
              <w:rPr>
                <w:sz w:val="20"/>
                <w:szCs w:val="20"/>
                <w:color w:val="auto"/>
              </w:rPr>
            </w:pPr>
            <w:r>
              <w:rPr>
                <w:rFonts w:ascii="Arial" w:cs="Arial" w:eastAsia="Arial" w:hAnsi="Arial"/>
                <w:sz w:val="18"/>
                <w:szCs w:val="18"/>
                <w:b w:val="1"/>
                <w:bCs w:val="1"/>
                <w:color w:val="auto"/>
              </w:rPr>
              <w:t>Derivative Activity (Losses) Gains</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3"/>
          </w:tcPr>
          <w:p>
            <w:pPr>
              <w:ind w:left="20"/>
              <w:spacing w:after="0"/>
              <w:rPr>
                <w:sz w:val="20"/>
                <w:szCs w:val="20"/>
                <w:color w:val="auto"/>
              </w:rPr>
            </w:pPr>
            <w:r>
              <w:rPr>
                <w:rFonts w:ascii="Arial" w:cs="Arial" w:eastAsia="Arial" w:hAnsi="Arial"/>
                <w:sz w:val="16"/>
                <w:szCs w:val="16"/>
                <w:b w:val="1"/>
                <w:bCs w:val="1"/>
                <w:color w:val="auto"/>
              </w:rPr>
              <w:t>(In millions)</w:t>
            </w: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2220" w:type="dxa"/>
            <w:vAlign w:val="bottom"/>
            <w:tcBorders>
              <w:top w:val="single" w:sz="8" w:color="auto"/>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CCEEFF"/>
            </w:tcBorders>
          </w:tcPr>
          <w:p>
            <w:pPr>
              <w:spacing w:after="0" w:line="20" w:lineRule="exact"/>
              <w:rPr>
                <w:sz w:val="1"/>
                <w:szCs w:val="1"/>
                <w:color w:val="auto"/>
              </w:rPr>
            </w:pPr>
          </w:p>
        </w:tc>
        <w:tc>
          <w:tcPr>
            <w:tcW w:w="2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23"/>
        </w:trPr>
        <w:tc>
          <w:tcPr>
            <w:tcW w:w="40" w:type="dxa"/>
            <w:vAlign w:val="bottom"/>
            <w:tcBorders>
              <w:right w:val="single" w:sz="8" w:color="CCEEFF"/>
            </w:tcBorders>
            <w:shd w:val="clear" w:color="auto" w:fill="CCEEFF"/>
          </w:tcPr>
          <w:p>
            <w:pPr>
              <w:spacing w:after="0"/>
              <w:rPr>
                <w:sz w:val="19"/>
                <w:szCs w:val="19"/>
                <w:color w:val="auto"/>
              </w:rPr>
            </w:pPr>
          </w:p>
        </w:tc>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Fair value of contracts as of December 31, 2022</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20" w:type="dxa"/>
            <w:vAlign w:val="bottom"/>
            <w:shd w:val="clear" w:color="auto" w:fill="CCEEFF"/>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4740" w:type="dxa"/>
            <w:vAlign w:val="bottom"/>
            <w:gridSpan w:val="3"/>
          </w:tcPr>
          <w:p>
            <w:pPr>
              <w:ind w:left="100"/>
              <w:spacing w:after="0"/>
              <w:rPr>
                <w:sz w:val="20"/>
                <w:szCs w:val="20"/>
                <w:color w:val="auto"/>
              </w:rPr>
            </w:pPr>
            <w:r>
              <w:rPr>
                <w:rFonts w:ascii="Arial" w:cs="Arial" w:eastAsia="Arial" w:hAnsi="Arial"/>
                <w:sz w:val="18"/>
                <w:szCs w:val="18"/>
                <w:color w:val="auto"/>
              </w:rPr>
              <w:t>Contracts realized or otherwise settled during the period</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9"/>
                <w:szCs w:val="19"/>
                <w:color w:val="auto"/>
              </w:rPr>
            </w:pPr>
          </w:p>
        </w:tc>
      </w:tr>
      <w:tr>
        <w:trPr>
          <w:trHeight w:val="243"/>
        </w:trPr>
        <w:tc>
          <w:tcPr>
            <w:tcW w:w="40" w:type="dxa"/>
            <w:vAlign w:val="bottom"/>
            <w:tcBorders>
              <w:right w:val="single" w:sz="8" w:color="CCEEFF"/>
            </w:tcBorders>
            <w:shd w:val="clear" w:color="auto" w:fill="CCEEFF"/>
          </w:tcPr>
          <w:p>
            <w:pPr>
              <w:spacing w:after="0"/>
              <w:rPr>
                <w:sz w:val="21"/>
                <w:szCs w:val="21"/>
                <w:color w:val="auto"/>
              </w:rPr>
            </w:pPr>
          </w:p>
        </w:tc>
        <w:tc>
          <w:tcPr>
            <w:tcW w:w="47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Contracts acquired during the period</w:t>
            </w: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shd w:val="clear" w:color="auto" w:fill="CCEEFF"/>
          </w:tcPr>
          <w:p>
            <w:pPr>
              <w:spacing w:after="0"/>
              <w:rPr>
                <w:sz w:val="21"/>
                <w:szCs w:val="21"/>
                <w:color w:val="auto"/>
              </w:rPr>
            </w:pPr>
          </w:p>
        </w:tc>
      </w:tr>
      <w:tr>
        <w:trPr>
          <w:trHeight w:val="229"/>
        </w:trPr>
        <w:tc>
          <w:tcPr>
            <w:tcW w:w="40" w:type="dxa"/>
            <w:vAlign w:val="bottom"/>
          </w:tcPr>
          <w:p>
            <w:pPr>
              <w:spacing w:after="0"/>
              <w:rPr>
                <w:sz w:val="19"/>
                <w:szCs w:val="19"/>
                <w:color w:val="auto"/>
              </w:rPr>
            </w:pPr>
          </w:p>
        </w:tc>
        <w:tc>
          <w:tcPr>
            <w:tcW w:w="4740" w:type="dxa"/>
            <w:vAlign w:val="bottom"/>
            <w:gridSpan w:val="3"/>
          </w:tcPr>
          <w:p>
            <w:pPr>
              <w:ind w:left="100"/>
              <w:spacing w:after="0"/>
              <w:rPr>
                <w:sz w:val="20"/>
                <w:szCs w:val="20"/>
                <w:color w:val="auto"/>
              </w:rPr>
            </w:pPr>
            <w:r>
              <w:rPr>
                <w:rFonts w:ascii="Arial" w:cs="Arial" w:eastAsia="Arial" w:hAnsi="Arial"/>
                <w:sz w:val="18"/>
                <w:szCs w:val="18"/>
                <w:color w:val="auto"/>
              </w:rPr>
              <w:t>Changes in fair value</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0" w:type="dxa"/>
            <w:vAlign w:val="bottom"/>
            <w:tcBorders>
              <w:bottom w:val="single" w:sz="8" w:color="auto"/>
            </w:tcBorders>
          </w:tcPr>
          <w:p>
            <w:pPr>
              <w:spacing w:after="0"/>
              <w:rPr>
                <w:sz w:val="19"/>
                <w:szCs w:val="19"/>
                <w:color w:val="auto"/>
              </w:rPr>
            </w:pPr>
          </w:p>
        </w:tc>
      </w:tr>
      <w:tr>
        <w:trPr>
          <w:trHeight w:val="243"/>
        </w:trPr>
        <w:tc>
          <w:tcPr>
            <w:tcW w:w="40" w:type="dxa"/>
            <w:vAlign w:val="bottom"/>
            <w:tcBorders>
              <w:bottom w:val="single" w:sz="8" w:color="CCEEFF"/>
              <w:right w:val="single" w:sz="8" w:color="CCEEFF"/>
            </w:tcBorders>
            <w:shd w:val="clear" w:color="auto" w:fill="CCEEFF"/>
          </w:tcPr>
          <w:p>
            <w:pPr>
              <w:spacing w:after="0"/>
              <w:rPr>
                <w:sz w:val="21"/>
                <w:szCs w:val="21"/>
                <w:color w:val="auto"/>
              </w:rPr>
            </w:pPr>
          </w:p>
        </w:tc>
        <w:tc>
          <w:tcPr>
            <w:tcW w:w="47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Fair value of contracts as of June 30, 2023</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20" w:type="dxa"/>
            <w:vAlign w:val="bottom"/>
            <w:tcBorders>
              <w:bottom w:val="single" w:sz="8" w:color="auto"/>
            </w:tcBorders>
            <w:shd w:val="clear" w:color="auto" w:fill="CCEEFF"/>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434"/>
        </w:trPr>
        <w:tc>
          <w:tcPr>
            <w:tcW w:w="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20" w:type="dxa"/>
            <w:vAlign w:val="bottom"/>
            <w:gridSpan w:val="9"/>
          </w:tcPr>
          <w:p>
            <w:pPr>
              <w:jc w:val="center"/>
              <w:ind w:right="360"/>
              <w:spacing w:after="0"/>
              <w:rPr>
                <w:sz w:val="20"/>
                <w:szCs w:val="20"/>
                <w:color w:val="auto"/>
              </w:rPr>
            </w:pPr>
            <w:r>
              <w:rPr>
                <w:rFonts w:ascii="Arial" w:cs="Arial" w:eastAsia="Arial" w:hAnsi="Arial"/>
                <w:sz w:val="14"/>
                <w:szCs w:val="14"/>
                <w:b w:val="1"/>
                <w:bCs w:val="1"/>
                <w:color w:val="auto"/>
                <w:w w:val="91"/>
              </w:rPr>
              <w:t>Fair value of contracts as of June 30, 2023</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
        </w:trPr>
        <w:tc>
          <w:tcPr>
            <w:tcW w:w="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81"/>
        </w:trPr>
        <w:tc>
          <w:tcPr>
            <w:tcW w:w="4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rPr>
              <w:t>Maturity</w:t>
            </w: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61"/>
        </w:trPr>
        <w:tc>
          <w:tcPr>
            <w:tcW w:w="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57"/>
              <w:spacing w:after="0"/>
              <w:rPr>
                <w:sz w:val="20"/>
                <w:szCs w:val="20"/>
                <w:color w:val="auto"/>
              </w:rPr>
            </w:pPr>
            <w:r>
              <w:rPr>
                <w:rFonts w:ascii="Arial" w:cs="Arial" w:eastAsia="Arial" w:hAnsi="Arial"/>
                <w:sz w:val="14"/>
                <w:szCs w:val="14"/>
                <w:b w:val="1"/>
                <w:bCs w:val="1"/>
                <w:color w:val="auto"/>
                <w:w w:val="98"/>
              </w:rPr>
              <w:t>Greater Than</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79"/>
              <w:spacing w:after="0"/>
              <w:rPr>
                <w:sz w:val="20"/>
                <w:szCs w:val="20"/>
                <w:color w:val="auto"/>
              </w:rPr>
            </w:pPr>
            <w:r>
              <w:rPr>
                <w:rFonts w:ascii="Arial" w:cs="Arial" w:eastAsia="Arial" w:hAnsi="Arial"/>
                <w:sz w:val="14"/>
                <w:szCs w:val="14"/>
                <w:b w:val="1"/>
                <w:bCs w:val="1"/>
                <w:color w:val="auto"/>
                <w:w w:val="96"/>
              </w:rPr>
              <w:t>Greater Than</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8"/>
              </w:rPr>
              <w:t>Greater Than</w:t>
            </w:r>
          </w:p>
        </w:tc>
        <w:tc>
          <w:tcPr>
            <w:tcW w:w="180" w:type="dxa"/>
            <w:vAlign w:val="bottom"/>
          </w:tcPr>
          <w:p>
            <w:pPr>
              <w:spacing w:after="0"/>
              <w:rPr>
                <w:sz w:val="14"/>
                <w:szCs w:val="14"/>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Total Fair</w:t>
            </w:r>
          </w:p>
        </w:tc>
      </w:tr>
      <w:tr>
        <w:trPr>
          <w:trHeight w:val="158"/>
        </w:trPr>
        <w:tc>
          <w:tcPr>
            <w:tcW w:w="40" w:type="dxa"/>
            <w:vAlign w:val="bottom"/>
          </w:tcPr>
          <w:p>
            <w:pPr>
              <w:spacing w:after="0"/>
              <w:rPr>
                <w:sz w:val="13"/>
                <w:szCs w:val="13"/>
                <w:color w:val="auto"/>
              </w:rPr>
            </w:pPr>
          </w:p>
        </w:tc>
        <w:tc>
          <w:tcPr>
            <w:tcW w:w="474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Fair Value Hierarchy (Losses) Gains</w:t>
            </w:r>
          </w:p>
        </w:tc>
        <w:tc>
          <w:tcPr>
            <w:tcW w:w="140" w:type="dxa"/>
            <w:vAlign w:val="bottom"/>
          </w:tcPr>
          <w:p>
            <w:pPr>
              <w:spacing w:after="0"/>
              <w:rPr>
                <w:sz w:val="13"/>
                <w:szCs w:val="13"/>
                <w:color w:val="auto"/>
              </w:rPr>
            </w:pPr>
          </w:p>
        </w:tc>
        <w:tc>
          <w:tcPr>
            <w:tcW w:w="1080" w:type="dxa"/>
            <w:vAlign w:val="bottom"/>
          </w:tcPr>
          <w:p>
            <w:pPr>
              <w:ind w:left="40"/>
              <w:spacing w:after="0" w:line="158" w:lineRule="exact"/>
              <w:rPr>
                <w:sz w:val="20"/>
                <w:szCs w:val="20"/>
                <w:color w:val="auto"/>
              </w:rPr>
            </w:pPr>
            <w:r>
              <w:rPr>
                <w:rFonts w:ascii="Arial" w:cs="Arial" w:eastAsia="Arial" w:hAnsi="Arial"/>
                <w:sz w:val="14"/>
                <w:szCs w:val="14"/>
                <w:b w:val="1"/>
                <w:bCs w:val="1"/>
                <w:color w:val="auto"/>
              </w:rPr>
              <w:t>1 Year or Less</w:t>
            </w:r>
          </w:p>
        </w:tc>
        <w:tc>
          <w:tcPr>
            <w:tcW w:w="160" w:type="dxa"/>
            <w:vAlign w:val="bottom"/>
          </w:tcPr>
          <w:p>
            <w:pPr>
              <w:spacing w:after="0"/>
              <w:rPr>
                <w:sz w:val="13"/>
                <w:szCs w:val="13"/>
                <w:color w:val="auto"/>
              </w:rPr>
            </w:pPr>
          </w:p>
        </w:tc>
        <w:tc>
          <w:tcPr>
            <w:tcW w:w="112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0"/>
              </w:rPr>
              <w:t>1 Year to 3 Years</w:t>
            </w:r>
          </w:p>
        </w:tc>
        <w:tc>
          <w:tcPr>
            <w:tcW w:w="140" w:type="dxa"/>
            <w:vAlign w:val="bottom"/>
          </w:tcPr>
          <w:p>
            <w:pPr>
              <w:spacing w:after="0"/>
              <w:rPr>
                <w:sz w:val="13"/>
                <w:szCs w:val="13"/>
                <w:color w:val="auto"/>
              </w:rPr>
            </w:pPr>
          </w:p>
        </w:tc>
        <w:tc>
          <w:tcPr>
            <w:tcW w:w="114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w w:val="89"/>
              </w:rPr>
              <w:t>3 Years to 5 Years</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3"/>
          </w:tcPr>
          <w:p>
            <w:pPr>
              <w:jc w:val="right"/>
              <w:ind w:right="560"/>
              <w:spacing w:after="0" w:line="158" w:lineRule="exact"/>
              <w:rPr>
                <w:sz w:val="20"/>
                <w:szCs w:val="20"/>
                <w:color w:val="auto"/>
              </w:rPr>
            </w:pPr>
            <w:r>
              <w:rPr>
                <w:rFonts w:ascii="Arial" w:cs="Arial" w:eastAsia="Arial" w:hAnsi="Arial"/>
                <w:sz w:val="14"/>
                <w:szCs w:val="14"/>
                <w:b w:val="1"/>
                <w:bCs w:val="1"/>
                <w:color w:val="auto"/>
              </w:rPr>
              <w:t>5 Years</w:t>
            </w:r>
          </w:p>
        </w:tc>
        <w:tc>
          <w:tcPr>
            <w:tcW w:w="180" w:type="dxa"/>
            <w:vAlign w:val="bottom"/>
          </w:tcPr>
          <w:p>
            <w:pPr>
              <w:spacing w:after="0"/>
              <w:rPr>
                <w:sz w:val="13"/>
                <w:szCs w:val="13"/>
                <w:color w:val="auto"/>
              </w:rPr>
            </w:pPr>
          </w:p>
        </w:tc>
        <w:tc>
          <w:tcPr>
            <w:tcW w:w="96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90"/>
              </w:rPr>
              <w:t>Value</w:t>
            </w:r>
          </w:p>
        </w:tc>
      </w:tr>
      <w:tr>
        <w:trPr>
          <w:trHeight w:val="34"/>
        </w:trPr>
        <w:tc>
          <w:tcPr>
            <w:tcW w:w="40" w:type="dxa"/>
            <w:vAlign w:val="bottom"/>
          </w:tcPr>
          <w:p>
            <w:pPr>
              <w:spacing w:after="0"/>
              <w:rPr>
                <w:sz w:val="2"/>
                <w:szCs w:val="2"/>
                <w:color w:val="auto"/>
              </w:rPr>
            </w:pPr>
          </w:p>
        </w:tc>
        <w:tc>
          <w:tcPr>
            <w:tcW w:w="2220" w:type="dxa"/>
            <w:vAlign w:val="bottom"/>
            <w:tcBorders>
              <w:top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88"/>
        </w:trPr>
        <w:tc>
          <w:tcPr>
            <w:tcW w:w="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8"/>
        </w:trPr>
        <w:tc>
          <w:tcPr>
            <w:tcW w:w="40" w:type="dxa"/>
            <w:vAlign w:val="bottom"/>
            <w:tcBorders>
              <w:right w:val="single" w:sz="8" w:color="CCEEFF"/>
            </w:tcBorders>
          </w:tcPr>
          <w:p>
            <w:pPr>
              <w:spacing w:after="0"/>
              <w:rPr>
                <w:sz w:val="20"/>
                <w:szCs w:val="20"/>
                <w:color w:val="auto"/>
              </w:rPr>
            </w:pPr>
          </w:p>
        </w:tc>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Level 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center"/>
              <w:ind w:left="695"/>
              <w:spacing w:after="0"/>
              <w:rPr>
                <w:sz w:val="20"/>
                <w:szCs w:val="20"/>
                <w:color w:val="auto"/>
              </w:rPr>
            </w:pPr>
            <w:r>
              <w:rPr>
                <w:rFonts w:ascii="Arial" w:cs="Arial" w:eastAsia="Arial" w:hAnsi="Arial"/>
                <w:sz w:val="18"/>
                <w:szCs w:val="18"/>
                <w:color w:val="auto"/>
                <w:w w:val="89"/>
              </w:rPr>
              <w:t>34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center"/>
              <w:ind w:left="577"/>
              <w:spacing w:after="0"/>
              <w:rPr>
                <w:sz w:val="20"/>
                <w:szCs w:val="20"/>
                <w:color w:val="auto"/>
              </w:rPr>
            </w:pPr>
            <w:r>
              <w:rPr>
                <w:rFonts w:ascii="Arial" w:cs="Arial" w:eastAsia="Arial" w:hAnsi="Arial"/>
                <w:sz w:val="18"/>
                <w:szCs w:val="18"/>
                <w:color w:val="auto"/>
                <w:w w:val="89"/>
              </w:rPr>
              <w:t>40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center"/>
              <w:ind w:left="677"/>
              <w:spacing w:after="0"/>
              <w:rPr>
                <w:sz w:val="20"/>
                <w:szCs w:val="20"/>
                <w:color w:val="auto"/>
              </w:rPr>
            </w:pPr>
            <w:r>
              <w:rPr>
                <w:rFonts w:ascii="Arial" w:cs="Arial" w:eastAsia="Arial" w:hAnsi="Arial"/>
                <w:sz w:val="18"/>
                <w:szCs w:val="18"/>
                <w:color w:val="auto"/>
                <w:w w:val="89"/>
              </w:rPr>
              <w:t>19</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0" w:type="dxa"/>
            <w:vAlign w:val="bottom"/>
          </w:tcPr>
          <w:p>
            <w:pPr>
              <w:spacing w:after="0"/>
              <w:rPr>
                <w:sz w:val="20"/>
                <w:szCs w:val="20"/>
                <w:color w:val="auto"/>
              </w:rPr>
            </w:pPr>
          </w:p>
        </w:tc>
      </w:tr>
      <w:tr>
        <w:trPr>
          <w:trHeight w:val="230"/>
        </w:trPr>
        <w:tc>
          <w:tcPr>
            <w:tcW w:w="40" w:type="dxa"/>
            <w:vAlign w:val="bottom"/>
          </w:tcPr>
          <w:p>
            <w:pPr>
              <w:spacing w:after="0"/>
              <w:rPr>
                <w:sz w:val="19"/>
                <w:szCs w:val="19"/>
                <w:color w:val="auto"/>
              </w:rPr>
            </w:pPr>
          </w:p>
        </w:tc>
        <w:tc>
          <w:tcPr>
            <w:tcW w:w="4740" w:type="dxa"/>
            <w:vAlign w:val="bottom"/>
            <w:gridSpan w:val="3"/>
          </w:tcPr>
          <w:p>
            <w:pPr>
              <w:spacing w:after="0"/>
              <w:rPr>
                <w:sz w:val="20"/>
                <w:szCs w:val="20"/>
                <w:color w:val="auto"/>
              </w:rPr>
            </w:pPr>
            <w:r>
              <w:rPr>
                <w:rFonts w:ascii="Arial" w:cs="Arial" w:eastAsia="Arial" w:hAnsi="Arial"/>
                <w:sz w:val="18"/>
                <w:szCs w:val="18"/>
                <w:color w:val="auto"/>
              </w:rPr>
              <w:t>Level 3</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left="655"/>
              <w:spacing w:after="0"/>
              <w:rPr>
                <w:sz w:val="20"/>
                <w:szCs w:val="20"/>
                <w:color w:val="auto"/>
              </w:rPr>
            </w:pPr>
            <w:r>
              <w:rPr>
                <w:rFonts w:ascii="Arial" w:cs="Arial" w:eastAsia="Arial" w:hAnsi="Arial"/>
                <w:sz w:val="18"/>
                <w:szCs w:val="18"/>
                <w:color w:val="auto"/>
                <w:w w:val="93"/>
              </w:rPr>
              <w:t>(44)</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left="537"/>
              <w:spacing w:after="0"/>
              <w:rPr>
                <w:sz w:val="20"/>
                <w:szCs w:val="20"/>
                <w:color w:val="auto"/>
              </w:rPr>
            </w:pPr>
            <w:r>
              <w:rPr>
                <w:rFonts w:ascii="Arial" w:cs="Arial" w:eastAsia="Arial" w:hAnsi="Arial"/>
                <w:sz w:val="18"/>
                <w:szCs w:val="18"/>
                <w:color w:val="auto"/>
                <w:w w:val="93"/>
              </w:rPr>
              <w:t>(85)</w:t>
            </w: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center"/>
              <w:ind w:left="637"/>
              <w:spacing w:after="0"/>
              <w:rPr>
                <w:sz w:val="20"/>
                <w:szCs w:val="20"/>
                <w:color w:val="auto"/>
              </w:rPr>
            </w:pPr>
            <w:r>
              <w:rPr>
                <w:rFonts w:ascii="Arial" w:cs="Arial" w:eastAsia="Arial" w:hAnsi="Arial"/>
                <w:sz w:val="18"/>
                <w:szCs w:val="18"/>
                <w:color w:val="auto"/>
                <w:w w:val="93"/>
              </w:rPr>
              <w:t>(99)</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20" w:type="dxa"/>
            <w:vAlign w:val="bottom"/>
          </w:tcPr>
          <w:p>
            <w:pPr>
              <w:spacing w:after="0"/>
              <w:rPr>
                <w:sz w:val="19"/>
                <w:szCs w:val="19"/>
                <w:color w:val="auto"/>
              </w:rPr>
            </w:pPr>
          </w:p>
        </w:tc>
      </w:tr>
      <w:tr>
        <w:trPr>
          <w:trHeight w:val="256"/>
        </w:trPr>
        <w:tc>
          <w:tcPr>
            <w:tcW w:w="40" w:type="dxa"/>
            <w:vAlign w:val="bottom"/>
            <w:tcBorders>
              <w:right w:val="single" w:sz="8" w:color="CCEEFF"/>
            </w:tcBorders>
          </w:tcPr>
          <w:p>
            <w:pPr>
              <w:spacing w:after="0"/>
              <w:rPr>
                <w:sz w:val="22"/>
                <w:szCs w:val="22"/>
                <w:color w:val="auto"/>
              </w:rPr>
            </w:pPr>
          </w:p>
        </w:tc>
        <w:tc>
          <w:tcPr>
            <w:tcW w:w="47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center"/>
              <w:ind w:left="655"/>
              <w:spacing w:after="0"/>
              <w:rPr>
                <w:sz w:val="20"/>
                <w:szCs w:val="20"/>
                <w:color w:val="auto"/>
              </w:rPr>
            </w:pPr>
            <w:r>
              <w:rPr>
                <w:rFonts w:ascii="Arial" w:cs="Arial" w:eastAsia="Arial" w:hAnsi="Arial"/>
                <w:sz w:val="18"/>
                <w:szCs w:val="18"/>
                <w:color w:val="auto"/>
                <w:w w:val="93"/>
              </w:rPr>
              <w:t>(10)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center"/>
              <w:ind w:left="537"/>
              <w:spacing w:after="0"/>
              <w:rPr>
                <w:sz w:val="20"/>
                <w:szCs w:val="20"/>
                <w:color w:val="auto"/>
              </w:rPr>
            </w:pPr>
            <w:r>
              <w:rPr>
                <w:rFonts w:ascii="Arial" w:cs="Arial" w:eastAsia="Arial" w:hAnsi="Arial"/>
                <w:sz w:val="18"/>
                <w:szCs w:val="18"/>
                <w:color w:val="auto"/>
                <w:w w:val="93"/>
              </w:rPr>
              <w:t>(45)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center"/>
              <w:ind w:left="637"/>
              <w:spacing w:after="0"/>
              <w:rPr>
                <w:sz w:val="20"/>
                <w:szCs w:val="20"/>
                <w:color w:val="auto"/>
              </w:rPr>
            </w:pPr>
            <w:r>
              <w:rPr>
                <w:rFonts w:ascii="Arial" w:cs="Arial" w:eastAsia="Arial" w:hAnsi="Arial"/>
                <w:sz w:val="18"/>
                <w:szCs w:val="18"/>
                <w:color w:val="auto"/>
                <w:w w:val="93"/>
              </w:rPr>
              <w:t>(80)</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2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231F20"/>
        </w:rPr>
        <w:t>The Company has elected to disclose derivative assets and liabilities on a trade-by-trade basis and does not offset amounts at the counterparty master agreement level.</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The Company’s discussion and analysis of the financial condition and results of operations are based upon the consolidated financial statements, which have been prepared in accordance with GAAP. The preparation of these financial statements and related disclosures in compliance with GAAP requires the application of appropriate technical accounting rules and guidance, as well as the use of estimates and judgments that affect the reported amounts of assets, liabilities, revenues and expenses, and related disclosures of contingent assets and liabilities. The application of these policies necessarily involves judgments regarding future events, including the likelihood of success of particular projects, legal and regulatory challenges and the fair value of certain assets and liabilities. These judgments, in and of themselves, could materially affect the financial statements and disclosures based on varying assumptions, which may be appropriate to use. In addition, the financial and operating environment may also have a significant effect, not only on the operation of the business, but on the results reported through the application of accounting measures used in preparing the financial statements and related disclosures, even if the nature of the accounting policies has not changed.</w:t>
      </w:r>
    </w:p>
    <w:p>
      <w:pPr>
        <w:spacing w:after="0" w:line="11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an ongoing basis, the Company evaluates these estimates, utilizing historic experience, consultation with experts and other methods the Company considers reasonable. Actual results may differ substantially from the Company’s estimates. Any effects on the Company’s business, financial position or results of operations resulting from revisions to these estimates are recorded in the period in which the information that gives rise to the revision becomes known.</w:t>
      </w:r>
    </w:p>
    <w:p>
      <w:pPr>
        <w:spacing w:after="0" w:line="13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identifies its most critical accounting policies as those that are the most pervasive and important to the portrayal of the Company’s financial position and results of operations, and that require the most difficult, subjective and/or complex judgments by management regarding estimates about matters that are inherently uncertain. The Company’s critical accounting policies include income taxes and valuation allowance for deferred tax assets, accounting utilizing Hypothetical Liquidation at Book Value, or HLBV, acquisition accounting and determining the fair value of financial instruments.</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Recent Accounting Developments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See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for a discussion of recent accounting developments.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ITEM 3 — Quantitative and Qualitative Disclosures About Market Risk</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231F20"/>
        </w:rPr>
        <w:t xml:space="preserve">The Company is exposed to several market risks in its normal business activities. Market risk is the potential loss that may result from market changes associated with the Company’s power generation or with an existing or forecasted financial or commodity transaction. The types of market risks the Company is exposed to are commodity price risk, interest rate risk, liquidity risk and credit risk. </w:t>
      </w:r>
      <w:r>
        <w:rPr>
          <w:rFonts w:ascii="Arial" w:cs="Arial" w:eastAsia="Arial" w:hAnsi="Arial"/>
          <w:sz w:val="18"/>
          <w:szCs w:val="18"/>
          <w:color w:val="000000"/>
        </w:rPr>
        <w:t>The following disclosures about market risk provide an</w:t>
      </w:r>
      <w:r>
        <w:rPr>
          <w:rFonts w:ascii="Arial" w:cs="Arial" w:eastAsia="Arial" w:hAnsi="Arial"/>
          <w:sz w:val="18"/>
          <w:szCs w:val="18"/>
          <w:color w:val="231F20"/>
        </w:rPr>
        <w:t xml:space="preserve"> </w:t>
      </w:r>
      <w:r>
        <w:rPr>
          <w:rFonts w:ascii="Arial" w:cs="Arial" w:eastAsia="Arial" w:hAnsi="Arial"/>
          <w:sz w:val="18"/>
          <w:szCs w:val="18"/>
          <w:color w:val="000000"/>
        </w:rPr>
        <w:t xml:space="preserve">update to, and should be read in conjunction with, Item 7A — </w:t>
      </w:r>
      <w:r>
        <w:rPr>
          <w:rFonts w:ascii="Arial" w:cs="Arial" w:eastAsia="Arial" w:hAnsi="Arial"/>
          <w:sz w:val="18"/>
          <w:szCs w:val="18"/>
          <w:i w:val="1"/>
          <w:iCs w:val="1"/>
          <w:color w:val="000000"/>
        </w:rPr>
        <w:t>Quantitative and Qualitative Disclosures About Market Risk,</w:t>
      </w:r>
      <w:r>
        <w:rPr>
          <w:rFonts w:ascii="Arial" w:cs="Arial" w:eastAsia="Arial" w:hAnsi="Arial"/>
          <w:sz w:val="18"/>
          <w:szCs w:val="18"/>
          <w:color w:val="000000"/>
        </w:rPr>
        <w:t xml:space="preserve"> of the Company’s 2022 Form 10-K.</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Commodity Price Risk</w:t>
      </w:r>
    </w:p>
    <w:p>
      <w:pPr>
        <w:spacing w:after="0" w:line="171"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231F20"/>
        </w:rPr>
        <w:t>Commodity price risks result from exposures to changes in spot prices, forward prices, volatilities and correlations between various commodities, such as electricity, natural gas and emissions credits. The Company manages the commodity price risk of certain of its merchant generation operations by entering into derivative or non-derivative instruments to hedge the variability in future cash flows from forecasted power sales. The portion of forecasted transactions hedged may vary based upon management's assessment of market, weather, operation and other factors.</w:t>
      </w:r>
    </w:p>
    <w:p>
      <w:pPr>
        <w:spacing w:after="0" w:line="103"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231F20"/>
        </w:rPr>
        <w:t>Based on a sensitivity analysis using simplified assumptions, the impact of a $0.05 per MWh increase or decrease in power prices across the term of the derivatives contracts would cause a change of approximately $6 million to the net value of power derivatives as of June 30, 2023.</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Interest Rate Risk</w:t>
      </w:r>
    </w:p>
    <w:p>
      <w:pPr>
        <w:spacing w:after="0" w:line="17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231F20"/>
        </w:rPr>
        <w:t xml:space="preserve">The Company is exposed to fluctuations in interest rates through its issuance of variable rate debt. Exposures to interest rate fluctuations may be mitigated by entering into derivative instruments known as interest rate swaps, caps, collars and put or call options. These contracts reduce exposure to interest rate volatility and result in primarily fixed rate debt obligations when taking into account the combination of the variable rate debt and the interest rate derivative instrument. See </w:t>
      </w:r>
      <w:r>
        <w:rPr>
          <w:rFonts w:ascii="Arial" w:cs="Arial" w:eastAsia="Arial" w:hAnsi="Arial"/>
          <w:sz w:val="17"/>
          <w:szCs w:val="17"/>
          <w:color w:val="000000"/>
        </w:rPr>
        <w:t>Note 6</w:t>
      </w:r>
      <w:r>
        <w:rPr>
          <w:rFonts w:ascii="Arial" w:cs="Arial" w:eastAsia="Arial" w:hAnsi="Arial"/>
          <w:sz w:val="17"/>
          <w:szCs w:val="17"/>
          <w:color w:val="231F20"/>
        </w:rPr>
        <w:t xml:space="preserve">, </w:t>
      </w:r>
      <w:r>
        <w:rPr>
          <w:rFonts w:ascii="Arial" w:cs="Arial" w:eastAsia="Arial" w:hAnsi="Arial"/>
          <w:sz w:val="17"/>
          <w:szCs w:val="17"/>
          <w:i w:val="1"/>
          <w:iCs w:val="1"/>
          <w:color w:val="000000"/>
        </w:rPr>
        <w:t>Derivative Instruments and Hedging Activities</w:t>
      </w:r>
      <w:r>
        <w:rPr>
          <w:rFonts w:ascii="Arial" w:cs="Arial" w:eastAsia="Arial" w:hAnsi="Arial"/>
          <w:sz w:val="17"/>
          <w:szCs w:val="17"/>
          <w:color w:val="231F20"/>
        </w:rPr>
        <w:t>, for more information.</w:t>
      </w:r>
    </w:p>
    <w:p>
      <w:pPr>
        <w:spacing w:after="0" w:line="11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231F20"/>
        </w:rPr>
        <w:t xml:space="preserve">Most of the Company’s project subsidiaries enter into interest rate swaps intended to hedge the risks associated with interest rates on non-recourse project-level debt. See Item 15 — </w:t>
      </w:r>
      <w:r>
        <w:rPr>
          <w:rFonts w:ascii="Arial" w:cs="Arial" w:eastAsia="Arial" w:hAnsi="Arial"/>
          <w:sz w:val="17"/>
          <w:szCs w:val="17"/>
          <w:color w:val="000000"/>
        </w:rPr>
        <w:t>Note 10</w:t>
      </w:r>
      <w:r>
        <w:rPr>
          <w:rFonts w:ascii="Arial" w:cs="Arial" w:eastAsia="Arial" w:hAnsi="Arial"/>
          <w:sz w:val="17"/>
          <w:szCs w:val="17"/>
          <w:color w:val="231F20"/>
        </w:rPr>
        <w:t xml:space="preserve">, </w:t>
      </w:r>
      <w:r>
        <w:rPr>
          <w:rFonts w:ascii="Arial" w:cs="Arial" w:eastAsia="Arial" w:hAnsi="Arial"/>
          <w:sz w:val="17"/>
          <w:szCs w:val="17"/>
          <w:i w:val="1"/>
          <w:iCs w:val="1"/>
          <w:color w:val="000000"/>
        </w:rPr>
        <w:t>Long-term Debt</w:t>
      </w:r>
      <w:r>
        <w:rPr>
          <w:rFonts w:ascii="Arial" w:cs="Arial" w:eastAsia="Arial" w:hAnsi="Arial"/>
          <w:sz w:val="17"/>
          <w:szCs w:val="17"/>
          <w:i w:val="1"/>
          <w:iCs w:val="1"/>
          <w:color w:val="231F20"/>
        </w:rPr>
        <w:t>,</w:t>
      </w:r>
      <w:r>
        <w:rPr>
          <w:rFonts w:ascii="Arial" w:cs="Arial" w:eastAsia="Arial" w:hAnsi="Arial"/>
          <w:sz w:val="17"/>
          <w:szCs w:val="17"/>
          <w:color w:val="231F20"/>
        </w:rPr>
        <w:t xml:space="preserve"> to the Company’s </w:t>
      </w:r>
      <w:r>
        <w:rPr>
          <w:rFonts w:ascii="Arial" w:cs="Arial" w:eastAsia="Arial" w:hAnsi="Arial"/>
          <w:sz w:val="17"/>
          <w:szCs w:val="17"/>
          <w:color w:val="000000"/>
        </w:rPr>
        <w:t>audited consolidated financial statements for the year ended December 31,</w:t>
      </w:r>
      <w:r>
        <w:rPr>
          <w:rFonts w:ascii="Arial" w:cs="Arial" w:eastAsia="Arial" w:hAnsi="Arial"/>
          <w:sz w:val="17"/>
          <w:szCs w:val="17"/>
          <w:color w:val="231F20"/>
        </w:rPr>
        <w:t xml:space="preserve"> </w:t>
      </w:r>
      <w:r>
        <w:rPr>
          <w:rFonts w:ascii="Arial" w:cs="Arial" w:eastAsia="Arial" w:hAnsi="Arial"/>
          <w:sz w:val="17"/>
          <w:szCs w:val="17"/>
          <w:color w:val="000000"/>
        </w:rPr>
        <w:t xml:space="preserve">2022 included in the 2022 Form 10-K </w:t>
      </w:r>
      <w:r>
        <w:rPr>
          <w:rFonts w:ascii="Arial" w:cs="Arial" w:eastAsia="Arial" w:hAnsi="Arial"/>
          <w:sz w:val="17"/>
          <w:szCs w:val="17"/>
          <w:color w:val="231F20"/>
        </w:rPr>
        <w:t>for more information about interest rate swaps of the Company’s project subsidiaries.</w:t>
      </w:r>
    </w:p>
    <w:p>
      <w:pPr>
        <w:spacing w:after="0" w:line="11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231F20"/>
        </w:rPr>
        <w:t xml:space="preserve">If all of the interest rate swaps had been discontinued on </w:t>
      </w:r>
      <w:r>
        <w:rPr>
          <w:rFonts w:ascii="Arial" w:cs="Arial" w:eastAsia="Arial" w:hAnsi="Arial"/>
          <w:sz w:val="18"/>
          <w:szCs w:val="18"/>
          <w:color w:val="000000"/>
        </w:rPr>
        <w:t>June 30, 2023</w:t>
      </w:r>
      <w:r>
        <w:rPr>
          <w:rFonts w:ascii="Arial" w:cs="Arial" w:eastAsia="Arial" w:hAnsi="Arial"/>
          <w:sz w:val="18"/>
          <w:szCs w:val="18"/>
          <w:color w:val="231F20"/>
        </w:rPr>
        <w:t xml:space="preserve">, the counterparties would have owed the Company </w:t>
      </w:r>
      <w:r>
        <w:rPr>
          <w:rFonts w:ascii="Arial" w:cs="Arial" w:eastAsia="Arial" w:hAnsi="Arial"/>
          <w:sz w:val="18"/>
          <w:szCs w:val="18"/>
          <w:color w:val="000000"/>
        </w:rPr>
        <w:t>$121 million.</w:t>
      </w:r>
      <w:r>
        <w:rPr>
          <w:rFonts w:ascii="Arial" w:cs="Arial" w:eastAsia="Arial" w:hAnsi="Arial"/>
          <w:sz w:val="18"/>
          <w:szCs w:val="18"/>
          <w:color w:val="231F20"/>
        </w:rPr>
        <w:t xml:space="preserve"> Based on the credit ratings of the counterparties, the Company believes its exposure to credit risk due to nonperformance by counterparties to its hedge contracts to be insignificant.</w:t>
      </w:r>
    </w:p>
    <w:p>
      <w:pPr>
        <w:spacing w:after="0" w:line="130"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231F20"/>
        </w:rPr>
        <w:t xml:space="preserve">The Company has long-term debt instruments that subject it to the risk of loss associated with movements in market interest rates. As of </w:t>
      </w:r>
      <w:r>
        <w:rPr>
          <w:rFonts w:ascii="Arial" w:cs="Arial" w:eastAsia="Arial" w:hAnsi="Arial"/>
          <w:sz w:val="18"/>
          <w:szCs w:val="18"/>
          <w:color w:val="000000"/>
        </w:rPr>
        <w:t>June 30,</w:t>
      </w:r>
      <w:r>
        <w:rPr>
          <w:rFonts w:ascii="Arial" w:cs="Arial" w:eastAsia="Arial" w:hAnsi="Arial"/>
          <w:sz w:val="18"/>
          <w:szCs w:val="18"/>
          <w:color w:val="231F20"/>
        </w:rPr>
        <w:t xml:space="preserve"> </w:t>
      </w:r>
      <w:r>
        <w:rPr>
          <w:rFonts w:ascii="Arial" w:cs="Arial" w:eastAsia="Arial" w:hAnsi="Arial"/>
          <w:sz w:val="18"/>
          <w:szCs w:val="18"/>
          <w:color w:val="000000"/>
        </w:rPr>
        <w:t>2023</w:t>
      </w:r>
      <w:r>
        <w:rPr>
          <w:rFonts w:ascii="Arial" w:cs="Arial" w:eastAsia="Arial" w:hAnsi="Arial"/>
          <w:sz w:val="18"/>
          <w:szCs w:val="18"/>
          <w:color w:val="231F20"/>
        </w:rPr>
        <w:t>, a change of 1%, or 100 basis points, in interest rates would result in an approximately $2 million change in market interest expense on a rolling</w:t>
      </w:r>
      <w:r>
        <w:rPr>
          <w:rFonts w:ascii="Arial" w:cs="Arial" w:eastAsia="Arial" w:hAnsi="Arial"/>
          <w:sz w:val="18"/>
          <w:szCs w:val="18"/>
          <w:color w:val="000000"/>
        </w:rPr>
        <w:t xml:space="preserve"> </w:t>
      </w:r>
      <w:r>
        <w:rPr>
          <w:rFonts w:ascii="Arial" w:cs="Arial" w:eastAsia="Arial" w:hAnsi="Arial"/>
          <w:sz w:val="18"/>
          <w:szCs w:val="18"/>
          <w:color w:val="231F20"/>
        </w:rPr>
        <w:t>twelve-month basis.</w:t>
      </w:r>
    </w:p>
    <w:p>
      <w:pPr>
        <w:spacing w:after="0" w:line="130"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231F20"/>
        </w:rPr>
        <w:t xml:space="preserve">As of </w:t>
      </w:r>
      <w:r>
        <w:rPr>
          <w:rFonts w:ascii="Arial" w:cs="Arial" w:eastAsia="Arial" w:hAnsi="Arial"/>
          <w:sz w:val="16"/>
          <w:szCs w:val="16"/>
          <w:color w:val="000000"/>
        </w:rPr>
        <w:t>June 30, 2023</w:t>
      </w:r>
      <w:r>
        <w:rPr>
          <w:rFonts w:ascii="Arial" w:cs="Arial" w:eastAsia="Arial" w:hAnsi="Arial"/>
          <w:sz w:val="16"/>
          <w:szCs w:val="16"/>
          <w:color w:val="231F20"/>
        </w:rPr>
        <w:t>, the fair value of the Company’s debt was $6.52 billion and the carrying value was $7.10 billion. The Company estimates that a decrease of 1%, or 100 basis points, in market interest rates would have increased the fair value of its long-term debt by approximately $338 million.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Liquidity Risk</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color w:val="231F20"/>
        </w:rPr>
        <w:t>Liquidity risk arises from the general funding needs of the Company’s activities and in the management of the Company’s assets and liabilities.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Counterparty Credit Risk</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231F20"/>
        </w:rPr>
        <w:t xml:space="preserve">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and (ii) the use of credit mitigation measures such as prepayment arrangements or volumetric limits. Risks surrounding counterparty performance and credit could ultimately impact the amount and timing of expected cash flows. The Company seeks to mitigate counterparty risk by having a diversified portfolio of counterparties. See </w:t>
      </w:r>
      <w:r>
        <w:rPr>
          <w:rFonts w:ascii="Arial" w:cs="Arial" w:eastAsia="Arial" w:hAnsi="Arial"/>
          <w:sz w:val="18"/>
          <w:szCs w:val="18"/>
          <w:color w:val="000000"/>
        </w:rPr>
        <w:t>Note 5</w:t>
      </w:r>
      <w:r>
        <w:rPr>
          <w:rFonts w:ascii="Arial" w:cs="Arial" w:eastAsia="Arial" w:hAnsi="Arial"/>
          <w:sz w:val="18"/>
          <w:szCs w:val="18"/>
          <w:color w:val="231F20"/>
        </w:rPr>
        <w:t xml:space="preserve">, </w:t>
      </w:r>
      <w:r>
        <w:rPr>
          <w:rFonts w:ascii="Arial" w:cs="Arial" w:eastAsia="Arial" w:hAnsi="Arial"/>
          <w:sz w:val="18"/>
          <w:szCs w:val="18"/>
          <w:i w:val="1"/>
          <w:iCs w:val="1"/>
          <w:color w:val="000000"/>
        </w:rPr>
        <w:t>Fair Value of Financial Instruments</w:t>
      </w:r>
      <w:r>
        <w:rPr>
          <w:rFonts w:ascii="Arial" w:cs="Arial" w:eastAsia="Arial" w:hAnsi="Arial"/>
          <w:sz w:val="18"/>
          <w:szCs w:val="18"/>
          <w:color w:val="231F20"/>
        </w:rPr>
        <w:t>, to the consolidated financial statements for more information about concentration of credit risk.</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ITEM 4 — Controls and Procedures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Conclusion Regarding the Effectiveness of Disclosure Controls and Procedures</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Under the supervision and with the participation of the Company’s management, including its principal executive officer, principal financial officer and principal accounting officer, the Company conducted an evaluation of the effectiveness of the design and operation of its disclosure controls and procedures, as such term is defined in Rules 13a-15(e) or 15d-15(e) of the Exchange Act. Based on this evaluation, the Company’s principal executive officer, principal financial officer and principal accounting officer concluded that the disclosure controls and procedures were effective as of the end of the period covered by this Quarterly Report on Form 10-Q.</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There were no changes in the Company’s internal control over financial reporting (as such term is defined in Rule 13a-15(f) under the Exchange Act) during the quarter ended June 30, 2023 that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 LEGAL PROCEEDINGS</w:t>
      </w:r>
    </w:p>
    <w:p>
      <w:pPr>
        <w:spacing w:after="0" w:line="175" w:lineRule="exact"/>
        <w:rPr>
          <w:sz w:val="20"/>
          <w:szCs w:val="20"/>
          <w:color w:val="auto"/>
        </w:rPr>
      </w:pPr>
    </w:p>
    <w:p>
      <w:pPr>
        <w:ind w:firstLine="446"/>
        <w:spacing w:after="0" w:line="277" w:lineRule="auto"/>
        <w:rPr>
          <w:sz w:val="20"/>
          <w:szCs w:val="20"/>
          <w:color w:val="auto"/>
        </w:rPr>
      </w:pPr>
      <w:r>
        <w:rPr>
          <w:rFonts w:ascii="Arial" w:cs="Arial" w:eastAsia="Arial" w:hAnsi="Arial"/>
          <w:sz w:val="18"/>
          <w:szCs w:val="18"/>
          <w:color w:val="auto"/>
        </w:rPr>
        <w:t xml:space="preserve">For a discussion of the material legal proceedings in which the Company was involved through June 30, 2023, see Note 10, </w:t>
      </w:r>
      <w:r>
        <w:rPr>
          <w:rFonts w:ascii="Arial" w:cs="Arial" w:eastAsia="Arial" w:hAnsi="Arial"/>
          <w:sz w:val="18"/>
          <w:szCs w:val="18"/>
          <w:i w:val="1"/>
          <w:iCs w:val="1"/>
          <w:color w:val="auto"/>
        </w:rPr>
        <w:t>Contingencies</w:t>
      </w:r>
      <w:r>
        <w:rPr>
          <w:rFonts w:ascii="Arial" w:cs="Arial" w:eastAsia="Arial" w:hAnsi="Arial"/>
          <w:sz w:val="18"/>
          <w:szCs w:val="18"/>
          <w:color w:val="auto"/>
        </w:rPr>
        <w:t>, to this Form 10-Q.</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 RISK FACTORS</w:t>
      </w:r>
    </w:p>
    <w:p>
      <w:pPr>
        <w:spacing w:after="0" w:line="1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 xml:space="preserve">Information regarding risk factors appears in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the Company’s 2022 Form 10-K. There have been no material changes in the Company’s risk factors since those reported in its 2022 Form 10-K.</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 UNREGISTERED SALES OF EQUITY SECURITIES AND USE OF PROCEEDS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 DEFAULTS UPON SENIOR SECURITIES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MINE SAFETY DISCLOSURES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 OTHER INFORMATION</w:t>
      </w:r>
    </w:p>
    <w:p>
      <w:pPr>
        <w:spacing w:after="0" w:line="162" w:lineRule="exact"/>
        <w:rPr>
          <w:sz w:val="20"/>
          <w:szCs w:val="20"/>
          <w:color w:val="auto"/>
        </w:rPr>
      </w:pPr>
    </w:p>
    <w:p>
      <w:pPr>
        <w:ind w:firstLine="405"/>
        <w:spacing w:after="0" w:line="261" w:lineRule="auto"/>
        <w:rPr>
          <w:sz w:val="20"/>
          <w:szCs w:val="20"/>
          <w:color w:val="auto"/>
        </w:rPr>
      </w:pPr>
      <w:r>
        <w:rPr>
          <w:rFonts w:ascii="Arial" w:cs="Arial" w:eastAsia="Arial" w:hAnsi="Arial"/>
          <w:sz w:val="18"/>
          <w:szCs w:val="18"/>
          <w:color w:val="auto"/>
        </w:rPr>
        <w:t>During the three months ended June 30, 2023, no director or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ITEM 6 — EXHIBITS</w:t>
      </w:r>
    </w:p>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1060" w:type="dxa"/>
            <w:vAlign w:val="bottom"/>
            <w:gridSpan w:val="2"/>
          </w:tcPr>
          <w:p>
            <w:pPr>
              <w:spacing w:after="0"/>
              <w:rPr>
                <w:sz w:val="20"/>
                <w:szCs w:val="20"/>
                <w:color w:val="auto"/>
              </w:rPr>
            </w:pPr>
            <w:r>
              <w:rPr>
                <w:rFonts w:ascii="Arial" w:cs="Arial" w:eastAsia="Arial" w:hAnsi="Arial"/>
                <w:sz w:val="16"/>
                <w:szCs w:val="16"/>
                <w:b w:val="1"/>
                <w:bCs w:val="1"/>
                <w:color w:val="auto"/>
              </w:rPr>
              <w:t>Number</w:t>
            </w:r>
          </w:p>
        </w:tc>
        <w:tc>
          <w:tcPr>
            <w:tcW w:w="5760" w:type="dxa"/>
            <w:vAlign w:val="bottom"/>
            <w:gridSpan w:val="6"/>
          </w:tcPr>
          <w:p>
            <w:pPr>
              <w:spacing w:after="0"/>
              <w:rPr>
                <w:sz w:val="20"/>
                <w:szCs w:val="20"/>
                <w:color w:val="auto"/>
              </w:rPr>
            </w:pPr>
            <w:r>
              <w:rPr>
                <w:rFonts w:ascii="Arial" w:cs="Arial" w:eastAsia="Arial" w:hAnsi="Arial"/>
                <w:sz w:val="16"/>
                <w:szCs w:val="16"/>
                <w:b w:val="1"/>
                <w:bCs w:val="1"/>
                <w:color w:val="auto"/>
              </w:rPr>
              <w:t>Description</w:t>
            </w:r>
          </w:p>
        </w:tc>
        <w:tc>
          <w:tcPr>
            <w:tcW w:w="4260" w:type="dxa"/>
            <w:vAlign w:val="bottom"/>
          </w:tcPr>
          <w:p>
            <w:pPr>
              <w:ind w:left="100"/>
              <w:spacing w:after="0"/>
              <w:rPr>
                <w:sz w:val="20"/>
                <w:szCs w:val="20"/>
                <w:color w:val="auto"/>
              </w:rPr>
            </w:pPr>
            <w:r>
              <w:rPr>
                <w:rFonts w:ascii="Arial" w:cs="Arial" w:eastAsia="Arial" w:hAnsi="Arial"/>
                <w:sz w:val="16"/>
                <w:szCs w:val="16"/>
                <w:b w:val="1"/>
                <w:bCs w:val="1"/>
                <w:color w:val="auto"/>
              </w:rPr>
              <w:t>Method of Filing</w:t>
            </w:r>
          </w:p>
        </w:tc>
      </w:tr>
      <w:tr>
        <w:trPr>
          <w:trHeight w:val="181"/>
        </w:trPr>
        <w:tc>
          <w:tcPr>
            <w:tcW w:w="1060" w:type="dxa"/>
            <w:vAlign w:val="bottom"/>
            <w:gridSpan w:val="2"/>
          </w:tcPr>
          <w:p>
            <w:pPr>
              <w:spacing w:after="0" w:line="181" w:lineRule="exact"/>
              <w:rPr>
                <w:sz w:val="20"/>
                <w:szCs w:val="20"/>
                <w:color w:val="auto"/>
              </w:rPr>
            </w:pPr>
            <w:r>
              <w:rPr>
                <w:rFonts w:ascii="Arial" w:cs="Arial" w:eastAsia="Arial" w:hAnsi="Arial"/>
                <w:sz w:val="16"/>
                <w:szCs w:val="16"/>
                <w:color w:val="auto"/>
              </w:rPr>
              <w:t>10.1†*</w:t>
            </w:r>
          </w:p>
        </w:tc>
        <w:tc>
          <w:tcPr>
            <w:tcW w:w="5760" w:type="dxa"/>
            <w:vAlign w:val="bottom"/>
            <w:gridSpan w:val="6"/>
          </w:tcPr>
          <w:p>
            <w:pPr>
              <w:spacing w:after="0" w:line="181" w:lineRule="exact"/>
              <w:rPr>
                <w:rFonts w:ascii="Arial" w:cs="Arial" w:eastAsia="Arial" w:hAnsi="Arial"/>
                <w:sz w:val="16"/>
                <w:szCs w:val="16"/>
                <w:color w:val="0000FF"/>
                <w:w w:val="93"/>
              </w:rPr>
            </w:pPr>
            <w:hyperlink r:id="rId104">
              <w:r>
                <w:rPr>
                  <w:rFonts w:ascii="Arial" w:cs="Arial" w:eastAsia="Arial" w:hAnsi="Arial"/>
                  <w:sz w:val="16"/>
                  <w:szCs w:val="16"/>
                  <w:color w:val="0000FF"/>
                  <w:w w:val="93"/>
                </w:rPr>
                <w:t>Membership Interest Purchase Agreement, dated as of May 19, 2023, by and between</w:t>
              </w:r>
            </w:hyperlink>
          </w:p>
        </w:tc>
        <w:tc>
          <w:tcPr>
            <w:tcW w:w="4260" w:type="dxa"/>
            <w:vAlign w:val="bottom"/>
          </w:tcPr>
          <w:p>
            <w:pPr>
              <w:ind w:left="100"/>
              <w:spacing w:after="0" w:line="181" w:lineRule="exact"/>
              <w:rPr>
                <w:sz w:val="20"/>
                <w:szCs w:val="20"/>
                <w:color w:val="auto"/>
              </w:rPr>
            </w:pPr>
            <w:r>
              <w:rPr>
                <w:rFonts w:ascii="Arial" w:cs="Arial" w:eastAsia="Arial" w:hAnsi="Arial"/>
                <w:sz w:val="16"/>
                <w:szCs w:val="16"/>
                <w:color w:val="auto"/>
              </w:rPr>
              <w:t>Incorporated herein by reference to Exhibit 10.1 to the</w:t>
            </w:r>
          </w:p>
        </w:tc>
      </w:tr>
      <w:tr>
        <w:trPr>
          <w:trHeight w:val="169"/>
        </w:trPr>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540" w:type="dxa"/>
            <w:vAlign w:val="bottom"/>
            <w:tcBorders>
              <w:top w:val="single" w:sz="8" w:color="0000FF"/>
            </w:tcBorders>
            <w:gridSpan w:val="5"/>
          </w:tcPr>
          <w:p>
            <w:pPr>
              <w:spacing w:after="0" w:line="169" w:lineRule="exact"/>
              <w:rPr>
                <w:rFonts w:ascii="Arial" w:cs="Arial" w:eastAsia="Arial" w:hAnsi="Arial"/>
                <w:sz w:val="16"/>
                <w:szCs w:val="16"/>
                <w:color w:val="0000FF"/>
              </w:rPr>
            </w:pPr>
            <w:hyperlink r:id="rId104">
              <w:r>
                <w:rPr>
                  <w:rFonts w:ascii="Arial" w:cs="Arial" w:eastAsia="Arial" w:hAnsi="Arial"/>
                  <w:sz w:val="16"/>
                  <w:szCs w:val="16"/>
                  <w:color w:val="0000FF"/>
                </w:rPr>
                <w:t>Renew Development HoldCo LLC and Cedar Creek Wind Holdco LLC.</w:t>
              </w:r>
            </w:hyperlink>
          </w:p>
        </w:tc>
        <w:tc>
          <w:tcPr>
            <w:tcW w:w="220" w:type="dxa"/>
            <w:vAlign w:val="bottom"/>
          </w:tcPr>
          <w:p>
            <w:pPr>
              <w:spacing w:after="0"/>
              <w:rPr>
                <w:sz w:val="14"/>
                <w:szCs w:val="14"/>
                <w:color w:val="auto"/>
              </w:rPr>
            </w:pPr>
          </w:p>
        </w:tc>
        <w:tc>
          <w:tcPr>
            <w:tcW w:w="4260" w:type="dxa"/>
            <w:vAlign w:val="bottom"/>
          </w:tcPr>
          <w:p>
            <w:pPr>
              <w:ind w:left="100"/>
              <w:spacing w:after="0" w:line="169" w:lineRule="exact"/>
              <w:rPr>
                <w:sz w:val="20"/>
                <w:szCs w:val="20"/>
                <w:color w:val="auto"/>
              </w:rPr>
            </w:pPr>
            <w:r>
              <w:rPr>
                <w:rFonts w:ascii="Arial" w:cs="Arial" w:eastAsia="Arial" w:hAnsi="Arial"/>
                <w:sz w:val="16"/>
                <w:szCs w:val="16"/>
                <w:color w:val="auto"/>
                <w:w w:val="92"/>
              </w:rPr>
              <w:t>Company’s Current Report on Form 8-K filed on May 24, 2023.</w:t>
            </w:r>
          </w:p>
        </w:tc>
      </w:tr>
      <w:tr>
        <w:trPr>
          <w:trHeight w:val="236"/>
        </w:trPr>
        <w:tc>
          <w:tcPr>
            <w:tcW w:w="280" w:type="dxa"/>
            <w:vAlign w:val="bottom"/>
          </w:tcPr>
          <w:p>
            <w:pPr>
              <w:spacing w:after="0"/>
              <w:rPr>
                <w:sz w:val="20"/>
                <w:szCs w:val="20"/>
                <w:color w:val="auto"/>
              </w:rPr>
            </w:pPr>
            <w:r>
              <w:rPr>
                <w:rFonts w:ascii="Arial" w:cs="Arial" w:eastAsia="Arial" w:hAnsi="Arial"/>
                <w:sz w:val="16"/>
                <w:szCs w:val="16"/>
                <w:color w:val="auto"/>
                <w:w w:val="83"/>
              </w:rPr>
              <w:t>31.1</w:t>
            </w:r>
          </w:p>
        </w:tc>
        <w:tc>
          <w:tcPr>
            <w:tcW w:w="780" w:type="dxa"/>
            <w:vAlign w:val="bottom"/>
          </w:tcPr>
          <w:p>
            <w:pPr>
              <w:spacing w:after="0"/>
              <w:rPr>
                <w:sz w:val="20"/>
                <w:szCs w:val="20"/>
                <w:color w:val="auto"/>
              </w:rPr>
            </w:pPr>
          </w:p>
        </w:tc>
        <w:tc>
          <w:tcPr>
            <w:tcW w:w="408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6"/>
                <w:szCs w:val="16"/>
                <w:color w:val="0000FF"/>
                <w:w w:val="92"/>
              </w:rPr>
              <w:t>Rule 13a-14(a)/15d-14(a) certification of Christopher S. Sotos.</w:t>
            </w:r>
          </w:p>
        </w:tc>
        <w:tc>
          <w:tcPr>
            <w:tcW w:w="600" w:type="dxa"/>
            <w:vAlign w:val="bottom"/>
            <w:tcBorders>
              <w:top w:val="single" w:sz="8" w:color="0000FF"/>
            </w:tcBorders>
          </w:tcPr>
          <w:p>
            <w:pPr>
              <w:spacing w:after="0"/>
              <w:rPr>
                <w:sz w:val="20"/>
                <w:szCs w:val="20"/>
                <w:color w:val="auto"/>
              </w:rPr>
            </w:pPr>
          </w:p>
        </w:tc>
        <w:tc>
          <w:tcPr>
            <w:tcW w:w="1080" w:type="dxa"/>
            <w:vAlign w:val="bottom"/>
            <w:gridSpan w:val="2"/>
          </w:tcPr>
          <w:p>
            <w:pPr>
              <w:spacing w:after="0"/>
              <w:rPr>
                <w:sz w:val="20"/>
                <w:szCs w:val="20"/>
                <w:color w:val="auto"/>
              </w:rPr>
            </w:pPr>
          </w:p>
        </w:tc>
        <w:tc>
          <w:tcPr>
            <w:tcW w:w="4260" w:type="dxa"/>
            <w:vAlign w:val="bottom"/>
          </w:tcPr>
          <w:p>
            <w:pPr>
              <w:ind w:left="100"/>
              <w:spacing w:after="0"/>
              <w:rPr>
                <w:sz w:val="20"/>
                <w:szCs w:val="20"/>
                <w:color w:val="auto"/>
              </w:rPr>
            </w:pPr>
            <w:r>
              <w:rPr>
                <w:rFonts w:ascii="Arial" w:cs="Arial" w:eastAsia="Arial" w:hAnsi="Arial"/>
                <w:sz w:val="18"/>
                <w:szCs w:val="18"/>
                <w:color w:val="auto"/>
              </w:rPr>
              <w:t>Filed herewith.</w:t>
            </w:r>
          </w:p>
        </w:tc>
      </w:tr>
      <w:tr>
        <w:trPr>
          <w:trHeight w:val="209"/>
        </w:trPr>
        <w:tc>
          <w:tcPr>
            <w:tcW w:w="280" w:type="dxa"/>
            <w:vAlign w:val="bottom"/>
          </w:tcPr>
          <w:p>
            <w:pPr>
              <w:spacing w:after="0"/>
              <w:rPr>
                <w:sz w:val="20"/>
                <w:szCs w:val="20"/>
                <w:color w:val="auto"/>
              </w:rPr>
            </w:pPr>
            <w:r>
              <w:rPr>
                <w:rFonts w:ascii="Arial" w:cs="Arial" w:eastAsia="Arial" w:hAnsi="Arial"/>
                <w:sz w:val="16"/>
                <w:szCs w:val="16"/>
                <w:color w:val="auto"/>
                <w:w w:val="83"/>
              </w:rPr>
              <w:t>31.2</w:t>
            </w:r>
          </w:p>
        </w:tc>
        <w:tc>
          <w:tcPr>
            <w:tcW w:w="780" w:type="dxa"/>
            <w:vAlign w:val="bottom"/>
          </w:tcPr>
          <w:p>
            <w:pPr>
              <w:spacing w:after="0"/>
              <w:rPr>
                <w:sz w:val="18"/>
                <w:szCs w:val="18"/>
                <w:color w:val="auto"/>
              </w:rPr>
            </w:pPr>
          </w:p>
        </w:tc>
        <w:tc>
          <w:tcPr>
            <w:tcW w:w="3880" w:type="dxa"/>
            <w:vAlign w:val="bottom"/>
            <w:tcBorders>
              <w:bottom w:val="single" w:sz="8" w:color="0000FF"/>
            </w:tcBorders>
            <w:gridSpan w:val="2"/>
          </w:tcPr>
          <w:p>
            <w:pPr>
              <w:spacing w:after="0"/>
              <w:rPr>
                <w:sz w:val="20"/>
                <w:szCs w:val="20"/>
                <w:color w:val="auto"/>
              </w:rPr>
            </w:pPr>
            <w:r>
              <w:rPr>
                <w:rFonts w:ascii="Arial" w:cs="Arial" w:eastAsia="Arial" w:hAnsi="Arial"/>
                <w:sz w:val="16"/>
                <w:szCs w:val="16"/>
                <w:color w:val="0000FF"/>
                <w:w w:val="91"/>
              </w:rPr>
              <w:t>Rule 13a-14(a)/15d-14(a) certification of Sarah Rubenstein.</w:t>
            </w:r>
          </w:p>
        </w:tc>
        <w:tc>
          <w:tcPr>
            <w:tcW w:w="1880" w:type="dxa"/>
            <w:vAlign w:val="bottom"/>
            <w:gridSpan w:val="4"/>
          </w:tcPr>
          <w:p>
            <w:pPr>
              <w:spacing w:after="0"/>
              <w:rPr>
                <w:sz w:val="18"/>
                <w:szCs w:val="18"/>
                <w:color w:val="auto"/>
              </w:rPr>
            </w:pPr>
          </w:p>
        </w:tc>
        <w:tc>
          <w:tcPr>
            <w:tcW w:w="4260" w:type="dxa"/>
            <w:vAlign w:val="bottom"/>
          </w:tcPr>
          <w:p>
            <w:pPr>
              <w:ind w:left="100"/>
              <w:spacing w:after="0"/>
              <w:rPr>
                <w:sz w:val="20"/>
                <w:szCs w:val="20"/>
                <w:color w:val="auto"/>
              </w:rPr>
            </w:pPr>
            <w:r>
              <w:rPr>
                <w:rFonts w:ascii="Arial" w:cs="Arial" w:eastAsia="Arial" w:hAnsi="Arial"/>
                <w:sz w:val="18"/>
                <w:szCs w:val="18"/>
                <w:color w:val="auto"/>
              </w:rPr>
              <w:t>Filed herewith.</w:t>
            </w:r>
          </w:p>
        </w:tc>
      </w:tr>
      <w:tr>
        <w:trPr>
          <w:trHeight w:val="223"/>
        </w:trPr>
        <w:tc>
          <w:tcPr>
            <w:tcW w:w="280" w:type="dxa"/>
            <w:vAlign w:val="bottom"/>
          </w:tcPr>
          <w:p>
            <w:pPr>
              <w:spacing w:after="0"/>
              <w:rPr>
                <w:sz w:val="20"/>
                <w:szCs w:val="20"/>
                <w:color w:val="auto"/>
              </w:rPr>
            </w:pPr>
            <w:r>
              <w:rPr>
                <w:rFonts w:ascii="Arial" w:cs="Arial" w:eastAsia="Arial" w:hAnsi="Arial"/>
                <w:sz w:val="16"/>
                <w:szCs w:val="16"/>
                <w:color w:val="auto"/>
              </w:rPr>
              <w:t>32</w:t>
            </w:r>
          </w:p>
        </w:tc>
        <w:tc>
          <w:tcPr>
            <w:tcW w:w="780" w:type="dxa"/>
            <w:vAlign w:val="bottom"/>
          </w:tcPr>
          <w:p>
            <w:pPr>
              <w:spacing w:after="0"/>
              <w:rPr>
                <w:sz w:val="19"/>
                <w:szCs w:val="19"/>
                <w:color w:val="auto"/>
              </w:rPr>
            </w:pPr>
          </w:p>
        </w:tc>
        <w:tc>
          <w:tcPr>
            <w:tcW w:w="5760" w:type="dxa"/>
            <w:vAlign w:val="bottom"/>
            <w:gridSpan w:val="6"/>
          </w:tcPr>
          <w:p>
            <w:pPr>
              <w:spacing w:after="0"/>
              <w:rPr>
                <w:sz w:val="20"/>
                <w:szCs w:val="20"/>
                <w:color w:val="auto"/>
              </w:rPr>
            </w:pPr>
            <w:r>
              <w:rPr>
                <w:rFonts w:ascii="Arial" w:cs="Arial" w:eastAsia="Arial" w:hAnsi="Arial"/>
                <w:sz w:val="16"/>
                <w:szCs w:val="16"/>
                <w:color w:val="0000FF"/>
              </w:rPr>
              <w:t>Section 1350 Certification.</w:t>
            </w:r>
          </w:p>
        </w:tc>
        <w:tc>
          <w:tcPr>
            <w:tcW w:w="4260" w:type="dxa"/>
            <w:vAlign w:val="bottom"/>
          </w:tcPr>
          <w:p>
            <w:pPr>
              <w:ind w:left="100"/>
              <w:spacing w:after="0"/>
              <w:rPr>
                <w:sz w:val="20"/>
                <w:szCs w:val="20"/>
                <w:color w:val="auto"/>
              </w:rPr>
            </w:pPr>
            <w:r>
              <w:rPr>
                <w:rFonts w:ascii="Arial" w:cs="Arial" w:eastAsia="Arial" w:hAnsi="Arial"/>
                <w:sz w:val="18"/>
                <w:szCs w:val="18"/>
                <w:color w:val="auto"/>
              </w:rPr>
              <w:t>Furnished herewith.</w:t>
            </w:r>
          </w:p>
        </w:tc>
      </w:tr>
      <w:tr>
        <w:trPr>
          <w:trHeight w:val="20"/>
        </w:trPr>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4020" w:type="dxa"/>
            <w:vAlign w:val="bottom"/>
            <w:gridSpan w:val="5"/>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231"/>
        </w:trPr>
        <w:tc>
          <w:tcPr>
            <w:tcW w:w="280" w:type="dxa"/>
            <w:vAlign w:val="bottom"/>
          </w:tcPr>
          <w:p>
            <w:pPr>
              <w:spacing w:after="0"/>
              <w:rPr>
                <w:sz w:val="20"/>
                <w:szCs w:val="20"/>
                <w:color w:val="auto"/>
              </w:rPr>
            </w:pPr>
            <w:r>
              <w:rPr>
                <w:rFonts w:ascii="Arial" w:cs="Arial" w:eastAsia="Arial" w:hAnsi="Arial"/>
                <w:sz w:val="16"/>
                <w:szCs w:val="16"/>
                <w:color w:val="auto"/>
                <w:w w:val="97"/>
              </w:rPr>
              <w:t>101</w:t>
            </w:r>
          </w:p>
        </w:tc>
        <w:tc>
          <w:tcPr>
            <w:tcW w:w="780" w:type="dxa"/>
            <w:vAlign w:val="bottom"/>
          </w:tcPr>
          <w:p>
            <w:pPr>
              <w:spacing w:after="0"/>
              <w:rPr>
                <w:sz w:val="20"/>
                <w:szCs w:val="20"/>
                <w:color w:val="auto"/>
              </w:rPr>
            </w:pPr>
            <w:r>
              <w:rPr>
                <w:rFonts w:ascii="Arial" w:cs="Arial" w:eastAsia="Arial" w:hAnsi="Arial"/>
                <w:sz w:val="16"/>
                <w:szCs w:val="16"/>
                <w:color w:val="auto"/>
              </w:rPr>
              <w:t>INS</w:t>
            </w:r>
          </w:p>
        </w:tc>
        <w:tc>
          <w:tcPr>
            <w:tcW w:w="5760" w:type="dxa"/>
            <w:vAlign w:val="bottom"/>
            <w:gridSpan w:val="6"/>
          </w:tcPr>
          <w:p>
            <w:pPr>
              <w:spacing w:after="0"/>
              <w:rPr>
                <w:sz w:val="20"/>
                <w:szCs w:val="20"/>
                <w:color w:val="auto"/>
              </w:rPr>
            </w:pPr>
            <w:r>
              <w:rPr>
                <w:rFonts w:ascii="Arial" w:cs="Arial" w:eastAsia="Arial" w:hAnsi="Arial"/>
                <w:sz w:val="16"/>
                <w:szCs w:val="16"/>
                <w:color w:val="auto"/>
              </w:rPr>
              <w:t>Inline XBRL Instance Document.</w:t>
            </w:r>
          </w:p>
        </w:tc>
        <w:tc>
          <w:tcPr>
            <w:tcW w:w="4260" w:type="dxa"/>
            <w:vAlign w:val="bottom"/>
          </w:tcPr>
          <w:p>
            <w:pPr>
              <w:ind w:left="100"/>
              <w:spacing w:after="0"/>
              <w:rPr>
                <w:sz w:val="20"/>
                <w:szCs w:val="20"/>
                <w:color w:val="auto"/>
              </w:rPr>
            </w:pPr>
            <w:r>
              <w:rPr>
                <w:rFonts w:ascii="Arial" w:cs="Arial" w:eastAsia="Arial" w:hAnsi="Arial"/>
                <w:sz w:val="16"/>
                <w:szCs w:val="16"/>
                <w:color w:val="auto"/>
              </w:rPr>
              <w:t>Filed herewith.</w:t>
            </w:r>
          </w:p>
        </w:tc>
      </w:tr>
      <w:tr>
        <w:trPr>
          <w:trHeight w:val="216"/>
        </w:trPr>
        <w:tc>
          <w:tcPr>
            <w:tcW w:w="280" w:type="dxa"/>
            <w:vAlign w:val="bottom"/>
          </w:tcPr>
          <w:p>
            <w:pPr>
              <w:spacing w:after="0"/>
              <w:rPr>
                <w:sz w:val="20"/>
                <w:szCs w:val="20"/>
                <w:color w:val="auto"/>
              </w:rPr>
            </w:pPr>
            <w:r>
              <w:rPr>
                <w:rFonts w:ascii="Arial" w:cs="Arial" w:eastAsia="Arial" w:hAnsi="Arial"/>
                <w:sz w:val="16"/>
                <w:szCs w:val="16"/>
                <w:color w:val="auto"/>
                <w:w w:val="97"/>
              </w:rPr>
              <w:t>101</w:t>
            </w:r>
          </w:p>
        </w:tc>
        <w:tc>
          <w:tcPr>
            <w:tcW w:w="780" w:type="dxa"/>
            <w:vAlign w:val="bottom"/>
          </w:tcPr>
          <w:p>
            <w:pPr>
              <w:spacing w:after="0"/>
              <w:rPr>
                <w:sz w:val="20"/>
                <w:szCs w:val="20"/>
                <w:color w:val="auto"/>
              </w:rPr>
            </w:pPr>
            <w:r>
              <w:rPr>
                <w:rFonts w:ascii="Arial" w:cs="Arial" w:eastAsia="Arial" w:hAnsi="Arial"/>
                <w:sz w:val="16"/>
                <w:szCs w:val="16"/>
                <w:color w:val="auto"/>
              </w:rPr>
              <w:t>SCH</w:t>
            </w:r>
          </w:p>
        </w:tc>
        <w:tc>
          <w:tcPr>
            <w:tcW w:w="5760" w:type="dxa"/>
            <w:vAlign w:val="bottom"/>
            <w:gridSpan w:val="6"/>
          </w:tcPr>
          <w:p>
            <w:pPr>
              <w:spacing w:after="0"/>
              <w:rPr>
                <w:sz w:val="20"/>
                <w:szCs w:val="20"/>
                <w:color w:val="auto"/>
              </w:rPr>
            </w:pPr>
            <w:r>
              <w:rPr>
                <w:rFonts w:ascii="Arial" w:cs="Arial" w:eastAsia="Arial" w:hAnsi="Arial"/>
                <w:sz w:val="16"/>
                <w:szCs w:val="16"/>
                <w:color w:val="auto"/>
              </w:rPr>
              <w:t>Inline XBRL Taxonomy Extension Schema.</w:t>
            </w:r>
          </w:p>
        </w:tc>
        <w:tc>
          <w:tcPr>
            <w:tcW w:w="4260" w:type="dxa"/>
            <w:vAlign w:val="bottom"/>
          </w:tcPr>
          <w:p>
            <w:pPr>
              <w:ind w:left="100"/>
              <w:spacing w:after="0"/>
              <w:rPr>
                <w:sz w:val="20"/>
                <w:szCs w:val="20"/>
                <w:color w:val="auto"/>
              </w:rPr>
            </w:pPr>
            <w:r>
              <w:rPr>
                <w:rFonts w:ascii="Arial" w:cs="Arial" w:eastAsia="Arial" w:hAnsi="Arial"/>
                <w:sz w:val="16"/>
                <w:szCs w:val="16"/>
                <w:color w:val="auto"/>
              </w:rPr>
              <w:t>Filed herewith.</w:t>
            </w:r>
          </w:p>
        </w:tc>
      </w:tr>
      <w:tr>
        <w:trPr>
          <w:trHeight w:val="216"/>
        </w:trPr>
        <w:tc>
          <w:tcPr>
            <w:tcW w:w="280" w:type="dxa"/>
            <w:vAlign w:val="bottom"/>
          </w:tcPr>
          <w:p>
            <w:pPr>
              <w:spacing w:after="0"/>
              <w:rPr>
                <w:sz w:val="20"/>
                <w:szCs w:val="20"/>
                <w:color w:val="auto"/>
              </w:rPr>
            </w:pPr>
            <w:r>
              <w:rPr>
                <w:rFonts w:ascii="Arial" w:cs="Arial" w:eastAsia="Arial" w:hAnsi="Arial"/>
                <w:sz w:val="16"/>
                <w:szCs w:val="16"/>
                <w:color w:val="auto"/>
                <w:w w:val="97"/>
              </w:rPr>
              <w:t>101</w:t>
            </w:r>
          </w:p>
        </w:tc>
        <w:tc>
          <w:tcPr>
            <w:tcW w:w="780" w:type="dxa"/>
            <w:vAlign w:val="bottom"/>
          </w:tcPr>
          <w:p>
            <w:pPr>
              <w:spacing w:after="0"/>
              <w:rPr>
                <w:sz w:val="20"/>
                <w:szCs w:val="20"/>
                <w:color w:val="auto"/>
              </w:rPr>
            </w:pPr>
            <w:r>
              <w:rPr>
                <w:rFonts w:ascii="Arial" w:cs="Arial" w:eastAsia="Arial" w:hAnsi="Arial"/>
                <w:sz w:val="16"/>
                <w:szCs w:val="16"/>
                <w:color w:val="auto"/>
              </w:rPr>
              <w:t>CAL</w:t>
            </w:r>
          </w:p>
        </w:tc>
        <w:tc>
          <w:tcPr>
            <w:tcW w:w="5760" w:type="dxa"/>
            <w:vAlign w:val="bottom"/>
            <w:gridSpan w:val="6"/>
          </w:tcPr>
          <w:p>
            <w:pPr>
              <w:spacing w:after="0"/>
              <w:rPr>
                <w:sz w:val="20"/>
                <w:szCs w:val="20"/>
                <w:color w:val="auto"/>
              </w:rPr>
            </w:pPr>
            <w:r>
              <w:rPr>
                <w:rFonts w:ascii="Arial" w:cs="Arial" w:eastAsia="Arial" w:hAnsi="Arial"/>
                <w:sz w:val="16"/>
                <w:szCs w:val="16"/>
                <w:color w:val="auto"/>
              </w:rPr>
              <w:t>Inline XBRL Taxonomy Extension Calculation Linkbase.</w:t>
            </w:r>
          </w:p>
        </w:tc>
        <w:tc>
          <w:tcPr>
            <w:tcW w:w="4260" w:type="dxa"/>
            <w:vAlign w:val="bottom"/>
          </w:tcPr>
          <w:p>
            <w:pPr>
              <w:ind w:left="100"/>
              <w:spacing w:after="0"/>
              <w:rPr>
                <w:sz w:val="20"/>
                <w:szCs w:val="20"/>
                <w:color w:val="auto"/>
              </w:rPr>
            </w:pPr>
            <w:r>
              <w:rPr>
                <w:rFonts w:ascii="Arial" w:cs="Arial" w:eastAsia="Arial" w:hAnsi="Arial"/>
                <w:sz w:val="16"/>
                <w:szCs w:val="16"/>
                <w:color w:val="auto"/>
              </w:rPr>
              <w:t>Filed herewith.</w:t>
            </w:r>
          </w:p>
        </w:tc>
      </w:tr>
      <w:tr>
        <w:trPr>
          <w:trHeight w:val="216"/>
        </w:trPr>
        <w:tc>
          <w:tcPr>
            <w:tcW w:w="280" w:type="dxa"/>
            <w:vAlign w:val="bottom"/>
          </w:tcPr>
          <w:p>
            <w:pPr>
              <w:spacing w:after="0"/>
              <w:rPr>
                <w:sz w:val="20"/>
                <w:szCs w:val="20"/>
                <w:color w:val="auto"/>
              </w:rPr>
            </w:pPr>
            <w:r>
              <w:rPr>
                <w:rFonts w:ascii="Arial" w:cs="Arial" w:eastAsia="Arial" w:hAnsi="Arial"/>
                <w:sz w:val="16"/>
                <w:szCs w:val="16"/>
                <w:color w:val="auto"/>
                <w:w w:val="97"/>
              </w:rPr>
              <w:t>101</w:t>
            </w:r>
          </w:p>
        </w:tc>
        <w:tc>
          <w:tcPr>
            <w:tcW w:w="780" w:type="dxa"/>
            <w:vAlign w:val="bottom"/>
          </w:tcPr>
          <w:p>
            <w:pPr>
              <w:spacing w:after="0"/>
              <w:rPr>
                <w:sz w:val="20"/>
                <w:szCs w:val="20"/>
                <w:color w:val="auto"/>
              </w:rPr>
            </w:pPr>
            <w:r>
              <w:rPr>
                <w:rFonts w:ascii="Arial" w:cs="Arial" w:eastAsia="Arial" w:hAnsi="Arial"/>
                <w:sz w:val="16"/>
                <w:szCs w:val="16"/>
                <w:color w:val="auto"/>
              </w:rPr>
              <w:t>DEF</w:t>
            </w:r>
          </w:p>
        </w:tc>
        <w:tc>
          <w:tcPr>
            <w:tcW w:w="5760" w:type="dxa"/>
            <w:vAlign w:val="bottom"/>
            <w:gridSpan w:val="6"/>
          </w:tcPr>
          <w:p>
            <w:pPr>
              <w:spacing w:after="0"/>
              <w:rPr>
                <w:sz w:val="20"/>
                <w:szCs w:val="20"/>
                <w:color w:val="auto"/>
              </w:rPr>
            </w:pPr>
            <w:r>
              <w:rPr>
                <w:rFonts w:ascii="Arial" w:cs="Arial" w:eastAsia="Arial" w:hAnsi="Arial"/>
                <w:sz w:val="16"/>
                <w:szCs w:val="16"/>
                <w:color w:val="auto"/>
              </w:rPr>
              <w:t>Inline XBRL Taxonomy Extension Definition Linkbase.</w:t>
            </w:r>
          </w:p>
        </w:tc>
        <w:tc>
          <w:tcPr>
            <w:tcW w:w="4260" w:type="dxa"/>
            <w:vAlign w:val="bottom"/>
          </w:tcPr>
          <w:p>
            <w:pPr>
              <w:ind w:left="100"/>
              <w:spacing w:after="0"/>
              <w:rPr>
                <w:sz w:val="20"/>
                <w:szCs w:val="20"/>
                <w:color w:val="auto"/>
              </w:rPr>
            </w:pPr>
            <w:r>
              <w:rPr>
                <w:rFonts w:ascii="Arial" w:cs="Arial" w:eastAsia="Arial" w:hAnsi="Arial"/>
                <w:sz w:val="16"/>
                <w:szCs w:val="16"/>
                <w:color w:val="auto"/>
              </w:rPr>
              <w:t>Filed herewith.</w:t>
            </w:r>
          </w:p>
        </w:tc>
      </w:tr>
      <w:tr>
        <w:trPr>
          <w:trHeight w:val="216"/>
        </w:trPr>
        <w:tc>
          <w:tcPr>
            <w:tcW w:w="280" w:type="dxa"/>
            <w:vAlign w:val="bottom"/>
          </w:tcPr>
          <w:p>
            <w:pPr>
              <w:spacing w:after="0"/>
              <w:rPr>
                <w:sz w:val="20"/>
                <w:szCs w:val="20"/>
                <w:color w:val="auto"/>
              </w:rPr>
            </w:pPr>
            <w:r>
              <w:rPr>
                <w:rFonts w:ascii="Arial" w:cs="Arial" w:eastAsia="Arial" w:hAnsi="Arial"/>
                <w:sz w:val="16"/>
                <w:szCs w:val="16"/>
                <w:color w:val="auto"/>
                <w:w w:val="97"/>
              </w:rPr>
              <w:t>101</w:t>
            </w:r>
          </w:p>
        </w:tc>
        <w:tc>
          <w:tcPr>
            <w:tcW w:w="780" w:type="dxa"/>
            <w:vAlign w:val="bottom"/>
          </w:tcPr>
          <w:p>
            <w:pPr>
              <w:spacing w:after="0"/>
              <w:rPr>
                <w:sz w:val="20"/>
                <w:szCs w:val="20"/>
                <w:color w:val="auto"/>
              </w:rPr>
            </w:pPr>
            <w:r>
              <w:rPr>
                <w:rFonts w:ascii="Arial" w:cs="Arial" w:eastAsia="Arial" w:hAnsi="Arial"/>
                <w:sz w:val="16"/>
                <w:szCs w:val="16"/>
                <w:color w:val="auto"/>
              </w:rPr>
              <w:t>LAB</w:t>
            </w:r>
          </w:p>
        </w:tc>
        <w:tc>
          <w:tcPr>
            <w:tcW w:w="5760" w:type="dxa"/>
            <w:vAlign w:val="bottom"/>
            <w:gridSpan w:val="6"/>
          </w:tcPr>
          <w:p>
            <w:pPr>
              <w:spacing w:after="0"/>
              <w:rPr>
                <w:sz w:val="20"/>
                <w:szCs w:val="20"/>
                <w:color w:val="auto"/>
              </w:rPr>
            </w:pPr>
            <w:r>
              <w:rPr>
                <w:rFonts w:ascii="Arial" w:cs="Arial" w:eastAsia="Arial" w:hAnsi="Arial"/>
                <w:sz w:val="16"/>
                <w:szCs w:val="16"/>
                <w:color w:val="auto"/>
              </w:rPr>
              <w:t>Inline XBRL Taxonomy Extension Label Linkbase.</w:t>
            </w:r>
          </w:p>
        </w:tc>
        <w:tc>
          <w:tcPr>
            <w:tcW w:w="4260" w:type="dxa"/>
            <w:vAlign w:val="bottom"/>
          </w:tcPr>
          <w:p>
            <w:pPr>
              <w:ind w:left="100"/>
              <w:spacing w:after="0"/>
              <w:rPr>
                <w:sz w:val="20"/>
                <w:szCs w:val="20"/>
                <w:color w:val="auto"/>
              </w:rPr>
            </w:pPr>
            <w:r>
              <w:rPr>
                <w:rFonts w:ascii="Arial" w:cs="Arial" w:eastAsia="Arial" w:hAnsi="Arial"/>
                <w:sz w:val="16"/>
                <w:szCs w:val="16"/>
                <w:color w:val="auto"/>
              </w:rPr>
              <w:t>Filed herewith.</w:t>
            </w:r>
          </w:p>
        </w:tc>
      </w:tr>
      <w:tr>
        <w:trPr>
          <w:trHeight w:val="216"/>
        </w:trPr>
        <w:tc>
          <w:tcPr>
            <w:tcW w:w="280" w:type="dxa"/>
            <w:vAlign w:val="bottom"/>
          </w:tcPr>
          <w:p>
            <w:pPr>
              <w:spacing w:after="0"/>
              <w:rPr>
                <w:sz w:val="20"/>
                <w:szCs w:val="20"/>
                <w:color w:val="auto"/>
              </w:rPr>
            </w:pPr>
            <w:r>
              <w:rPr>
                <w:rFonts w:ascii="Arial" w:cs="Arial" w:eastAsia="Arial" w:hAnsi="Arial"/>
                <w:sz w:val="16"/>
                <w:szCs w:val="16"/>
                <w:color w:val="auto"/>
                <w:w w:val="97"/>
              </w:rPr>
              <w:t>101</w:t>
            </w:r>
          </w:p>
        </w:tc>
        <w:tc>
          <w:tcPr>
            <w:tcW w:w="780" w:type="dxa"/>
            <w:vAlign w:val="bottom"/>
          </w:tcPr>
          <w:p>
            <w:pPr>
              <w:spacing w:after="0"/>
              <w:rPr>
                <w:sz w:val="20"/>
                <w:szCs w:val="20"/>
                <w:color w:val="auto"/>
              </w:rPr>
            </w:pPr>
            <w:r>
              <w:rPr>
                <w:rFonts w:ascii="Arial" w:cs="Arial" w:eastAsia="Arial" w:hAnsi="Arial"/>
                <w:sz w:val="16"/>
                <w:szCs w:val="16"/>
                <w:color w:val="auto"/>
              </w:rPr>
              <w:t>PRE</w:t>
            </w:r>
          </w:p>
        </w:tc>
        <w:tc>
          <w:tcPr>
            <w:tcW w:w="5760" w:type="dxa"/>
            <w:vAlign w:val="bottom"/>
            <w:gridSpan w:val="6"/>
          </w:tcPr>
          <w:p>
            <w:pPr>
              <w:spacing w:after="0"/>
              <w:rPr>
                <w:sz w:val="20"/>
                <w:szCs w:val="20"/>
                <w:color w:val="auto"/>
              </w:rPr>
            </w:pPr>
            <w:r>
              <w:rPr>
                <w:rFonts w:ascii="Arial" w:cs="Arial" w:eastAsia="Arial" w:hAnsi="Arial"/>
                <w:sz w:val="16"/>
                <w:szCs w:val="16"/>
                <w:color w:val="auto"/>
              </w:rPr>
              <w:t>Inline XBRL Taxonomy Extension Presentation Linkbase.</w:t>
            </w:r>
          </w:p>
        </w:tc>
        <w:tc>
          <w:tcPr>
            <w:tcW w:w="4260" w:type="dxa"/>
            <w:vAlign w:val="bottom"/>
          </w:tcPr>
          <w:p>
            <w:pPr>
              <w:ind w:left="100"/>
              <w:spacing w:after="0"/>
              <w:rPr>
                <w:sz w:val="20"/>
                <w:szCs w:val="20"/>
                <w:color w:val="auto"/>
              </w:rPr>
            </w:pPr>
            <w:r>
              <w:rPr>
                <w:rFonts w:ascii="Arial" w:cs="Arial" w:eastAsia="Arial" w:hAnsi="Arial"/>
                <w:sz w:val="16"/>
                <w:szCs w:val="16"/>
                <w:color w:val="auto"/>
              </w:rPr>
              <w:t>Filed herewith.</w:t>
            </w:r>
          </w:p>
        </w:tc>
      </w:tr>
      <w:tr>
        <w:trPr>
          <w:trHeight w:val="172"/>
        </w:trPr>
        <w:tc>
          <w:tcPr>
            <w:tcW w:w="280" w:type="dxa"/>
            <w:vAlign w:val="bottom"/>
          </w:tcPr>
          <w:p>
            <w:pPr>
              <w:spacing w:after="0" w:line="171" w:lineRule="exact"/>
              <w:rPr>
                <w:sz w:val="20"/>
                <w:szCs w:val="20"/>
                <w:color w:val="auto"/>
              </w:rPr>
            </w:pPr>
            <w:r>
              <w:rPr>
                <w:rFonts w:ascii="Arial" w:cs="Arial" w:eastAsia="Arial" w:hAnsi="Arial"/>
                <w:sz w:val="16"/>
                <w:szCs w:val="16"/>
                <w:color w:val="auto"/>
                <w:w w:val="97"/>
              </w:rPr>
              <w:t>104</w:t>
            </w:r>
          </w:p>
        </w:tc>
        <w:tc>
          <w:tcPr>
            <w:tcW w:w="780" w:type="dxa"/>
            <w:vAlign w:val="bottom"/>
          </w:tcPr>
          <w:p>
            <w:pPr>
              <w:spacing w:after="0"/>
              <w:rPr>
                <w:sz w:val="14"/>
                <w:szCs w:val="14"/>
                <w:color w:val="auto"/>
              </w:rPr>
            </w:pPr>
          </w:p>
        </w:tc>
        <w:tc>
          <w:tcPr>
            <w:tcW w:w="5760" w:type="dxa"/>
            <w:vAlign w:val="bottom"/>
            <w:gridSpan w:val="6"/>
          </w:tcPr>
          <w:p>
            <w:pPr>
              <w:spacing w:after="0" w:line="171" w:lineRule="exact"/>
              <w:rPr>
                <w:sz w:val="20"/>
                <w:szCs w:val="20"/>
                <w:color w:val="auto"/>
              </w:rPr>
            </w:pPr>
            <w:r>
              <w:rPr>
                <w:rFonts w:ascii="Arial" w:cs="Arial" w:eastAsia="Arial" w:hAnsi="Arial"/>
                <w:sz w:val="16"/>
                <w:szCs w:val="16"/>
                <w:color w:val="auto"/>
                <w:w w:val="92"/>
              </w:rPr>
              <w:t>Cover Page Interactive Data File (the cover page interactive data file does not appear in</w:t>
            </w:r>
          </w:p>
        </w:tc>
        <w:tc>
          <w:tcPr>
            <w:tcW w:w="4260" w:type="dxa"/>
            <w:vAlign w:val="bottom"/>
          </w:tcPr>
          <w:p>
            <w:pPr>
              <w:ind w:left="100"/>
              <w:spacing w:after="0" w:line="171" w:lineRule="exact"/>
              <w:rPr>
                <w:sz w:val="20"/>
                <w:szCs w:val="20"/>
                <w:color w:val="auto"/>
              </w:rPr>
            </w:pPr>
            <w:r>
              <w:rPr>
                <w:rFonts w:ascii="Arial" w:cs="Arial" w:eastAsia="Arial" w:hAnsi="Arial"/>
                <w:sz w:val="16"/>
                <w:szCs w:val="16"/>
                <w:color w:val="auto"/>
              </w:rPr>
              <w:t>Filed herewith.</w:t>
            </w:r>
          </w:p>
        </w:tc>
      </w:tr>
      <w:tr>
        <w:trPr>
          <w:trHeight w:val="162"/>
        </w:trPr>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760" w:type="dxa"/>
            <w:vAlign w:val="bottom"/>
            <w:gridSpan w:val="6"/>
          </w:tcPr>
          <w:p>
            <w:pPr>
              <w:spacing w:after="0" w:line="162" w:lineRule="exact"/>
              <w:rPr>
                <w:sz w:val="20"/>
                <w:szCs w:val="20"/>
                <w:color w:val="auto"/>
              </w:rPr>
            </w:pPr>
            <w:r>
              <w:rPr>
                <w:rFonts w:ascii="Arial" w:cs="Arial" w:eastAsia="Arial" w:hAnsi="Arial"/>
                <w:sz w:val="16"/>
                <w:szCs w:val="16"/>
                <w:color w:val="auto"/>
              </w:rPr>
              <w:t>Exhibit 104 because its Inline XBRL tags are embedded within the Inline XBRL</w:t>
            </w:r>
          </w:p>
        </w:tc>
        <w:tc>
          <w:tcPr>
            <w:tcW w:w="4260" w:type="dxa"/>
            <w:vAlign w:val="bottom"/>
          </w:tcPr>
          <w:p>
            <w:pPr>
              <w:spacing w:after="0"/>
              <w:rPr>
                <w:sz w:val="14"/>
                <w:szCs w:val="14"/>
                <w:color w:val="auto"/>
              </w:rPr>
            </w:pPr>
          </w:p>
        </w:tc>
      </w:tr>
      <w:tr>
        <w:trPr>
          <w:trHeight w:val="206"/>
        </w:trPr>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760" w:type="dxa"/>
            <w:vAlign w:val="bottom"/>
            <w:gridSpan w:val="6"/>
          </w:tcPr>
          <w:p>
            <w:pPr>
              <w:spacing w:after="0"/>
              <w:rPr>
                <w:sz w:val="20"/>
                <w:szCs w:val="20"/>
                <w:color w:val="auto"/>
              </w:rPr>
            </w:pPr>
            <w:r>
              <w:rPr>
                <w:rFonts w:ascii="Arial" w:cs="Arial" w:eastAsia="Arial" w:hAnsi="Arial"/>
                <w:sz w:val="16"/>
                <w:szCs w:val="16"/>
                <w:color w:val="auto"/>
              </w:rPr>
              <w:t>document).</w:t>
            </w:r>
          </w:p>
        </w:tc>
        <w:tc>
          <w:tcPr>
            <w:tcW w:w="4260" w:type="dxa"/>
            <w:vAlign w:val="bottom"/>
          </w:tcPr>
          <w:p>
            <w:pPr>
              <w:spacing w:after="0"/>
              <w:rPr>
                <w:sz w:val="17"/>
                <w:szCs w:val="17"/>
                <w:color w:val="auto"/>
              </w:rPr>
            </w:pPr>
          </w:p>
        </w:tc>
      </w:tr>
    </w:tbl>
    <w:p>
      <w:pPr>
        <w:spacing w:after="0" w:line="221" w:lineRule="exact"/>
        <w:rPr>
          <w:sz w:val="20"/>
          <w:szCs w:val="20"/>
          <w:color w:val="auto"/>
        </w:rPr>
      </w:pPr>
    </w:p>
    <w:p>
      <w:pPr>
        <w:ind w:right="480" w:firstLine="8"/>
        <w:spacing w:after="0" w:line="258" w:lineRule="auto"/>
        <w:tabs>
          <w:tab w:leader="none" w:pos="135" w:val="left"/>
        </w:tabs>
        <w:numPr>
          <w:ilvl w:val="0"/>
          <w:numId w:val="32"/>
        </w:numPr>
        <w:rPr>
          <w:rFonts w:ascii="Arial" w:cs="Arial" w:eastAsia="Arial" w:hAnsi="Arial"/>
          <w:sz w:val="17"/>
          <w:szCs w:val="17"/>
          <w:color w:val="auto"/>
        </w:rPr>
      </w:pPr>
      <w:r>
        <w:rPr>
          <w:rFonts w:ascii="Arial" w:cs="Arial" w:eastAsia="Arial" w:hAnsi="Arial"/>
          <w:sz w:val="17"/>
          <w:szCs w:val="17"/>
          <w:color w:val="auto"/>
        </w:rPr>
        <w:t>Schedules and similar attachments to this Exhibit have been omitted pursuant to Item 601(a)(5) of Regulation S-K. The Company agrees to furnish supplementally a copy of any omitted schedule or exhibit to the U.S. Securities and Exchange Commission upon request.</w:t>
      </w:r>
    </w:p>
    <w:p>
      <w:pPr>
        <w:spacing w:after="0" w:line="239" w:lineRule="auto"/>
        <w:rPr>
          <w:rFonts w:ascii="Arial" w:cs="Arial" w:eastAsia="Arial" w:hAnsi="Arial"/>
          <w:sz w:val="17"/>
          <w:szCs w:val="17"/>
          <w:color w:val="auto"/>
        </w:rPr>
      </w:pPr>
      <w:r>
        <w:rPr>
          <w:rFonts w:ascii="Arial" w:cs="Arial" w:eastAsia="Arial" w:hAnsi="Arial"/>
          <w:sz w:val="18"/>
          <w:szCs w:val="18"/>
          <w:color w:val="auto"/>
        </w:rPr>
        <w:t>* Certain portions of this Exhibit have been redacted pursuant to Item 601(b)(10)(iv) of Regulation S-K. The omitted information is (i) not material and (ii) would likely cause competitive harm to the Company if publicly disclosed. The Company agrees to furnish supplementally an unredacted copy of this Exhibit to the SEC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CLEARWAY ENERGY LLC</w:t>
      </w:r>
    </w:p>
    <w:p>
      <w:pPr>
        <w:ind w:left="6740"/>
        <w:spacing w:after="0"/>
        <w:rPr>
          <w:sz w:val="20"/>
          <w:szCs w:val="20"/>
          <w:color w:val="auto"/>
        </w:rPr>
      </w:pPr>
      <w:r>
        <w:rPr>
          <w:rFonts w:ascii="Arial" w:cs="Arial" w:eastAsia="Arial" w:hAnsi="Arial"/>
          <w:sz w:val="18"/>
          <w:szCs w:val="18"/>
          <w:color w:val="auto"/>
        </w:rPr>
        <w:t>(Registrant)</w:t>
      </w:r>
    </w:p>
    <w:p>
      <w:pPr>
        <w:spacing w:after="0" w:line="26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4265930</wp:posOffset>
            </wp:positionH>
            <wp:positionV relativeFrom="paragraph">
              <wp:posOffset>23495</wp:posOffset>
            </wp:positionV>
            <wp:extent cx="28200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30"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Christopher S. Sotos</w:t>
      </w:r>
    </w:p>
    <w:p>
      <w:pPr>
        <w:spacing w:after="0" w:line="7" w:lineRule="exact"/>
        <w:rPr>
          <w:sz w:val="20"/>
          <w:szCs w:val="20"/>
          <w:color w:val="auto"/>
        </w:rPr>
      </w:pPr>
    </w:p>
    <w:p>
      <w:pPr>
        <w:ind w:left="6740"/>
        <w:spacing w:after="0"/>
        <w:rPr>
          <w:sz w:val="20"/>
          <w:szCs w:val="20"/>
          <w:color w:val="auto"/>
        </w:rPr>
      </w:pPr>
      <w:r>
        <w:rPr>
          <w:rFonts w:ascii="Arial" w:cs="Arial" w:eastAsia="Arial" w:hAnsi="Arial"/>
          <w:sz w:val="18"/>
          <w:szCs w:val="18"/>
          <w:i w:val="1"/>
          <w:iCs w:val="1"/>
          <w:color w:val="auto"/>
        </w:rPr>
        <w:t>President and Chief Executive Officer</w:t>
      </w:r>
    </w:p>
    <w:p>
      <w:pPr>
        <w:ind w:left="674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79" w:lineRule="exact"/>
        <w:rPr>
          <w:sz w:val="20"/>
          <w:szCs w:val="20"/>
          <w:color w:val="auto"/>
        </w:rPr>
      </w:pPr>
    </w:p>
    <w:tbl>
      <w:tblPr>
        <w:tblLayout w:type="fixed"/>
        <w:tblInd w:w="100" w:type="dxa"/>
        <w:tblCellMar>
          <w:top w:w="0" w:type="dxa"/>
          <w:left w:w="0" w:type="dxa"/>
          <w:bottom w:w="0" w:type="dxa"/>
          <w:right w:w="0" w:type="dxa"/>
        </w:tblCellMar>
      </w:tblPr>
      <w:tr>
        <w:trPr>
          <w:trHeight w:val="237"/>
        </w:trPr>
        <w:tc>
          <w:tcPr>
            <w:tcW w:w="6620" w:type="dxa"/>
            <w:vAlign w:val="bottom"/>
          </w:tcPr>
          <w:p>
            <w:pPr>
              <w:spacing w:after="0"/>
              <w:rPr>
                <w:sz w:val="20"/>
                <w:szCs w:val="20"/>
                <w:color w:val="auto"/>
              </w:rPr>
            </w:pPr>
          </w:p>
        </w:tc>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SARAH RUBENSTEIN</w:t>
            </w:r>
          </w:p>
        </w:tc>
        <w:tc>
          <w:tcPr>
            <w:tcW w:w="0" w:type="dxa"/>
            <w:vAlign w:val="bottom"/>
          </w:tcPr>
          <w:p>
            <w:pPr>
              <w:spacing w:after="0"/>
              <w:rPr>
                <w:sz w:val="1"/>
                <w:szCs w:val="1"/>
                <w:color w:val="auto"/>
              </w:rPr>
            </w:pPr>
          </w:p>
        </w:tc>
      </w:tr>
      <w:tr>
        <w:trPr>
          <w:trHeight w:val="229"/>
        </w:trPr>
        <w:tc>
          <w:tcPr>
            <w:tcW w:w="6620" w:type="dxa"/>
            <w:vAlign w:val="bottom"/>
          </w:tcPr>
          <w:p>
            <w:pPr>
              <w:spacing w:after="0"/>
              <w:rPr>
                <w:sz w:val="19"/>
                <w:szCs w:val="19"/>
                <w:color w:val="auto"/>
              </w:rPr>
            </w:pPr>
          </w:p>
        </w:tc>
        <w:tc>
          <w:tcPr>
            <w:tcW w:w="4440" w:type="dxa"/>
            <w:vAlign w:val="bottom"/>
          </w:tcPr>
          <w:p>
            <w:pPr>
              <w:ind w:left="20"/>
              <w:spacing w:after="0"/>
              <w:rPr>
                <w:sz w:val="20"/>
                <w:szCs w:val="20"/>
                <w:color w:val="auto"/>
              </w:rPr>
            </w:pPr>
            <w:r>
              <w:rPr>
                <w:rFonts w:ascii="Arial" w:cs="Arial" w:eastAsia="Arial" w:hAnsi="Arial"/>
                <w:sz w:val="18"/>
                <w:szCs w:val="18"/>
                <w:color w:val="auto"/>
              </w:rPr>
              <w:t>Sarah Rubenstein</w:t>
            </w:r>
          </w:p>
        </w:tc>
        <w:tc>
          <w:tcPr>
            <w:tcW w:w="0" w:type="dxa"/>
            <w:vAlign w:val="bottom"/>
          </w:tcPr>
          <w:p>
            <w:pPr>
              <w:spacing w:after="0"/>
              <w:rPr>
                <w:sz w:val="1"/>
                <w:szCs w:val="1"/>
                <w:color w:val="auto"/>
              </w:rPr>
            </w:pPr>
          </w:p>
        </w:tc>
      </w:tr>
      <w:tr>
        <w:trPr>
          <w:trHeight w:val="176"/>
        </w:trPr>
        <w:tc>
          <w:tcPr>
            <w:tcW w:w="6620" w:type="dxa"/>
            <w:vAlign w:val="bottom"/>
          </w:tcPr>
          <w:p>
            <w:pPr>
              <w:spacing w:after="0"/>
              <w:rPr>
                <w:sz w:val="15"/>
                <w:szCs w:val="15"/>
                <w:color w:val="auto"/>
              </w:rPr>
            </w:pPr>
          </w:p>
        </w:tc>
        <w:tc>
          <w:tcPr>
            <w:tcW w:w="4440" w:type="dxa"/>
            <w:vAlign w:val="bottom"/>
          </w:tcPr>
          <w:p>
            <w:pPr>
              <w:ind w:left="20"/>
              <w:spacing w:after="0" w:line="176" w:lineRule="exact"/>
              <w:rPr>
                <w:sz w:val="20"/>
                <w:szCs w:val="20"/>
                <w:color w:val="auto"/>
              </w:rPr>
            </w:pPr>
            <w:r>
              <w:rPr>
                <w:rFonts w:ascii="Arial" w:cs="Arial" w:eastAsia="Arial" w:hAnsi="Arial"/>
                <w:sz w:val="18"/>
                <w:szCs w:val="18"/>
                <w:i w:val="1"/>
                <w:iCs w:val="1"/>
                <w:color w:val="auto"/>
              </w:rPr>
              <w:t>Executive Vice President and Chief Financial</w:t>
            </w:r>
          </w:p>
        </w:tc>
        <w:tc>
          <w:tcPr>
            <w:tcW w:w="0" w:type="dxa"/>
            <w:vAlign w:val="bottom"/>
          </w:tcPr>
          <w:p>
            <w:pPr>
              <w:spacing w:after="0"/>
              <w:rPr>
                <w:sz w:val="1"/>
                <w:szCs w:val="1"/>
                <w:color w:val="auto"/>
              </w:rPr>
            </w:pPr>
          </w:p>
        </w:tc>
      </w:tr>
      <w:tr>
        <w:trPr>
          <w:trHeight w:val="188"/>
        </w:trPr>
        <w:tc>
          <w:tcPr>
            <w:tcW w:w="6620" w:type="dxa"/>
            <w:vAlign w:val="bottom"/>
          </w:tcPr>
          <w:p>
            <w:pPr>
              <w:spacing w:after="0"/>
              <w:rPr>
                <w:sz w:val="16"/>
                <w:szCs w:val="16"/>
                <w:color w:val="auto"/>
              </w:rPr>
            </w:pPr>
          </w:p>
        </w:tc>
        <w:tc>
          <w:tcPr>
            <w:tcW w:w="4440" w:type="dxa"/>
            <w:vAlign w:val="bottom"/>
          </w:tcPr>
          <w:p>
            <w:pPr>
              <w:ind w:left="20"/>
              <w:spacing w:after="0" w:line="189" w:lineRule="exact"/>
              <w:rPr>
                <w:sz w:val="20"/>
                <w:szCs w:val="20"/>
                <w:color w:val="auto"/>
              </w:rPr>
            </w:pPr>
            <w:r>
              <w:rPr>
                <w:rFonts w:ascii="Arial" w:cs="Arial" w:eastAsia="Arial" w:hAnsi="Arial"/>
                <w:sz w:val="18"/>
                <w:szCs w:val="18"/>
                <w:i w:val="1"/>
                <w:iCs w:val="1"/>
                <w:color w:val="auto"/>
              </w:rPr>
              <w:t>Officer</w:t>
            </w:r>
          </w:p>
        </w:tc>
        <w:tc>
          <w:tcPr>
            <w:tcW w:w="0" w:type="dxa"/>
            <w:vAlign w:val="bottom"/>
          </w:tcPr>
          <w:p>
            <w:pPr>
              <w:spacing w:after="0"/>
              <w:rPr>
                <w:sz w:val="1"/>
                <w:szCs w:val="1"/>
                <w:color w:val="auto"/>
              </w:rPr>
            </w:pPr>
          </w:p>
        </w:tc>
      </w:tr>
      <w:tr>
        <w:trPr>
          <w:trHeight w:val="176"/>
        </w:trPr>
        <w:tc>
          <w:tcPr>
            <w:tcW w:w="6620" w:type="dxa"/>
            <w:vAlign w:val="bottom"/>
            <w:vMerge w:val="restart"/>
          </w:tcPr>
          <w:p>
            <w:pPr>
              <w:spacing w:after="0"/>
              <w:rPr>
                <w:sz w:val="20"/>
                <w:szCs w:val="20"/>
                <w:color w:val="auto"/>
              </w:rPr>
            </w:pPr>
            <w:r>
              <w:rPr>
                <w:rFonts w:ascii="Arial" w:cs="Arial" w:eastAsia="Arial" w:hAnsi="Arial"/>
                <w:sz w:val="18"/>
                <w:szCs w:val="18"/>
                <w:color w:val="auto"/>
              </w:rPr>
              <w:t>Date: August 8, 2023</w:t>
            </w:r>
          </w:p>
        </w:tc>
        <w:tc>
          <w:tcPr>
            <w:tcW w:w="4440" w:type="dxa"/>
            <w:vAlign w:val="bottom"/>
          </w:tcPr>
          <w:p>
            <w:pPr>
              <w:ind w:left="20"/>
              <w:spacing w:after="0" w:line="176" w:lineRule="exact"/>
              <w:rPr>
                <w:sz w:val="20"/>
                <w:szCs w:val="20"/>
                <w:color w:val="auto"/>
              </w:rPr>
            </w:pPr>
            <w:r>
              <w:rPr>
                <w:rFonts w:ascii="Arial" w:cs="Arial" w:eastAsia="Arial" w:hAnsi="Arial"/>
                <w:sz w:val="18"/>
                <w:szCs w:val="18"/>
                <w:i w:val="1"/>
                <w:iCs w:val="1"/>
                <w:color w:val="auto"/>
              </w:rPr>
              <w:t>(Principal Financial Officer and Principal</w:t>
            </w:r>
          </w:p>
        </w:tc>
        <w:tc>
          <w:tcPr>
            <w:tcW w:w="0" w:type="dxa"/>
            <w:vAlign w:val="bottom"/>
          </w:tcPr>
          <w:p>
            <w:pPr>
              <w:spacing w:after="0"/>
              <w:rPr>
                <w:sz w:val="1"/>
                <w:szCs w:val="1"/>
                <w:color w:val="auto"/>
              </w:rPr>
            </w:pPr>
          </w:p>
        </w:tc>
      </w:tr>
      <w:tr>
        <w:trPr>
          <w:trHeight w:val="230"/>
        </w:trPr>
        <w:tc>
          <w:tcPr>
            <w:tcW w:w="6620" w:type="dxa"/>
            <w:vAlign w:val="bottom"/>
            <w:vMerge w:val="continue"/>
          </w:tcPr>
          <w:p>
            <w:pPr>
              <w:spacing w:after="0"/>
              <w:rPr>
                <w:sz w:val="20"/>
                <w:szCs w:val="20"/>
                <w:color w:val="auto"/>
              </w:rPr>
            </w:pPr>
          </w:p>
        </w:tc>
        <w:tc>
          <w:tcPr>
            <w:tcW w:w="4440" w:type="dxa"/>
            <w:vAlign w:val="bottom"/>
          </w:tcPr>
          <w:p>
            <w:pPr>
              <w:ind w:left="20"/>
              <w:spacing w:after="0"/>
              <w:rPr>
                <w:sz w:val="20"/>
                <w:szCs w:val="20"/>
                <w:color w:val="auto"/>
              </w:rPr>
            </w:pPr>
            <w:r>
              <w:rPr>
                <w:rFonts w:ascii="Arial" w:cs="Arial" w:eastAsia="Arial" w:hAnsi="Arial"/>
                <w:sz w:val="18"/>
                <w:szCs w:val="18"/>
                <w:i w:val="1"/>
                <w:iCs w:val="1"/>
                <w:color w:val="auto"/>
              </w:rPr>
              <w:t>Accounting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891"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Christopher S. Sotos, certify that:</w:t>
      </w:r>
    </w:p>
    <w:p>
      <w:pPr>
        <w:spacing w:after="0" w:line="347" w:lineRule="exact"/>
        <w:rPr>
          <w:sz w:val="20"/>
          <w:szCs w:val="20"/>
          <w:color w:val="auto"/>
        </w:rPr>
      </w:pPr>
    </w:p>
    <w:p>
      <w:pPr>
        <w:ind w:left="660" w:hanging="652"/>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Clearway Energy LLC;</w:t>
      </w:r>
    </w:p>
    <w:p>
      <w:pPr>
        <w:spacing w:after="0" w:line="225"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00" w:hanging="644"/>
        <w:spacing w:after="0" w:line="342" w:lineRule="auto"/>
        <w:tabs>
          <w:tab w:leader="none" w:pos="1300"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3" w:lineRule="auto"/>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3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hanging="644"/>
        <w:spacing w:after="0" w:line="277" w:lineRule="auto"/>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177419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1"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Christopher S. Sotos</w:t>
      </w:r>
    </w:p>
    <w:p>
      <w:pPr>
        <w:ind w:left="7240"/>
        <w:spacing w:after="0" w:line="219" w:lineRule="auto"/>
        <w:rPr>
          <w:sz w:val="20"/>
          <w:szCs w:val="20"/>
          <w:color w:val="auto"/>
        </w:rPr>
      </w:pPr>
      <w:r>
        <w:rPr>
          <w:rFonts w:ascii="Arial" w:cs="Arial" w:eastAsia="Arial" w:hAnsi="Arial"/>
          <w:sz w:val="18"/>
          <w:szCs w:val="18"/>
          <w:i w:val="1"/>
          <w:iCs w:val="1"/>
          <w:color w:val="auto"/>
        </w:rPr>
        <w:t>President and Chief Executive Officer</w:t>
      </w:r>
    </w:p>
    <w:p>
      <w:pPr>
        <w:ind w:left="7240"/>
        <w:spacing w:after="0"/>
        <w:rPr>
          <w:sz w:val="20"/>
          <w:szCs w:val="20"/>
          <w:color w:val="auto"/>
        </w:rPr>
      </w:pPr>
      <w:r>
        <w:rPr>
          <w:rFonts w:ascii="Arial" w:cs="Arial" w:eastAsia="Arial" w:hAnsi="Arial"/>
          <w:sz w:val="18"/>
          <w:szCs w:val="18"/>
          <w:i w:val="1"/>
          <w:iCs w:val="1"/>
          <w:color w:val="auto"/>
        </w:rPr>
        <w:t>(Principal Executive Officer)</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2023</w:t>
      </w:r>
    </w:p>
    <w:p>
      <w:pPr>
        <w:sectPr>
          <w:pgSz w:w="11900" w:h="16838" w:orient="portrait"/>
          <w:cols w:equalWidth="0" w:num="1">
            <w:col w:w="11240"/>
          </w:cols>
          <w:pgMar w:left="320" w:top="985"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31.2</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 Sarah Rubenstein, certify that:</w:t>
      </w:r>
    </w:p>
    <w:p>
      <w:pPr>
        <w:spacing w:after="0" w:line="347" w:lineRule="exact"/>
        <w:rPr>
          <w:sz w:val="20"/>
          <w:szCs w:val="20"/>
          <w:color w:val="auto"/>
        </w:rPr>
      </w:pPr>
    </w:p>
    <w:p>
      <w:pPr>
        <w:ind w:left="660" w:hanging="652"/>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Clearway Energy LLC;</w:t>
      </w:r>
    </w:p>
    <w:p>
      <w:pPr>
        <w:spacing w:after="0" w:line="225"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00" w:hanging="644"/>
        <w:spacing w:after="0" w:line="342" w:lineRule="auto"/>
        <w:tabs>
          <w:tab w:leader="none" w:pos="1300" w:val="left"/>
        </w:tabs>
        <w:numPr>
          <w:ilvl w:val="1"/>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3" w:lineRule="auto"/>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3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hanging="644"/>
        <w:spacing w:after="0" w:line="277" w:lineRule="auto"/>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/s/ SARAH RUBENSTEIN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14605</wp:posOffset>
            </wp:positionV>
            <wp:extent cx="182562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1825625" cy="8890"/>
                    </a:xfrm>
                    <a:prstGeom prst="rect">
                      <a:avLst/>
                    </a:prstGeom>
                    <a:noFill/>
                  </pic:spPr>
                </pic:pic>
              </a:graphicData>
            </a:graphic>
          </wp:anchor>
        </w:drawing>
      </w:r>
    </w:p>
    <w:p>
      <w:pPr>
        <w:spacing w:after="0" w:line="14"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Sarah Rubenstein</w:t>
      </w:r>
    </w:p>
    <w:p>
      <w:pPr>
        <w:ind w:left="7520"/>
        <w:spacing w:after="0" w:line="203" w:lineRule="auto"/>
        <w:rPr>
          <w:sz w:val="20"/>
          <w:szCs w:val="20"/>
          <w:color w:val="auto"/>
        </w:rPr>
      </w:pPr>
      <w:r>
        <w:rPr>
          <w:rFonts w:ascii="Arial" w:cs="Arial" w:eastAsia="Arial" w:hAnsi="Arial"/>
          <w:sz w:val="18"/>
          <w:szCs w:val="18"/>
          <w:i w:val="1"/>
          <w:iCs w:val="1"/>
          <w:color w:val="auto"/>
        </w:rPr>
        <w:t>Executive Vice President and Chief</w:t>
      </w:r>
    </w:p>
    <w:p>
      <w:pPr>
        <w:ind w:left="7520"/>
        <w:spacing w:after="0" w:line="203" w:lineRule="auto"/>
        <w:rPr>
          <w:sz w:val="20"/>
          <w:szCs w:val="20"/>
          <w:color w:val="auto"/>
        </w:rPr>
      </w:pPr>
      <w:r>
        <w:rPr>
          <w:rFonts w:ascii="Arial" w:cs="Arial" w:eastAsia="Arial" w:hAnsi="Arial"/>
          <w:sz w:val="18"/>
          <w:szCs w:val="18"/>
          <w:i w:val="1"/>
          <w:iCs w:val="1"/>
          <w:color w:val="auto"/>
        </w:rPr>
        <w:t>Financial Officer</w:t>
      </w:r>
    </w:p>
    <w:p>
      <w:pPr>
        <w:ind w:left="7520"/>
        <w:spacing w:after="0" w:line="220" w:lineRule="auto"/>
        <w:rPr>
          <w:sz w:val="20"/>
          <w:szCs w:val="20"/>
          <w:color w:val="auto"/>
        </w:rPr>
      </w:pPr>
      <w:r>
        <w:rPr>
          <w:rFonts w:ascii="Arial" w:cs="Arial" w:eastAsia="Arial" w:hAnsi="Arial"/>
          <w:sz w:val="18"/>
          <w:szCs w:val="18"/>
          <w:i w:val="1"/>
          <w:iCs w:val="1"/>
          <w:color w:val="auto"/>
        </w:rPr>
        <w:t>(Principal Financial Officer and</w:t>
      </w:r>
    </w:p>
    <w:p>
      <w:pPr>
        <w:ind w:left="7520"/>
        <w:spacing w:after="0"/>
        <w:rPr>
          <w:sz w:val="20"/>
          <w:szCs w:val="20"/>
          <w:color w:val="auto"/>
        </w:rPr>
      </w:pPr>
      <w:r>
        <w:rPr>
          <w:rFonts w:ascii="Arial" w:cs="Arial" w:eastAsia="Arial" w:hAnsi="Arial"/>
          <w:sz w:val="18"/>
          <w:szCs w:val="18"/>
          <w:i w:val="1"/>
          <w:iCs w:val="1"/>
          <w:color w:val="auto"/>
        </w:rPr>
        <w:t>Principal Accounting Officer)</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2023</w:t>
      </w:r>
    </w:p>
    <w:p>
      <w:pPr>
        <w:sectPr>
          <w:pgSz w:w="11900" w:h="16838" w:orient="portrait"/>
          <w:cols w:equalWidth="0" w:num="1">
            <w:col w:w="11240"/>
          </w:cols>
          <w:pgMar w:left="320" w:top="891" w:right="339" w:bottom="1440" w:gutter="0" w:footer="0" w:header="0"/>
        </w:sectPr>
      </w:pPr>
    </w:p>
    <w:bookmarkStart w:id="54" w:name="page55"/>
    <w:bookmarkEnd w:id="54"/>
    <w:p>
      <w:pPr>
        <w:ind w:left="10240"/>
        <w:spacing w:after="0"/>
        <w:rPr>
          <w:sz w:val="20"/>
          <w:szCs w:val="20"/>
          <w:color w:val="auto"/>
        </w:rPr>
      </w:pPr>
      <w:r>
        <w:rPr>
          <w:rFonts w:ascii="Arial" w:cs="Arial" w:eastAsia="Arial" w:hAnsi="Arial"/>
          <w:sz w:val="18"/>
          <w:szCs w:val="18"/>
          <w:b w:val="1"/>
          <w:bCs w:val="1"/>
          <w:color w:val="auto"/>
        </w:rPr>
        <w:t>EXHIBIT 32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connection with the Quarterly Report of Clearway Energy LLC on Form 10-Q for the quarter ended June 30, 2023, as filed with the Securities and Exchange Commission on the date hereof (the “Form 10-Q”), each of the undersigned officers of the Company certifies, pursuant to 18 U.S.C. Section 1350, as adopted pursuant to Section 906 of the Sarbanes-Oxley Act of 2002, that, to such officer's knowledge:</w:t>
      </w:r>
    </w:p>
    <w:p>
      <w:pPr>
        <w:spacing w:after="0" w:line="3"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Form 10-Q fully complies with the requirements of Section 13(a) or 15(d) of the Securities Exchange Act of 1934; and</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information contained in the Form 10-Q fairly presents, in all material respects, the financial condition and results of operations of the Company as of the dates and for the periods expressed in the Form 10-Q.</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2023</w:t>
      </w:r>
    </w:p>
    <w:p>
      <w:pPr>
        <w:spacing w:after="0" w:line="104"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14605</wp:posOffset>
            </wp:positionV>
            <wp:extent cx="309435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3094355" cy="8890"/>
                    </a:xfrm>
                    <a:prstGeom prst="rect">
                      <a:avLst/>
                    </a:prstGeom>
                    <a:noFill/>
                  </pic:spPr>
                </pic:pic>
              </a:graphicData>
            </a:graphic>
          </wp:anchor>
        </w:drawing>
      </w:r>
    </w:p>
    <w:p>
      <w:pPr>
        <w:spacing w:after="0" w:line="1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Christopher S. Sotos</w:t>
      </w:r>
    </w:p>
    <w:p>
      <w:pPr>
        <w:spacing w:after="0" w:line="21" w:lineRule="exact"/>
        <w:rPr>
          <w:sz w:val="20"/>
          <w:szCs w:val="20"/>
          <w:color w:val="auto"/>
        </w:rPr>
      </w:pPr>
    </w:p>
    <w:p>
      <w:pPr>
        <w:ind w:left="5840"/>
        <w:spacing w:after="0"/>
        <w:rPr>
          <w:sz w:val="20"/>
          <w:szCs w:val="20"/>
          <w:color w:val="auto"/>
        </w:rPr>
      </w:pPr>
      <w:r>
        <w:rPr>
          <w:rFonts w:ascii="Arial" w:cs="Arial" w:eastAsia="Arial" w:hAnsi="Arial"/>
          <w:sz w:val="18"/>
          <w:szCs w:val="18"/>
          <w:i w:val="1"/>
          <w:iCs w:val="1"/>
          <w:color w:val="auto"/>
        </w:rPr>
        <w:t>President and Chief Executive Officer</w:t>
      </w:r>
    </w:p>
    <w:p>
      <w:pPr>
        <w:ind w:left="584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7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 SARAH RUBENSTEIN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14605</wp:posOffset>
            </wp:positionV>
            <wp:extent cx="309435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1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Sarah Rubenstein</w:t>
      </w:r>
    </w:p>
    <w:p>
      <w:pPr>
        <w:spacing w:after="0" w:line="21" w:lineRule="exact"/>
        <w:rPr>
          <w:sz w:val="20"/>
          <w:szCs w:val="20"/>
          <w:color w:val="auto"/>
        </w:rPr>
      </w:pPr>
    </w:p>
    <w:p>
      <w:pPr>
        <w:ind w:left="5840"/>
        <w:spacing w:after="0"/>
        <w:rPr>
          <w:sz w:val="20"/>
          <w:szCs w:val="20"/>
          <w:color w:val="auto"/>
        </w:rPr>
      </w:pPr>
      <w:r>
        <w:rPr>
          <w:rFonts w:ascii="Arial" w:cs="Arial" w:eastAsia="Arial" w:hAnsi="Arial"/>
          <w:sz w:val="18"/>
          <w:szCs w:val="18"/>
          <w:i w:val="1"/>
          <w:iCs w:val="1"/>
          <w:color w:val="auto"/>
        </w:rPr>
        <w:t>Executive Vice President and Chief Financial Officer</w:t>
      </w:r>
    </w:p>
    <w:p>
      <w:pPr>
        <w:ind w:left="5840"/>
        <w:spacing w:after="0"/>
        <w:rPr>
          <w:sz w:val="20"/>
          <w:szCs w:val="20"/>
          <w:color w:val="auto"/>
        </w:rPr>
      </w:pPr>
      <w:r>
        <w:rPr>
          <w:rFonts w:ascii="Arial" w:cs="Arial" w:eastAsia="Arial" w:hAnsi="Arial"/>
          <w:sz w:val="18"/>
          <w:szCs w:val="18"/>
          <w:i w:val="1"/>
          <w:iCs w:val="1"/>
          <w:color w:val="auto"/>
        </w:rPr>
        <w:t>(Principal Financial Officer and Principal Accounting Officer</w:t>
      </w:r>
      <w:r>
        <w:rPr>
          <w:rFonts w:ascii="Arial" w:cs="Arial" w:eastAsia="Arial" w:hAnsi="Arial"/>
          <w:sz w:val="18"/>
          <w:szCs w:val="18"/>
          <w:color w:val="auto"/>
        </w:rPr>
        <w:t>)</w:t>
      </w:r>
    </w:p>
    <w:p>
      <w:pPr>
        <w:spacing w:after="0" w:line="18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this Form 10-Q or as a separate disclosure document.</w:t>
      </w:r>
    </w:p>
    <w:p>
      <w:pPr>
        <w:spacing w:after="0" w:line="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Clearway Energy LLC and will be retained by Clearway Energy LLC and furnished to the Securities and Exchange Commission or its staff upon request.</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1)"/>
      <w:numFmt w:val="lowerLetter"/>
      <w:start w:val="1"/>
    </w:lvl>
  </w:abstractNum>
  <w:abstractNum w:abstractNumId="4">
    <w:nsid w:val="62BBD95A"/>
    <w:multiLevelType w:val="hybridMultilevel"/>
    <w:lvl w:ilvl="0">
      <w:lvlJc w:val="left"/>
      <w:lvlText w:val="(%1)"/>
      <w:numFmt w:val="lowerLetter"/>
      <w:start w:val="2"/>
    </w:lvl>
  </w:abstractNum>
  <w:abstractNum w:abstractNumId="5">
    <w:nsid w:val="436C6125"/>
    <w:multiLevelType w:val="hybridMultilevel"/>
    <w:lvl w:ilvl="0">
      <w:lvlJc w:val="left"/>
      <w:lvlText w:val="(%1)"/>
      <w:numFmt w:val="lowerLetter"/>
      <w:start w:val="1"/>
    </w:lvl>
  </w:abstractNum>
  <w:abstractNum w:abstractNumId="6">
    <w:nsid w:val="628C895D"/>
    <w:multiLevelType w:val="hybridMultilevel"/>
    <w:lvl w:ilvl="0">
      <w:lvlJc w:val="left"/>
      <w:lvlText w:val="(%1)"/>
      <w:numFmt w:val="lowerLetter"/>
      <w:start w:val="1"/>
    </w:lvl>
  </w:abstractNum>
  <w:abstractNum w:abstractNumId="7">
    <w:nsid w:val="333AB105"/>
    <w:multiLevelType w:val="hybridMultilevel"/>
    <w:lvl w:ilvl="0">
      <w:lvlJc w:val="left"/>
      <w:lvlText w:val="(%1)"/>
      <w:numFmt w:val="lowerLetter"/>
      <w:start w:val="2"/>
    </w:lvl>
  </w:abstractNum>
  <w:abstractNum w:abstractNumId="8">
    <w:nsid w:val="721DA317"/>
    <w:multiLevelType w:val="hybridMultilevel"/>
    <w:lvl w:ilvl="0">
      <w:lvlJc w:val="left"/>
      <w:lvlText w:val="(%1)"/>
      <w:numFmt w:val="lowerLetter"/>
      <w:start w:val="1"/>
    </w:lvl>
  </w:abstractNum>
  <w:abstractNum w:abstractNumId="9">
    <w:nsid w:val="2443A858"/>
    <w:multiLevelType w:val="hybridMultilevel"/>
    <w:lvl w:ilvl="0">
      <w:lvlJc w:val="left"/>
      <w:lvlText w:val="(%1)"/>
      <w:numFmt w:val="lowerLetter"/>
      <w:start w:val="1"/>
    </w:lvl>
  </w:abstractNum>
  <w:abstractNum w:abstractNumId="10">
    <w:nsid w:val="2D1D5AE9"/>
    <w:multiLevelType w:val="hybridMultilevel"/>
    <w:lvl w:ilvl="0">
      <w:lvlJc w:val="left"/>
      <w:lvlText w:val="(%1)"/>
      <w:numFmt w:val="lowerLetter"/>
      <w:start w:val="1"/>
    </w:lvl>
  </w:abstractNum>
  <w:abstractNum w:abstractNumId="11">
    <w:nsid w:val="6763845E"/>
    <w:multiLevelType w:val="hybridMultilevel"/>
    <w:lvl w:ilvl="0">
      <w:lvlJc w:val="left"/>
      <w:lvlText w:val="(%1)"/>
      <w:numFmt w:val="lowerLetter"/>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1)"/>
      <w:numFmt w:val="lowerLetter"/>
      <w:start w:val="1"/>
    </w:lvl>
  </w:abstractNum>
  <w:abstractNum w:abstractNumId="14">
    <w:nsid w:val="79838CB2"/>
    <w:multiLevelType w:val="hybridMultilevel"/>
    <w:lvl w:ilvl="0">
      <w:lvlJc w:val="left"/>
      <w:lvlText w:val="(%1)"/>
      <w:numFmt w:val="lowerLetter"/>
      <w:start w:val="1"/>
    </w:lvl>
  </w:abstractNum>
  <w:abstractNum w:abstractNumId="15">
    <w:nsid w:val="4353D0CD"/>
    <w:multiLevelType w:val="hybridMultilevel"/>
    <w:lvl w:ilvl="0">
      <w:lvlJc w:val="left"/>
      <w:lvlText w:val="(%1)"/>
      <w:numFmt w:val="lowerLetter"/>
      <w:start w:val="1"/>
    </w:lvl>
  </w:abstractNum>
  <w:abstractNum w:abstractNumId="16">
    <w:nsid w:val="B03E0C6"/>
    <w:multiLevelType w:val="hybridMultilevel"/>
    <w:lvl w:ilvl="0">
      <w:lvlJc w:val="left"/>
      <w:lvlText w:val="(%1)"/>
      <w:numFmt w:val="lowerLetter"/>
      <w:start w:val="1"/>
    </w:lvl>
  </w:abstractNum>
  <w:abstractNum w:abstractNumId="17">
    <w:nsid w:val="189A769B"/>
    <w:multiLevelType w:val="hybridMultilevel"/>
    <w:lvl w:ilvl="0">
      <w:lvlJc w:val="left"/>
      <w:lvlText w:val="&amp;"/>
      <w:numFmt w:val="bullet"/>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1)"/>
      <w:numFmt w:val="lowerLetter"/>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1)"/>
      <w:numFmt w:val="lowerLetter"/>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
      <w:numFmt w:val="bullet"/>
      <w:start w:val="1"/>
    </w:lvl>
  </w:abstractNum>
  <w:abstractNum w:abstractNumId="30">
    <w:nsid w:val="4516DDE9"/>
    <w:multiLevelType w:val="hybridMultilevel"/>
    <w:lvl w:ilvl="0">
      <w:lvlJc w:val="left"/>
      <w:lvlText w:val="$"/>
      <w:numFmt w:val="bullet"/>
      <w:start w:val="1"/>
    </w:lvl>
  </w:abstractNum>
  <w:abstractNum w:abstractNumId="31">
    <w:nsid w:val="3006C83E"/>
    <w:multiLevelType w:val="hybridMultilevel"/>
    <w:lvl w:ilvl="0">
      <w:lvlJc w:val="left"/>
      <w:lvlText w:val="†"/>
      <w:numFmt w:val="bullet"/>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lvl w:ilvl="1">
      <w:lvlJc w:val="left"/>
      <w:lvlText w:val="(%2)"/>
      <w:numFmt w:val="lowerLetter"/>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04" Type="http://schemas.openxmlformats.org/officeDocument/2006/relationships/hyperlink" Target="https://www.sec.gov/Archives/edgar/data/1637757/000110465923064134/tm2316669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2023-08-08T13:36:32Z</dcterms:created>
  <dcterms:modified xsi:type="dcterms:W3CDTF">2023-08-08T13:36:32Z</dcterms:modified>
</cp:coreProperties>
</file>