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3820" w:right="3800" w:hanging="3610"/>
        <w:spacing w:after="0" w:line="470" w:lineRule="auto"/>
        <w:tabs>
          <w:tab w:leader="none" w:pos="588"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75" w:lineRule="exact"/>
        <w:rPr>
          <w:rFonts w:ascii="MS PGothic" w:cs="MS PGothic" w:eastAsia="MS PGothic" w:hAnsi="MS PGothic"/>
          <w:sz w:val="16"/>
          <w:szCs w:val="16"/>
          <w:color w:val="auto"/>
        </w:rPr>
      </w:pPr>
    </w:p>
    <w:p>
      <w:pPr>
        <w:ind w:left="540" w:hanging="35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001-36002</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318" w:right="339" w:bottom="1440" w:gutter="0" w:footer="0" w:header="0"/>
        </w:sectPr>
      </w:pPr>
    </w:p>
    <w:p>
      <w:pPr>
        <w:spacing w:after="0" w:line="30" w:lineRule="exact"/>
        <w:rPr>
          <w:sz w:val="24"/>
          <w:szCs w:val="24"/>
          <w:color w:val="auto"/>
        </w:rPr>
      </w:pPr>
    </w:p>
    <w:p>
      <w:pPr>
        <w:jc w:val="center"/>
        <w:ind w:right="4040"/>
        <w:spacing w:after="0"/>
        <w:rPr>
          <w:sz w:val="20"/>
          <w:szCs w:val="20"/>
          <w:color w:val="auto"/>
        </w:rPr>
      </w:pPr>
      <w:r>
        <w:rPr>
          <w:rFonts w:ascii="Arial" w:cs="Arial" w:eastAsia="Arial" w:hAnsi="Arial"/>
          <w:sz w:val="18"/>
          <w:szCs w:val="18"/>
          <w:b w:val="1"/>
          <w:bCs w:val="1"/>
          <w:color w:val="auto"/>
        </w:rPr>
        <w:t>Delaware</w:t>
      </w:r>
    </w:p>
    <w:p>
      <w:pPr>
        <w:spacing w:after="0" w:line="11" w:lineRule="exact"/>
        <w:rPr>
          <w:sz w:val="24"/>
          <w:szCs w:val="24"/>
          <w:color w:val="auto"/>
        </w:rPr>
      </w:pPr>
    </w:p>
    <w:p>
      <w:pPr>
        <w:jc w:val="center"/>
        <w:ind w:right="4040"/>
        <w:spacing w:after="0"/>
        <w:rPr>
          <w:sz w:val="20"/>
          <w:szCs w:val="20"/>
          <w:color w:val="auto"/>
        </w:rPr>
      </w:pPr>
      <w:r>
        <w:rPr>
          <w:rFonts w:ascii="Arial" w:cs="Arial" w:eastAsia="Arial" w:hAnsi="Arial"/>
          <w:sz w:val="18"/>
          <w:szCs w:val="18"/>
          <w:color w:val="auto"/>
        </w:rPr>
        <w:t>(State or other jurisdiction</w:t>
      </w:r>
    </w:p>
    <w:p>
      <w:pPr>
        <w:jc w:val="center"/>
        <w:ind w:right="40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46-1777204</w:t>
      </w:r>
    </w:p>
    <w:p>
      <w:pPr>
        <w:spacing w:after="0" w:line="11"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68" w:lineRule="exact"/>
        <w:rPr>
          <w:sz w:val="24"/>
          <w:szCs w:val="24"/>
          <w:color w:val="auto"/>
        </w:rPr>
      </w:pPr>
    </w:p>
    <w:p>
      <w:pPr>
        <w:sectPr>
          <w:pgSz w:w="11900" w:h="16838" w:orient="portrait"/>
          <w:cols w:equalWidth="0" w:num="2">
            <w:col w:w="7760" w:space="720"/>
            <w:col w:w="2760"/>
          </w:cols>
          <w:pgMar w:left="320" w:top="1318" w:right="339" w:bottom="1440" w:gutter="0" w:footer="0" w:header="0"/>
          <w:type w:val="continuous"/>
        </w:sectPr>
      </w:pPr>
    </w:p>
    <w:p>
      <w:pPr>
        <w:ind w:left="2160" w:right="100" w:hanging="1477"/>
        <w:spacing w:after="0" w:line="297" w:lineRule="auto"/>
        <w:rPr>
          <w:sz w:val="20"/>
          <w:szCs w:val="20"/>
          <w:color w:val="auto"/>
        </w:rPr>
      </w:pPr>
      <w:r>
        <w:rPr>
          <w:rFonts w:ascii="Arial" w:cs="Arial" w:eastAsia="Arial" w:hAnsi="Arial"/>
          <w:sz w:val="18"/>
          <w:szCs w:val="18"/>
          <w:b w:val="1"/>
          <w:bCs w:val="1"/>
          <w:color w:val="auto"/>
        </w:rPr>
        <w:t>300 Carnegie Center, Suite 300</w:t>
      </w:r>
      <w:r>
        <w:rPr>
          <w:sz w:val="20"/>
          <w:szCs w:val="20"/>
          <w:color w:val="auto"/>
        </w:rPr>
        <w:t xml:space="preserve"> </w:t>
      </w:r>
      <w:r>
        <w:rPr>
          <w:rFonts w:ascii="Arial" w:cs="Arial" w:eastAsia="Arial" w:hAnsi="Arial"/>
          <w:sz w:val="18"/>
          <w:szCs w:val="18"/>
          <w:b w:val="1"/>
          <w:bCs w:val="1"/>
          <w:color w:val="auto"/>
        </w:rPr>
        <w:t xml:space="preserve">Princeton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08540</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(Zip Code)</w:t>
      </w:r>
    </w:p>
    <w:p>
      <w:pPr>
        <w:spacing w:after="0" w:line="242" w:lineRule="exact"/>
        <w:rPr>
          <w:sz w:val="24"/>
          <w:szCs w:val="24"/>
          <w:color w:val="auto"/>
        </w:rPr>
      </w:pPr>
    </w:p>
    <w:p>
      <w:pPr>
        <w:sectPr>
          <w:pgSz w:w="11900" w:h="16838" w:orient="portrait"/>
          <w:cols w:equalWidth="0" w:num="3">
            <w:col w:w="5120" w:space="720"/>
            <w:col w:w="2180" w:space="720"/>
            <w:col w:w="2500"/>
          </w:cols>
          <w:pgMar w:left="320" w:top="1318"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660" w:type="dxa"/>
        <w:tblCellMar>
          <w:top w:w="0" w:type="dxa"/>
          <w:left w:w="0" w:type="dxa"/>
          <w:bottom w:w="0" w:type="dxa"/>
          <w:right w:w="0" w:type="dxa"/>
        </w:tblCellMar>
      </w:tblPr>
      <w:tr>
        <w:trPr>
          <w:trHeight w:val="233"/>
        </w:trPr>
        <w:tc>
          <w:tcPr>
            <w:tcW w:w="358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Title of each class</w:t>
            </w:r>
          </w:p>
        </w:tc>
        <w:tc>
          <w:tcPr>
            <w:tcW w:w="26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Trading Symbol(s)</w:t>
            </w:r>
          </w:p>
        </w:tc>
        <w:tc>
          <w:tcPr>
            <w:tcW w:w="3900" w:type="dxa"/>
            <w:vAlign w:val="bottom"/>
          </w:tcPr>
          <w:p>
            <w:pPr>
              <w:jc w:val="center"/>
              <w:ind w:left="45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3580" w:type="dxa"/>
            <w:vAlign w:val="bottom"/>
          </w:tcPr>
          <w:p>
            <w:pPr>
              <w:jc w:val="center"/>
              <w:ind w:right="550"/>
              <w:spacing w:after="0"/>
              <w:rPr>
                <w:sz w:val="20"/>
                <w:szCs w:val="20"/>
                <w:color w:val="auto"/>
              </w:rPr>
            </w:pPr>
            <w:r>
              <w:rPr>
                <w:rFonts w:ascii="Arial" w:cs="Arial" w:eastAsia="Arial" w:hAnsi="Arial"/>
                <w:sz w:val="18"/>
                <w:szCs w:val="18"/>
                <w:color w:val="auto"/>
                <w:w w:val="90"/>
              </w:rPr>
              <w:t>Class A Common Stock, par value $0.01</w:t>
            </w:r>
          </w:p>
        </w:tc>
        <w:tc>
          <w:tcPr>
            <w:tcW w:w="2660" w:type="dxa"/>
            <w:vAlign w:val="bottom"/>
          </w:tcPr>
          <w:p>
            <w:pPr>
              <w:jc w:val="center"/>
              <w:spacing w:after="0"/>
              <w:rPr>
                <w:sz w:val="20"/>
                <w:szCs w:val="20"/>
                <w:color w:val="auto"/>
              </w:rPr>
            </w:pPr>
            <w:r>
              <w:rPr>
                <w:rFonts w:ascii="Arial" w:cs="Arial" w:eastAsia="Arial" w:hAnsi="Arial"/>
                <w:sz w:val="18"/>
                <w:szCs w:val="18"/>
                <w:color w:val="auto"/>
                <w:w w:val="97"/>
              </w:rPr>
              <w:t>CWEN.A</w:t>
            </w:r>
          </w:p>
        </w:tc>
        <w:tc>
          <w:tcPr>
            <w:tcW w:w="3900" w:type="dxa"/>
            <w:vAlign w:val="bottom"/>
          </w:tcPr>
          <w:p>
            <w:pPr>
              <w:jc w:val="center"/>
              <w:ind w:left="45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580" w:type="dxa"/>
            <w:vAlign w:val="bottom"/>
          </w:tcPr>
          <w:p>
            <w:pPr>
              <w:jc w:val="center"/>
              <w:ind w:right="570"/>
              <w:spacing w:after="0"/>
              <w:rPr>
                <w:sz w:val="20"/>
                <w:szCs w:val="20"/>
                <w:color w:val="auto"/>
              </w:rPr>
            </w:pPr>
            <w:r>
              <w:rPr>
                <w:rFonts w:ascii="Arial" w:cs="Arial" w:eastAsia="Arial" w:hAnsi="Arial"/>
                <w:sz w:val="18"/>
                <w:szCs w:val="18"/>
                <w:color w:val="auto"/>
                <w:w w:val="89"/>
              </w:rPr>
              <w:t>Class C Common Stock, par value $0.01</w:t>
            </w:r>
          </w:p>
        </w:tc>
        <w:tc>
          <w:tcPr>
            <w:tcW w:w="2660" w:type="dxa"/>
            <w:vAlign w:val="bottom"/>
          </w:tcPr>
          <w:p>
            <w:pPr>
              <w:jc w:val="center"/>
              <w:ind w:left="10"/>
              <w:spacing w:after="0"/>
              <w:rPr>
                <w:sz w:val="20"/>
                <w:szCs w:val="20"/>
                <w:color w:val="auto"/>
              </w:rPr>
            </w:pPr>
            <w:r>
              <w:rPr>
                <w:rFonts w:ascii="Arial" w:cs="Arial" w:eastAsia="Arial" w:hAnsi="Arial"/>
                <w:sz w:val="18"/>
                <w:szCs w:val="18"/>
                <w:color w:val="auto"/>
                <w:w w:val="94"/>
              </w:rPr>
              <w:t>CWEN</w:t>
            </w:r>
          </w:p>
        </w:tc>
        <w:tc>
          <w:tcPr>
            <w:tcW w:w="3900" w:type="dxa"/>
            <w:vAlign w:val="bottom"/>
          </w:tcPr>
          <w:p>
            <w:pPr>
              <w:jc w:val="center"/>
              <w:ind w:left="450"/>
              <w:spacing w:after="0"/>
              <w:rPr>
                <w:sz w:val="20"/>
                <w:szCs w:val="20"/>
                <w:color w:val="auto"/>
              </w:rPr>
            </w:pPr>
            <w:r>
              <w:rPr>
                <w:rFonts w:ascii="Arial" w:cs="Arial" w:eastAsia="Arial" w:hAnsi="Arial"/>
                <w:sz w:val="18"/>
                <w:szCs w:val="18"/>
                <w:color w:val="auto"/>
                <w:w w:val="91"/>
              </w:rPr>
              <w:t>New York Stock Exchange</w:t>
            </w:r>
          </w:p>
        </w:tc>
      </w:tr>
    </w:tbl>
    <w:p>
      <w:pPr>
        <w:spacing w:after="0" w:line="85" w:lineRule="exact"/>
        <w:rPr>
          <w:sz w:val="24"/>
          <w:szCs w:val="24"/>
          <w:color w:val="auto"/>
        </w:rPr>
      </w:pPr>
    </w:p>
    <w:p>
      <w:pPr>
        <w:jc w:val="both"/>
        <w:ind w:firstLine="283"/>
        <w:spacing w:after="0" w:line="29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16" w:lineRule="exact"/>
        <w:rPr>
          <w:sz w:val="24"/>
          <w:szCs w:val="24"/>
          <w:color w:val="auto"/>
        </w:rPr>
      </w:pPr>
    </w:p>
    <w:p>
      <w:pPr>
        <w:jc w:val="both"/>
        <w:ind w:firstLine="283"/>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4"/>
          <w:szCs w:val="24"/>
          <w:color w:val="auto"/>
        </w:rPr>
      </w:pPr>
    </w:p>
    <w:p>
      <w:pPr>
        <w:jc w:val="center"/>
        <w:spacing w:after="0" w:line="184" w:lineRule="exact"/>
        <w:tabs>
          <w:tab w:leader="none" w:pos="22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283"/>
        <w:spacing w:after="0" w:line="22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480" w:type="dxa"/>
            <w:vAlign w:val="bottom"/>
          </w:tcPr>
          <w:p>
            <w:pPr>
              <w:spacing w:after="0"/>
              <w:rPr>
                <w:sz w:val="20"/>
                <w:szCs w:val="20"/>
                <w:color w:val="auto"/>
              </w:rPr>
            </w:pPr>
            <w:r>
              <w:rPr>
                <w:rFonts w:ascii="Arial" w:cs="Arial" w:eastAsia="Arial" w:hAnsi="Arial"/>
                <w:sz w:val="16"/>
                <w:szCs w:val="16"/>
                <w:color w:val="auto"/>
              </w:rPr>
              <w:t>Exchange Act.</w:t>
            </w:r>
          </w:p>
        </w:tc>
        <w:tc>
          <w:tcPr>
            <w:tcW w:w="1440" w:type="dxa"/>
            <w:vAlign w:val="bottom"/>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17"/>
                <w:szCs w:val="17"/>
                <w:color w:val="auto"/>
              </w:rPr>
            </w:pPr>
          </w:p>
        </w:tc>
        <w:tc>
          <w:tcPr>
            <w:tcW w:w="920" w:type="dxa"/>
            <w:vAlign w:val="bottom"/>
            <w:vMerge w:val="restart"/>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0"/>
        </w:trPr>
        <w:tc>
          <w:tcPr>
            <w:tcW w:w="3480" w:type="dxa"/>
            <w:vAlign w:val="bottom"/>
          </w:tcPr>
          <w:p>
            <w:pPr>
              <w:jc w:val="center"/>
              <w:ind w:left="433"/>
              <w:spacing w:after="0"/>
              <w:rPr>
                <w:sz w:val="20"/>
                <w:szCs w:val="20"/>
                <w:color w:val="auto"/>
              </w:rPr>
            </w:pPr>
            <w:r>
              <w:rPr>
                <w:rFonts w:ascii="Arial" w:cs="Arial" w:eastAsia="Arial" w:hAnsi="Arial"/>
                <w:sz w:val="18"/>
                <w:szCs w:val="18"/>
                <w:color w:val="auto"/>
                <w:w w:val="89"/>
              </w:rPr>
              <w:t>Large accelerated filer</w:t>
            </w:r>
          </w:p>
        </w:tc>
        <w:tc>
          <w:tcPr>
            <w:tcW w:w="1440" w:type="dxa"/>
            <w:vAlign w:val="bottom"/>
            <w:vMerge w:val="continue"/>
          </w:tcPr>
          <w:p>
            <w:pPr>
              <w:spacing w:after="0"/>
              <w:rPr>
                <w:sz w:val="18"/>
                <w:szCs w:val="18"/>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tcPr>
          <w:p>
            <w:pPr>
              <w:jc w:val="center"/>
              <w:ind w:left="433"/>
              <w:spacing w:after="0"/>
              <w:rPr>
                <w:sz w:val="20"/>
                <w:szCs w:val="20"/>
                <w:color w:val="auto"/>
              </w:rPr>
            </w:pPr>
            <w:r>
              <w:rPr>
                <w:rFonts w:ascii="Arial" w:cs="Arial" w:eastAsia="Arial" w:hAnsi="Arial"/>
                <w:sz w:val="18"/>
                <w:szCs w:val="18"/>
                <w:color w:val="auto"/>
                <w:w w:val="91"/>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firstLine="324"/>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56" w:lineRule="exact"/>
        <w:rPr>
          <w:sz w:val="24"/>
          <w:szCs w:val="24"/>
          <w:color w:val="auto"/>
        </w:rPr>
      </w:pPr>
    </w:p>
    <w:p>
      <w:pPr>
        <w:ind w:left="5080"/>
        <w:spacing w:after="0" w:line="184" w:lineRule="exact"/>
        <w:tabs>
          <w:tab w:leader="none" w:pos="57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283"/>
        <w:spacing w:after="0" w:line="224" w:lineRule="auto"/>
        <w:rPr>
          <w:sz w:val="20"/>
          <w:szCs w:val="20"/>
          <w:color w:val="auto"/>
        </w:rPr>
      </w:pPr>
      <w:r>
        <w:rPr>
          <w:rFonts w:ascii="Arial" w:cs="Arial" w:eastAsia="Arial" w:hAnsi="Arial"/>
          <w:sz w:val="16"/>
          <w:szCs w:val="16"/>
          <w:color w:val="auto"/>
        </w:rPr>
        <w:t>As of April 30, 2021, there were 34,599,645 shares of Class A common stock outstanding, par value $0.01 per share, 42,738,750 shares of Class B common stock outstanding, par value $0.01 per share, 81,759,563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30480</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4445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14"/>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3660" w:type="dxa"/>
            <w:vAlign w:val="bottom"/>
            <w:gridSpan w:val="4"/>
          </w:tcPr>
          <w:p>
            <w:pPr>
              <w:spacing w:after="0"/>
              <w:rPr>
                <w:sz w:val="17"/>
                <w:szCs w:val="17"/>
                <w:color w:val="auto"/>
              </w:rPr>
            </w:pPr>
          </w:p>
        </w:tc>
        <w:tc>
          <w:tcPr>
            <w:tcW w:w="68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820" w:type="dxa"/>
            <w:vAlign w:val="bottom"/>
            <w:gridSpan w:val="14"/>
          </w:tcPr>
          <w:p>
            <w:pPr>
              <w:spacing w:after="0"/>
              <w:rPr>
                <w:sz w:val="20"/>
                <w:szCs w:val="20"/>
                <w:color w:val="auto"/>
              </w:rPr>
            </w:pPr>
            <w:r>
              <w:rPr>
                <w:rFonts w:ascii="Arial" w:cs="Arial" w:eastAsia="Arial" w:hAnsi="Arial"/>
                <w:sz w:val="18"/>
                <w:szCs w:val="18"/>
                <w:b w:val="1"/>
                <w:bCs w:val="1"/>
                <w:color w:val="0000FF"/>
              </w:rPr>
              <w:t>GLOSSARY OF TERMS</w:t>
            </w:r>
          </w:p>
        </w:tc>
        <w:tc>
          <w:tcPr>
            <w:tcW w:w="3660" w:type="dxa"/>
            <w:vAlign w:val="bottom"/>
            <w:gridSpan w:val="4"/>
          </w:tcPr>
          <w:p>
            <w:pPr>
              <w:spacing w:after="0"/>
              <w:rPr>
                <w:sz w:val="18"/>
                <w:szCs w:val="18"/>
                <w:color w:val="auto"/>
              </w:rPr>
            </w:pPr>
          </w:p>
        </w:tc>
        <w:tc>
          <w:tcPr>
            <w:tcW w:w="6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260" w:type="dxa"/>
            <w:vAlign w:val="bottom"/>
            <w:gridSpan w:val="1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220" w:type="dxa"/>
            <w:vAlign w:val="bottom"/>
            <w:gridSpan w:val="8"/>
          </w:tcPr>
          <w:p>
            <w:pPr>
              <w:spacing w:after="0"/>
              <w:rPr>
                <w:sz w:val="18"/>
                <w:szCs w:val="18"/>
                <w:color w:val="auto"/>
              </w:rPr>
            </w:pPr>
          </w:p>
        </w:tc>
        <w:tc>
          <w:tcPr>
            <w:tcW w:w="68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FINANCIAL STATEMENTS AND NOTES</w:t>
            </w:r>
          </w:p>
        </w:tc>
        <w:tc>
          <w:tcPr>
            <w:tcW w:w="68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 OPERATIONS</w:t>
            </w:r>
          </w:p>
        </w:tc>
        <w:tc>
          <w:tcPr>
            <w:tcW w:w="68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9"/>
        </w:trPr>
        <w:tc>
          <w:tcPr>
            <w:tcW w:w="20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ITEM 3 — QUANTITATIVE AND QUALITATIVE DISCLOSURES ABOUT MARKET RISK</w:t>
            </w:r>
          </w:p>
        </w:tc>
        <w:tc>
          <w:tcPr>
            <w:tcW w:w="27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ITEM 4 — CONTROLS AND PROCEDURES</w:t>
            </w:r>
          </w:p>
        </w:tc>
        <w:tc>
          <w:tcPr>
            <w:tcW w:w="6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r>
      <w:tr>
        <w:trPr>
          <w:trHeight w:val="210"/>
        </w:trPr>
        <w:tc>
          <w:tcPr>
            <w:tcW w:w="2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 OTHER INFORMATION</w:t>
            </w:r>
          </w:p>
        </w:tc>
        <w:tc>
          <w:tcPr>
            <w:tcW w:w="75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54</w:t>
              </w:r>
            </w:hyperlink>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LEGAL PROCEEDINGS</w:t>
            </w:r>
          </w:p>
        </w:tc>
        <w:tc>
          <w:tcPr>
            <w:tcW w:w="68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6"/>
              </w:rPr>
              <w:t>ITEM 1A — RISK FACTORS</w:t>
            </w:r>
          </w:p>
        </w:tc>
        <w:tc>
          <w:tcPr>
            <w:tcW w:w="480" w:type="dxa"/>
            <w:vAlign w:val="bottom"/>
            <w:tcBorders>
              <w:top w:val="single" w:sz="8" w:color="0000FF"/>
            </w:tcBorders>
          </w:tcPr>
          <w:p>
            <w:pPr>
              <w:spacing w:after="0"/>
              <w:rPr>
                <w:sz w:val="18"/>
                <w:szCs w:val="18"/>
                <w:color w:val="auto"/>
              </w:rPr>
            </w:pPr>
          </w:p>
        </w:tc>
        <w:tc>
          <w:tcPr>
            <w:tcW w:w="756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68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9"/>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3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4</w:t>
            </w:r>
          </w:p>
        </w:tc>
        <w:tc>
          <w:tcPr>
            <w:tcW w:w="270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5"/>
              </w:rPr>
              <w:t>— MINE SAFETY DISCLOSURES</w:t>
            </w:r>
          </w:p>
        </w:tc>
        <w:tc>
          <w:tcPr>
            <w:tcW w:w="69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6"/>
              </w:rPr>
              <w:t>— OTHER INFORMATION</w:t>
            </w:r>
          </w:p>
        </w:tc>
        <w:tc>
          <w:tcPr>
            <w:tcW w:w="754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6</w:t>
            </w:r>
          </w:p>
        </w:tc>
        <w:tc>
          <w:tcPr>
            <w:tcW w:w="108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 EXHIBITS</w:t>
            </w:r>
          </w:p>
        </w:tc>
        <w:tc>
          <w:tcPr>
            <w:tcW w:w="86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b w:val="1"/>
                <w:bCs w:val="1"/>
                <w:color w:val="0000FF"/>
              </w:rPr>
              <w:t>SIGNATURES</w:t>
            </w:r>
          </w:p>
        </w:tc>
        <w:tc>
          <w:tcPr>
            <w:tcW w:w="68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215"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of the Company's Annual Report on Form 10-K for the year ended December 31, 2020, as well as the following:</w:t>
      </w:r>
    </w:p>
    <w:p>
      <w:pPr>
        <w:spacing w:after="0" w:line="13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8520" w:type="dxa"/>
            <w:vAlign w:val="bottom"/>
          </w:tcPr>
          <w:p>
            <w:pPr>
              <w:ind w:left="192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30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02"/>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2025 Senior Notes</w:t>
            </w:r>
          </w:p>
        </w:tc>
        <w:tc>
          <w:tcPr>
            <w:tcW w:w="8520" w:type="dxa"/>
            <w:vAlign w:val="bottom"/>
          </w:tcPr>
          <w:p>
            <w:pPr>
              <w:ind w:left="280"/>
              <w:spacing w:after="0" w:line="202" w:lineRule="exact"/>
              <w:rPr>
                <w:sz w:val="20"/>
                <w:szCs w:val="20"/>
                <w:color w:val="auto"/>
              </w:rPr>
            </w:pPr>
            <w:r>
              <w:rPr>
                <w:rFonts w:ascii="Arial" w:cs="Arial" w:eastAsia="Arial" w:hAnsi="Arial"/>
                <w:sz w:val="18"/>
                <w:szCs w:val="18"/>
                <w:color w:val="auto"/>
                <w:w w:val="90"/>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Operating LLC, which were repaid in March 2021</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2026 Senior Notes</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1"/>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2028 Senior Notes</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0"/>
              </w:rPr>
              <w:t>$850 million aggregate principal amount of 4.750% unsecured senior notes due 2028, issued by Clearway Energy</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2031 Senior Notes</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0"/>
              </w:rPr>
              <w:t>$925 million aggregate principal amount of 3.750% unsecured senior notes due 2031, issued by Clearway Energy</w:t>
            </w:r>
          </w:p>
        </w:tc>
        <w:tc>
          <w:tcPr>
            <w:tcW w:w="0" w:type="dxa"/>
            <w:vAlign w:val="bottom"/>
          </w:tcPr>
          <w:p>
            <w:pPr>
              <w:spacing w:after="0"/>
              <w:rPr>
                <w:sz w:val="1"/>
                <w:szCs w:val="1"/>
                <w:color w:val="auto"/>
              </w:rPr>
            </w:pPr>
          </w:p>
        </w:tc>
      </w:tr>
      <w:tr>
        <w:trPr>
          <w:trHeight w:val="230"/>
        </w:trPr>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852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14"/>
        </w:trPr>
        <w:tc>
          <w:tcPr>
            <w:tcW w:w="2720" w:type="dxa"/>
            <w:vAlign w:val="bottom"/>
            <w:vMerge w:val="continue"/>
          </w:tcPr>
          <w:p>
            <w:pPr>
              <w:spacing w:after="0"/>
              <w:rPr>
                <w:sz w:val="18"/>
                <w:szCs w:val="18"/>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w w:val="91"/>
              </w:rPr>
              <w:t>A non-GAAP measure, represents earnings before interest, tax, depreciation and amortization adjusted for mark-</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520" w:type="dxa"/>
            <w:vAlign w:val="bottom"/>
          </w:tcPr>
          <w:p>
            <w:pPr>
              <w:ind w:left="280"/>
              <w:spacing w:after="0" w:line="202" w:lineRule="exact"/>
              <w:rPr>
                <w:sz w:val="20"/>
                <w:szCs w:val="20"/>
                <w:color w:val="auto"/>
              </w:rPr>
            </w:pPr>
            <w:r>
              <w:rPr>
                <w:rFonts w:ascii="Arial" w:cs="Arial" w:eastAsia="Arial" w:hAnsi="Arial"/>
                <w:sz w:val="18"/>
                <w:szCs w:val="18"/>
                <w:color w:val="auto"/>
                <w:w w:val="93"/>
              </w:rPr>
              <w:t>to-market gains or losses, asset write offs and impairments; and factors which the Company does not consider</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indicative of future operating performance</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AOCI</w:t>
            </w:r>
          </w:p>
        </w:tc>
        <w:tc>
          <w:tcPr>
            <w:tcW w:w="852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0" w:type="dxa"/>
            <w:vAlign w:val="bottom"/>
          </w:tcPr>
          <w:p>
            <w:pPr>
              <w:spacing w:after="0"/>
              <w:rPr>
                <w:sz w:val="1"/>
                <w:szCs w:val="1"/>
                <w:color w:val="auto"/>
              </w:rPr>
            </w:pPr>
          </w:p>
        </w:tc>
      </w:tr>
      <w:tr>
        <w:trPr>
          <w:trHeight w:val="405"/>
        </w:trPr>
        <w:tc>
          <w:tcPr>
            <w:tcW w:w="2720" w:type="dxa"/>
            <w:vAlign w:val="bottom"/>
          </w:tcPr>
          <w:p>
            <w:pPr>
              <w:ind w:left="20"/>
              <w:spacing w:after="0"/>
              <w:rPr>
                <w:sz w:val="20"/>
                <w:szCs w:val="20"/>
                <w:color w:val="auto"/>
              </w:rPr>
            </w:pPr>
            <w:r>
              <w:rPr>
                <w:rFonts w:ascii="Arial" w:cs="Arial" w:eastAsia="Arial" w:hAnsi="Arial"/>
                <w:sz w:val="18"/>
                <w:szCs w:val="18"/>
                <w:color w:val="auto"/>
              </w:rPr>
              <w:t>AOCL</w:t>
            </w:r>
          </w:p>
        </w:tc>
        <w:tc>
          <w:tcPr>
            <w:tcW w:w="85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color w:val="auto"/>
              </w:rPr>
              <w:t>ASC</w:t>
            </w:r>
          </w:p>
        </w:tc>
        <w:tc>
          <w:tcPr>
            <w:tcW w:w="8520" w:type="dxa"/>
            <w:vAlign w:val="bottom"/>
          </w:tcPr>
          <w:p>
            <w:pPr>
              <w:ind w:left="28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ASU</w:t>
            </w:r>
          </w:p>
        </w:tc>
        <w:tc>
          <w:tcPr>
            <w:tcW w:w="8520" w:type="dxa"/>
            <w:vAlign w:val="bottom"/>
          </w:tcPr>
          <w:p>
            <w:pPr>
              <w:ind w:left="2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ATM Programs</w:t>
            </w:r>
          </w:p>
        </w:tc>
        <w:tc>
          <w:tcPr>
            <w:tcW w:w="8520" w:type="dxa"/>
            <w:vAlign w:val="bottom"/>
          </w:tcPr>
          <w:p>
            <w:pPr>
              <w:ind w:left="280"/>
              <w:spacing w:after="0"/>
              <w:rPr>
                <w:sz w:val="20"/>
                <w:szCs w:val="20"/>
                <w:color w:val="auto"/>
              </w:rPr>
            </w:pPr>
            <w:r>
              <w:rPr>
                <w:rFonts w:ascii="Arial" w:cs="Arial" w:eastAsia="Arial" w:hAnsi="Arial"/>
                <w:sz w:val="18"/>
                <w:szCs w:val="18"/>
                <w:color w:val="auto"/>
              </w:rPr>
              <w:t>At-The-Market Equity Offering Programs</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CAFD</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6"/>
              </w:rPr>
              <w:t>A non-GAAP measure, Cash Available for Distribution is defined as of March 31, 2021 as Adjusted EBITDA</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rPr>
              <w:t>plus cash distributions/return of investment from unconsolidated affiliates, adjustments to reflect CAFD</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7"/>
              </w:rPr>
              <w:t>generated by unconsolidated investments that were not able to distribute project dividends prior to PG&amp;E's</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2"/>
              </w:rPr>
              <w:t>emergence from bankruptcy on July 1, 2020 and subsequent release post-bankruptcy, cash receipts from notes</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0"/>
              </w:rPr>
              <w:t>receivable, cash distributions from noncontrolling interests, adjustments to reflect sales-type lease cash payments,</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3"/>
              </w:rPr>
              <w:t>less cash distributions to noncontrolling interests, maintenance capital expenditures, pro-rata Adjusted EBITDA</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5"/>
              </w:rPr>
              <w:t>from unconsolidated affiliates, cash interest paid, income taxes paid, principal amortization of indebtedness,</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changes in prepaid and accrued capacity payments, and adjusted for development expenses.</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CEG</w:t>
            </w:r>
          </w:p>
        </w:tc>
        <w:tc>
          <w:tcPr>
            <w:tcW w:w="8520" w:type="dxa"/>
            <w:vAlign w:val="bottom"/>
          </w:tcPr>
          <w:p>
            <w:pPr>
              <w:ind w:left="28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CEG Master Services Agreement</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3"/>
              </w:rPr>
              <w:t>Master Services Agreements entered into as of August 31, 2018 between the Company, Clearway Energy LLC</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and Clearway Energy Operating LLC, and CEG</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LLC</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2"/>
              </w:rPr>
              <w:t>B and Class D units of Clearway Energy LLC, and Clearway Energy, Inc., the holder of the Class A and Class C</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units</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Group LLC</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5"/>
              </w:rPr>
              <w:t>The holder of the Company's Class B and Class D common shares and Clearway Energy LLC's Class B and</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Class D units</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20" w:type="dxa"/>
            <w:vAlign w:val="bottom"/>
          </w:tcPr>
          <w:p>
            <w:pPr>
              <w:ind w:left="28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COD</w:t>
            </w:r>
          </w:p>
        </w:tc>
        <w:tc>
          <w:tcPr>
            <w:tcW w:w="8520" w:type="dxa"/>
            <w:vAlign w:val="bottom"/>
          </w:tcPr>
          <w:p>
            <w:pPr>
              <w:ind w:left="28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Company</w:t>
            </w:r>
          </w:p>
        </w:tc>
        <w:tc>
          <w:tcPr>
            <w:tcW w:w="8520" w:type="dxa"/>
            <w:vAlign w:val="bottom"/>
          </w:tcPr>
          <w:p>
            <w:pPr>
              <w:ind w:left="280"/>
              <w:spacing w:after="0"/>
              <w:rPr>
                <w:sz w:val="20"/>
                <w:szCs w:val="20"/>
                <w:color w:val="auto"/>
              </w:rPr>
            </w:pPr>
            <w:r>
              <w:rPr>
                <w:rFonts w:ascii="Arial" w:cs="Arial" w:eastAsia="Arial" w:hAnsi="Arial"/>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CVSR</w:t>
            </w:r>
          </w:p>
        </w:tc>
        <w:tc>
          <w:tcPr>
            <w:tcW w:w="8520" w:type="dxa"/>
            <w:vAlign w:val="bottom"/>
          </w:tcPr>
          <w:p>
            <w:pPr>
              <w:ind w:left="2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20" w:type="dxa"/>
            <w:vAlign w:val="bottom"/>
          </w:tcPr>
          <w:p>
            <w:pPr>
              <w:ind w:left="28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Distributed Solar</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4"/>
              </w:rPr>
              <w:t>Solar power projects, typically less than 20 MW in size (on an alternating current, or AC, basis), that primarily</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2"/>
              </w:rPr>
              <w:t>sell power produced to customers for usage on site, or are interconnected to sell power into the local distribution</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grid</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Drop Down Assets</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4"/>
              </w:rPr>
              <w:t>Collectively, assets under common control acquired by the Company from NRG from January 1, 2014 through</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5"/>
              </w:rPr>
              <w:t>the period ended August 31, 2018 and from CEG from August 31, 2018 through the period ended March 31,</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Economic Gross Margin</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1"/>
              </w:rPr>
              <w:t>A non-GAAP measure, energy and capacity revenue, less cost of fuels. See Item 2 — Management's Discussion</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6"/>
              </w:rPr>
              <w:t>and Analysis of Financial Condition and Results of Operations — Management's discussion of the results of</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operations for the quarters ended March 31, 2021 and 2020 for a discussion of this measure.</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ECP</w:t>
            </w:r>
          </w:p>
        </w:tc>
        <w:tc>
          <w:tcPr>
            <w:tcW w:w="8520" w:type="dxa"/>
            <w:vAlign w:val="bottom"/>
          </w:tcPr>
          <w:p>
            <w:pPr>
              <w:ind w:left="28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EPA</w:t>
            </w:r>
          </w:p>
        </w:tc>
        <w:tc>
          <w:tcPr>
            <w:tcW w:w="8520" w:type="dxa"/>
            <w:vAlign w:val="bottom"/>
            <w:vMerge w:val="restart"/>
          </w:tcPr>
          <w:p>
            <w:pPr>
              <w:ind w:left="280"/>
              <w:spacing w:after="0"/>
              <w:rPr>
                <w:sz w:val="20"/>
                <w:szCs w:val="20"/>
                <w:color w:val="auto"/>
              </w:rPr>
            </w:pPr>
            <w:r>
              <w:rPr>
                <w:rFonts w:ascii="Arial" w:cs="Arial" w:eastAsia="Arial" w:hAnsi="Arial"/>
                <w:sz w:val="18"/>
                <w:szCs w:val="18"/>
                <w:color w:val="auto"/>
              </w:rPr>
              <w:t>United States Environmental Protection Agency</w:t>
            </w:r>
          </w:p>
        </w:tc>
        <w:tc>
          <w:tcPr>
            <w:tcW w:w="0" w:type="dxa"/>
            <w:vAlign w:val="bottom"/>
          </w:tcPr>
          <w:p>
            <w:pPr>
              <w:spacing w:after="0"/>
              <w:rPr>
                <w:sz w:val="1"/>
                <w:szCs w:val="1"/>
                <w:color w:val="auto"/>
              </w:rPr>
            </w:pPr>
          </w:p>
        </w:tc>
      </w:tr>
      <w:tr>
        <w:trPr>
          <w:trHeight w:val="94"/>
        </w:trPr>
        <w:tc>
          <w:tcPr>
            <w:tcW w:w="2720" w:type="dxa"/>
            <w:vAlign w:val="bottom"/>
          </w:tcPr>
          <w:p>
            <w:pPr>
              <w:spacing w:after="0"/>
              <w:rPr>
                <w:sz w:val="8"/>
                <w:szCs w:val="8"/>
                <w:color w:val="auto"/>
              </w:rPr>
            </w:pPr>
          </w:p>
        </w:tc>
        <w:tc>
          <w:tcPr>
            <w:tcW w:w="8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20" w:type="dxa"/>
            <w:vAlign w:val="bottom"/>
          </w:tcPr>
          <w:p>
            <w:pPr>
              <w:ind w:left="2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634"/>
        </w:trPr>
        <w:tc>
          <w:tcPr>
            <w:tcW w:w="2720" w:type="dxa"/>
            <w:vAlign w:val="bottom"/>
          </w:tcPr>
          <w:p>
            <w:pPr>
              <w:spacing w:after="0"/>
              <w:rPr>
                <w:sz w:val="24"/>
                <w:szCs w:val="24"/>
                <w:color w:val="auto"/>
              </w:rPr>
            </w:pPr>
          </w:p>
        </w:tc>
        <w:tc>
          <w:tcPr>
            <w:tcW w:w="8520" w:type="dxa"/>
            <w:vAlign w:val="bottom"/>
          </w:tcPr>
          <w:p>
            <w:pPr>
              <w:ind w:left="2860"/>
              <w:spacing w:after="0"/>
              <w:rPr>
                <w:sz w:val="20"/>
                <w:szCs w:val="20"/>
                <w:color w:val="auto"/>
              </w:rPr>
            </w:pPr>
            <w:r>
              <w:rPr>
                <w:rFonts w:ascii="Arial" w:cs="Arial" w:eastAsia="Arial" w:hAnsi="Arial"/>
                <w:sz w:val="18"/>
                <w:szCs w:val="18"/>
                <w:color w:val="231F20"/>
              </w:rPr>
              <w:t>4</w:t>
            </w:r>
          </w:p>
        </w:tc>
        <w:tc>
          <w:tcPr>
            <w:tcW w:w="0" w:type="dxa"/>
            <w:vAlign w:val="bottom"/>
          </w:tcPr>
          <w:p>
            <w:pPr>
              <w:spacing w:after="0"/>
              <w:rPr>
                <w:sz w:val="1"/>
                <w:szCs w:val="1"/>
                <w:color w:val="auto"/>
              </w:rPr>
            </w:pPr>
          </w:p>
        </w:tc>
      </w:tr>
      <w:tr>
        <w:trPr>
          <w:trHeight w:val="358"/>
        </w:trPr>
        <w:tc>
          <w:tcPr>
            <w:tcW w:w="272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FASB</w:t>
            </w:r>
          </w:p>
        </w:tc>
        <w:tc>
          <w:tcPr>
            <w:tcW w:w="9000" w:type="dxa"/>
            <w:vAlign w:val="bottom"/>
          </w:tcPr>
          <w:p>
            <w:pPr>
              <w:ind w:left="76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GAAP</w:t>
            </w:r>
          </w:p>
        </w:tc>
        <w:tc>
          <w:tcPr>
            <w:tcW w:w="9000" w:type="dxa"/>
            <w:vAlign w:val="bottom"/>
          </w:tcPr>
          <w:p>
            <w:pPr>
              <w:ind w:left="76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GenConn</w:t>
            </w:r>
          </w:p>
        </w:tc>
        <w:tc>
          <w:tcPr>
            <w:tcW w:w="9000" w:type="dxa"/>
            <w:vAlign w:val="bottom"/>
          </w:tcPr>
          <w:p>
            <w:pPr>
              <w:ind w:left="76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GIP</w:t>
            </w:r>
          </w:p>
        </w:tc>
        <w:tc>
          <w:tcPr>
            <w:tcW w:w="9000" w:type="dxa"/>
            <w:vAlign w:val="bottom"/>
            <w:vMerge w:val="restart"/>
          </w:tcPr>
          <w:p>
            <w:pPr>
              <w:ind w:left="760"/>
              <w:spacing w:after="0"/>
              <w:rPr>
                <w:sz w:val="20"/>
                <w:szCs w:val="20"/>
                <w:color w:val="auto"/>
              </w:rPr>
            </w:pPr>
            <w:r>
              <w:rPr>
                <w:rFonts w:ascii="Arial" w:cs="Arial" w:eastAsia="Arial" w:hAnsi="Arial"/>
                <w:sz w:val="18"/>
                <w:szCs w:val="18"/>
                <w:color w:val="auto"/>
                <w:w w:val="94"/>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40"/>
        </w:trPr>
        <w:tc>
          <w:tcPr>
            <w:tcW w:w="2240" w:type="dxa"/>
            <w:vAlign w:val="bottom"/>
          </w:tcPr>
          <w:p>
            <w:pPr>
              <w:spacing w:after="0"/>
              <w:rPr>
                <w:sz w:val="3"/>
                <w:szCs w:val="3"/>
                <w:color w:val="auto"/>
              </w:rPr>
            </w:pPr>
          </w:p>
        </w:tc>
        <w:tc>
          <w:tcPr>
            <w:tcW w:w="9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9000" w:type="dxa"/>
            <w:vAlign w:val="bottom"/>
          </w:tcPr>
          <w:p>
            <w:pPr>
              <w:ind w:left="760"/>
              <w:spacing w:after="0" w:line="176" w:lineRule="exact"/>
              <w:rPr>
                <w:sz w:val="20"/>
                <w:szCs w:val="20"/>
                <w:color w:val="auto"/>
              </w:rPr>
            </w:pPr>
            <w:r>
              <w:rPr>
                <w:rFonts w:ascii="Arial" w:cs="Arial" w:eastAsia="Arial" w:hAnsi="Arial"/>
                <w:sz w:val="18"/>
                <w:szCs w:val="18"/>
                <w:color w:val="auto"/>
                <w:w w:val="95"/>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9000" w:type="dxa"/>
            <w:vAlign w:val="bottom"/>
          </w:tcPr>
          <w:p>
            <w:pPr>
              <w:ind w:left="76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09"/>
        </w:trPr>
        <w:tc>
          <w:tcPr>
            <w:tcW w:w="2240" w:type="dxa"/>
            <w:vAlign w:val="bottom"/>
          </w:tcPr>
          <w:p>
            <w:pPr>
              <w:ind w:left="20"/>
              <w:spacing w:after="0"/>
              <w:rPr>
                <w:sz w:val="20"/>
                <w:szCs w:val="20"/>
                <w:color w:val="auto"/>
              </w:rPr>
            </w:pPr>
            <w:r>
              <w:rPr>
                <w:rFonts w:ascii="Arial" w:cs="Arial" w:eastAsia="Arial" w:hAnsi="Arial"/>
                <w:sz w:val="18"/>
                <w:szCs w:val="18"/>
                <w:color w:val="auto"/>
              </w:rPr>
              <w:t>HLBV</w:t>
            </w:r>
          </w:p>
        </w:tc>
        <w:tc>
          <w:tcPr>
            <w:tcW w:w="9000" w:type="dxa"/>
            <w:vAlign w:val="bottom"/>
          </w:tcPr>
          <w:p>
            <w:pPr>
              <w:ind w:left="76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LIBOR</w:t>
            </w:r>
          </w:p>
        </w:tc>
        <w:tc>
          <w:tcPr>
            <w:tcW w:w="9000" w:type="dxa"/>
            <w:vAlign w:val="bottom"/>
          </w:tcPr>
          <w:p>
            <w:pPr>
              <w:ind w:left="76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MBTA</w:t>
            </w:r>
          </w:p>
        </w:tc>
        <w:tc>
          <w:tcPr>
            <w:tcW w:w="9000" w:type="dxa"/>
            <w:vAlign w:val="bottom"/>
          </w:tcPr>
          <w:p>
            <w:pPr>
              <w:ind w:left="76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MMBtu</w:t>
            </w:r>
          </w:p>
        </w:tc>
        <w:tc>
          <w:tcPr>
            <w:tcW w:w="9000" w:type="dxa"/>
            <w:vAlign w:val="bottom"/>
          </w:tcPr>
          <w:p>
            <w:pPr>
              <w:ind w:left="76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MW</w:t>
            </w:r>
          </w:p>
        </w:tc>
        <w:tc>
          <w:tcPr>
            <w:tcW w:w="9000" w:type="dxa"/>
            <w:vAlign w:val="bottom"/>
          </w:tcPr>
          <w:p>
            <w:pPr>
              <w:ind w:left="76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MWh</w:t>
            </w:r>
          </w:p>
        </w:tc>
        <w:tc>
          <w:tcPr>
            <w:tcW w:w="9000" w:type="dxa"/>
            <w:vAlign w:val="bottom"/>
          </w:tcPr>
          <w:p>
            <w:pPr>
              <w:ind w:left="76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MWt</w:t>
            </w:r>
          </w:p>
        </w:tc>
        <w:tc>
          <w:tcPr>
            <w:tcW w:w="9000" w:type="dxa"/>
            <w:vAlign w:val="bottom"/>
          </w:tcPr>
          <w:p>
            <w:pPr>
              <w:ind w:left="76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9000" w:type="dxa"/>
            <w:vAlign w:val="bottom"/>
          </w:tcPr>
          <w:p>
            <w:pPr>
              <w:ind w:left="76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NOLs</w:t>
            </w:r>
          </w:p>
        </w:tc>
        <w:tc>
          <w:tcPr>
            <w:tcW w:w="9000" w:type="dxa"/>
            <w:vAlign w:val="bottom"/>
          </w:tcPr>
          <w:p>
            <w:pPr>
              <w:ind w:left="76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NPPD</w:t>
            </w:r>
          </w:p>
        </w:tc>
        <w:tc>
          <w:tcPr>
            <w:tcW w:w="9000" w:type="dxa"/>
            <w:vAlign w:val="bottom"/>
          </w:tcPr>
          <w:p>
            <w:pPr>
              <w:ind w:left="76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NRG</w:t>
            </w:r>
          </w:p>
        </w:tc>
        <w:tc>
          <w:tcPr>
            <w:tcW w:w="9000" w:type="dxa"/>
            <w:vAlign w:val="bottom"/>
          </w:tcPr>
          <w:p>
            <w:pPr>
              <w:ind w:left="76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OCL</w:t>
            </w:r>
          </w:p>
        </w:tc>
        <w:tc>
          <w:tcPr>
            <w:tcW w:w="9000" w:type="dxa"/>
            <w:vAlign w:val="bottom"/>
          </w:tcPr>
          <w:p>
            <w:pPr>
              <w:ind w:left="760"/>
              <w:spacing w:after="0"/>
              <w:rPr>
                <w:sz w:val="20"/>
                <w:szCs w:val="20"/>
                <w:color w:val="auto"/>
              </w:rPr>
            </w:pPr>
            <w:r>
              <w:rPr>
                <w:rFonts w:ascii="Arial" w:cs="Arial" w:eastAsia="Arial" w:hAnsi="Arial"/>
                <w:sz w:val="18"/>
                <w:szCs w:val="18"/>
                <w:color w:val="auto"/>
              </w:rPr>
              <w:t>Other comprehensive loss</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O&amp;M</w:t>
            </w:r>
          </w:p>
        </w:tc>
        <w:tc>
          <w:tcPr>
            <w:tcW w:w="9000" w:type="dxa"/>
            <w:vAlign w:val="bottom"/>
          </w:tcPr>
          <w:p>
            <w:pPr>
              <w:ind w:left="76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PG&amp;E</w:t>
            </w:r>
          </w:p>
        </w:tc>
        <w:tc>
          <w:tcPr>
            <w:tcW w:w="9000" w:type="dxa"/>
            <w:vAlign w:val="bottom"/>
          </w:tcPr>
          <w:p>
            <w:pPr>
              <w:ind w:left="76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PPA</w:t>
            </w:r>
          </w:p>
        </w:tc>
        <w:tc>
          <w:tcPr>
            <w:tcW w:w="9000" w:type="dxa"/>
            <w:vAlign w:val="bottom"/>
          </w:tcPr>
          <w:p>
            <w:pPr>
              <w:ind w:left="76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PTC</w:t>
            </w:r>
          </w:p>
        </w:tc>
        <w:tc>
          <w:tcPr>
            <w:tcW w:w="9000" w:type="dxa"/>
            <w:vAlign w:val="bottom"/>
          </w:tcPr>
          <w:p>
            <w:pPr>
              <w:ind w:left="76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RENOM</w:t>
            </w:r>
          </w:p>
        </w:tc>
        <w:tc>
          <w:tcPr>
            <w:tcW w:w="9000" w:type="dxa"/>
            <w:vAlign w:val="bottom"/>
          </w:tcPr>
          <w:p>
            <w:pPr>
              <w:ind w:left="76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RTO</w:t>
            </w:r>
          </w:p>
        </w:tc>
        <w:tc>
          <w:tcPr>
            <w:tcW w:w="9000" w:type="dxa"/>
            <w:vAlign w:val="bottom"/>
          </w:tcPr>
          <w:p>
            <w:pPr>
              <w:ind w:left="76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SCE</w:t>
            </w:r>
          </w:p>
        </w:tc>
        <w:tc>
          <w:tcPr>
            <w:tcW w:w="9000" w:type="dxa"/>
            <w:vAlign w:val="bottom"/>
          </w:tcPr>
          <w:p>
            <w:pPr>
              <w:ind w:left="76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SEC</w:t>
            </w:r>
          </w:p>
        </w:tc>
        <w:tc>
          <w:tcPr>
            <w:tcW w:w="9000" w:type="dxa"/>
            <w:vAlign w:val="bottom"/>
          </w:tcPr>
          <w:p>
            <w:pPr>
              <w:ind w:left="76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9000" w:type="dxa"/>
            <w:vAlign w:val="bottom"/>
          </w:tcPr>
          <w:p>
            <w:pPr>
              <w:ind w:left="760"/>
              <w:spacing w:after="0"/>
              <w:rPr>
                <w:sz w:val="20"/>
                <w:szCs w:val="20"/>
                <w:color w:val="auto"/>
              </w:rPr>
            </w:pPr>
            <w:r>
              <w:rPr>
                <w:rFonts w:ascii="Arial" w:cs="Arial" w:eastAsia="Arial" w:hAnsi="Arial"/>
                <w:sz w:val="18"/>
                <w:szCs w:val="18"/>
                <w:color w:val="auto"/>
              </w:rPr>
              <w:t>Collectively, the 2026 Senior Notes, the 2028 Senior Notes and the 2031 Senior Notes</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SPP</w:t>
            </w:r>
          </w:p>
        </w:tc>
        <w:tc>
          <w:tcPr>
            <w:tcW w:w="9000" w:type="dxa"/>
            <w:vAlign w:val="bottom"/>
          </w:tcPr>
          <w:p>
            <w:pPr>
              <w:ind w:left="76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SREC</w:t>
            </w:r>
          </w:p>
        </w:tc>
        <w:tc>
          <w:tcPr>
            <w:tcW w:w="9000" w:type="dxa"/>
            <w:vAlign w:val="bottom"/>
          </w:tcPr>
          <w:p>
            <w:pPr>
              <w:ind w:left="76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Tax Act</w:t>
            </w:r>
          </w:p>
        </w:tc>
        <w:tc>
          <w:tcPr>
            <w:tcW w:w="9000" w:type="dxa"/>
            <w:vAlign w:val="bottom"/>
          </w:tcPr>
          <w:p>
            <w:pPr>
              <w:ind w:left="760"/>
              <w:spacing w:after="0"/>
              <w:rPr>
                <w:sz w:val="20"/>
                <w:szCs w:val="20"/>
                <w:color w:val="auto"/>
              </w:rPr>
            </w:pPr>
            <w:r>
              <w:rPr>
                <w:rFonts w:ascii="Arial" w:cs="Arial" w:eastAsia="Arial" w:hAnsi="Arial"/>
                <w:sz w:val="18"/>
                <w:szCs w:val="18"/>
                <w:color w:val="auto"/>
              </w:rPr>
              <w:t>Tax Cuts and Jobs Act of 2017</w:t>
            </w: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line="176" w:lineRule="exact"/>
              <w:rPr>
                <w:sz w:val="20"/>
                <w:szCs w:val="20"/>
                <w:color w:val="auto"/>
              </w:rPr>
            </w:pPr>
            <w:r>
              <w:rPr>
                <w:rFonts w:ascii="Arial" w:cs="Arial" w:eastAsia="Arial" w:hAnsi="Arial"/>
                <w:sz w:val="18"/>
                <w:szCs w:val="18"/>
                <w:color w:val="auto"/>
              </w:rPr>
              <w:t>Thermal Business</w:t>
            </w:r>
          </w:p>
        </w:tc>
        <w:tc>
          <w:tcPr>
            <w:tcW w:w="9000" w:type="dxa"/>
            <w:vAlign w:val="bottom"/>
          </w:tcPr>
          <w:p>
            <w:pPr>
              <w:ind w:left="760"/>
              <w:spacing w:after="0" w:line="176" w:lineRule="exact"/>
              <w:rPr>
                <w:sz w:val="20"/>
                <w:szCs w:val="20"/>
                <w:color w:val="auto"/>
              </w:rPr>
            </w:pPr>
            <w:r>
              <w:rPr>
                <w:rFonts w:ascii="Arial" w:cs="Arial" w:eastAsia="Arial" w:hAnsi="Arial"/>
                <w:sz w:val="18"/>
                <w:szCs w:val="18"/>
                <w:color w:val="auto"/>
                <w:w w:val="93"/>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9000" w:type="dxa"/>
            <w:vAlign w:val="bottom"/>
          </w:tcPr>
          <w:p>
            <w:pPr>
              <w:ind w:left="760"/>
              <w:spacing w:after="0" w:line="176" w:lineRule="exact"/>
              <w:rPr>
                <w:sz w:val="20"/>
                <w:szCs w:val="20"/>
                <w:color w:val="auto"/>
              </w:rPr>
            </w:pPr>
            <w:r>
              <w:rPr>
                <w:rFonts w:ascii="Arial" w:cs="Arial" w:eastAsia="Arial" w:hAnsi="Arial"/>
                <w:sz w:val="18"/>
                <w:szCs w:val="18"/>
                <w:color w:val="auto"/>
                <w:w w:val="95"/>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9000" w:type="dxa"/>
            <w:vAlign w:val="bottom"/>
          </w:tcPr>
          <w:p>
            <w:pPr>
              <w:ind w:left="76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U.S.</w:t>
            </w:r>
          </w:p>
        </w:tc>
        <w:tc>
          <w:tcPr>
            <w:tcW w:w="9000" w:type="dxa"/>
            <w:vAlign w:val="bottom"/>
          </w:tcPr>
          <w:p>
            <w:pPr>
              <w:ind w:left="7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line="176" w:lineRule="exact"/>
              <w:rPr>
                <w:sz w:val="20"/>
                <w:szCs w:val="20"/>
                <w:color w:val="auto"/>
              </w:rPr>
            </w:pPr>
            <w:r>
              <w:rPr>
                <w:rFonts w:ascii="Arial" w:cs="Arial" w:eastAsia="Arial" w:hAnsi="Arial"/>
                <w:sz w:val="18"/>
                <w:szCs w:val="18"/>
                <w:color w:val="auto"/>
              </w:rPr>
              <w:t>Utah Solar Portfolio</w:t>
            </w:r>
          </w:p>
        </w:tc>
        <w:tc>
          <w:tcPr>
            <w:tcW w:w="9000" w:type="dxa"/>
            <w:vAlign w:val="bottom"/>
          </w:tcPr>
          <w:p>
            <w:pPr>
              <w:ind w:left="760"/>
              <w:spacing w:after="0" w:line="176" w:lineRule="exact"/>
              <w:rPr>
                <w:sz w:val="20"/>
                <w:szCs w:val="20"/>
                <w:color w:val="auto"/>
              </w:rPr>
            </w:pPr>
            <w:r>
              <w:rPr>
                <w:rFonts w:ascii="Arial" w:cs="Arial" w:eastAsia="Arial" w:hAnsi="Arial"/>
                <w:sz w:val="18"/>
                <w:szCs w:val="18"/>
                <w:color w:val="auto"/>
                <w:w w:val="95"/>
              </w:rPr>
              <w:t>Collection consists of Four Brothers Solar, LLC, Granite Mountain Holdings, LLC, and Iron Springs Holdings,</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9000" w:type="dxa"/>
            <w:vAlign w:val="bottom"/>
          </w:tcPr>
          <w:p>
            <w:pPr>
              <w:ind w:left="760"/>
              <w:spacing w:after="0" w:line="176" w:lineRule="exact"/>
              <w:rPr>
                <w:sz w:val="20"/>
                <w:szCs w:val="20"/>
                <w:color w:val="auto"/>
              </w:rPr>
            </w:pPr>
            <w:r>
              <w:rPr>
                <w:rFonts w:ascii="Arial" w:cs="Arial" w:eastAsia="Arial" w:hAnsi="Arial"/>
                <w:sz w:val="18"/>
                <w:szCs w:val="18"/>
                <w:color w:val="auto"/>
                <w:w w:val="94"/>
              </w:rPr>
              <w:t>LLC, which are equity investments owned by Four Brothers Capital, LLC, Granite Mountain Capital, LLC, and</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9000" w:type="dxa"/>
            <w:vAlign w:val="bottom"/>
          </w:tcPr>
          <w:p>
            <w:pPr>
              <w:ind w:left="760"/>
              <w:spacing w:after="0"/>
              <w:rPr>
                <w:sz w:val="20"/>
                <w:szCs w:val="20"/>
                <w:color w:val="auto"/>
              </w:rPr>
            </w:pPr>
            <w:r>
              <w:rPr>
                <w:rFonts w:ascii="Arial" w:cs="Arial" w:eastAsia="Arial" w:hAnsi="Arial"/>
                <w:sz w:val="18"/>
                <w:szCs w:val="18"/>
                <w:color w:val="auto"/>
              </w:rPr>
              <w:t>Iron Springs Capital, LLC, respectively</w:t>
            </w: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line="176" w:lineRule="exact"/>
              <w:rPr>
                <w:sz w:val="20"/>
                <w:szCs w:val="20"/>
                <w:color w:val="auto"/>
              </w:rPr>
            </w:pPr>
            <w:r>
              <w:rPr>
                <w:rFonts w:ascii="Arial" w:cs="Arial" w:eastAsia="Arial" w:hAnsi="Arial"/>
                <w:sz w:val="18"/>
                <w:szCs w:val="18"/>
                <w:color w:val="auto"/>
              </w:rPr>
              <w:t>Utility Scale Solar</w:t>
            </w:r>
          </w:p>
        </w:tc>
        <w:tc>
          <w:tcPr>
            <w:tcW w:w="9000" w:type="dxa"/>
            <w:vAlign w:val="bottom"/>
          </w:tcPr>
          <w:p>
            <w:pPr>
              <w:ind w:left="760"/>
              <w:spacing w:after="0" w:line="176" w:lineRule="exact"/>
              <w:rPr>
                <w:sz w:val="20"/>
                <w:szCs w:val="20"/>
                <w:color w:val="auto"/>
              </w:rPr>
            </w:pPr>
            <w:r>
              <w:rPr>
                <w:rFonts w:ascii="Arial" w:cs="Arial" w:eastAsia="Arial" w:hAnsi="Arial"/>
                <w:sz w:val="18"/>
                <w:szCs w:val="18"/>
                <w:color w:val="auto"/>
                <w:w w:val="98"/>
              </w:rPr>
              <w:t>Solar power projects, typically 20 MW or greater in size (on an alternating current, or AC, basis), that are</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9000" w:type="dxa"/>
            <w:vAlign w:val="bottom"/>
          </w:tcPr>
          <w:p>
            <w:pPr>
              <w:ind w:left="76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VaR</w:t>
            </w:r>
          </w:p>
        </w:tc>
        <w:tc>
          <w:tcPr>
            <w:tcW w:w="9000" w:type="dxa"/>
            <w:vAlign w:val="bottom"/>
          </w:tcPr>
          <w:p>
            <w:pPr>
              <w:ind w:left="760"/>
              <w:spacing w:after="0"/>
              <w:rPr>
                <w:sz w:val="20"/>
                <w:szCs w:val="20"/>
                <w:color w:val="auto"/>
              </w:rPr>
            </w:pPr>
            <w:r>
              <w:rPr>
                <w:rFonts w:ascii="Arial" w:cs="Arial" w:eastAsia="Arial" w:hAnsi="Arial"/>
                <w:sz w:val="18"/>
                <w:szCs w:val="18"/>
                <w:color w:val="auto"/>
              </w:rPr>
              <w:t>Value at Risk</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VIE</w:t>
            </w:r>
          </w:p>
        </w:tc>
        <w:tc>
          <w:tcPr>
            <w:tcW w:w="9000" w:type="dxa"/>
            <w:vAlign w:val="bottom"/>
          </w:tcPr>
          <w:p>
            <w:pPr>
              <w:ind w:left="76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r>
        <w:trPr>
          <w:trHeight w:val="878"/>
        </w:trPr>
        <w:tc>
          <w:tcPr>
            <w:tcW w:w="2240" w:type="dxa"/>
            <w:vAlign w:val="bottom"/>
          </w:tcPr>
          <w:p>
            <w:pPr>
              <w:spacing w:after="0"/>
              <w:rPr>
                <w:sz w:val="24"/>
                <w:szCs w:val="24"/>
                <w:color w:val="auto"/>
              </w:rPr>
            </w:pPr>
          </w:p>
        </w:tc>
        <w:tc>
          <w:tcPr>
            <w:tcW w:w="9000" w:type="dxa"/>
            <w:vAlign w:val="bottom"/>
          </w:tcPr>
          <w:p>
            <w:pPr>
              <w:ind w:left="3340"/>
              <w:spacing w:after="0"/>
              <w:rPr>
                <w:sz w:val="20"/>
                <w:szCs w:val="20"/>
                <w:color w:val="auto"/>
              </w:rPr>
            </w:pPr>
            <w:r>
              <w:rPr>
                <w:rFonts w:ascii="Arial" w:cs="Arial" w:eastAsia="Arial" w:hAnsi="Arial"/>
                <w:sz w:val="18"/>
                <w:szCs w:val="18"/>
                <w:color w:val="231F20"/>
              </w:rPr>
              <w:t>5</w:t>
            </w:r>
          </w:p>
        </w:tc>
        <w:tc>
          <w:tcPr>
            <w:tcW w:w="0" w:type="dxa"/>
            <w:vAlign w:val="bottom"/>
          </w:tcPr>
          <w:p>
            <w:pPr>
              <w:spacing w:after="0"/>
              <w:rPr>
                <w:sz w:val="1"/>
                <w:szCs w:val="1"/>
                <w:color w:val="auto"/>
              </w:rPr>
            </w:pPr>
          </w:p>
        </w:tc>
      </w:tr>
      <w:tr>
        <w:trPr>
          <w:trHeight w:val="358"/>
        </w:trPr>
        <w:tc>
          <w:tcPr>
            <w:tcW w:w="224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86"/>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6880" w:type="dxa"/>
            <w:vAlign w:val="bottom"/>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88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(losses) of unconsolidated affiliates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88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Loss attributable to noncontrolling interests and redeemable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Earnings Per Share Attributable to Clearway Energy, Inc. Class A and Class C</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Common Stockholders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40"/>
              <w:spacing w:after="0"/>
              <w:rPr>
                <w:sz w:val="20"/>
                <w:szCs w:val="20"/>
                <w:color w:val="auto"/>
              </w:rPr>
            </w:pPr>
            <w:r>
              <w:rPr>
                <w:rFonts w:ascii="Arial" w:cs="Arial" w:eastAsia="Arial" w:hAnsi="Arial"/>
                <w:sz w:val="14"/>
                <w:szCs w:val="14"/>
                <w:color w:val="auto"/>
              </w:rPr>
              <w:t>Weighted average number of Class A common shares outstanding - basic and 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 average number of Class C common shares outstanding - basic and 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5"/>
        </w:trPr>
        <w:tc>
          <w:tcPr>
            <w:tcW w:w="688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6"/>
              </w:rPr>
              <w:t>Earnings (Loss) per Weighted Average Class A and Class C Common Share - Basic</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8"/>
        </w:trPr>
        <w:tc>
          <w:tcPr>
            <w:tcW w:w="688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and Diluted</w:t>
            </w:r>
          </w:p>
        </w:tc>
        <w:tc>
          <w:tcPr>
            <w:tcW w:w="2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Per Class C Common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0.324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80"/>
          </w:cols>
          <w:pgMar w:left="1160" w:top="891" w:right="11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6060" w:type="dxa"/>
            <w:vAlign w:val="bottom"/>
            <w:tcBorders>
              <w:bottom w:val="single" w:sz="8" w:color="BFE4FF"/>
            </w:tcBorders>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BFE4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060" w:type="dxa"/>
            <w:vAlign w:val="bottom"/>
            <w:shd w:val="clear" w:color="auto" w:fill="BFE4FF"/>
          </w:tcPr>
          <w:p>
            <w:pPr>
              <w:spacing w:after="0"/>
              <w:rPr>
                <w:sz w:val="20"/>
                <w:szCs w:val="20"/>
                <w:color w:val="auto"/>
              </w:rPr>
            </w:pPr>
            <w:r>
              <w:rPr>
                <w:rFonts w:ascii="Arial" w:cs="Arial" w:eastAsia="Arial" w:hAnsi="Arial"/>
                <w:sz w:val="18"/>
                <w:szCs w:val="18"/>
                <w:b w:val="1"/>
                <w:bCs w:val="1"/>
                <w:color w:val="auto"/>
              </w:rPr>
              <w:t>Net Loss</w:t>
            </w:r>
          </w:p>
        </w:tc>
        <w:tc>
          <w:tcPr>
            <w:tcW w:w="420" w:type="dxa"/>
            <w:vAlign w:val="bottom"/>
            <w:shd w:val="clear" w:color="auto" w:fill="BFE4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BFE4FF"/>
          </w:tcPr>
          <w:p>
            <w:pPr>
              <w:spacing w:after="0"/>
              <w:rPr>
                <w:sz w:val="19"/>
                <w:szCs w:val="19"/>
                <w:color w:val="auto"/>
              </w:rPr>
            </w:pPr>
          </w:p>
        </w:tc>
        <w:tc>
          <w:tcPr>
            <w:tcW w:w="420" w:type="dxa"/>
            <w:vAlign w:val="bottom"/>
            <w:shd w:val="clear" w:color="auto" w:fill="BFE4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60" w:type="dxa"/>
            <w:vAlign w:val="bottom"/>
            <w:shd w:val="clear" w:color="auto" w:fill="BFE4FF"/>
          </w:tcPr>
          <w:p>
            <w:pPr>
              <w:ind w:left="160"/>
              <w:spacing w:after="0" w:line="176" w:lineRule="exact"/>
              <w:rPr>
                <w:sz w:val="20"/>
                <w:szCs w:val="20"/>
                <w:color w:val="auto"/>
              </w:rPr>
            </w:pPr>
            <w:r>
              <w:rPr>
                <w:rFonts w:ascii="Arial" w:cs="Arial" w:eastAsia="Arial" w:hAnsi="Arial"/>
                <w:sz w:val="18"/>
                <w:szCs w:val="18"/>
                <w:color w:val="auto"/>
                <w:w w:val="93"/>
              </w:rPr>
              <w:t>Unrealized gain (loss) on derivatives, net of income tax expense (benefit) of $2</w:t>
            </w:r>
          </w:p>
        </w:tc>
        <w:tc>
          <w:tcPr>
            <w:tcW w:w="420" w:type="dxa"/>
            <w:vAlign w:val="bottom"/>
            <w:shd w:val="clear" w:color="auto" w:fill="BFE4FF"/>
          </w:tcPr>
          <w:p>
            <w:pPr>
              <w:spacing w:after="0"/>
              <w:rPr>
                <w:sz w:val="15"/>
                <w:szCs w:val="15"/>
                <w:color w:val="auto"/>
              </w:rPr>
            </w:pPr>
          </w:p>
        </w:tc>
        <w:tc>
          <w:tcPr>
            <w:tcW w:w="136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BFE4FF"/>
          </w:tcPr>
          <w:p>
            <w:pPr>
              <w:spacing w:after="0"/>
              <w:rPr>
                <w:sz w:val="15"/>
                <w:szCs w:val="15"/>
                <w:color w:val="auto"/>
              </w:rPr>
            </w:pPr>
          </w:p>
        </w:tc>
        <w:tc>
          <w:tcPr>
            <w:tcW w:w="420" w:type="dxa"/>
            <w:vAlign w:val="bottom"/>
            <w:shd w:val="clear" w:color="auto" w:fill="BFE4FF"/>
          </w:tcPr>
          <w:p>
            <w:pPr>
              <w:spacing w:after="0"/>
              <w:rPr>
                <w:sz w:val="15"/>
                <w:szCs w:val="15"/>
                <w:color w:val="auto"/>
              </w:rPr>
            </w:pPr>
          </w:p>
        </w:tc>
        <w:tc>
          <w:tcPr>
            <w:tcW w:w="138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060" w:type="dxa"/>
            <w:vAlign w:val="bottom"/>
            <w:shd w:val="clear" w:color="auto" w:fill="BFE4FF"/>
          </w:tcPr>
          <w:p>
            <w:pPr>
              <w:ind w:left="160"/>
              <w:spacing w:after="0"/>
              <w:rPr>
                <w:sz w:val="20"/>
                <w:szCs w:val="20"/>
                <w:color w:val="auto"/>
              </w:rPr>
            </w:pPr>
            <w:r>
              <w:rPr>
                <w:rFonts w:ascii="Arial" w:cs="Arial" w:eastAsia="Arial" w:hAnsi="Arial"/>
                <w:sz w:val="18"/>
                <w:szCs w:val="18"/>
                <w:color w:val="auto"/>
              </w:rPr>
              <w:t>and $(2)</w:t>
            </w:r>
          </w:p>
        </w:tc>
        <w:tc>
          <w:tcPr>
            <w:tcW w:w="420" w:type="dxa"/>
            <w:vAlign w:val="bottom"/>
            <w:tcBorders>
              <w:bottom w:val="single" w:sz="8" w:color="auto"/>
            </w:tcBorders>
            <w:shd w:val="clear" w:color="auto" w:fill="BFE4FF"/>
          </w:tcPr>
          <w:p>
            <w:pPr>
              <w:spacing w:after="0"/>
              <w:rPr>
                <w:sz w:val="19"/>
                <w:szCs w:val="19"/>
                <w:color w:val="auto"/>
              </w:rPr>
            </w:pPr>
          </w:p>
        </w:tc>
        <w:tc>
          <w:tcPr>
            <w:tcW w:w="1360" w:type="dxa"/>
            <w:vAlign w:val="bottom"/>
            <w:tcBorders>
              <w:bottom w:val="single" w:sz="8" w:color="auto"/>
            </w:tcBorders>
            <w:vMerge w:val="continue"/>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20" w:type="dxa"/>
            <w:vAlign w:val="bottom"/>
            <w:tcBorders>
              <w:bottom w:val="single" w:sz="8" w:color="auto"/>
            </w:tcBorders>
            <w:shd w:val="clear" w:color="auto" w:fill="BFE4FF"/>
          </w:tcPr>
          <w:p>
            <w:pPr>
              <w:spacing w:after="0"/>
              <w:rPr>
                <w:sz w:val="19"/>
                <w:szCs w:val="19"/>
                <w:color w:val="auto"/>
              </w:rPr>
            </w:pPr>
          </w:p>
        </w:tc>
        <w:tc>
          <w:tcPr>
            <w:tcW w:w="1380" w:type="dxa"/>
            <w:vAlign w:val="bottom"/>
            <w:tcBorders>
              <w:bottom w:val="single" w:sz="8" w:color="auto"/>
            </w:tcBorders>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BFE4FF"/>
            </w:tcBorders>
          </w:tcPr>
          <w:p>
            <w:pPr>
              <w:ind w:left="160"/>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BFE4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060" w:type="dxa"/>
            <w:vAlign w:val="bottom"/>
            <w:shd w:val="clear" w:color="auto" w:fill="BFE4FF"/>
          </w:tcPr>
          <w:p>
            <w:pPr>
              <w:spacing w:after="0"/>
              <w:rPr>
                <w:sz w:val="20"/>
                <w:szCs w:val="20"/>
                <w:color w:val="auto"/>
              </w:rPr>
            </w:pPr>
            <w:r>
              <w:rPr>
                <w:rFonts w:ascii="Arial" w:cs="Arial" w:eastAsia="Arial" w:hAnsi="Arial"/>
                <w:sz w:val="18"/>
                <w:szCs w:val="18"/>
                <w:b w:val="1"/>
                <w:bCs w:val="1"/>
                <w:color w:val="auto"/>
              </w:rPr>
              <w:t>Comprehensive Loss</w:t>
            </w:r>
          </w:p>
        </w:tc>
        <w:tc>
          <w:tcPr>
            <w:tcW w:w="420" w:type="dxa"/>
            <w:vAlign w:val="bottom"/>
            <w:shd w:val="clear" w:color="auto" w:fill="BFE4FF"/>
          </w:tcPr>
          <w:p>
            <w:pPr>
              <w:spacing w:after="0"/>
              <w:rPr>
                <w:sz w:val="19"/>
                <w:szCs w:val="19"/>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BFE4FF"/>
          </w:tcPr>
          <w:p>
            <w:pPr>
              <w:spacing w:after="0"/>
              <w:rPr>
                <w:sz w:val="19"/>
                <w:szCs w:val="19"/>
                <w:color w:val="auto"/>
              </w:rPr>
            </w:pPr>
          </w:p>
        </w:tc>
        <w:tc>
          <w:tcPr>
            <w:tcW w:w="420" w:type="dxa"/>
            <w:vAlign w:val="bottom"/>
            <w:shd w:val="clear" w:color="auto" w:fill="BFE4FF"/>
          </w:tcPr>
          <w:p>
            <w:pPr>
              <w:spacing w:after="0"/>
              <w:rPr>
                <w:sz w:val="19"/>
                <w:szCs w:val="19"/>
                <w:color w:val="auto"/>
              </w:rPr>
            </w:pPr>
          </w:p>
        </w:tc>
        <w:tc>
          <w:tcPr>
            <w:tcW w:w="13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75"/>
        </w:trPr>
        <w:tc>
          <w:tcPr>
            <w:tcW w:w="6060" w:type="dxa"/>
            <w:vAlign w:val="bottom"/>
          </w:tcPr>
          <w:p>
            <w:pPr>
              <w:ind w:left="160"/>
              <w:spacing w:after="0" w:line="176" w:lineRule="exact"/>
              <w:rPr>
                <w:sz w:val="20"/>
                <w:szCs w:val="20"/>
                <w:color w:val="auto"/>
              </w:rPr>
            </w:pPr>
            <w:r>
              <w:rPr>
                <w:rFonts w:ascii="Arial" w:cs="Arial" w:eastAsia="Arial" w:hAnsi="Arial"/>
                <w:sz w:val="18"/>
                <w:szCs w:val="18"/>
                <w:color w:val="auto"/>
              </w:rPr>
              <w:t>Less: Comprehensive loss attributable to noncontrolling interests and</w:t>
            </w:r>
          </w:p>
        </w:tc>
        <w:tc>
          <w:tcPr>
            <w:tcW w:w="4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BFE4FF"/>
            </w:tcBorders>
          </w:tcPr>
          <w:p>
            <w:pPr>
              <w:ind w:left="160"/>
              <w:spacing w:after="0"/>
              <w:rPr>
                <w:sz w:val="20"/>
                <w:szCs w:val="20"/>
                <w:color w:val="auto"/>
              </w:rPr>
            </w:pPr>
            <w:r>
              <w:rPr>
                <w:rFonts w:ascii="Arial" w:cs="Arial" w:eastAsia="Arial" w:hAnsi="Arial"/>
                <w:sz w:val="18"/>
                <w:szCs w:val="18"/>
                <w:color w:val="auto"/>
              </w:rPr>
              <w:t>redeemable interests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BFE4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6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b w:val="1"/>
                <w:bCs w:val="1"/>
                <w:color w:val="auto"/>
              </w:rPr>
              <w:t>Comprehensive Income (Loss) Attributable to Clearway Energy, Inc.</w:t>
            </w:r>
          </w:p>
        </w:tc>
        <w:tc>
          <w:tcPr>
            <w:tcW w:w="420" w:type="dxa"/>
            <w:vAlign w:val="bottom"/>
            <w:tcBorders>
              <w:bottom w:val="single" w:sz="8" w:color="auto"/>
            </w:tcBorders>
            <w:shd w:val="clear" w:color="auto" w:fill="BFE4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auto"/>
            </w:tcBorders>
            <w:shd w:val="clear" w:color="auto" w:fill="BFE4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06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bottom w:val="single" w:sz="8" w:color="auto"/>
            </w:tcBorders>
          </w:tcPr>
          <w:p>
            <w:pPr>
              <w:spacing w:after="0" w:line="20" w:lineRule="exact"/>
              <w:rPr>
                <w:sz w:val="1"/>
                <w:szCs w:val="1"/>
                <w:color w:val="auto"/>
              </w:rPr>
            </w:pPr>
          </w:p>
        </w:tc>
        <w:tc>
          <w:tcPr>
            <w:tcW w:w="13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bottom w:val="single" w:sz="8" w:color="auto"/>
            </w:tcBorders>
          </w:tcPr>
          <w:p>
            <w:pPr>
              <w:spacing w:after="0" w:line="20" w:lineRule="exact"/>
              <w:rPr>
                <w:sz w:val="1"/>
                <w:szCs w:val="1"/>
                <w:color w:val="auto"/>
              </w:rPr>
            </w:pPr>
          </w:p>
        </w:tc>
        <w:tc>
          <w:tcPr>
            <w:tcW w:w="138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080" w:top="891" w:right="10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shares)</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4"/>
              </w:rPr>
              <w:t>March 31,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97"/>
        </w:trPr>
        <w:tc>
          <w:tcPr>
            <w:tcW w:w="7140" w:type="dxa"/>
            <w:vAlign w:val="bottom"/>
          </w:tcPr>
          <w:p>
            <w:pPr>
              <w:ind w:left="326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7"/>
                <w:szCs w:val="17"/>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(unaudited)</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3"/>
        </w:trPr>
        <w:tc>
          <w:tcPr>
            <w:tcW w:w="71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714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7,217</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3"/>
        </w:trPr>
        <w:tc>
          <w:tcPr>
            <w:tcW w:w="7140" w:type="dxa"/>
            <w:vAlign w:val="bottom"/>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714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7140" w:type="dxa"/>
            <w:vAlign w:val="bottom"/>
          </w:tcPr>
          <w:p>
            <w:pPr>
              <w:ind w:left="180"/>
              <w:spacing w:after="0"/>
              <w:rPr>
                <w:sz w:val="20"/>
                <w:szCs w:val="20"/>
                <w:color w:val="auto"/>
              </w:rPr>
            </w:pPr>
            <w:r>
              <w:rPr>
                <w:rFonts w:ascii="Arial" w:cs="Arial" w:eastAsia="Arial" w:hAnsi="Arial"/>
                <w:sz w:val="16"/>
                <w:szCs w:val="16"/>
                <w:color w:val="auto"/>
              </w:rPr>
              <w:t>Right of use assets,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180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1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Accounts payable — affiliates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Accrued interest expense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19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Long-term lease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6"/>
        </w:trPr>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7,243</w:t>
            </w:r>
          </w:p>
        </w:tc>
        <w:tc>
          <w:tcPr>
            <w:tcW w:w="0" w:type="dxa"/>
            <w:vAlign w:val="bottom"/>
          </w:tcPr>
          <w:p>
            <w:pPr>
              <w:spacing w:after="0"/>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7,877</w:t>
            </w:r>
          </w:p>
        </w:tc>
        <w:tc>
          <w:tcPr>
            <w:tcW w:w="0" w:type="dxa"/>
            <w:vAlign w:val="bottom"/>
          </w:tcPr>
          <w:p>
            <w:pPr>
              <w:spacing w:after="0"/>
              <w:rPr>
                <w:sz w:val="1"/>
                <w:szCs w:val="1"/>
                <w:color w:val="auto"/>
              </w:rPr>
            </w:pPr>
          </w:p>
        </w:tc>
      </w:tr>
      <w:tr>
        <w:trPr>
          <w:trHeight w:val="193"/>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2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1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Class A, Class B, Class C and Class D common stock, $0.01 par value; 3,000,000,000 shares authorized</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2"/>
              </w:rPr>
              <w:t>(Class A 500,000,000, Class B 500,000,000, Class C 1,000,000,000, Class D 1,000,000,000); 201,818,187</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5"/>
              </w:rPr>
              <w:t>shares issued and outstanding (Class A 34,599,645, Class B 42,738,750, Class C 81,741,042, Class D</w:t>
            </w: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1"/>
              </w:rPr>
              <w:t>42,738,750) at March 31, 2021 and 201,635,990 shares issued and outstanding (Class A 34,599,645, Class</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 42,738,750, Class C 81,558,845, Class D 42,738,750) at December 31, 2020</w:t>
            </w: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3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769" w:right="5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Equity in (earnings) losses of unconsolidated affiliates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from unconsolidated affiliates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Depreciation, amortization and accretion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financing costs and debt discounts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deferred income taxes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Changes in derivative instruments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used in changes in other working capital</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other working capital</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Acquisition of Agua Caliente, net of cash acquired</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Drop Down Asset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assets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Insurance proceeds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contributions from noncontrolling interests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Net proceeds from the issuance of common stock</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dividends and distributions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revolving credit facility</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Payments for the revolving credit facility</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long-term debt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Payments for long-term debt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3"/>
                <w:szCs w:val="13"/>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3"/>
                <w:szCs w:val="13"/>
                <w:color w:val="auto"/>
              </w:rPr>
            </w:pPr>
          </w:p>
        </w:tc>
        <w:tc>
          <w:tcPr>
            <w:tcW w:w="92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8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43"/>
              <w:spacing w:after="0" w:line="122"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Comprehensive Loss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15"/>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 on derivatives, net of tax</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820" w:type="dxa"/>
            <w:vAlign w:val="bottom"/>
          </w:tcPr>
          <w:p>
            <w:pPr>
              <w:ind w:left="220"/>
              <w:spacing w:after="0"/>
              <w:rPr>
                <w:sz w:val="20"/>
                <w:szCs w:val="20"/>
                <w:color w:val="auto"/>
              </w:rPr>
            </w:pPr>
            <w:r>
              <w:rPr>
                <w:rFonts w:ascii="Arial" w:cs="Arial" w:eastAsia="Arial" w:hAnsi="Arial"/>
                <w:sz w:val="16"/>
                <w:szCs w:val="16"/>
                <w:color w:val="auto"/>
              </w:rPr>
              <w:t>Contributions from CEG, non-cash</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Contributions from CEG, cash</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6"/>
        </w:trPr>
        <w:tc>
          <w:tcPr>
            <w:tcW w:w="3820" w:type="dxa"/>
            <w:vAlign w:val="bottom"/>
          </w:tcPr>
          <w:p>
            <w:pPr>
              <w:ind w:left="220"/>
              <w:spacing w:after="0" w:line="166" w:lineRule="exact"/>
              <w:rPr>
                <w:sz w:val="20"/>
                <w:szCs w:val="20"/>
                <w:color w:val="auto"/>
              </w:rPr>
            </w:pPr>
            <w:r>
              <w:rPr>
                <w:rFonts w:ascii="Arial" w:cs="Arial" w:eastAsia="Arial" w:hAnsi="Arial"/>
                <w:sz w:val="16"/>
                <w:szCs w:val="16"/>
                <w:color w:val="auto"/>
              </w:rPr>
              <w:t>Contributions from noncontrolling interests, net of</w:t>
            </w:r>
          </w:p>
        </w:tc>
        <w:tc>
          <w:tcPr>
            <w:tcW w:w="120" w:type="dxa"/>
            <w:vAlign w:val="bottom"/>
          </w:tcPr>
          <w:p>
            <w:pPr>
              <w:spacing w:after="0"/>
              <w:rPr>
                <w:sz w:val="14"/>
                <w:szCs w:val="14"/>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9"/>
        </w:trPr>
        <w:tc>
          <w:tcPr>
            <w:tcW w:w="3820" w:type="dxa"/>
            <w:vAlign w:val="bottom"/>
          </w:tcPr>
          <w:p>
            <w:pPr>
              <w:ind w:left="220"/>
              <w:spacing w:after="0"/>
              <w:rPr>
                <w:sz w:val="20"/>
                <w:szCs w:val="20"/>
                <w:color w:val="auto"/>
              </w:rPr>
            </w:pPr>
            <w:r>
              <w:rPr>
                <w:rFonts w:ascii="Arial" w:cs="Arial" w:eastAsia="Arial" w:hAnsi="Arial"/>
                <w:sz w:val="16"/>
                <w:szCs w:val="16"/>
                <w:color w:val="auto"/>
              </w:rPr>
              <w:t>distributions, cash</w:t>
            </w: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Agua Caliente acquisition</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3"/>
        </w:trPr>
        <w:tc>
          <w:tcPr>
            <w:tcW w:w="3820" w:type="dxa"/>
            <w:vAlign w:val="bottom"/>
          </w:tcPr>
          <w:p>
            <w:pPr>
              <w:ind w:left="220"/>
              <w:spacing w:after="0"/>
              <w:rPr>
                <w:sz w:val="20"/>
                <w:szCs w:val="20"/>
                <w:color w:val="auto"/>
              </w:rPr>
            </w:pPr>
            <w:r>
              <w:rPr>
                <w:rFonts w:ascii="Arial" w:cs="Arial" w:eastAsia="Arial" w:hAnsi="Arial"/>
                <w:sz w:val="16"/>
                <w:szCs w:val="16"/>
                <w:color w:val="auto"/>
              </w:rPr>
              <w:t>Rattlesnake Drop Down</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Common stock dividends and distributions to CEG</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2"/>
                <w:szCs w:val="12"/>
                <w:color w:val="auto"/>
              </w:rPr>
            </w:pPr>
          </w:p>
        </w:tc>
        <w:tc>
          <w:tcPr>
            <w:tcW w:w="920" w:type="dxa"/>
            <w:vAlign w:val="bottom"/>
          </w:tcPr>
          <w:p>
            <w:pPr>
              <w:jc w:val="center"/>
              <w:ind w:right="44"/>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8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ind w:left="260"/>
              <w:spacing w:after="0" w:line="122"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44"/>
              <w:spacing w:after="0" w:line="122"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5"/>
              </w:rPr>
              <w:t>Deficit</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5"/>
              </w:rPr>
              <w:t>Comprehensive Loss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15"/>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 on derivatives, net of tax</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3820" w:type="dxa"/>
            <w:vAlign w:val="bottom"/>
          </w:tcPr>
          <w:p>
            <w:pPr>
              <w:ind w:left="220"/>
              <w:spacing w:after="0"/>
              <w:rPr>
                <w:sz w:val="20"/>
                <w:szCs w:val="20"/>
                <w:color w:val="auto"/>
              </w:rPr>
            </w:pPr>
            <w:r>
              <w:rPr>
                <w:rFonts w:ascii="Arial" w:cs="Arial" w:eastAsia="Arial" w:hAnsi="Arial"/>
                <w:sz w:val="16"/>
                <w:szCs w:val="16"/>
                <w:color w:val="auto"/>
              </w:rPr>
              <w:t>Contributions from CEG, cash</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38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Contributions from tax equity interests, net of</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cash</w:t>
            </w: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820" w:type="dxa"/>
            <w:vAlign w:val="bottom"/>
          </w:tcPr>
          <w:p>
            <w:pPr>
              <w:ind w:left="220"/>
              <w:spacing w:after="0" w:line="166" w:lineRule="exact"/>
              <w:rPr>
                <w:sz w:val="20"/>
                <w:szCs w:val="20"/>
                <w:color w:val="auto"/>
              </w:rPr>
            </w:pPr>
            <w:r>
              <w:rPr>
                <w:rFonts w:ascii="Arial" w:cs="Arial" w:eastAsia="Arial" w:hAnsi="Arial"/>
                <w:sz w:val="16"/>
                <w:szCs w:val="16"/>
                <w:color w:val="auto"/>
              </w:rPr>
              <w:t>Net proceeds from the issuance of common stock</w:t>
            </w:r>
          </w:p>
        </w:tc>
        <w:tc>
          <w:tcPr>
            <w:tcW w:w="120" w:type="dxa"/>
            <w:vAlign w:val="bottom"/>
          </w:tcPr>
          <w:p>
            <w:pPr>
              <w:spacing w:after="0"/>
              <w:rPr>
                <w:sz w:val="14"/>
                <w:szCs w:val="14"/>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3820" w:type="dxa"/>
            <w:vAlign w:val="bottom"/>
          </w:tcPr>
          <w:p>
            <w:pPr>
              <w:ind w:left="220"/>
              <w:spacing w:after="0"/>
              <w:rPr>
                <w:sz w:val="20"/>
                <w:szCs w:val="20"/>
                <w:color w:val="auto"/>
              </w:rPr>
            </w:pPr>
            <w:r>
              <w:rPr>
                <w:rFonts w:ascii="Arial" w:cs="Arial" w:eastAsia="Arial" w:hAnsi="Arial"/>
                <w:sz w:val="16"/>
                <w:szCs w:val="16"/>
                <w:color w:val="auto"/>
              </w:rPr>
              <w:t>under the ATM Program</w:t>
            </w: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to tax equity investors, non-cash</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Common stock dividends and distributions to CEG</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energy and transport sectors, and Global Infrastructure Partners III is its third equity fund. The Company is sponsored by GIP through GIP's portfolio company, CEG.</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one of the largest renewable energy owners in the U.S. with over 4,200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3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owns 57.65% of the economic interests of Clearway Energy LLC, with CEG owning 42.35% of the economic interests of Clearway Energy LLC as of March 31, 2021.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color w:val="auto"/>
        </w:rPr>
        <w:t>The following table represents the structure of the Company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4397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2020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2021, and the results of operations, comprehensive income (loss) and cash flows for the three months ended March 31, 2021 and 2020.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$111 million and $149 million as of March 31, 2021 and December 31, 2020, respectively.</w:t>
      </w:r>
    </w:p>
    <w:p>
      <w:pPr>
        <w:spacing w:after="0" w:line="92"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March 31, 2021</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210"/>
        </w:trPr>
        <w:tc>
          <w:tcPr>
            <w:tcW w:w="7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1400" w:type="dxa"/>
            <w:vAlign w:val="bottom"/>
          </w:tcPr>
          <w:p>
            <w:pPr>
              <w:spacing w:after="0"/>
              <w:rPr>
                <w:sz w:val="18"/>
                <w:szCs w:val="18"/>
                <w:color w:val="auto"/>
              </w:rPr>
            </w:pP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8"/>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March 31, 2021, these restricted funds were comprised of $114 million designated to fund operating expenses, approximately $45 million designated for current debt service payments, and $93 million restricted for reserves including debt service, performance obligations and other reserves, as well as capital expenditures. The remaining $35 million is held in distribution reserve accounts.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2020, the members of the partnerships holding the Oahu Solar and Kawailoa Solar projects submitted applications to the state of Hawaii for refundable tax credits based on the cost of construction of the projects. The Company recorded a receivable for these refundable tax credits of $49 million which is reflected in prepayments and other current assets on the Company's consolidated balance sheet as of March 31, 2021 with an offsetting reduction to the construction costs in property, plant and equipment, net. The Company received the cash proceeds from the refundable tax credits on April 7, 2021. In accordance with the projects' related agreements, the cash will be held in a restricted account and utilized to offset future invoiced amounts under the projects PPAs.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80" w:firstLine="405"/>
        <w:spacing w:after="0" w:line="274"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March 31, 2021 and December 31, 2020:</w:t>
      </w: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December 31, 2020</w:t>
            </w:r>
          </w:p>
        </w:tc>
      </w:tr>
      <w:tr>
        <w:trPr>
          <w:trHeight w:val="210"/>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jc w:val="right"/>
              <w:ind w:right="1413"/>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26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519</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487</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dividends paid on the Company's Class A common stock and Class C common stock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9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First Quarter 2021</w:t>
            </w:r>
          </w:p>
        </w:tc>
      </w:tr>
      <w:tr>
        <w:trPr>
          <w:trHeight w:val="229"/>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0.324</w:t>
            </w: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0.324</w:t>
            </w:r>
          </w:p>
        </w:tc>
      </w:tr>
    </w:tbl>
    <w:p>
      <w:pPr>
        <w:spacing w:after="0" w:line="14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29, 2021, the Company declared quarterly dividends on its Class A common stock and Class C common stock of $0.329 per share payable on June 15, 2021 to stockholders of record as of June 1,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Distributions to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distributions paid to CEG during the three months ended March 31, 2021 on Clearway Energy LLC's Class B and D units: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First Quarter 2021</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Class B Unit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0.324</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Distributions per Class D Unit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0.324</w:t>
            </w:r>
          </w:p>
        </w:tc>
      </w:tr>
    </w:tbl>
    <w:p>
      <w:pPr>
        <w:spacing w:after="0" w:line="147"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On April 29, 2021, Clearway Energy LLC declared a distribution on its Class B and Class D units of $0.329 per unit payable on June 15, 2021 to unit holders of record as of June 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 or RECs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months ended March 31, 2021 and 2020,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2021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40" w:type="dxa"/>
            <w:vAlign w:val="bottom"/>
          </w:tcPr>
          <w:p>
            <w:pPr>
              <w:spacing w:after="0"/>
              <w:rPr>
                <w:sz w:val="11"/>
                <w:szCs w:val="11"/>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Generation</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97"/>
        </w:trPr>
        <w:tc>
          <w:tcPr>
            <w:tcW w:w="610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10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6100" w:type="dxa"/>
            <w:vAlign w:val="bottom"/>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0" w:hanging="149"/>
        <w:spacing w:after="0"/>
        <w:tabs>
          <w:tab w:leader="none" w:pos="40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56"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0" w:type="dxa"/>
            <w:vAlign w:val="bottom"/>
          </w:tcPr>
          <w:p>
            <w:pPr>
              <w:jc w:val="center"/>
              <w:ind w:left="728"/>
              <w:spacing w:after="0"/>
              <w:rPr>
                <w:sz w:val="20"/>
                <w:szCs w:val="20"/>
                <w:color w:val="auto"/>
              </w:rPr>
            </w:pPr>
            <w:r>
              <w:rPr>
                <w:rFonts w:ascii="Arial" w:cs="Arial" w:eastAsia="Arial" w:hAnsi="Arial"/>
                <w:sz w:val="14"/>
                <w:szCs w:val="14"/>
                <w:b w:val="1"/>
                <w:bCs w:val="1"/>
                <w:color w:val="auto"/>
                <w:w w:val="94"/>
              </w:rPr>
              <w:t>Conventional</w:t>
            </w:r>
          </w:p>
        </w:tc>
        <w:tc>
          <w:tcPr>
            <w:tcW w:w="15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Renewables</w:t>
            </w:r>
          </w:p>
        </w:tc>
        <w:tc>
          <w:tcPr>
            <w:tcW w:w="15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Thermal</w:t>
            </w:r>
          </w:p>
        </w:tc>
        <w:tc>
          <w:tcPr>
            <w:tcW w:w="86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940" w:type="dxa"/>
            <w:vAlign w:val="bottom"/>
            <w:vMerge w:val="continue"/>
          </w:tcPr>
          <w:p>
            <w:pPr>
              <w:spacing w:after="0"/>
              <w:rPr>
                <w:sz w:val="16"/>
                <w:szCs w:val="16"/>
                <w:color w:val="auto"/>
              </w:rPr>
            </w:pPr>
          </w:p>
        </w:tc>
        <w:tc>
          <w:tcPr>
            <w:tcW w:w="2400" w:type="dxa"/>
            <w:vAlign w:val="bottom"/>
          </w:tcPr>
          <w:p>
            <w:pPr>
              <w:jc w:val="center"/>
              <w:ind w:left="728"/>
              <w:spacing w:after="0"/>
              <w:rPr>
                <w:sz w:val="20"/>
                <w:szCs w:val="20"/>
                <w:color w:val="auto"/>
              </w:rPr>
            </w:pPr>
            <w:r>
              <w:rPr>
                <w:rFonts w:ascii="Arial" w:cs="Arial" w:eastAsia="Arial" w:hAnsi="Arial"/>
                <w:sz w:val="14"/>
                <w:szCs w:val="14"/>
                <w:b w:val="1"/>
                <w:bCs w:val="1"/>
                <w:color w:val="auto"/>
                <w:w w:val="91"/>
              </w:rPr>
              <w:t>Generation</w:t>
            </w:r>
          </w:p>
        </w:tc>
        <w:tc>
          <w:tcPr>
            <w:tcW w:w="15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1120" w:type="dxa"/>
            <w:vAlign w:val="bottom"/>
          </w:tcPr>
          <w:p>
            <w:pPr>
              <w:spacing w:after="0"/>
              <w:rPr>
                <w:sz w:val="19"/>
                <w:szCs w:val="19"/>
                <w:color w:val="auto"/>
              </w:rPr>
            </w:pPr>
          </w:p>
        </w:tc>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6"/>
              </w:rPr>
              <w:t>147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107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20" w:type="dxa"/>
            <w:vAlign w:val="bottom"/>
          </w:tcPr>
          <w:p>
            <w:pPr>
              <w:spacing w:after="0"/>
              <w:rPr>
                <w:sz w:val="21"/>
                <w:szCs w:val="21"/>
                <w:color w:val="auto"/>
              </w:rPr>
            </w:pPr>
          </w:p>
        </w:tc>
        <w:tc>
          <w:tcPr>
            <w:tcW w:w="2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6"/>
              </w:rPr>
              <w:t>254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7"/>
              </w:rPr>
              <w:t>Three months ended March 31, 2020</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Conventional</w:t>
            </w:r>
          </w:p>
        </w:tc>
        <w:tc>
          <w:tcPr>
            <w:tcW w:w="140" w:type="dxa"/>
            <w:vAlign w:val="bottom"/>
          </w:tcPr>
          <w:p>
            <w:pPr>
              <w:spacing w:after="0"/>
              <w:rPr>
                <w:sz w:val="11"/>
                <w:szCs w:val="11"/>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Renewables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960" w:type="dxa"/>
            <w:vAlign w:val="bottom"/>
            <w:tcBorders>
              <w:bottom w:val="single" w:sz="8" w:color="CCEEFF"/>
            </w:tcBorders>
            <w:gridSpan w:val="2"/>
            <w:vMerge w:val="continue"/>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6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97"/>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Mark-to-market for economic hedges</w:t>
            </w: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Total operating revenue</w:t>
            </w: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107</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Lease revenue</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Contract amortization</w:t>
            </w:r>
          </w:p>
        </w:tc>
        <w:tc>
          <w:tcPr>
            <w:tcW w:w="6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 from contracts with customers</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240" w:hanging="151"/>
        <w:spacing w:after="0"/>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tbl>
      <w:tblPr>
        <w:tblLayout w:type="fixed"/>
        <w:tblInd w:w="0" w:type="dxa"/>
        <w:tblCellMar>
          <w:top w:w="0" w:type="dxa"/>
          <w:left w:w="0" w:type="dxa"/>
          <w:bottom w:w="0" w:type="dxa"/>
          <w:right w:w="0" w:type="dxa"/>
        </w:tblCellMar>
      </w:tblPr>
      <w:tr>
        <w:trPr>
          <w:trHeight w:val="154"/>
        </w:trPr>
        <w:tc>
          <w:tcPr>
            <w:tcW w:w="1080" w:type="dxa"/>
            <w:vAlign w:val="bottom"/>
          </w:tcPr>
          <w:p>
            <w:pPr>
              <w:spacing w:after="0"/>
              <w:rPr>
                <w:sz w:val="13"/>
                <w:szCs w:val="13"/>
                <w:color w:val="auto"/>
              </w:rPr>
            </w:pPr>
          </w:p>
        </w:tc>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Conventional</w:t>
            </w:r>
          </w:p>
        </w:tc>
        <w:tc>
          <w:tcPr>
            <w:tcW w:w="32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3"/>
                <w:szCs w:val="13"/>
                <w:color w:val="auto"/>
              </w:rPr>
            </w:pPr>
          </w:p>
        </w:tc>
        <w:tc>
          <w:tcPr>
            <w:tcW w:w="2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Generation</w:t>
            </w:r>
          </w:p>
        </w:tc>
        <w:tc>
          <w:tcPr>
            <w:tcW w:w="3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Capacity revenue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80" w:type="dxa"/>
            <w:vAlign w:val="bottom"/>
          </w:tcPr>
          <w:p>
            <w:pPr>
              <w:spacing w:after="0"/>
              <w:rPr>
                <w:sz w:val="21"/>
                <w:szCs w:val="21"/>
                <w:color w:val="auto"/>
              </w:rPr>
            </w:pPr>
          </w:p>
        </w:tc>
        <w:tc>
          <w:tcPr>
            <w:tcW w:w="2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1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31F20"/>
              </w:rPr>
              <w:t>15</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reflects the contract assets and liabilities included on the Company’s balance sheet as of March 31, 2021 and December 31,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6"/>
                <w:szCs w:val="16"/>
                <w:b w:val="1"/>
                <w:bCs w:val="1"/>
                <w:color w:val="auto"/>
              </w:rPr>
              <w:t>December 31, 2020</w:t>
            </w:r>
          </w:p>
        </w:tc>
      </w:tr>
      <w:tr>
        <w:trPr>
          <w:trHeight w:val="226"/>
        </w:trPr>
        <w:tc>
          <w:tcPr>
            <w:tcW w:w="7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40" w:type="dxa"/>
            <w:vAlign w:val="bottom"/>
            <w:gridSpan w:val="3"/>
          </w:tcPr>
          <w:p>
            <w:pPr>
              <w:jc w:val="right"/>
              <w:ind w:right="493"/>
              <w:spacing w:after="0"/>
              <w:rPr>
                <w:sz w:val="20"/>
                <w:szCs w:val="20"/>
                <w:color w:val="auto"/>
              </w:rPr>
            </w:pPr>
            <w:r>
              <w:rPr>
                <w:rFonts w:ascii="Arial" w:cs="Arial" w:eastAsia="Arial" w:hAnsi="Arial"/>
                <w:sz w:val="18"/>
                <w:szCs w:val="18"/>
                <w:b w:val="1"/>
                <w:bCs w:val="1"/>
                <w:color w:val="auto"/>
                <w:w w:val="93"/>
              </w:rPr>
              <w:t>(In millions)</w:t>
            </w:r>
          </w:p>
        </w:tc>
        <w:tc>
          <w:tcPr>
            <w:tcW w:w="9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1500" w:type="dxa"/>
            <w:vAlign w:val="bottom"/>
            <w:shd w:val="clear" w:color="auto" w:fill="CCEEFF"/>
          </w:tcPr>
          <w:p>
            <w:pPr>
              <w:jc w:val="right"/>
              <w:ind w:right="1293"/>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 net - Leases</w:t>
            </w:r>
          </w:p>
        </w:tc>
        <w:tc>
          <w:tcPr>
            <w:tcW w:w="1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accounts receivable, net</w:t>
            </w:r>
          </w:p>
        </w:tc>
        <w:tc>
          <w:tcPr>
            <w:tcW w:w="1500" w:type="dxa"/>
            <w:vAlign w:val="bottom"/>
            <w:tcBorders>
              <w:bottom w:val="single" w:sz="8" w:color="auto"/>
            </w:tcBorders>
            <w:shd w:val="clear" w:color="auto" w:fill="CCEEFF"/>
          </w:tcPr>
          <w:p>
            <w:pPr>
              <w:jc w:val="right"/>
              <w:ind w:right="12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 during the reference rate reform period.</w:t>
      </w:r>
    </w:p>
    <w:p>
      <w:pPr>
        <w:spacing w:after="0" w:line="1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The amendments in this ASU simplify the accounting for income taxes by removing certain exceptions to the general principles in Topic 740, Income Taxes. The amendments also improve consistent application of and simplify GAAP for other areas of Topic 740 by clarifying and amending existing guidance. The Company adopted the guidance as of January 1, 2021, with no material impact to the financial statements.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1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Rattlesnake Drop Down — </w:t>
      </w:r>
      <w:r>
        <w:rPr>
          <w:rFonts w:ascii="Arial" w:cs="Arial" w:eastAsia="Arial" w:hAnsi="Arial"/>
          <w:sz w:val="16"/>
          <w:szCs w:val="16"/>
          <w:color w:val="auto"/>
        </w:rPr>
        <w:t>On January 12, 2021, the Company acquired CEG's equity interest and a third party investor's minority interest in CWSP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Rattlesnake Holding LLC for $132 million. CWSP Rattlesnake Holding LLC indirectly consolidates the Rattlesnake wind project, a 160 MW wind facility with 144 MW of deliverable capacity in Adams County, Washington, as further described in Note 4, </w:t>
      </w:r>
      <w:r>
        <w:rPr>
          <w:rFonts w:ascii="Arial" w:cs="Arial" w:eastAsia="Arial" w:hAnsi="Arial"/>
          <w:sz w:val="16"/>
          <w:szCs w:val="16"/>
          <w:i w:val="1"/>
          <w:iCs w:val="1"/>
          <w:color w:val="auto"/>
        </w:rPr>
        <w:t>Investments Accounted for by the Equity Method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Variable Interest Entities. </w:t>
      </w:r>
      <w:r>
        <w:rPr>
          <w:rFonts w:ascii="Arial" w:cs="Arial" w:eastAsia="Arial" w:hAnsi="Arial"/>
          <w:sz w:val="16"/>
          <w:szCs w:val="16"/>
          <w:color w:val="auto"/>
        </w:rPr>
        <w:t>The project has a 20-year PPA with Avista Corporation, which began when the facility reached commercial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2020. The Rattlesnake operations are included in the Company's Renewables segment. The acquisition was determined to be an asset acquisition and not a business combination, therefore the Company consolidated the financial information for Rattlesnake on a prospective basis. The membership interests acquired by the Company relate to interests under common control by GIP and were recorded at historical cost. The difference between the cash paid of $132 million and the historical cost of the Company's acquired interests of $14 million was recorded as an adjustment to noncontrolling interest.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January 12,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Rattlesnake</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 acquired</w:t>
            </w: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50"/>
        </w:trPr>
        <w:tc>
          <w:tcPr>
            <w:tcW w:w="8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r>
      <w:tr>
        <w:trPr>
          <w:trHeight w:val="229"/>
        </w:trPr>
        <w:tc>
          <w:tcPr>
            <w:tcW w:w="8380" w:type="dxa"/>
            <w:vAlign w:val="bottom"/>
          </w:tcPr>
          <w:p>
            <w:pPr>
              <w:ind w:left="140"/>
              <w:spacing w:after="0" w:line="230" w:lineRule="exact"/>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(a)</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5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
        </w:trPr>
        <w:tc>
          <w:tcPr>
            <w:tcW w:w="8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firstLine="413"/>
        <w:spacing w:after="0" w:line="312" w:lineRule="auto"/>
        <w:tabs>
          <w:tab w:leader="none" w:pos="605"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Repaid at acquisition date utilizing $107 million contributed by tax equity investor and $103 million contributed by CEG, both recorded as contributions in noncontrolling interest. Of the $210 million contributed, $176 million was utilized to pay down the acquired debt, $29 million was utilized to fund project reserve accounts and $5 million was utilized to pay associated fees.</w:t>
      </w:r>
    </w:p>
    <w:p>
      <w:pPr>
        <w:spacing w:after="0" w:line="1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Agua Caliente Acquisition — </w:t>
      </w:r>
      <w:r>
        <w:rPr>
          <w:rFonts w:ascii="Arial" w:cs="Arial" w:eastAsia="Arial" w:hAnsi="Arial"/>
          <w:sz w:val="18"/>
          <w:szCs w:val="18"/>
          <w:color w:val="auto"/>
        </w:rPr>
        <w:t>On February 3, 2021, the Company acquired Agua Caliente Borrower 1 LLC from NRG Energy, Inc. for $202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Agua Caliente Borrower 1 LLC indirectly owns a 35% equity interest in Agua Caliente, a 290 MW solar project located in Dateland, Arizona in which the Company previously owned a 16% equity interest. The project has a 25-year PPA with PG&amp;E, with approximately 19 years remaining under the agreement. Following the close of the transaction, the Company owns a 51% equity interest in Agua Caliente and consolidates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and liabilities acquired on the acquisition date. A third party investor holds the remaining 49% equity interest in Agua Caliente, which is reflected in noncontrolling interest, which was valued at historical carrying amount increased for the incremental fair value determined at the acquisition date.</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acquired in connection with the acquisition as of February 3,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Agua Caliente</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for power purchase agreement, net</w:t>
            </w: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currents assets</w:t>
            </w: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5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50"/>
        </w:trPr>
        <w:tc>
          <w:tcPr>
            <w:tcW w:w="8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Debt</w:t>
            </w: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23"/>
        </w:trPr>
        <w:tc>
          <w:tcPr>
            <w:tcW w:w="838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5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5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8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fair values of the property, plant and equipment, and intangible assets at the acquisition date were measured primarily based on significant inputs that are not observable in the market and thus represent a Level 3 measurement as defined in ASC 820. Significant inputs were as follows:</w:t>
      </w:r>
    </w:p>
    <w:p>
      <w:pPr>
        <w:spacing w:after="0" w:line="9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values were determined primarily based on an income method using discounted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validated using a cost approach based on the replacement cost of the assets less economic obsolescence. The income approach was applied by determining the enterprise value for each acquired entity and subtracting the fair value of the intangible assets and working capital to determine the implied value of the tangible fixed assets. This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methodology was primarily relied upon as the forecasted cash flows incorporate the specific attributes of each asset including age, useful life, equipment condition, and technology. The income approach also allows for an accurate reflection of current and expected market dynamics such as supply and demand and the regulatory environment as of the acquisition date.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PPA acquired was determined utilizing a variation of the income approach where the incremental future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resulting from the acquired PPA compared to the cash flows based on current market prices were discounted to present value at the weighted average cost of debt of the utility off-taker, as the PPA was determined to be a debt-like instrument for the off-taker. The values were corroborated with available market data. The PPA value will be amortized over a period of 19 years.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long-term debt was determined by discounting future cash flows at current interest rates for similar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equivalent credit quality.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recorded the noncontrolling interest utilizing the cost accumulation model, as the acquisition was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which maintained the carrying value for the pre-existing equity, with the value increased incrementally based on the value of the Company's newly acquired interest.</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Mt. Storm Wind Acquisition — </w:t>
      </w:r>
      <w:r>
        <w:rPr>
          <w:rFonts w:ascii="Arial" w:cs="Arial" w:eastAsia="Arial" w:hAnsi="Arial"/>
          <w:sz w:val="18"/>
          <w:szCs w:val="18"/>
          <w:color w:val="auto"/>
        </w:rPr>
        <w:t>On April 23, 2021, the Company acquired 100% of the equity interests in NedPower Mount Storm LLC, or Mt.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Storm, from a third party for approximately $96 million, excluding working capital adjustments. Mt. Storm is a 264 MW wind project located in Grant County, West Virginia. Mt. Storm will have a 10-year energy hedge with an investment-grade counterparty.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Sale of Assets </w:t>
      </w:r>
      <w:r>
        <w:rPr>
          <w:rFonts w:ascii="Arial" w:cs="Arial" w:eastAsia="Arial" w:hAnsi="Arial"/>
          <w:sz w:val="18"/>
          <w:szCs w:val="18"/>
          <w:color w:val="auto"/>
        </w:rPr>
        <w:t>— On March 3, 2020, the Company, through Clearway Thermal LLC, sold 100% of its interests in Energy Center Dover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Center Smyrna LLC to DB Energy Assets, LLC for cash proceeds of approximately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ind w:right="462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These arrangements are primarily related to tax equity arrangements entered into with third parties in order to monetize certain tax attributes associated with wind and solar facilities,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2020 Form 10-K.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March 31,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Alta TE Holdco</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Buckthorn</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DGPV Funds</w:t>
            </w:r>
            <w:r>
              <w:rPr>
                <w:rFonts w:ascii="Arial" w:cs="Arial" w:eastAsia="Arial" w:hAnsi="Arial"/>
                <w:sz w:val="16"/>
                <w:szCs w:val="16"/>
                <w:b w:val="1"/>
                <w:bCs w:val="1"/>
                <w:color w:val="auto"/>
                <w:vertAlign w:val="superscript"/>
              </w:rPr>
              <w:t>(a)</w:t>
            </w:r>
          </w:p>
        </w:tc>
        <w:tc>
          <w:tcPr>
            <w:tcW w:w="13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8"/>
              </w:rPr>
              <w:t>Kawailoa Partnership</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Langford TE</w:t>
            </w: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Lighthouse Renewable</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Renewables, LLC</w:t>
            </w: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Partnership LLC</w:t>
            </w:r>
          </w:p>
        </w:tc>
        <w:tc>
          <w:tcPr>
            <w:tcW w:w="220" w:type="dxa"/>
            <w:vAlign w:val="bottom"/>
          </w:tcPr>
          <w:p>
            <w:pPr>
              <w:spacing w:after="0"/>
              <w:rPr>
                <w:sz w:val="15"/>
                <w:szCs w:val="15"/>
                <w:color w:val="auto"/>
              </w:rPr>
            </w:pPr>
          </w:p>
        </w:tc>
        <w:tc>
          <w:tcPr>
            <w:tcW w:w="1080" w:type="dxa"/>
            <w:vAlign w:val="bottom"/>
          </w:tcPr>
          <w:p>
            <w:pPr>
              <w:jc w:val="right"/>
              <w:ind w:right="233"/>
              <w:spacing w:after="0"/>
              <w:rPr>
                <w:sz w:val="20"/>
                <w:szCs w:val="20"/>
                <w:color w:val="auto"/>
              </w:rPr>
            </w:pPr>
            <w:r>
              <w:rPr>
                <w:rFonts w:ascii="Arial" w:cs="Arial" w:eastAsia="Arial" w:hAnsi="Arial"/>
                <w:sz w:val="13"/>
                <w:szCs w:val="13"/>
                <w:b w:val="1"/>
                <w:bCs w:val="1"/>
                <w:color w:val="auto"/>
              </w:rPr>
              <w:t>Holdco LLC</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3080" w:type="dxa"/>
            <w:vAlign w:val="bottom"/>
          </w:tcPr>
          <w:p>
            <w:pPr>
              <w:ind w:left="140"/>
              <w:spacing w:after="0"/>
              <w:rPr>
                <w:sz w:val="20"/>
                <w:szCs w:val="20"/>
                <w:color w:val="auto"/>
              </w:rPr>
            </w:pPr>
            <w:r>
              <w:rPr>
                <w:rFonts w:ascii="Arial" w:cs="Arial" w:eastAsia="Arial" w:hAnsi="Arial"/>
                <w:sz w:val="18"/>
                <w:szCs w:val="18"/>
                <w:color w:val="auto"/>
                <w:w w:val="93"/>
              </w:rPr>
              <w:t>Net assets less noncontrolling interests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20" w:firstLine="8"/>
        <w:spacing w:after="0" w:line="226" w:lineRule="auto"/>
        <w:tabs>
          <w:tab w:leader="none" w:pos="174" w:val="left"/>
        </w:tabs>
        <w:numPr>
          <w:ilvl w:val="0"/>
          <w:numId w:val="6"/>
        </w:numPr>
        <w:rPr>
          <w:rFonts w:ascii="Arial" w:cs="Arial" w:eastAsia="Arial" w:hAnsi="Arial"/>
          <w:sz w:val="20"/>
          <w:szCs w:val="20"/>
          <w:color w:val="auto"/>
          <w:vertAlign w:val="superscript"/>
        </w:rPr>
      </w:pPr>
      <w:r>
        <w:rPr>
          <w:rFonts w:ascii="Arial" w:cs="Arial" w:eastAsia="Arial" w:hAnsi="Arial"/>
          <w:sz w:val="13"/>
          <w:szCs w:val="13"/>
          <w:color w:val="auto"/>
        </w:rPr>
        <w:t>DGPV Funds is comprised of DGPV Fund 2 LLC, Clearway &amp; EFS Distributed Solar LLC, DGPV Fund 4 LLC, Golden Puma Fund LLC, Renew Solar CS4 Fund LLC and Chestnut Fund LLC.</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Oahu</w:t>
            </w:r>
          </w:p>
        </w:tc>
        <w:tc>
          <w:tcPr>
            <w:tcW w:w="13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Pinnacle Repowering</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Rattlesnake TE</w:t>
            </w:r>
          </w:p>
        </w:tc>
        <w:tc>
          <w:tcPr>
            <w:tcW w:w="13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Rosie TargetCo LLC</w:t>
            </w: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Wildorado</w:t>
            </w:r>
          </w:p>
        </w:tc>
        <w:tc>
          <w:tcPr>
            <w:tcW w:w="260" w:type="dxa"/>
            <w:vAlign w:val="bottom"/>
          </w:tcPr>
          <w:p>
            <w:pPr>
              <w:spacing w:after="0"/>
              <w:rPr>
                <w:sz w:val="13"/>
                <w:szCs w:val="13"/>
                <w:color w:val="auto"/>
              </w:rPr>
            </w:pPr>
          </w:p>
        </w:tc>
        <w:tc>
          <w:tcPr>
            <w:tcW w:w="10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6"/>
                <w:szCs w:val="16"/>
                <w:b w:val="1"/>
                <w:bCs w:val="1"/>
                <w:color w:val="auto"/>
                <w:vertAlign w:val="superscript"/>
              </w:rPr>
              <w:t>(a)</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Solar Partnership</w:t>
            </w: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Partnership LLC</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Holdco LLC</w:t>
            </w:r>
          </w:p>
        </w:tc>
        <w:tc>
          <w:tcPr>
            <w:tcW w:w="13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TE Holdco</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080" w:type="dxa"/>
            <w:vAlign w:val="bottom"/>
          </w:tcPr>
          <w:p>
            <w:pPr>
              <w:ind w:left="140"/>
              <w:spacing w:after="0"/>
              <w:rPr>
                <w:sz w:val="20"/>
                <w:szCs w:val="20"/>
                <w:color w:val="auto"/>
              </w:rPr>
            </w:pPr>
            <w:r>
              <w:rPr>
                <w:rFonts w:ascii="Arial" w:cs="Arial" w:eastAsia="Arial" w:hAnsi="Arial"/>
                <w:sz w:val="18"/>
                <w:szCs w:val="18"/>
                <w:color w:val="auto"/>
                <w:w w:val="93"/>
              </w:rPr>
              <w:t>Net assets less noncontrolling interests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Other is comprised of Crosswinds, Hardin, Elbow Creek Holdco and Spring Canyon projects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t>The discussion below describes material changes to VIEs during the three months ended March 31, 2021.</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Rattlesnake TE Holdco LLC —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January 12, 2021, the Company acquired CEG's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a third party investor's minority interest in CWSP Rattlesnake Holding LLC for $132 million. CWSP Rattlesnake Holding LLC owns Rattlesnake Class B LLC, which owns the Class B membership interests in Rattlesnake TE Holdco LLC, which is a VIE. Rattlesnake Class B LLC is the primary beneficiary and managing member and consolidates its interest in Rattlesnake TE Holdco LLC, which owns the Rattlesnake wind project. Subsequent to the acquisition, on January 12, 2021 the third party tax equity investor contributed $107 million into Rattlesnake TE Holdco LLC in exchange for the Class A membership interests. The proceeds from the tax equity contribution along with cash contributed by CEG were used to repay $176 million of the outstanding principal under the Rattlesnake Class B LLC credit facility.</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utilizes the HLBV method to determine the net income or loss allocated to tax equity noncontrolling interest.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Pinnacle Repowering Partnership LL</w:t>
      </w:r>
      <w:r>
        <w:rPr>
          <w:rFonts w:ascii="Arial" w:cs="Arial" w:eastAsia="Arial" w:hAnsi="Arial"/>
          <w:sz w:val="16"/>
          <w:szCs w:val="16"/>
          <w:color w:val="auto"/>
        </w:rPr>
        <w:t>C</w:t>
      </w:r>
      <w:r>
        <w:rPr>
          <w:rFonts w:ascii="Arial" w:cs="Arial" w:eastAsia="Arial" w:hAnsi="Arial"/>
          <w:sz w:val="16"/>
          <w:szCs w:val="16"/>
          <w:b w:val="1"/>
          <w:bCs w:val="1"/>
          <w:i w:val="1"/>
          <w:iCs w:val="1"/>
          <w:color w:val="auto"/>
        </w:rPr>
        <w:t xml:space="preserve"> — </w:t>
      </w:r>
      <w:r>
        <w:rPr>
          <w:rFonts w:ascii="Arial" w:cs="Arial" w:eastAsia="Arial" w:hAnsi="Arial"/>
          <w:sz w:val="16"/>
          <w:szCs w:val="16"/>
          <w:color w:val="auto"/>
        </w:rPr>
        <w:t>On February 26, 2021, the Company entered into an amended agreement with CWSP Pinnacle 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an indirect subsidiary of CEG, with respect to Pinnacle Repowering Partnership LLC in order to facilitate the repowering of the Pinnacle wind project, a 55 net MW wind facility located in Mineral County, West Virginia. On March 10, 2021, the Company contributed its interest in the Pinnacle wind project to Pinnacle Repowering Partnership LLC concurrent with entering into a financing agreement as further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and is entitled to allocations of 15% of the cash distributions from the partnership. On March 10, 2021, CWSP Pinnacle Holding LLC contributed $27 million in equipment to the partnership, which was a transfer of assets under common control and recorded at historical cost in property, plant and equipment, with a corresponding non-cash contribution in Pinnacle Repowering Partnership LLC's noncontrolling interests.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under Item 15 — Note 5,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Accounted for by the Equity Method and Variable Interest Entities</w:t>
      </w:r>
      <w:r>
        <w:rPr>
          <w:rFonts w:ascii="Arial" w:cs="Arial" w:eastAsia="Arial" w:hAnsi="Arial"/>
          <w:sz w:val="16"/>
          <w:szCs w:val="16"/>
          <w:color w:val="auto"/>
        </w:rPr>
        <w:t>, to the consolidated financial statements included in the Company's 2020 Form 10-K.</w:t>
      </w:r>
    </w:p>
    <w:p>
      <w:pPr>
        <w:spacing w:after="0" w:line="95"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The Company's maximum exposure to loss as of March 31, 2021 is limited to its equity investment in the unconsolidated entities, as further summarized in the table below:</w:t>
      </w:r>
    </w:p>
    <w:tbl>
      <w:tblPr>
        <w:tblLayout w:type="fixed"/>
        <w:tblInd w:w="0" w:type="dxa"/>
        <w:tblCellMar>
          <w:top w:w="0" w:type="dxa"/>
          <w:left w:w="0" w:type="dxa"/>
          <w:bottom w:w="0" w:type="dxa"/>
          <w:right w:w="0" w:type="dxa"/>
        </w:tblCellMar>
      </w:tblPr>
      <w:tr>
        <w:trPr>
          <w:trHeight w:val="21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4480" w:type="dxa"/>
            <w:vAlign w:val="bottom"/>
            <w:tcBorders>
              <w:bottom w:val="single" w:sz="8" w:color="auto"/>
            </w:tcBorders>
          </w:tcPr>
          <w:p>
            <w:pPr>
              <w:jc w:val="center"/>
              <w:ind w:left="2931"/>
              <w:spacing w:after="0"/>
              <w:rPr>
                <w:sz w:val="20"/>
                <w:szCs w:val="20"/>
                <w:color w:val="auto"/>
              </w:rPr>
            </w:pPr>
            <w:r>
              <w:rPr>
                <w:rFonts w:ascii="Arial" w:cs="Arial" w:eastAsia="Arial" w:hAnsi="Arial"/>
                <w:sz w:val="16"/>
                <w:szCs w:val="16"/>
                <w:b w:val="1"/>
                <w:bCs w:val="1"/>
                <w:color w:val="auto"/>
                <w:w w:val="90"/>
              </w:rPr>
              <w:t>Economic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5"/>
              </w:rPr>
              <w:t>Investment Balance</w:t>
            </w:r>
          </w:p>
        </w:tc>
      </w:tr>
      <w:tr>
        <w:trPr>
          <w:trHeight w:val="184"/>
        </w:trPr>
        <w:tc>
          <w:tcPr>
            <w:tcW w:w="47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ind w:right="553"/>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4480" w:type="dxa"/>
            <w:vAlign w:val="bottom"/>
            <w:shd w:val="clear" w:color="auto" w:fill="CCEEFF"/>
          </w:tcPr>
          <w:p>
            <w:pPr>
              <w:jc w:val="center"/>
              <w:ind w:left="293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4480" w:type="dxa"/>
            <w:vAlign w:val="bottom"/>
          </w:tcPr>
          <w:p>
            <w:pPr>
              <w:jc w:val="center"/>
              <w:ind w:left="2931"/>
              <w:spacing w:after="0"/>
              <w:rPr>
                <w:sz w:val="20"/>
                <w:szCs w:val="20"/>
                <w:color w:val="auto"/>
              </w:rPr>
            </w:pPr>
            <w:r>
              <w:rPr>
                <w:rFonts w:ascii="Arial" w:cs="Arial" w:eastAsia="Arial" w:hAnsi="Arial"/>
                <w:sz w:val="18"/>
                <w:szCs w:val="18"/>
                <w:color w:val="auto"/>
                <w:w w:val="94"/>
              </w:rPr>
              <w:t>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4480" w:type="dxa"/>
            <w:vAlign w:val="bottom"/>
            <w:shd w:val="clear" w:color="auto" w:fill="CCEEFF"/>
          </w:tcPr>
          <w:p>
            <w:pPr>
              <w:jc w:val="center"/>
              <w:ind w:left="2931"/>
              <w:spacing w:after="0"/>
              <w:rPr>
                <w:sz w:val="20"/>
                <w:szCs w:val="20"/>
                <w:color w:val="auto"/>
              </w:rPr>
            </w:pPr>
            <w:r>
              <w:rPr>
                <w:rFonts w:ascii="Arial" w:cs="Arial" w:eastAsia="Arial" w:hAnsi="Arial"/>
                <w:sz w:val="18"/>
                <w:szCs w:val="18"/>
                <w:color w:val="auto"/>
                <w:w w:val="94"/>
              </w:rPr>
              <w:t>67%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GenConn</w:t>
            </w:r>
            <w:r>
              <w:rPr>
                <w:rFonts w:ascii="Arial" w:cs="Arial" w:eastAsia="Arial" w:hAnsi="Arial"/>
                <w:sz w:val="23"/>
                <w:szCs w:val="23"/>
                <w:color w:val="auto"/>
                <w:vertAlign w:val="superscript"/>
              </w:rPr>
              <w:t>(a)</w:t>
            </w:r>
          </w:p>
        </w:tc>
        <w:tc>
          <w:tcPr>
            <w:tcW w:w="4480" w:type="dxa"/>
            <w:vAlign w:val="bottom"/>
          </w:tcPr>
          <w:p>
            <w:pPr>
              <w:jc w:val="center"/>
              <w:ind w:left="2931"/>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Juan Mesa</w:t>
            </w:r>
          </w:p>
        </w:tc>
        <w:tc>
          <w:tcPr>
            <w:tcW w:w="4480" w:type="dxa"/>
            <w:vAlign w:val="bottom"/>
            <w:shd w:val="clear" w:color="auto" w:fill="CCEEFF"/>
          </w:tcPr>
          <w:p>
            <w:pPr>
              <w:jc w:val="center"/>
              <w:ind w:left="2931"/>
              <w:spacing w:after="0"/>
              <w:rPr>
                <w:sz w:val="20"/>
                <w:szCs w:val="20"/>
                <w:color w:val="auto"/>
              </w:rPr>
            </w:pPr>
            <w:r>
              <w:rPr>
                <w:rFonts w:ascii="Arial" w:cs="Arial" w:eastAsia="Arial" w:hAnsi="Arial"/>
                <w:sz w:val="18"/>
                <w:szCs w:val="18"/>
                <w:color w:val="auto"/>
                <w:w w:val="94"/>
              </w:rPr>
              <w:t>75%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7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Utah Solar Portfolio</w:t>
            </w:r>
            <w:r>
              <w:rPr>
                <w:rFonts w:ascii="Arial" w:cs="Arial" w:eastAsia="Arial" w:hAnsi="Arial"/>
                <w:sz w:val="23"/>
                <w:szCs w:val="23"/>
                <w:color w:val="auto"/>
                <w:vertAlign w:val="superscript"/>
              </w:rPr>
              <w:t>(b)</w:t>
            </w:r>
          </w:p>
        </w:tc>
        <w:tc>
          <w:tcPr>
            <w:tcW w:w="4480" w:type="dxa"/>
            <w:vAlign w:val="bottom"/>
            <w:tcBorders>
              <w:bottom w:val="single" w:sz="8" w:color="CCEEFF"/>
            </w:tcBorders>
          </w:tcPr>
          <w:p>
            <w:pPr>
              <w:jc w:val="center"/>
              <w:ind w:left="2931"/>
              <w:spacing w:after="0"/>
              <w:rPr>
                <w:sz w:val="20"/>
                <w:szCs w:val="20"/>
                <w:color w:val="auto"/>
              </w:rPr>
            </w:pPr>
            <w:r>
              <w:rPr>
                <w:rFonts w:ascii="Arial" w:cs="Arial" w:eastAsia="Arial" w:hAnsi="Arial"/>
                <w:sz w:val="18"/>
                <w:szCs w:val="18"/>
                <w:color w:val="auto"/>
                <w:w w:val="94"/>
              </w:rPr>
              <w:t>50%</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GenConn is a variable interest entity.</w:t>
      </w:r>
    </w:p>
    <w:p>
      <w:pPr>
        <w:spacing w:after="0" w:line="12" w:lineRule="exact"/>
        <w:rPr>
          <w:sz w:val="20"/>
          <w:szCs w:val="20"/>
          <w:color w:val="auto"/>
        </w:rPr>
      </w:pPr>
    </w:p>
    <w:p>
      <w:pPr>
        <w:ind w:right="140" w:firstLine="8"/>
        <w:spacing w:after="0"/>
        <w:tabs>
          <w:tab w:leader="none" w:pos="149"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Economic interest based on cash to be distributed. Four Brothers Solar, LLC, Granite Mountain Holdings, LLC and Iron Springs Holdings, LLC are tax equity structures and VIEs.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For cash and cash equivalents, restricted cash, accounts receivable — trade, accounts payable — trade, current portion of accounts payable — affiliates, accrued expenses and other liabilities, the carrying amounts approximate fair value because of the short-term maturity of those instruments and are classified as Level 1 within the fair value hierarchy.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March 31, 2021</w:t>
            </w:r>
          </w:p>
        </w:tc>
        <w:tc>
          <w:tcPr>
            <w:tcW w:w="300" w:type="dxa"/>
            <w:vAlign w:val="bottom"/>
          </w:tcPr>
          <w:p>
            <w:pPr>
              <w:spacing w:after="0"/>
              <w:rPr>
                <w:sz w:val="16"/>
                <w:szCs w:val="16"/>
                <w:color w:val="auto"/>
              </w:rPr>
            </w:pPr>
          </w:p>
        </w:tc>
        <w:tc>
          <w:tcPr>
            <w:tcW w:w="22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As of December 31, 2020</w:t>
            </w:r>
          </w:p>
        </w:tc>
      </w:tr>
      <w:tr>
        <w:trPr>
          <w:trHeight w:val="186"/>
        </w:trPr>
        <w:tc>
          <w:tcPr>
            <w:tcW w:w="6020" w:type="dxa"/>
            <w:vAlign w:val="bottom"/>
          </w:tcPr>
          <w:p>
            <w:pPr>
              <w:spacing w:after="0"/>
              <w:rPr>
                <w:sz w:val="16"/>
                <w:szCs w:val="16"/>
                <w:color w:val="auto"/>
              </w:rPr>
            </w:pPr>
          </w:p>
        </w:tc>
        <w:tc>
          <w:tcPr>
            <w:tcW w:w="12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r>
      <w:tr>
        <w:trPr>
          <w:trHeight w:val="169"/>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2"/>
        </w:trPr>
        <w:tc>
          <w:tcPr>
            <w:tcW w:w="6020" w:type="dxa"/>
            <w:vAlign w:val="bottom"/>
            <w:shd w:val="clear" w:color="auto" w:fill="CCEEFF"/>
          </w:tcPr>
          <w:p>
            <w:pPr>
              <w:ind w:left="140"/>
              <w:spacing w:after="0" w:line="232" w:lineRule="exact"/>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8,046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7,048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Excludes net debt issuance costs, which are recorded as a reduction to long-term debt on the Company's consolidated balance sheets.</w:t>
      </w:r>
    </w:p>
    <w:p>
      <w:pPr>
        <w:spacing w:after="0" w:line="1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2021 and December 31,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March 31, 2021</w:t>
            </w:r>
          </w:p>
        </w:tc>
        <w:tc>
          <w:tcPr>
            <w:tcW w:w="340" w:type="dxa"/>
            <w:vAlign w:val="bottom"/>
          </w:tcPr>
          <w:p>
            <w:pPr>
              <w:spacing w:after="0"/>
              <w:rPr>
                <w:sz w:val="16"/>
                <w:szCs w:val="16"/>
                <w:color w:val="auto"/>
              </w:rPr>
            </w:pPr>
          </w:p>
        </w:tc>
        <w:tc>
          <w:tcPr>
            <w:tcW w:w="220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6280" w:type="dxa"/>
            <w:vAlign w:val="bottom"/>
            <w:gridSpan w:val="2"/>
            <w:shd w:val="clear" w:color="auto" w:fill="CCEEFF"/>
          </w:tcPr>
          <w:p>
            <w:pPr>
              <w:jc w:val="right"/>
              <w:ind w:right="3120"/>
              <w:spacing w:after="0" w:line="177" w:lineRule="exact"/>
              <w:rPr>
                <w:sz w:val="20"/>
                <w:szCs w:val="20"/>
                <w:color w:val="auto"/>
              </w:rPr>
            </w:pPr>
            <w:r>
              <w:rPr>
                <w:rFonts w:ascii="Arial" w:cs="Arial" w:eastAsia="Arial" w:hAnsi="Arial"/>
                <w:sz w:val="18"/>
                <w:szCs w:val="18"/>
                <w:color w:val="auto"/>
                <w:w w:val="96"/>
              </w:rPr>
              <w:t>Long-term debt, including current portion</w:t>
            </w:r>
          </w:p>
        </w:tc>
        <w:tc>
          <w:tcPr>
            <w:tcW w:w="98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2,128</w:t>
            </w:r>
          </w:p>
        </w:tc>
        <w:tc>
          <w:tcPr>
            <w:tcW w:w="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1,905</w:t>
            </w:r>
          </w:p>
        </w:tc>
        <w:tc>
          <w:tcPr>
            <w:tcW w:w="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6080" w:type="dxa"/>
            <w:vAlign w:val="bottom"/>
            <w:gridSpan w:val="2"/>
          </w:tcPr>
          <w:p>
            <w:pPr>
              <w:jc w:val="right"/>
              <w:ind w:right="270"/>
              <w:spacing w:after="0"/>
              <w:rPr>
                <w:sz w:val="20"/>
                <w:szCs w:val="20"/>
                <w:color w:val="auto"/>
              </w:rPr>
            </w:pPr>
            <w:r>
              <w:rPr>
                <w:rFonts w:ascii="Arial" w:cs="Arial" w:eastAsia="Arial" w:hAnsi="Arial"/>
                <w:sz w:val="18"/>
                <w:szCs w:val="18"/>
                <w:color w:val="231F20"/>
              </w:rPr>
              <w:t>21</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As of March 31, 2021</w:t>
            </w: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36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Other financial instruments </w:t>
            </w:r>
            <w:r>
              <w:rPr>
                <w:rFonts w:ascii="Arial" w:cs="Arial" w:eastAsia="Arial" w:hAnsi="Arial"/>
                <w:sz w:val="23"/>
                <w:szCs w:val="23"/>
                <w:b w:val="1"/>
                <w:bCs w:val="1"/>
                <w:color w:val="auto"/>
                <w:vertAlign w:val="superscript"/>
              </w:rPr>
              <w:t>(b)</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60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5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80" w:hanging="148"/>
        <w:spacing w:after="0"/>
        <w:tabs>
          <w:tab w:leader="none" w:pos="4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classified as Level 1 or Level 3 and no liabilities classified as Level 1 as of March 31, 2021 and December 31, 2020.</w:t>
      </w:r>
    </w:p>
    <w:p>
      <w:pPr>
        <w:spacing w:after="0" w:line="37" w:lineRule="exact"/>
        <w:rPr>
          <w:rFonts w:ascii="Arial" w:cs="Arial" w:eastAsia="Arial" w:hAnsi="Arial"/>
          <w:sz w:val="18"/>
          <w:szCs w:val="18"/>
          <w:color w:val="auto"/>
          <w:vertAlign w:val="superscript"/>
        </w:rPr>
      </w:pPr>
    </w:p>
    <w:p>
      <w:pPr>
        <w:ind w:left="460" w:hanging="128"/>
        <w:spacing w:after="0"/>
        <w:tabs>
          <w:tab w:leader="none" w:pos="460" w:val="left"/>
        </w:tabs>
        <w:numPr>
          <w:ilvl w:val="0"/>
          <w:numId w:val="11"/>
        </w:numPr>
        <w:rPr>
          <w:rFonts w:ascii="Arial" w:cs="Arial" w:eastAsia="Arial" w:hAnsi="Arial"/>
          <w:sz w:val="9"/>
          <w:szCs w:val="9"/>
          <w:color w:val="auto"/>
        </w:rPr>
      </w:pPr>
      <w:r>
        <w:rPr>
          <w:rFonts w:ascii="Arial" w:cs="Arial" w:eastAsia="Arial" w:hAnsi="Arial"/>
          <w:sz w:val="16"/>
          <w:szCs w:val="16"/>
          <w:color w:val="auto"/>
        </w:rPr>
        <w:t>SREC contract acquired on November 2, 2020.</w:t>
      </w:r>
    </w:p>
    <w:p>
      <w:pPr>
        <w:spacing w:after="0" w:line="149" w:lineRule="exact"/>
        <w:rPr>
          <w:sz w:val="20"/>
          <w:szCs w:val="20"/>
          <w:color w:val="auto"/>
        </w:rPr>
      </w:pPr>
    </w:p>
    <w:p>
      <w:pPr>
        <w:ind w:right="440" w:firstLine="405"/>
        <w:spacing w:after="0" w:line="269"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15"/>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87"/>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8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2780" w:type="dxa"/>
            <w:vAlign w:val="bottom"/>
            <w:gridSpan w:val="4"/>
          </w:tcPr>
          <w:p>
            <w:pPr>
              <w:jc w:val="center"/>
              <w:ind w:right="55"/>
              <w:spacing w:after="0" w:line="130"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0" w:type="dxa"/>
            <w:vAlign w:val="bottom"/>
          </w:tcPr>
          <w:p>
            <w:pPr>
              <w:spacing w:after="0"/>
              <w:rPr>
                <w:sz w:val="1"/>
                <w:szCs w:val="1"/>
                <w:color w:val="auto"/>
              </w:rPr>
            </w:pPr>
          </w:p>
        </w:tc>
      </w:tr>
      <w:tr>
        <w:trPr>
          <w:trHeight w:val="188"/>
        </w:trPr>
        <w:tc>
          <w:tcPr>
            <w:tcW w:w="83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35"/>
              <w:spacing w:after="0"/>
              <w:rPr>
                <w:sz w:val="20"/>
                <w:szCs w:val="20"/>
                <w:color w:val="auto"/>
              </w:rPr>
            </w:pPr>
            <w:r>
              <w:rPr>
                <w:rFonts w:ascii="Arial" w:cs="Arial" w:eastAsia="Arial" w:hAnsi="Arial"/>
                <w:sz w:val="14"/>
                <w:szCs w:val="14"/>
                <w:b w:val="1"/>
                <w:bCs w:val="1"/>
                <w:color w:val="auto"/>
                <w:w w:val="93"/>
              </w:rPr>
              <w:t>Unobservable Inputs (Level 3)</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losses for the period included in earnings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Arial" w:cs="Arial" w:eastAsia="Arial" w:hAnsi="Arial"/>
                <w:sz w:val="18"/>
                <w:szCs w:val="18"/>
                <w:color w:val="auto"/>
                <w:w w:val="96"/>
              </w:rPr>
              <w:t>Change in unrealized losses included in earnings for derivatives and other financial instruments held as of</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32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14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March 31, 2021, contracts valued with prices provided by models and other valuation techniques make up 46% of derivative liabilities and 100% of other financial instruments.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positions classified as Level 3 include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ind w:left="420"/>
        <w:spacing w:after="0"/>
        <w:rPr>
          <w:sz w:val="20"/>
          <w:szCs w:val="20"/>
          <w:color w:val="auto"/>
        </w:rPr>
      </w:pPr>
      <w:r>
        <w:rPr>
          <w:rFonts w:ascii="Arial" w:cs="Arial" w:eastAsia="Arial" w:hAnsi="Arial"/>
          <w:sz w:val="17"/>
          <w:szCs w:val="17"/>
          <w:color w:val="auto"/>
        </w:rPr>
        <w:t>The following table quantifies the significant unobservable inputs used in developing the fair value of the Company's Level 3 positions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March 31, 2021</w:t>
            </w:r>
          </w:p>
        </w:tc>
        <w:tc>
          <w:tcPr>
            <w:tcW w:w="1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b w:val="1"/>
                <w:bCs w:val="1"/>
                <w:color w:val="auto"/>
                <w:w w:val="92"/>
              </w:rPr>
              <w:t>Input/Range</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740" w:type="dxa"/>
            <w:vAlign w:val="bottom"/>
          </w:tcPr>
          <w:p>
            <w:pPr>
              <w:jc w:val="center"/>
              <w:ind w:right="95"/>
              <w:spacing w:after="0" w:line="169" w:lineRule="exact"/>
              <w:rPr>
                <w:sz w:val="20"/>
                <w:szCs w:val="20"/>
                <w:color w:val="auto"/>
              </w:rPr>
            </w:pPr>
            <w:r>
              <w:rPr>
                <w:rFonts w:ascii="Arial" w:cs="Arial" w:eastAsia="Arial" w:hAnsi="Arial"/>
                <w:sz w:val="18"/>
                <w:szCs w:val="18"/>
                <w:b w:val="1"/>
                <w:bCs w:val="1"/>
                <w:color w:val="auto"/>
                <w:w w:val="91"/>
              </w:rPr>
              <w:t>Significant</w:t>
            </w: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Assets</w:t>
            </w:r>
          </w:p>
        </w:tc>
        <w:tc>
          <w:tcPr>
            <w:tcW w:w="11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vMerge w:val="continue"/>
          </w:tcPr>
          <w:p>
            <w:pPr>
              <w:spacing w:after="0"/>
              <w:rPr>
                <w:sz w:val="15"/>
                <w:szCs w:val="15"/>
                <w:color w:val="auto"/>
              </w:rPr>
            </w:pPr>
          </w:p>
        </w:tc>
        <w:tc>
          <w:tcPr>
            <w:tcW w:w="1740" w:type="dxa"/>
            <w:vAlign w:val="bottom"/>
          </w:tcPr>
          <w:p>
            <w:pPr>
              <w:jc w:val="center"/>
              <w:ind w:right="75"/>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1180" w:type="dxa"/>
            <w:vAlign w:val="bottom"/>
            <w:vMerge w:val="restart"/>
          </w:tcPr>
          <w:p>
            <w:pPr>
              <w:jc w:val="right"/>
              <w:ind w:right="476"/>
              <w:spacing w:after="0"/>
              <w:rPr>
                <w:sz w:val="20"/>
                <w:szCs w:val="20"/>
                <w:color w:val="auto"/>
              </w:rPr>
            </w:pPr>
            <w:r>
              <w:rPr>
                <w:rFonts w:ascii="Arial" w:cs="Arial" w:eastAsia="Arial" w:hAnsi="Arial"/>
                <w:sz w:val="18"/>
                <w:szCs w:val="18"/>
                <w:b w:val="1"/>
                <w:bCs w:val="1"/>
                <w:color w:val="auto"/>
              </w:rPr>
              <w:t>Low</w:t>
            </w:r>
          </w:p>
        </w:tc>
        <w:tc>
          <w:tcPr>
            <w:tcW w:w="1380" w:type="dxa"/>
            <w:vAlign w:val="bottom"/>
            <w:vMerge w:val="restart"/>
          </w:tcPr>
          <w:p>
            <w:pPr>
              <w:jc w:val="center"/>
              <w:ind w:right="73"/>
              <w:spacing w:after="0"/>
              <w:rPr>
                <w:sz w:val="20"/>
                <w:szCs w:val="20"/>
                <w:color w:val="auto"/>
              </w:rPr>
            </w:pPr>
            <w:r>
              <w:rPr>
                <w:rFonts w:ascii="Arial" w:cs="Arial" w:eastAsia="Arial" w:hAnsi="Arial"/>
                <w:sz w:val="18"/>
                <w:szCs w:val="18"/>
                <w:b w:val="1"/>
                <w:bCs w:val="1"/>
                <w:color w:val="auto"/>
                <w:w w:val="94"/>
              </w:rPr>
              <w:t>High</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740" w:type="dxa"/>
            <w:vAlign w:val="bottom"/>
            <w:tcBorders>
              <w:bottom w:val="single" w:sz="8" w:color="auto"/>
            </w:tcBorders>
          </w:tcPr>
          <w:p>
            <w:pPr>
              <w:jc w:val="center"/>
              <w:ind w:right="95"/>
              <w:spacing w:after="0"/>
              <w:rPr>
                <w:sz w:val="20"/>
                <w:szCs w:val="20"/>
                <w:color w:val="auto"/>
              </w:rPr>
            </w:pPr>
            <w:r>
              <w:rPr>
                <w:rFonts w:ascii="Arial" w:cs="Arial" w:eastAsia="Arial" w:hAnsi="Arial"/>
                <w:sz w:val="18"/>
                <w:szCs w:val="18"/>
                <w:b w:val="1"/>
                <w:bCs w:val="1"/>
                <w:color w:val="auto"/>
                <w:w w:val="99"/>
              </w:rPr>
              <w:t>Input</w:t>
            </w:r>
          </w:p>
        </w:tc>
        <w:tc>
          <w:tcPr>
            <w:tcW w:w="118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7"/>
        </w:trPr>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2"/>
          </w:tcPr>
          <w:p>
            <w:pPr>
              <w:ind w:left="620"/>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8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Power Contracts</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0"/>
              </w:rPr>
              <w:t>Discounted Cash</w:t>
            </w:r>
          </w:p>
        </w:tc>
        <w:tc>
          <w:tcPr>
            <w:tcW w:w="1740" w:type="dxa"/>
            <w:vAlign w:val="bottom"/>
            <w:shd w:val="clear" w:color="auto" w:fill="CCEEFF"/>
          </w:tcPr>
          <w:p>
            <w:pPr>
              <w:jc w:val="center"/>
              <w:ind w:right="95"/>
              <w:spacing w:after="0" w:line="168" w:lineRule="exact"/>
              <w:rPr>
                <w:sz w:val="20"/>
                <w:szCs w:val="20"/>
                <w:color w:val="auto"/>
              </w:rPr>
            </w:pPr>
            <w:r>
              <w:rPr>
                <w:rFonts w:ascii="Arial" w:cs="Arial" w:eastAsia="Arial" w:hAnsi="Arial"/>
                <w:sz w:val="16"/>
                <w:szCs w:val="16"/>
                <w:color w:val="auto"/>
                <w:w w:val="94"/>
              </w:rPr>
              <w:t>Forward Market Price</w:t>
            </w:r>
          </w:p>
        </w:tc>
        <w:tc>
          <w:tcPr>
            <w:tcW w:w="1180" w:type="dxa"/>
            <w:vAlign w:val="bottom"/>
            <w:vMerge w:val="restart"/>
            <w:shd w:val="clear" w:color="auto" w:fill="CCEEFF"/>
          </w:tcPr>
          <w:p>
            <w:pPr>
              <w:jc w:val="right"/>
              <w:ind w:right="56"/>
              <w:spacing w:after="0"/>
              <w:rPr>
                <w:sz w:val="20"/>
                <w:szCs w:val="20"/>
                <w:color w:val="auto"/>
              </w:rPr>
            </w:pPr>
            <w:r>
              <w:rPr>
                <w:rFonts w:ascii="Arial" w:cs="Arial" w:eastAsia="Arial" w:hAnsi="Arial"/>
                <w:sz w:val="16"/>
                <w:szCs w:val="16"/>
                <w:color w:val="auto"/>
              </w:rPr>
              <w:t>12.11</w:t>
            </w:r>
          </w:p>
        </w:tc>
        <w:tc>
          <w:tcPr>
            <w:tcW w:w="1380" w:type="dxa"/>
            <w:vAlign w:val="bottom"/>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42.96</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2"/>
        </w:trPr>
        <w:tc>
          <w:tcPr>
            <w:tcW w:w="18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Flow</w:t>
            </w:r>
          </w:p>
        </w:tc>
        <w:tc>
          <w:tcPr>
            <w:tcW w:w="1740" w:type="dxa"/>
            <w:vAlign w:val="bottom"/>
            <w:shd w:val="clear" w:color="auto" w:fill="CCEEFF"/>
          </w:tcPr>
          <w:p>
            <w:pPr>
              <w:jc w:val="center"/>
              <w:ind w:right="95"/>
              <w:spacing w:after="0"/>
              <w:rPr>
                <w:sz w:val="20"/>
                <w:szCs w:val="20"/>
                <w:color w:val="auto"/>
              </w:rPr>
            </w:pPr>
            <w:r>
              <w:rPr>
                <w:rFonts w:ascii="Arial" w:cs="Arial" w:eastAsia="Arial" w:hAnsi="Arial"/>
                <w:sz w:val="16"/>
                <w:szCs w:val="16"/>
                <w:color w:val="auto"/>
                <w:w w:val="95"/>
              </w:rPr>
              <w:t>(per MWh)</w:t>
            </w:r>
          </w:p>
        </w:tc>
        <w:tc>
          <w:tcPr>
            <w:tcW w:w="11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40" w:type="dxa"/>
            <w:vAlign w:val="bottom"/>
          </w:tcPr>
          <w:p>
            <w:pPr>
              <w:jc w:val="center"/>
              <w:ind w:right="75"/>
              <w:spacing w:after="0" w:line="166" w:lineRule="exact"/>
              <w:rPr>
                <w:sz w:val="20"/>
                <w:szCs w:val="20"/>
                <w:color w:val="auto"/>
              </w:rPr>
            </w:pPr>
            <w:r>
              <w:rPr>
                <w:rFonts w:ascii="Arial" w:cs="Arial" w:eastAsia="Arial" w:hAnsi="Arial"/>
                <w:sz w:val="16"/>
                <w:szCs w:val="16"/>
                <w:color w:val="auto"/>
                <w:w w:val="88"/>
              </w:rPr>
              <w:t>Forecast annual</w:t>
            </w: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Financial</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w w:val="90"/>
              </w:rPr>
              <w:t>Discounted Cash</w:t>
            </w:r>
          </w:p>
        </w:tc>
        <w:tc>
          <w:tcPr>
            <w:tcW w:w="1740" w:type="dxa"/>
            <w:vAlign w:val="bottom"/>
          </w:tcPr>
          <w:p>
            <w:pPr>
              <w:jc w:val="center"/>
              <w:ind w:right="95"/>
              <w:spacing w:after="0" w:line="162" w:lineRule="exact"/>
              <w:rPr>
                <w:sz w:val="20"/>
                <w:szCs w:val="20"/>
                <w:color w:val="auto"/>
              </w:rPr>
            </w:pPr>
            <w:r>
              <w:rPr>
                <w:rFonts w:ascii="Arial" w:cs="Arial" w:eastAsia="Arial" w:hAnsi="Arial"/>
                <w:sz w:val="16"/>
                <w:szCs w:val="16"/>
                <w:color w:val="auto"/>
                <w:w w:val="92"/>
              </w:rPr>
              <w:t>generation levels of</w:t>
            </w: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20" w:type="dxa"/>
            <w:vAlign w:val="bottom"/>
            <w:vMerge w:val="continue"/>
          </w:tcPr>
          <w:p>
            <w:pPr>
              <w:spacing w:after="0"/>
              <w:rPr>
                <w:sz w:val="13"/>
                <w:szCs w:val="13"/>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ind w:left="780"/>
              <w:spacing w:after="0"/>
              <w:rPr>
                <w:sz w:val="20"/>
                <w:szCs w:val="20"/>
                <w:color w:val="auto"/>
              </w:rPr>
            </w:pPr>
            <w:r>
              <w:rPr>
                <w:rFonts w:ascii="Arial" w:cs="Arial" w:eastAsia="Arial" w:hAnsi="Arial"/>
                <w:sz w:val="16"/>
                <w:szCs w:val="16"/>
                <w:color w:val="auto"/>
              </w:rPr>
              <w:t>27 $</w:t>
            </w:r>
          </w:p>
        </w:tc>
        <w:tc>
          <w:tcPr>
            <w:tcW w:w="1180" w:type="dxa"/>
            <w:vAlign w:val="bottom"/>
            <w:vMerge w:val="restart"/>
          </w:tcPr>
          <w:p>
            <w:pPr>
              <w:jc w:val="center"/>
              <w:ind w:left="695"/>
              <w:spacing w:after="0"/>
              <w:rPr>
                <w:sz w:val="20"/>
                <w:szCs w:val="20"/>
                <w:color w:val="auto"/>
              </w:rPr>
            </w:pPr>
            <w:r>
              <w:rPr>
                <w:rFonts w:ascii="Arial" w:cs="Arial" w:eastAsia="Arial" w:hAnsi="Arial"/>
                <w:sz w:val="16"/>
                <w:szCs w:val="16"/>
                <w:color w:val="auto"/>
                <w:w w:val="99"/>
              </w:rPr>
              <w:t>—</w:t>
            </w:r>
          </w:p>
        </w:tc>
        <w:tc>
          <w:tcPr>
            <w:tcW w:w="1240" w:type="dxa"/>
            <w:vAlign w:val="bottom"/>
            <w:vMerge w:val="continue"/>
          </w:tcPr>
          <w:p>
            <w:pPr>
              <w:spacing w:after="0"/>
              <w:rPr>
                <w:sz w:val="13"/>
                <w:szCs w:val="13"/>
                <w:color w:val="auto"/>
              </w:rPr>
            </w:pPr>
          </w:p>
        </w:tc>
        <w:tc>
          <w:tcPr>
            <w:tcW w:w="1740" w:type="dxa"/>
            <w:vAlign w:val="bottom"/>
          </w:tcPr>
          <w:p>
            <w:pPr>
              <w:jc w:val="center"/>
              <w:ind w:right="95"/>
              <w:spacing w:after="0" w:line="158" w:lineRule="exact"/>
              <w:rPr>
                <w:sz w:val="20"/>
                <w:szCs w:val="20"/>
                <w:color w:val="auto"/>
              </w:rPr>
            </w:pPr>
            <w:r>
              <w:rPr>
                <w:rFonts w:ascii="Arial" w:cs="Arial" w:eastAsia="Arial" w:hAnsi="Arial"/>
                <w:sz w:val="16"/>
                <w:szCs w:val="16"/>
                <w:color w:val="auto"/>
                <w:w w:val="93"/>
              </w:rPr>
              <w:t>certain DG solar</w:t>
            </w:r>
          </w:p>
        </w:tc>
        <w:tc>
          <w:tcPr>
            <w:tcW w:w="2560" w:type="dxa"/>
            <w:vAlign w:val="bottom"/>
            <w:gridSpan w:val="2"/>
            <w:vMerge w:val="restart"/>
          </w:tcPr>
          <w:p>
            <w:pPr>
              <w:jc w:val="right"/>
              <w:ind w:right="353"/>
              <w:spacing w:after="0"/>
              <w:rPr>
                <w:sz w:val="20"/>
                <w:szCs w:val="20"/>
                <w:color w:val="auto"/>
              </w:rPr>
            </w:pPr>
            <w:r>
              <w:rPr>
                <w:rFonts w:ascii="Arial" w:cs="Arial" w:eastAsia="Arial" w:hAnsi="Arial"/>
                <w:sz w:val="16"/>
                <w:szCs w:val="16"/>
                <w:color w:val="auto"/>
              </w:rPr>
              <w:t>80,872 MWh 131,374 MWh</w:t>
            </w:r>
          </w:p>
        </w:tc>
        <w:tc>
          <w:tcPr>
            <w:tcW w:w="1220" w:type="dxa"/>
            <w:vAlign w:val="bottom"/>
            <w:vMerge w:val="restart"/>
          </w:tcPr>
          <w:p>
            <w:pPr>
              <w:ind w:left="260"/>
              <w:spacing w:after="0"/>
              <w:rPr>
                <w:sz w:val="20"/>
                <w:szCs w:val="20"/>
                <w:color w:val="auto"/>
              </w:rPr>
            </w:pPr>
            <w:r>
              <w:rPr>
                <w:rFonts w:ascii="Arial" w:cs="Arial" w:eastAsia="Arial" w:hAnsi="Arial"/>
                <w:sz w:val="16"/>
                <w:szCs w:val="16"/>
                <w:color w:val="auto"/>
                <w:w w:val="94"/>
              </w:rPr>
              <w:t>126,063 MWh</w:t>
            </w:r>
          </w:p>
        </w:tc>
        <w:tc>
          <w:tcPr>
            <w:tcW w:w="0" w:type="dxa"/>
            <w:vAlign w:val="bottom"/>
          </w:tcPr>
          <w:p>
            <w:pPr>
              <w:spacing w:after="0"/>
              <w:rPr>
                <w:sz w:val="1"/>
                <w:szCs w:val="1"/>
                <w:color w:val="auto"/>
              </w:rPr>
            </w:pPr>
          </w:p>
        </w:tc>
      </w:tr>
      <w:tr>
        <w:trPr>
          <w:trHeight w:val="210"/>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Flow</w:t>
            </w:r>
          </w:p>
        </w:tc>
        <w:tc>
          <w:tcPr>
            <w:tcW w:w="1740" w:type="dxa"/>
            <w:vAlign w:val="bottom"/>
          </w:tcPr>
          <w:p>
            <w:pPr>
              <w:jc w:val="center"/>
              <w:ind w:right="95"/>
              <w:spacing w:after="0"/>
              <w:rPr>
                <w:sz w:val="20"/>
                <w:szCs w:val="20"/>
                <w:color w:val="auto"/>
              </w:rPr>
            </w:pPr>
            <w:r>
              <w:rPr>
                <w:rFonts w:ascii="Arial" w:cs="Arial" w:eastAsia="Arial" w:hAnsi="Arial"/>
                <w:sz w:val="16"/>
                <w:szCs w:val="16"/>
                <w:color w:val="auto"/>
                <w:w w:val="98"/>
              </w:rPr>
              <w:t>facilities</w:t>
            </w:r>
          </w:p>
        </w:tc>
        <w:tc>
          <w:tcPr>
            <w:tcW w:w="25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March 31, 2021:</w:t>
      </w:r>
    </w:p>
    <w:p>
      <w:pPr>
        <w:spacing w:after="0" w:line="42"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Significant Observable Input</w:t>
            </w:r>
          </w:p>
        </w:tc>
        <w:tc>
          <w:tcPr>
            <w:tcW w:w="192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7"/>
              </w:rPr>
              <w:t>Position</w:t>
            </w:r>
          </w:p>
        </w:tc>
        <w:tc>
          <w:tcPr>
            <w:tcW w:w="234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4"/>
              </w:rPr>
              <w:t>Change In Input</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Forward Market Price Power</w:t>
            </w:r>
          </w:p>
        </w:tc>
        <w:tc>
          <w:tcPr>
            <w:tcW w:w="19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6"/>
              </w:rPr>
              <w:t>Buy</w:t>
            </w:r>
          </w:p>
        </w:tc>
        <w:tc>
          <w:tcPr>
            <w:tcW w:w="2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r>
        <w:trPr>
          <w:trHeight w:val="229"/>
        </w:trPr>
        <w:tc>
          <w:tcPr>
            <w:tcW w:w="3660" w:type="dxa"/>
            <w:vAlign w:val="bottom"/>
          </w:tcPr>
          <w:p>
            <w:pPr>
              <w:jc w:val="center"/>
              <w:spacing w:after="0"/>
              <w:rPr>
                <w:sz w:val="20"/>
                <w:szCs w:val="20"/>
                <w:color w:val="auto"/>
              </w:rPr>
            </w:pPr>
            <w:r>
              <w:rPr>
                <w:rFonts w:ascii="Arial" w:cs="Arial" w:eastAsia="Arial" w:hAnsi="Arial"/>
                <w:sz w:val="18"/>
                <w:szCs w:val="18"/>
                <w:color w:val="auto"/>
                <w:w w:val="92"/>
              </w:rPr>
              <w:t>Forward Market Price Power</w:t>
            </w:r>
          </w:p>
        </w:tc>
        <w:tc>
          <w:tcPr>
            <w:tcW w:w="1920" w:type="dxa"/>
            <w:vAlign w:val="bottom"/>
          </w:tcPr>
          <w:p>
            <w:pPr>
              <w:jc w:val="center"/>
              <w:ind w:left="70"/>
              <w:spacing w:after="0"/>
              <w:rPr>
                <w:sz w:val="20"/>
                <w:szCs w:val="20"/>
                <w:color w:val="auto"/>
              </w:rPr>
            </w:pPr>
            <w:r>
              <w:rPr>
                <w:rFonts w:ascii="Arial" w:cs="Arial" w:eastAsia="Arial" w:hAnsi="Arial"/>
                <w:sz w:val="18"/>
                <w:szCs w:val="18"/>
                <w:color w:val="auto"/>
                <w:w w:val="93"/>
              </w:rPr>
              <w:t>Sell</w:t>
            </w:r>
          </w:p>
        </w:tc>
        <w:tc>
          <w:tcPr>
            <w:tcW w:w="2340" w:type="dxa"/>
            <w:vAlign w:val="bottom"/>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Forecast Generation Levels</w:t>
            </w:r>
          </w:p>
        </w:tc>
        <w:tc>
          <w:tcPr>
            <w:tcW w:w="19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Sell</w:t>
            </w:r>
          </w:p>
        </w:tc>
        <w:tc>
          <w:tcPr>
            <w:tcW w:w="23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Increase/(Decrease)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2021, the non-performance reserve was a $4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addition to the credit risk discussion as disclosed under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t>
      </w:r>
      <w:r>
        <w:rPr>
          <w:rFonts w:ascii="Arial" w:cs="Arial" w:eastAsia="Arial" w:hAnsi="Arial"/>
          <w:sz w:val="18"/>
          <w:szCs w:val="18"/>
          <w:color w:val="231F20"/>
        </w:rPr>
        <w:t>to the</w:t>
      </w:r>
      <w:r>
        <w:rPr>
          <w:rFonts w:ascii="Arial" w:cs="Arial" w:eastAsia="Arial" w:hAnsi="Arial"/>
          <w:sz w:val="18"/>
          <w:szCs w:val="18"/>
          <w:color w:val="auto"/>
        </w:rPr>
        <w:t xml:space="preserve"> consolidated financial statements included in the </w:t>
      </w:r>
      <w:r>
        <w:rPr>
          <w:rFonts w:ascii="Arial" w:cs="Arial" w:eastAsia="Arial" w:hAnsi="Arial"/>
          <w:sz w:val="18"/>
          <w:szCs w:val="18"/>
          <w:color w:val="231F20"/>
        </w:rPr>
        <w:t>Company's</w:t>
      </w:r>
      <w:r>
        <w:rPr>
          <w:rFonts w:ascii="Arial" w:cs="Arial" w:eastAsia="Arial" w:hAnsi="Arial"/>
          <w:sz w:val="18"/>
          <w:szCs w:val="18"/>
          <w:color w:val="auto"/>
        </w:rPr>
        <w:t xml:space="preserve"> 2020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4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the Company's 2020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March 31, 2021, the Company had interest rate derivative instruments on non-recourse debt extending through 2044, a portion of which were designated as cash flow hedges. Under the interest rate swap agreements, the Company pays a fixed rate and the counterparties to the agreements pay a variable interest 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2021, the Company had energy-related derivative instruments extending through 2032. At March 31, 2021,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3"/>
          </w:tcPr>
          <w:p>
            <w:pPr>
              <w:jc w:val="right"/>
              <w:ind w:right="1255"/>
              <w:spacing w:after="0"/>
              <w:rPr>
                <w:sz w:val="20"/>
                <w:szCs w:val="20"/>
                <w:color w:val="auto"/>
              </w:rPr>
            </w:pPr>
            <w:r>
              <w:rPr>
                <w:rFonts w:ascii="Arial" w:cs="Arial" w:eastAsia="Arial" w:hAnsi="Arial"/>
                <w:sz w:val="14"/>
                <w:szCs w:val="14"/>
                <w:b w:val="1"/>
                <w:bCs w:val="1"/>
                <w:color w:val="auto"/>
              </w:rPr>
              <w:t>Total Volume</w:t>
            </w:r>
          </w:p>
        </w:tc>
      </w:tr>
      <w:tr>
        <w:trPr>
          <w:trHeight w:val="194"/>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December 31, 2020</w:t>
            </w:r>
          </w:p>
        </w:tc>
      </w:tr>
      <w:tr>
        <w:trPr>
          <w:trHeight w:val="149"/>
        </w:trPr>
        <w:tc>
          <w:tcPr>
            <w:tcW w:w="2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Commodity</w:t>
            </w:r>
          </w:p>
        </w:tc>
        <w:tc>
          <w:tcPr>
            <w:tcW w:w="6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2"/>
                <w:szCs w:val="12"/>
                <w:color w:val="auto"/>
              </w:rPr>
            </w:pPr>
          </w:p>
        </w:tc>
        <w:tc>
          <w:tcPr>
            <w:tcW w:w="3260" w:type="dxa"/>
            <w:vAlign w:val="bottom"/>
            <w:gridSpan w:val="3"/>
          </w:tcPr>
          <w:p>
            <w:pPr>
              <w:jc w:val="right"/>
              <w:ind w:right="1295"/>
              <w:spacing w:after="0" w:line="149" w:lineRule="exact"/>
              <w:rPr>
                <w:sz w:val="20"/>
                <w:szCs w:val="20"/>
                <w:color w:val="auto"/>
              </w:rPr>
            </w:pPr>
            <w:r>
              <w:rPr>
                <w:rFonts w:ascii="Arial" w:cs="Arial" w:eastAsia="Arial" w:hAnsi="Arial"/>
                <w:sz w:val="14"/>
                <w:szCs w:val="14"/>
                <w:b w:val="1"/>
                <w:bCs w:val="1"/>
                <w:color w:val="auto"/>
              </w:rPr>
              <w:t>(In millions)</w:t>
            </w: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Power</w:t>
            </w:r>
          </w:p>
        </w:tc>
        <w:tc>
          <w:tcPr>
            <w:tcW w:w="6380" w:type="dxa"/>
            <w:vAlign w:val="bottom"/>
            <w:gridSpan w:val="2"/>
          </w:tcPr>
          <w:p>
            <w:pPr>
              <w:spacing w:after="0"/>
              <w:rPr>
                <w:sz w:val="20"/>
                <w:szCs w:val="20"/>
                <w:color w:val="auto"/>
              </w:rPr>
            </w:pPr>
            <w:r>
              <w:rPr>
                <w:rFonts w:ascii="Arial" w:cs="Arial" w:eastAsia="Arial" w:hAnsi="Arial"/>
                <w:sz w:val="18"/>
                <w:szCs w:val="18"/>
                <w:color w:val="auto"/>
              </w:rPr>
              <w:t>MWh</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Derivative Assets</w:t>
            </w:r>
          </w:p>
        </w:tc>
        <w:tc>
          <w:tcPr>
            <w:tcW w:w="140" w:type="dxa"/>
            <w:vAlign w:val="bottom"/>
          </w:tcPr>
          <w:p>
            <w:pPr>
              <w:spacing w:after="0"/>
              <w:rPr>
                <w:sz w:val="16"/>
                <w:szCs w:val="16"/>
                <w:color w:val="auto"/>
              </w:rPr>
            </w:pPr>
          </w:p>
        </w:tc>
        <w:tc>
          <w:tcPr>
            <w:tcW w:w="282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94"/>
              </w:rPr>
              <w:t>Derivative Liabilities</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Cash Flow Hedges: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center"/>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Commodity contracts current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 long-term</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673"/>
              <w:spacing w:after="0"/>
              <w:rPr>
                <w:sz w:val="20"/>
                <w:szCs w:val="20"/>
                <w:color w:val="auto"/>
              </w:rPr>
            </w:pPr>
            <w:r>
              <w:rPr>
                <w:rFonts w:ascii="Arial" w:cs="Arial" w:eastAsia="Arial" w:hAnsi="Arial"/>
                <w:sz w:val="18"/>
                <w:szCs w:val="18"/>
                <w:color w:val="231F20"/>
              </w:rPr>
              <w:t>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ind w:right="20" w:firstLine="405"/>
        <w:spacing w:after="0" w:line="295"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March 31, 2021 and December 31, 2020, there was no outstanding collateral paid or received. The following tables summarize the offsetting of derivatives by counterparty master agreement level as of March 31, 2021 and December 31, 2020:</w:t>
      </w:r>
    </w:p>
    <w:tbl>
      <w:tblPr>
        <w:tblLayout w:type="fixed"/>
        <w:tblInd w:w="0" w:type="dxa"/>
        <w:tblCellMar>
          <w:top w:w="0" w:type="dxa"/>
          <w:left w:w="0" w:type="dxa"/>
          <w:bottom w:w="0" w:type="dxa"/>
          <w:right w:w="0" w:type="dxa"/>
        </w:tblCellMar>
      </w:tblPr>
      <w:tr>
        <w:trPr>
          <w:trHeight w:val="146"/>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March 31, 2021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Derivative Instruments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Recognized Assets/Liabilities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460"/>
              <w:spacing w:after="0"/>
              <w:rPr>
                <w:sz w:val="20"/>
                <w:szCs w:val="20"/>
                <w:color w:val="auto"/>
              </w:rPr>
            </w:pPr>
            <w:r>
              <w:rPr>
                <w:rFonts w:ascii="Arial" w:cs="Arial" w:eastAsia="Arial" w:hAnsi="Arial"/>
                <w:sz w:val="18"/>
                <w:szCs w:val="18"/>
                <w:color w:val="auto"/>
                <w:w w:val="90"/>
              </w:rPr>
              <w:t>(6)</w:t>
            </w: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186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Recognized Assets/Liabilities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80"/>
              <w:spacing w:after="0"/>
              <w:rPr>
                <w:sz w:val="20"/>
                <w:szCs w:val="20"/>
                <w:color w:val="auto"/>
              </w:rPr>
            </w:pPr>
            <w:r>
              <w:rPr>
                <w:rFonts w:ascii="Arial" w:cs="Arial" w:eastAsia="Arial" w:hAnsi="Arial"/>
                <w:sz w:val="18"/>
                <w:szCs w:val="18"/>
                <w:b w:val="1"/>
                <w:bCs w:val="1"/>
                <w:color w:val="auto"/>
              </w:rPr>
              <w:t>Commodity contracts</w:t>
            </w: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commodity contracts</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interest rate contracts</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r>
      <w:tr>
        <w:trPr>
          <w:trHeight w:val="183"/>
        </w:trPr>
        <w:tc>
          <w:tcPr>
            <w:tcW w:w="8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Reclassified from accumulated OCL to income due to realization of previously deferred amounts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of cash flow hedge accounting contracts</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OCL ending balance, net of income tax benefit of $4 and $8, respectively</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OCL attributable to noncontrolling interests</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Accumulated OCL attributable to Clearway Energy, Inc.</w:t>
            </w: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expected to be realized from OCL during the next 12 months, net of income tax benefit of $3</w:t>
            </w: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 of operations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87"/>
        </w:trPr>
        <w:tc>
          <w:tcPr>
            <w:tcW w:w="8320" w:type="dxa"/>
            <w:vAlign w:val="bottom"/>
          </w:tcPr>
          <w:p>
            <w:pPr>
              <w:spacing w:after="0"/>
              <w:rPr>
                <w:sz w:val="16"/>
                <w:szCs w:val="16"/>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r>
      <w:tr>
        <w:trPr>
          <w:trHeight w:val="183"/>
        </w:trPr>
        <w:tc>
          <w:tcPr>
            <w:tcW w:w="8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r>
      <w:tr>
        <w:trPr>
          <w:trHeight w:val="231"/>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242424"/>
                <w:w w:val="79"/>
              </w:rPr>
              <w:t>$</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242424"/>
              </w:rPr>
              <w:t>47</w:t>
            </w:r>
          </w:p>
        </w:tc>
        <w:tc>
          <w:tcPr>
            <w:tcW w:w="102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8320" w:type="dxa"/>
            <w:vAlign w:val="bottom"/>
          </w:tcPr>
          <w:p>
            <w:pPr>
              <w:ind w:left="20"/>
              <w:spacing w:after="0"/>
              <w:rPr>
                <w:sz w:val="20"/>
                <w:szCs w:val="20"/>
                <w:color w:val="auto"/>
              </w:rPr>
            </w:pPr>
            <w:r>
              <w:rPr>
                <w:rFonts w:ascii="Arial" w:cs="Arial" w:eastAsia="Arial" w:hAnsi="Arial"/>
                <w:sz w:val="18"/>
                <w:szCs w:val="18"/>
                <w:color w:val="auto"/>
              </w:rPr>
              <w:t xml:space="preserve">Mark-to-market economic hedging activities </w:t>
            </w:r>
            <w:r>
              <w:rPr>
                <w:rFonts w:ascii="Arial" w:cs="Arial" w:eastAsia="Arial" w:hAnsi="Arial"/>
                <w:sz w:val="23"/>
                <w:szCs w:val="23"/>
                <w:color w:val="auto"/>
                <w:vertAlign w:val="superscript"/>
              </w:rPr>
              <w:t>(a)</w:t>
            </w:r>
          </w:p>
        </w:tc>
        <w:tc>
          <w:tcPr>
            <w:tcW w:w="96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242424"/>
              </w:rPr>
              <w:t>(22)</w:t>
            </w:r>
          </w:p>
        </w:tc>
        <w:tc>
          <w:tcPr>
            <w:tcW w:w="10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158115</wp:posOffset>
            </wp:positionV>
            <wp:extent cx="18770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32" w:lineRule="exact"/>
        <w:rPr>
          <w:sz w:val="20"/>
          <w:szCs w:val="20"/>
          <w:color w:val="auto"/>
        </w:rPr>
      </w:pPr>
    </w:p>
    <w:p>
      <w:pPr>
        <w:ind w:left="620" w:hanging="126"/>
        <w:spacing w:after="0"/>
        <w:tabs>
          <w:tab w:leader="none" w:pos="620" w:val="left"/>
        </w:tabs>
        <w:numPr>
          <w:ilvl w:val="0"/>
          <w:numId w:val="12"/>
        </w:numPr>
        <w:rPr>
          <w:rFonts w:ascii="Arial" w:cs="Arial" w:eastAsia="Arial" w:hAnsi="Arial"/>
          <w:sz w:val="15"/>
          <w:szCs w:val="15"/>
          <w:color w:val="auto"/>
          <w:vertAlign w:val="superscript"/>
        </w:rPr>
      </w:pPr>
      <w:r>
        <w:rPr>
          <w:rFonts w:ascii="Arial" w:cs="Arial" w:eastAsia="Arial" w:hAnsi="Arial"/>
          <w:sz w:val="11"/>
          <w:szCs w:val="11"/>
          <w:color w:val="auto"/>
        </w:rPr>
        <w:t>Relates to long-term power hedges at Elbow Creek Wind Project LLC, or Elbow Creek, and Mesquite Star Special LLC, or Mesquite Star.</w:t>
      </w:r>
    </w:p>
    <w:p>
      <w:pPr>
        <w:spacing w:after="0" w:line="2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21" w:lineRule="exact"/>
        <w:rPr>
          <w:sz w:val="20"/>
          <w:szCs w:val="20"/>
          <w:color w:val="auto"/>
        </w:rPr>
      </w:pPr>
    </w:p>
    <w:p>
      <w:pPr>
        <w:ind w:right="540" w:firstLine="405"/>
        <w:spacing w:after="0" w:line="269"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2020 Form 10-K. Long-term debt consisted of the following:</w:t>
      </w:r>
    </w:p>
    <w:tbl>
      <w:tblPr>
        <w:tblLayout w:type="fixed"/>
        <w:tblInd w:w="0" w:type="dxa"/>
        <w:tblCellMar>
          <w:top w:w="0" w:type="dxa"/>
          <w:left w:w="0" w:type="dxa"/>
          <w:bottom w:w="0" w:type="dxa"/>
          <w:right w:w="0" w:type="dxa"/>
        </w:tblCellMar>
      </w:tblPr>
      <w:tr>
        <w:trPr>
          <w:trHeight w:val="144"/>
        </w:trPr>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vMerge w:val="restart"/>
          </w:tcPr>
          <w:p>
            <w:pPr>
              <w:jc w:val="right"/>
              <w:ind w:right="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2"/>
                <w:szCs w:val="12"/>
                <w:color w:val="auto"/>
              </w:rPr>
            </w:pPr>
          </w:p>
        </w:tc>
        <w:tc>
          <w:tcPr>
            <w:tcW w:w="1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2021 interest</w:t>
            </w: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35"/>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rates)</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508"/>
              <w:spacing w:after="0" w:line="189" w:lineRule="exact"/>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18"/>
                <w:szCs w:val="18"/>
                <w:b w:val="1"/>
                <w:bCs w:val="1"/>
                <w:color w:val="auto"/>
                <w:vertAlign w:val="superscript"/>
              </w:rPr>
              <w:t>(a)</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Senior Notes</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600</w:t>
            </w:r>
          </w:p>
        </w:tc>
        <w:tc>
          <w:tcPr>
            <w:tcW w:w="1840" w:type="dxa"/>
            <w:vAlign w:val="bottom"/>
            <w:gridSpan w:val="2"/>
            <w:shd w:val="clear" w:color="auto" w:fill="CCEEFF"/>
          </w:tcPr>
          <w:p>
            <w:pPr>
              <w:jc w:val="center"/>
              <w:ind w:left="1328"/>
              <w:spacing w:after="0"/>
              <w:rPr>
                <w:sz w:val="20"/>
                <w:szCs w:val="20"/>
                <w:color w:val="auto"/>
              </w:rPr>
            </w:pPr>
            <w:r>
              <w:rPr>
                <w:rFonts w:ascii="Arial" w:cs="Arial" w:eastAsia="Arial" w:hAnsi="Arial"/>
                <w:sz w:val="14"/>
                <w:szCs w:val="14"/>
                <w:color w:val="auto"/>
                <w:w w:val="91"/>
              </w:rPr>
              <w:t>5.750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2026 Senior Notes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350</w:t>
            </w:r>
          </w:p>
        </w:tc>
        <w:tc>
          <w:tcPr>
            <w:tcW w:w="1840" w:type="dxa"/>
            <w:vAlign w:val="bottom"/>
            <w:gridSpan w:val="2"/>
          </w:tcPr>
          <w:p>
            <w:pPr>
              <w:jc w:val="center"/>
              <w:ind w:left="1328"/>
              <w:spacing w:after="0"/>
              <w:rPr>
                <w:sz w:val="20"/>
                <w:szCs w:val="20"/>
                <w:color w:val="auto"/>
              </w:rPr>
            </w:pPr>
            <w:r>
              <w:rPr>
                <w:rFonts w:ascii="Arial" w:cs="Arial" w:eastAsia="Arial" w:hAnsi="Arial"/>
                <w:sz w:val="14"/>
                <w:szCs w:val="14"/>
                <w:color w:val="auto"/>
                <w:w w:val="91"/>
              </w:rPr>
              <w:t>5.000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 Senior Notes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850</w:t>
            </w:r>
          </w:p>
        </w:tc>
        <w:tc>
          <w:tcPr>
            <w:tcW w:w="1840" w:type="dxa"/>
            <w:vAlign w:val="bottom"/>
            <w:gridSpan w:val="2"/>
            <w:shd w:val="clear" w:color="auto" w:fill="CCEEFF"/>
          </w:tcPr>
          <w:p>
            <w:pPr>
              <w:jc w:val="center"/>
              <w:ind w:left="1328"/>
              <w:spacing w:after="0"/>
              <w:rPr>
                <w:sz w:val="20"/>
                <w:szCs w:val="20"/>
                <w:color w:val="auto"/>
              </w:rPr>
            </w:pPr>
            <w:r>
              <w:rPr>
                <w:rFonts w:ascii="Arial" w:cs="Arial" w:eastAsia="Arial" w:hAnsi="Arial"/>
                <w:sz w:val="14"/>
                <w:szCs w:val="14"/>
                <w:color w:val="auto"/>
                <w:w w:val="91"/>
              </w:rPr>
              <w:t>4.750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2031 Senior Notes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center"/>
              <w:ind w:left="1328"/>
              <w:spacing w:after="0"/>
              <w:rPr>
                <w:sz w:val="20"/>
                <w:szCs w:val="20"/>
                <w:color w:val="auto"/>
              </w:rPr>
            </w:pPr>
            <w:r>
              <w:rPr>
                <w:rFonts w:ascii="Arial" w:cs="Arial" w:eastAsia="Arial" w:hAnsi="Arial"/>
                <w:sz w:val="14"/>
                <w:szCs w:val="14"/>
                <w:color w:val="auto"/>
                <w:w w:val="91"/>
              </w:rPr>
              <w:t>3.750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Clearway Energy LLC and Clearway Energy Operating LLC Revolving Credit Facility,</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due 2023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L+1.500</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70</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Project-level debt: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Agua Caliente Solar LLC, due 2037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2.395 - 3.633</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45</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Alta Wind Asset Management LLC, due 2031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L+2.50</w:t>
            </w:r>
          </w:p>
        </w:tc>
        <w:tc>
          <w:tcPr>
            <w:tcW w:w="144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Alta Wind I-V lease financing arrangements, due 2034 and 2035</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800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5.696 - 7.015</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44</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Alta Wind Realty Investments LLC, due 2031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25</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Borrego, due 2024 and 2038</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center"/>
              <w:ind w:left="1088"/>
              <w:spacing w:after="0"/>
              <w:rPr>
                <w:sz w:val="20"/>
                <w:szCs w:val="20"/>
                <w:color w:val="auto"/>
              </w:rPr>
            </w:pPr>
            <w:r>
              <w:rPr>
                <w:rFonts w:ascii="Arial" w:cs="Arial" w:eastAsia="Arial" w:hAnsi="Arial"/>
                <w:sz w:val="14"/>
                <w:szCs w:val="14"/>
                <w:color w:val="auto"/>
                <w:w w:val="92"/>
              </w:rPr>
              <w:t>Various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4</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Buckthorn Solar, due 2025</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L+1.750</w:t>
            </w:r>
          </w:p>
        </w:tc>
        <w:tc>
          <w:tcPr>
            <w:tcW w:w="1440" w:type="dxa"/>
            <w:vAlign w:val="bottom"/>
          </w:tcPr>
          <w:p>
            <w:pPr>
              <w:jc w:val="right"/>
              <w:spacing w:after="0"/>
              <w:rPr>
                <w:sz w:val="20"/>
                <w:szCs w:val="20"/>
                <w:color w:val="auto"/>
              </w:rPr>
            </w:pPr>
            <w:r>
              <w:rPr>
                <w:rFonts w:ascii="Arial" w:cs="Arial" w:eastAsia="Arial" w:hAnsi="Arial"/>
                <w:sz w:val="14"/>
                <w:szCs w:val="14"/>
                <w:color w:val="242424"/>
              </w:rPr>
              <w:t>22</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Carlsbad Energy Holdings LLC, due 2027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L+1.625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77</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Carlsbad Energy Holdings LLC, due 2038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407</w:t>
            </w:r>
          </w:p>
        </w:tc>
        <w:tc>
          <w:tcPr>
            <w:tcW w:w="1840" w:type="dxa"/>
            <w:vAlign w:val="bottom"/>
            <w:gridSpan w:val="2"/>
          </w:tcPr>
          <w:p>
            <w:pPr>
              <w:jc w:val="center"/>
              <w:ind w:left="1328"/>
              <w:spacing w:after="0"/>
              <w:rPr>
                <w:sz w:val="20"/>
                <w:szCs w:val="20"/>
                <w:color w:val="auto"/>
              </w:rPr>
            </w:pPr>
            <w:r>
              <w:rPr>
                <w:rFonts w:ascii="Arial" w:cs="Arial" w:eastAsia="Arial" w:hAnsi="Arial"/>
                <w:sz w:val="14"/>
                <w:szCs w:val="14"/>
                <w:color w:val="auto"/>
                <w:w w:val="91"/>
              </w:rPr>
              <w:t>4.120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Carlsbad Holdco, due 2038</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210</w:t>
            </w:r>
          </w:p>
        </w:tc>
        <w:tc>
          <w:tcPr>
            <w:tcW w:w="1840" w:type="dxa"/>
            <w:vAlign w:val="bottom"/>
            <w:gridSpan w:val="2"/>
            <w:shd w:val="clear" w:color="auto" w:fill="CCEEFF"/>
          </w:tcPr>
          <w:p>
            <w:pPr>
              <w:jc w:val="center"/>
              <w:ind w:left="1328"/>
              <w:spacing w:after="0"/>
              <w:rPr>
                <w:sz w:val="20"/>
                <w:szCs w:val="20"/>
                <w:color w:val="auto"/>
              </w:rPr>
            </w:pPr>
            <w:r>
              <w:rPr>
                <w:rFonts w:ascii="Arial" w:cs="Arial" w:eastAsia="Arial" w:hAnsi="Arial"/>
                <w:sz w:val="14"/>
                <w:szCs w:val="14"/>
                <w:color w:val="auto"/>
                <w:w w:val="91"/>
              </w:rPr>
              <w:t>4.210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5</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CVSR Holdco Notes, due 2037</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176</w:t>
            </w:r>
          </w:p>
        </w:tc>
        <w:tc>
          <w:tcPr>
            <w:tcW w:w="1840" w:type="dxa"/>
            <w:vAlign w:val="bottom"/>
            <w:gridSpan w:val="2"/>
          </w:tcPr>
          <w:p>
            <w:pPr>
              <w:jc w:val="center"/>
              <w:ind w:left="1328"/>
              <w:spacing w:after="0"/>
              <w:rPr>
                <w:sz w:val="20"/>
                <w:szCs w:val="20"/>
                <w:color w:val="auto"/>
              </w:rPr>
            </w:pPr>
            <w:r>
              <w:rPr>
                <w:rFonts w:ascii="Arial" w:cs="Arial" w:eastAsia="Arial" w:hAnsi="Arial"/>
                <w:sz w:val="14"/>
                <w:szCs w:val="14"/>
                <w:color w:val="auto"/>
                <w:w w:val="91"/>
              </w:rPr>
              <w:t>4.680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42424"/>
              </w:rPr>
              <w:t>13</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CVSR, due 2037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675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2.339 - 3.775</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DG-CS Master Borrower LLC, due 2040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467</w:t>
            </w:r>
          </w:p>
        </w:tc>
        <w:tc>
          <w:tcPr>
            <w:tcW w:w="1840" w:type="dxa"/>
            <w:vAlign w:val="bottom"/>
            <w:gridSpan w:val="2"/>
          </w:tcPr>
          <w:p>
            <w:pPr>
              <w:jc w:val="center"/>
              <w:ind w:left="1328"/>
              <w:spacing w:after="0"/>
              <w:rPr>
                <w:sz w:val="20"/>
                <w:szCs w:val="20"/>
                <w:color w:val="auto"/>
              </w:rPr>
            </w:pPr>
            <w:r>
              <w:rPr>
                <w:rFonts w:ascii="Arial" w:cs="Arial" w:eastAsia="Arial" w:hAnsi="Arial"/>
                <w:sz w:val="14"/>
                <w:szCs w:val="14"/>
                <w:color w:val="auto"/>
                <w:w w:val="91"/>
              </w:rPr>
              <w:t>3.510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42424"/>
              </w:rPr>
              <w:t>30</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Duquesne, due 2059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95</w:t>
            </w:r>
          </w:p>
        </w:tc>
        <w:tc>
          <w:tcPr>
            <w:tcW w:w="1840" w:type="dxa"/>
            <w:vAlign w:val="bottom"/>
            <w:gridSpan w:val="2"/>
            <w:shd w:val="clear" w:color="auto" w:fill="CCEEFF"/>
          </w:tcPr>
          <w:p>
            <w:pPr>
              <w:jc w:val="center"/>
              <w:ind w:left="1328"/>
              <w:spacing w:after="0"/>
              <w:rPr>
                <w:sz w:val="20"/>
                <w:szCs w:val="20"/>
                <w:color w:val="auto"/>
              </w:rPr>
            </w:pPr>
            <w:r>
              <w:rPr>
                <w:rFonts w:ascii="Arial" w:cs="Arial" w:eastAsia="Arial" w:hAnsi="Arial"/>
                <w:sz w:val="14"/>
                <w:szCs w:val="14"/>
                <w:color w:val="auto"/>
                <w:w w:val="91"/>
              </w:rPr>
              <w:t>4.620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El Segundo Energy Center, due 2023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L+1.875 - L+2.500</w:t>
            </w:r>
          </w:p>
        </w:tc>
        <w:tc>
          <w:tcPr>
            <w:tcW w:w="1440" w:type="dxa"/>
            <w:vAlign w:val="bottom"/>
          </w:tcPr>
          <w:p>
            <w:pPr>
              <w:jc w:val="right"/>
              <w:spacing w:after="0"/>
              <w:rPr>
                <w:sz w:val="20"/>
                <w:szCs w:val="20"/>
                <w:color w:val="auto"/>
              </w:rPr>
            </w:pPr>
            <w:r>
              <w:rPr>
                <w:rFonts w:ascii="Arial" w:cs="Arial" w:eastAsia="Arial" w:hAnsi="Arial"/>
                <w:sz w:val="14"/>
                <w:szCs w:val="14"/>
                <w:color w:val="242424"/>
              </w:rPr>
              <w:t>138</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 Center Minneapolis Series D, E, F, G, H Notes, due 2025-2037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center"/>
              <w:ind w:left="1088"/>
              <w:spacing w:after="0"/>
              <w:rPr>
                <w:sz w:val="20"/>
                <w:szCs w:val="20"/>
                <w:color w:val="auto"/>
              </w:rPr>
            </w:pPr>
            <w:r>
              <w:rPr>
                <w:rFonts w:ascii="Arial" w:cs="Arial" w:eastAsia="Arial" w:hAnsi="Arial"/>
                <w:sz w:val="14"/>
                <w:szCs w:val="14"/>
                <w:color w:val="auto"/>
                <w:w w:val="92"/>
              </w:rPr>
              <w:t>Various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Kawailoa Solar Portfolio LLC, due 2026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440" w:type="dxa"/>
            <w:vAlign w:val="bottom"/>
          </w:tcPr>
          <w:p>
            <w:pPr>
              <w:jc w:val="right"/>
              <w:spacing w:after="0"/>
              <w:rPr>
                <w:sz w:val="20"/>
                <w:szCs w:val="20"/>
                <w:color w:val="auto"/>
              </w:rPr>
            </w:pPr>
            <w:r>
              <w:rPr>
                <w:rFonts w:ascii="Arial" w:cs="Arial" w:eastAsia="Arial" w:hAnsi="Arial"/>
                <w:sz w:val="14"/>
                <w:szCs w:val="14"/>
                <w:color w:val="242424"/>
              </w:rPr>
              <w:t>14</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Laredo Ridge, due 2028</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L+2.125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9</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Marsh Landing, due 2023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L+2.375</w:t>
            </w:r>
          </w:p>
        </w:tc>
        <w:tc>
          <w:tcPr>
            <w:tcW w:w="1440" w:type="dxa"/>
            <w:vAlign w:val="bottom"/>
          </w:tcPr>
          <w:p>
            <w:pPr>
              <w:jc w:val="right"/>
              <w:spacing w:after="0"/>
              <w:rPr>
                <w:sz w:val="20"/>
                <w:szCs w:val="20"/>
                <w:color w:val="auto"/>
              </w:rPr>
            </w:pPr>
            <w:r>
              <w:rPr>
                <w:rFonts w:ascii="Arial" w:cs="Arial" w:eastAsia="Arial" w:hAnsi="Arial"/>
                <w:sz w:val="14"/>
                <w:szCs w:val="14"/>
                <w:color w:val="242424"/>
              </w:rPr>
              <w:t>57</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NIMH Solar, due 2024</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L+2.00</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12</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Oahu Solar Holdings LLC, due 2026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440" w:type="dxa"/>
            <w:vAlign w:val="bottom"/>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Pinnacle Repowering Partnership HoldCo LLC, due 2021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L+1.00</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2</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Rosie Class B LLC, due 2027</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L+1.75</w:t>
            </w:r>
          </w:p>
        </w:tc>
        <w:tc>
          <w:tcPr>
            <w:tcW w:w="1440" w:type="dxa"/>
            <w:vAlign w:val="bottom"/>
          </w:tcPr>
          <w:p>
            <w:pPr>
              <w:jc w:val="right"/>
              <w:spacing w:after="0"/>
              <w:rPr>
                <w:sz w:val="20"/>
                <w:szCs w:val="20"/>
                <w:color w:val="auto"/>
              </w:rPr>
            </w:pPr>
            <w:r>
              <w:rPr>
                <w:rFonts w:ascii="Arial" w:cs="Arial" w:eastAsia="Arial" w:hAnsi="Arial"/>
                <w:sz w:val="14"/>
                <w:szCs w:val="14"/>
                <w:color w:val="242424"/>
              </w:rPr>
              <w:t>19</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Tapestry Wind LLC, due 2031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L+1.375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12</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Utah Solar Holdings, due 2036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290</w:t>
            </w:r>
          </w:p>
        </w:tc>
        <w:tc>
          <w:tcPr>
            <w:tcW w:w="1840" w:type="dxa"/>
            <w:vAlign w:val="bottom"/>
            <w:gridSpan w:val="2"/>
          </w:tcPr>
          <w:p>
            <w:pPr>
              <w:jc w:val="center"/>
              <w:ind w:left="1328"/>
              <w:spacing w:after="0"/>
              <w:rPr>
                <w:sz w:val="20"/>
                <w:szCs w:val="20"/>
                <w:color w:val="auto"/>
              </w:rPr>
            </w:pPr>
            <w:r>
              <w:rPr>
                <w:rFonts w:ascii="Arial" w:cs="Arial" w:eastAsia="Arial" w:hAnsi="Arial"/>
                <w:sz w:val="14"/>
                <w:szCs w:val="14"/>
                <w:color w:val="auto"/>
                <w:w w:val="91"/>
              </w:rPr>
              <w:t>3.590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242424"/>
              </w:rPr>
              <w:t>11</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Walnut Creek, due 2023</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91</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WCEP Holdings, LLC, due 2023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L+3.00</w:t>
            </w:r>
          </w:p>
        </w:tc>
        <w:tc>
          <w:tcPr>
            <w:tcW w:w="144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center"/>
              <w:ind w:left="1088"/>
              <w:spacing w:after="0"/>
              <w:rPr>
                <w:sz w:val="20"/>
                <w:szCs w:val="20"/>
                <w:color w:val="auto"/>
              </w:rPr>
            </w:pPr>
            <w:r>
              <w:rPr>
                <w:rFonts w:ascii="Arial" w:cs="Arial" w:eastAsia="Arial" w:hAnsi="Arial"/>
                <w:sz w:val="14"/>
                <w:szCs w:val="14"/>
                <w:color w:val="auto"/>
                <w:w w:val="92"/>
              </w:rPr>
              <w:t>Various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39</w:t>
            </w:r>
          </w:p>
        </w:tc>
        <w:tc>
          <w:tcPr>
            <w:tcW w:w="0" w:type="dxa"/>
            <w:vAlign w:val="bottom"/>
          </w:tcPr>
          <w:p>
            <w:pPr>
              <w:spacing w:after="0"/>
              <w:rPr>
                <w:sz w:val="1"/>
                <w:szCs w:val="1"/>
                <w:color w:val="auto"/>
              </w:rPr>
            </w:pPr>
          </w:p>
        </w:tc>
      </w:tr>
      <w:tr>
        <w:trPr>
          <w:trHeight w:val="207"/>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Subtotal project-level debt: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5,243</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debt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7,043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Less current maturities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debt issuance costs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Add premiums</w:t>
            </w:r>
            <w:r>
              <w:rPr>
                <w:rFonts w:ascii="Arial" w:cs="Arial" w:eastAsia="Arial" w:hAnsi="Arial"/>
                <w:sz w:val="21"/>
                <w:szCs w:val="21"/>
                <w:color w:val="auto"/>
                <w:vertAlign w:val="superscript"/>
              </w:rPr>
              <w:t>(c)</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6,585</w:t>
            </w: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280" w:firstLine="8"/>
        <w:spacing w:after="0" w:line="250" w:lineRule="auto"/>
        <w:tabs>
          <w:tab w:leader="none" w:pos="1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March 31, 2021, L+ equals 3 month LIBOR plus x%, except Clearway Energy Operating LLC Revolving Credit Facility, due 2023, Marsh Landing, due 2023, Pinnacle Repowering Partnership HoldCo LLC, due 2021, and Walnut Creek, due 2023, where L+ equals 1 month LIBOR plus x%.</w:t>
      </w: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Applicable rate is determined by the borrower leverage ratio, as defined in the credit agreement</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Premiums relate to the 2028 Senior Notes</w:t>
      </w:r>
    </w:p>
    <w:p>
      <w:pPr>
        <w:spacing w:after="0" w:line="23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financing arrangements listed above contain certain covenants, including financial covenants that the Company is required to be in compliance with during the term of the respective arrangement. As of March 31, 2021, the Company was in compliance with all of the required covenants. The discussion below describes material changes to or additions of long-term debt for the three months ended March 31, 2021.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2021, the Company had $25 million of borrowings under the revolving credit facility and $70 million in letters of credit outstanding. During the three months ended March 31, 2021, the Company borrowed $195 million under the revolving credit facility, and subsequently repaid $170 million, utilizing cash on hand and proceeds from the issuance of the 2031 Senior Notes as described below.</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2031 Senior Notes</w:t>
      </w:r>
    </w:p>
    <w:p>
      <w:pPr>
        <w:spacing w:after="0" w:line="171" w:lineRule="exact"/>
        <w:rPr>
          <w:sz w:val="20"/>
          <w:szCs w:val="20"/>
          <w:color w:val="auto"/>
        </w:rPr>
      </w:pPr>
    </w:p>
    <w:p>
      <w:pPr>
        <w:jc w:val="both"/>
        <w:ind w:right="20" w:firstLine="405"/>
        <w:spacing w:after="0" w:line="273"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will commence on August 15, 2021. The 2031 Senior Notes are unsecured obligations of Clearway Energy Operating LLC and are guaranteed by Clearway Energy LLC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2025 Senior Notes Tender Offer and Redemption</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March 9, 2021, the Company completed the repurchase of an aggregate principal amount of $411 million, or 68.6%, of the 2025 Senior Notes outstanding as part of the cash tender offer announced on March 2, 2021. Additionally, $6 million of the 2025 Senior Notes that were subject to guaranteed delivery procedures were subsequently repurchased on March 11, 2021. On March 17, 2021, the Company exercised its right to optionally redeem the remaining principal amount of $183 million that were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Agua Caliente Solar LLC</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As part of the acquisition of Agua Caliente Borrower 1 LLC and the consolidation of Agua Caliente, as further described in Note 3, </w:t>
      </w:r>
      <w:r>
        <w:rPr>
          <w:rFonts w:ascii="Arial" w:cs="Arial" w:eastAsia="Arial" w:hAnsi="Arial"/>
          <w:sz w:val="17"/>
          <w:szCs w:val="17"/>
          <w:i w:val="1"/>
          <w:iCs w:val="1"/>
          <w:color w:val="auto"/>
        </w:rPr>
        <w:t>Acquisitions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Dispositions</w:t>
      </w:r>
      <w:r>
        <w:rPr>
          <w:rFonts w:ascii="Arial" w:cs="Arial" w:eastAsia="Arial" w:hAnsi="Arial"/>
          <w:sz w:val="17"/>
          <w:szCs w:val="17"/>
          <w:color w:val="auto"/>
        </w:rPr>
        <w:t>, the Company now consolidates non-recourse debt of $716 million related to Agua Caliente Solar Portfolio, LLC. The debt consists of a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the Federal Financing Bank and accrues interest at fixed rates between 2.395% and 3.633%, which matures in 2037.</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Pinnacle Repowering Partnership HoldCo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reconciliation of the Company's basic and diluted earnings per share is shown in the following tables: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w w:val="83"/>
              </w:rPr>
              <w:t>2021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6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18"/>
                <w:szCs w:val="18"/>
                <w:color w:val="auto"/>
                <w:vertAlign w:val="superscript"/>
              </w:rPr>
              <w:t>(a)</w:t>
            </w:r>
          </w:p>
        </w:tc>
        <w:tc>
          <w:tcPr>
            <w:tcW w:w="10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w w:val="94"/>
              </w:rPr>
              <w:t>Common Class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3"/>
            <w:shd w:val="clear" w:color="auto" w:fill="CCEEFF"/>
          </w:tcPr>
          <w:p>
            <w:pPr>
              <w:jc w:val="center"/>
              <w:ind w:right="120"/>
              <w:spacing w:after="0" w:line="130" w:lineRule="exact"/>
              <w:rPr>
                <w:sz w:val="20"/>
                <w:szCs w:val="20"/>
                <w:color w:val="auto"/>
              </w:rPr>
            </w:pPr>
            <w:r>
              <w:rPr>
                <w:rFonts w:ascii="Arial" w:cs="Arial" w:eastAsia="Arial" w:hAnsi="Arial"/>
                <w:sz w:val="14"/>
                <w:szCs w:val="14"/>
                <w:b w:val="1"/>
                <w:bCs w:val="1"/>
                <w:color w:val="auto"/>
                <w:w w:val="90"/>
              </w:rPr>
              <w:t>Common Class</w:t>
            </w:r>
          </w:p>
        </w:tc>
        <w:tc>
          <w:tcPr>
            <w:tcW w:w="112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b w:val="1"/>
                <w:bCs w:val="1"/>
                <w:color w:val="auto"/>
              </w:rPr>
              <w:t>Common Class</w:t>
            </w:r>
          </w:p>
        </w:tc>
        <w:tc>
          <w:tcPr>
            <w:tcW w:w="10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w w:val="92"/>
              </w:rPr>
              <w:t>Common Class</w:t>
            </w:r>
          </w:p>
        </w:tc>
        <w:tc>
          <w:tcPr>
            <w:tcW w:w="0" w:type="dxa"/>
            <w:vAlign w:val="bottom"/>
          </w:tcPr>
          <w:p>
            <w:pPr>
              <w:spacing w:after="0"/>
              <w:rPr>
                <w:sz w:val="1"/>
                <w:szCs w:val="1"/>
                <w:color w:val="auto"/>
              </w:rPr>
            </w:pPr>
          </w:p>
        </w:tc>
      </w:tr>
      <w:tr>
        <w:trPr>
          <w:trHeight w:val="189"/>
        </w:trPr>
        <w:tc>
          <w:tcPr>
            <w:tcW w:w="66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A</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8"/>
              </w:rPr>
              <w:t>C</w:t>
            </w: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76"/>
        </w:trPr>
        <w:tc>
          <w:tcPr>
            <w:tcW w:w="664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8"/>
              </w:rPr>
              <w:t>Basic and diluted income (loss) per share attributable to Clearway Energy, Inc.</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common stockholders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Clearway Energy, Inc.</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weighted average common share — basic and diluted</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40" w:hanging="151"/>
        <w:spacing w:after="0"/>
        <w:tabs>
          <w:tab w:leader="none" w:pos="24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(loss) per share might not recalculate due to presenting values in millions rather than whole dollars.</w:t>
      </w:r>
    </w:p>
    <w:p>
      <w:pPr>
        <w:spacing w:after="0" w:line="14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had 2 million Common Class C shares related to the outstanding 2020 Convertible Notes that were anti-dilutive and were not included in the computation of the Company's diluted earnings per share for the three months ended March 31, 2020. The 2020 Convertible Notes were repaid on June 1, 2020.</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3"/>
              </w:rPr>
              <w:t>Three months ended March 31, 2021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Thermal</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8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BFE4FF"/>
            </w:tcBorders>
            <w:shd w:val="clear" w:color="auto" w:fill="BFE4FF"/>
          </w:tcPr>
          <w:p>
            <w:pPr>
              <w:spacing w:after="0"/>
              <w:rPr>
                <w:sz w:val="19"/>
                <w:szCs w:val="19"/>
                <w:color w:val="auto"/>
              </w:rPr>
            </w:pPr>
          </w:p>
        </w:tc>
        <w:tc>
          <w:tcPr>
            <w:tcW w:w="220" w:type="dxa"/>
            <w:vAlign w:val="bottom"/>
            <w:tcBorders>
              <w:top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BFE4FF"/>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18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BFE4FF"/>
          </w:tcPr>
          <w:p>
            <w:pPr>
              <w:spacing w:after="0"/>
              <w:rPr>
                <w:sz w:val="19"/>
                <w:szCs w:val="19"/>
                <w:color w:val="auto"/>
              </w:rPr>
            </w:pPr>
          </w:p>
        </w:tc>
        <w:tc>
          <w:tcPr>
            <w:tcW w:w="10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spacing w:after="0"/>
              <w:rPr>
                <w:sz w:val="19"/>
                <w:szCs w:val="19"/>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BFE4FF"/>
            </w:tcBorders>
            <w:shd w:val="clear" w:color="auto" w:fill="BFE4FF"/>
          </w:tcPr>
          <w:p>
            <w:pPr>
              <w:spacing w:after="0"/>
              <w:rPr>
                <w:sz w:val="19"/>
                <w:szCs w:val="19"/>
                <w:color w:val="auto"/>
              </w:rPr>
            </w:pPr>
          </w:p>
        </w:tc>
        <w:tc>
          <w:tcPr>
            <w:tcW w:w="220" w:type="dxa"/>
            <w:vAlign w:val="bottom"/>
            <w:tcBorders>
              <w:top w:val="single" w:sz="8" w:color="auto"/>
            </w:tcBorders>
            <w:shd w:val="clear" w:color="auto" w:fill="BFE4FF"/>
          </w:tcPr>
          <w:p>
            <w:pPr>
              <w:spacing w:after="0"/>
              <w:rPr>
                <w:sz w:val="19"/>
                <w:szCs w:val="19"/>
                <w:color w:val="auto"/>
              </w:rPr>
            </w:pPr>
          </w:p>
        </w:tc>
        <w:tc>
          <w:tcPr>
            <w:tcW w:w="9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spacing w:after="0"/>
              <w:rPr>
                <w:sz w:val="19"/>
                <w:szCs w:val="19"/>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BFE4FF"/>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spacing w:after="0"/>
              <w:rPr>
                <w:sz w:val="19"/>
                <w:szCs w:val="19"/>
                <w:color w:val="auto"/>
              </w:rPr>
            </w:pP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BFE4FF"/>
          </w:tcPr>
          <w:p>
            <w:pPr>
              <w:spacing w:after="0"/>
              <w:rPr>
                <w:sz w:val="19"/>
                <w:szCs w:val="19"/>
                <w:color w:val="auto"/>
              </w:rPr>
            </w:pPr>
          </w:p>
        </w:tc>
        <w:tc>
          <w:tcPr>
            <w:tcW w:w="22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BFE4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8,536</w:t>
            </w:r>
          </w:p>
        </w:tc>
        <w:tc>
          <w:tcPr>
            <w:tcW w:w="100" w:type="dxa"/>
            <w:vAlign w:val="bottom"/>
            <w:shd w:val="clear" w:color="auto" w:fill="BFE4FF"/>
          </w:tcPr>
          <w:p>
            <w:pPr>
              <w:spacing w:after="0"/>
              <w:rPr>
                <w:sz w:val="19"/>
                <w:szCs w:val="19"/>
                <w:color w:val="auto"/>
              </w:rPr>
            </w:pP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Three months ended March 31, 2020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40" w:type="dxa"/>
            <w:vAlign w:val="bottom"/>
            <w:tcBorders>
              <w:top w:val="single" w:sz="8" w:color="BFE4FF"/>
            </w:tcBorders>
            <w:shd w:val="clear" w:color="auto" w:fill="BFE4FF"/>
          </w:tcPr>
          <w:p>
            <w:pPr>
              <w:ind w:left="8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BFE4FF"/>
            </w:tcBorders>
            <w:shd w:val="clear" w:color="auto" w:fill="BFE4FF"/>
          </w:tcPr>
          <w:p>
            <w:pPr>
              <w:spacing w:after="0"/>
              <w:rPr>
                <w:sz w:val="19"/>
                <w:szCs w:val="19"/>
                <w:color w:val="auto"/>
              </w:rPr>
            </w:pPr>
          </w:p>
        </w:tc>
        <w:tc>
          <w:tcPr>
            <w:tcW w:w="860" w:type="dxa"/>
            <w:vAlign w:val="bottom"/>
            <w:tcBorders>
              <w:top w:val="single" w:sz="8" w:color="auto"/>
            </w:tcBorders>
            <w:shd w:val="clear" w:color="auto" w:fill="BFE4FF"/>
          </w:tcPr>
          <w:p>
            <w:pPr>
              <w:jc w:val="right"/>
              <w:ind w:right="65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48</w:t>
            </w:r>
          </w:p>
        </w:tc>
        <w:tc>
          <w:tcPr>
            <w:tcW w:w="12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BFE4FF"/>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11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BFE4FF"/>
          </w:tcPr>
          <w:p>
            <w:pPr>
              <w:spacing w:after="0"/>
              <w:rPr>
                <w:sz w:val="19"/>
                <w:szCs w:val="19"/>
                <w:color w:val="auto"/>
              </w:rPr>
            </w:pPr>
          </w:p>
        </w:tc>
        <w:tc>
          <w:tcPr>
            <w:tcW w:w="4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14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BFE4FF"/>
          </w:tcPr>
          <w:p>
            <w:pPr>
              <w:spacing w:after="0"/>
              <w:rPr>
                <w:sz w:val="19"/>
                <w:szCs w:val="19"/>
                <w:color w:val="auto"/>
              </w:rPr>
            </w:pPr>
          </w:p>
        </w:tc>
        <w:tc>
          <w:tcPr>
            <w:tcW w:w="10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spacing w:after="0"/>
              <w:rPr>
                <w:sz w:val="19"/>
                <w:szCs w:val="19"/>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BFE4FF"/>
            </w:tcBorders>
            <w:shd w:val="clear" w:color="auto" w:fill="BFE4FF"/>
          </w:tcPr>
          <w:p>
            <w:pPr>
              <w:spacing w:after="0"/>
              <w:rPr>
                <w:sz w:val="19"/>
                <w:szCs w:val="19"/>
                <w:color w:val="auto"/>
              </w:rPr>
            </w:pPr>
          </w:p>
        </w:tc>
        <w:tc>
          <w:tcPr>
            <w:tcW w:w="860" w:type="dxa"/>
            <w:vAlign w:val="bottom"/>
            <w:tcBorders>
              <w:top w:val="single" w:sz="8" w:color="auto"/>
            </w:tcBorders>
            <w:shd w:val="clear" w:color="auto" w:fill="BFE4FF"/>
          </w:tcPr>
          <w:p>
            <w:pPr>
              <w:spacing w:after="0"/>
              <w:rPr>
                <w:sz w:val="19"/>
                <w:szCs w:val="19"/>
                <w:color w:val="auto"/>
              </w:rPr>
            </w:pPr>
          </w:p>
        </w:tc>
        <w:tc>
          <w:tcPr>
            <w:tcW w:w="2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spacing w:after="0"/>
              <w:rPr>
                <w:sz w:val="19"/>
                <w:szCs w:val="19"/>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BFE4FF"/>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spacing w:after="0"/>
              <w:rPr>
                <w:sz w:val="19"/>
                <w:szCs w:val="19"/>
                <w:color w:val="auto"/>
              </w:rPr>
            </w:pP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Equity in earnings (losses) of unconsolidated affiliates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BFE4FF"/>
          </w:tcPr>
          <w:p>
            <w:pPr>
              <w:spacing w:after="0"/>
              <w:rPr>
                <w:sz w:val="19"/>
                <w:szCs w:val="19"/>
                <w:color w:val="auto"/>
              </w:rPr>
            </w:pPr>
          </w:p>
        </w:tc>
        <w:tc>
          <w:tcPr>
            <w:tcW w:w="11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40" w:type="dxa"/>
            <w:vAlign w:val="bottom"/>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BFE4FF"/>
          </w:tcPr>
          <w:p>
            <w:pPr>
              <w:spacing w:after="0"/>
              <w:rPr>
                <w:sz w:val="19"/>
                <w:szCs w:val="19"/>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BFE4FF"/>
          </w:tcPr>
          <w:p>
            <w:pPr>
              <w:spacing w:after="0"/>
              <w:rPr>
                <w:sz w:val="19"/>
                <w:szCs w:val="19"/>
                <w:color w:val="auto"/>
              </w:rPr>
            </w:pPr>
          </w:p>
        </w:tc>
        <w:tc>
          <w:tcPr>
            <w:tcW w:w="860" w:type="dxa"/>
            <w:vAlign w:val="bottom"/>
            <w:tcBorders>
              <w:bottom w:val="single" w:sz="8" w:color="auto"/>
            </w:tcBorders>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51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BFE4FF"/>
          </w:tcPr>
          <w:p>
            <w:pPr>
              <w:spacing w:after="0"/>
              <w:rPr>
                <w:sz w:val="19"/>
                <w:szCs w:val="19"/>
                <w:color w:val="auto"/>
              </w:rPr>
            </w:pPr>
          </w:p>
        </w:tc>
        <w:tc>
          <w:tcPr>
            <w:tcW w:w="114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BFE4FF"/>
          </w:tcPr>
          <w:p>
            <w:pPr>
              <w:spacing w:after="0"/>
              <w:rPr>
                <w:sz w:val="19"/>
                <w:szCs w:val="19"/>
                <w:color w:val="auto"/>
              </w:rPr>
            </w:pPr>
          </w:p>
        </w:tc>
        <w:tc>
          <w:tcPr>
            <w:tcW w:w="40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512"/>
              <w:spacing w:after="0"/>
              <w:rPr>
                <w:sz w:val="20"/>
                <w:szCs w:val="20"/>
                <w:color w:val="auto"/>
              </w:rPr>
            </w:pPr>
            <w:r>
              <w:rPr>
                <w:rFonts w:ascii="Arial" w:cs="Arial" w:eastAsia="Arial" w:hAnsi="Arial"/>
                <w:sz w:val="18"/>
                <w:szCs w:val="18"/>
                <w:color w:val="231F20"/>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consisted of the following:</w:t>
      </w:r>
    </w:p>
    <w:p>
      <w:pPr>
        <w:spacing w:after="0" w:line="82"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5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2"/>
              </w:rPr>
              <w:t>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5320" w:type="dxa"/>
            <w:vAlign w:val="bottom"/>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170"/>
        </w:trPr>
        <w:tc>
          <w:tcPr>
            <w:tcW w:w="5320" w:type="dxa"/>
            <w:vAlign w:val="bottom"/>
          </w:tcPr>
          <w:p>
            <w:pPr>
              <w:spacing w:after="0"/>
              <w:rPr>
                <w:sz w:val="14"/>
                <w:szCs w:val="14"/>
                <w:color w:val="auto"/>
              </w:rPr>
            </w:pPr>
          </w:p>
        </w:tc>
        <w:tc>
          <w:tcPr>
            <w:tcW w:w="1580" w:type="dxa"/>
            <w:vAlign w:val="bottom"/>
            <w:gridSpan w:val="3"/>
          </w:tcPr>
          <w:p>
            <w:pPr>
              <w:ind w:left="500"/>
              <w:spacing w:after="0"/>
              <w:rPr>
                <w:sz w:val="20"/>
                <w:szCs w:val="20"/>
                <w:color w:val="auto"/>
              </w:rPr>
            </w:pPr>
            <w:r>
              <w:rPr>
                <w:rFonts w:ascii="Arial" w:cs="Arial" w:eastAsia="Arial" w:hAnsi="Arial"/>
                <w:sz w:val="14"/>
                <w:szCs w:val="14"/>
                <w:b w:val="1"/>
                <w:bCs w:val="1"/>
                <w:color w:val="auto"/>
                <w:w w:val="84"/>
              </w:rPr>
              <w:t>(In millions, except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percentages)</w:t>
            </w:r>
          </w:p>
        </w:tc>
        <w:tc>
          <w:tcPr>
            <w:tcW w:w="580" w:type="dxa"/>
            <w:vAlign w:val="bottom"/>
          </w:tcPr>
          <w:p>
            <w:pPr>
              <w:spacing w:after="0"/>
              <w:rPr>
                <w:sz w:val="14"/>
                <w:szCs w:val="14"/>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(129)</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900" w:type="dxa"/>
            <w:vAlign w:val="bottom"/>
          </w:tcPr>
          <w:p>
            <w:pPr>
              <w:spacing w:after="0"/>
              <w:rPr>
                <w:sz w:val="19"/>
                <w:szCs w:val="19"/>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20.8 %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17.1 %</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2021 and 2020 the overall effective tax rate was different than the statutory rate of 21% primarily due to taxable earnings and losses allocated to partners' interest in Clearway Energy LLC, which includes the effects of applying the HLBV method of accounting for book purposes for certain partnerships.</w:t>
      </w:r>
    </w:p>
    <w:p>
      <w:pPr>
        <w:spacing w:after="0" w:line="13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March 27, 2020 the Coronavirus Aid, Relief, and Economic Security (CARES) Act, or the Act, was signed into law, which includes modifications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business interest expense disallowance and net operating loss provisions. While the Company utilized previously disallowed interest expense during 2020 as a result of the modifications, the Act did not have a material impact on the consolidated financial statements. The Company will continue to assess the effects of the Act and ongoing government guidance related to COVID-19 that may be issued.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affiliates and amounts due to the Company from CEG subsidiaries are recorded as accounts receivable — affiliates in the Company's balance sheet. The disclosures below summarize the Company's material related party transactions with CEG and its subsidiaries that are included in the Company's operating revenues and operating costs.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Various wholly-owned subsidiaries of the Company in the Renewables segment are party to administrative services agreements with Clearway Renewable Operation &amp; Maintenance LLC, or RENOM, a wholly-owned subsidiary of CEG, which provides operation and maintenance, or O&amp;M, services to these subsidiaries. The Company incurred total expenses for these services of $13 million and $9 million for the three months ended March 31, 2021 and 2020, respectively. There was a balance of $5 million and $10 million due to RENOM as of March 31, 2021 and December 31, 2020,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$3 million and $2 million for the three months ended March 31, 2021 and 2020, respectively.</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Amounts due to CEG or its subsidiaries related to these MSAs are recorded as accounts payable — affiliates on the Company's consolidated balance sheet. The Company incurred net expenses of $1 million and $0.6 million under these agreements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2020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and the case in the Knox County District Court remains pending, but has been stayed pending the outcome of the U.S. District Court case. Argument before the U.S. Court of Appeals for the Eight Circuit was held on March 18, 2021. The Company believes the allegations of NPPD are meritless and the Company is vigorously defending its rights under the PPAs.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discussion analyzes the Company's historical financial condition and results of operations.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months ended March 31, 2021 and 2020. Also refer to the Company's 2020 Form 10-K, which includes detailed discussions of various items impacting the Company's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980" w:right="400"/>
        <w:spacing w:after="0" w:line="277" w:lineRule="auto"/>
        <w:tabs>
          <w:tab w:leader="none" w:pos="1299"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16" w:lineRule="exact"/>
        <w:rPr>
          <w:rFonts w:ascii="Arial" w:cs="Arial" w:eastAsia="Arial" w:hAnsi="Arial"/>
          <w:sz w:val="18"/>
          <w:szCs w:val="18"/>
          <w:color w:val="231F20"/>
        </w:rPr>
      </w:pPr>
    </w:p>
    <w:p>
      <w:pPr>
        <w:ind w:left="980" w:right="880"/>
        <w:spacing w:after="0" w:line="277" w:lineRule="auto"/>
        <w:tabs>
          <w:tab w:leader="none" w:pos="1299"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116" w:lineRule="exact"/>
        <w:rPr>
          <w:rFonts w:ascii="Arial" w:cs="Arial" w:eastAsia="Arial" w:hAnsi="Arial"/>
          <w:sz w:val="18"/>
          <w:szCs w:val="18"/>
          <w:color w:val="auto"/>
        </w:rPr>
      </w:pPr>
    </w:p>
    <w:p>
      <w:pPr>
        <w:ind w:left="980" w:right="200"/>
        <w:spacing w:after="0" w:line="277" w:lineRule="auto"/>
        <w:tabs>
          <w:tab w:leader="none" w:pos="1299"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116" w:lineRule="exact"/>
        <w:rPr>
          <w:rFonts w:ascii="Arial" w:cs="Arial" w:eastAsia="Arial" w:hAnsi="Arial"/>
          <w:sz w:val="18"/>
          <w:szCs w:val="18"/>
          <w:color w:val="231F20"/>
        </w:rPr>
      </w:pPr>
    </w:p>
    <w:p>
      <w:pPr>
        <w:ind w:left="1300" w:hanging="320"/>
        <w:spacing w:after="0"/>
        <w:tabs>
          <w:tab w:leader="none" w:pos="13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171" w:lineRule="exact"/>
        <w:rPr>
          <w:rFonts w:ascii="Arial" w:cs="Arial" w:eastAsia="Arial" w:hAnsi="Arial"/>
          <w:sz w:val="18"/>
          <w:szCs w:val="18"/>
          <w:color w:val="231F20"/>
        </w:rPr>
      </w:pPr>
    </w:p>
    <w:p>
      <w:pPr>
        <w:ind w:left="980" w:right="760"/>
        <w:spacing w:after="0" w:line="277" w:lineRule="auto"/>
        <w:tabs>
          <w:tab w:leader="none" w:pos="12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the energy and transport sectors, and Global Infrastructure Partners III is its third equity fund. The Company is sponsored by GIP through GIP's portfolio company, CEG.</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is one of the largest renewable energy owners in the U.S. with over 4,200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13 years </w:t>
      </w:r>
      <w:r>
        <w:rPr>
          <w:rFonts w:ascii="Arial" w:cs="Arial" w:eastAsia="Arial" w:hAnsi="Arial"/>
          <w:sz w:val="18"/>
          <w:szCs w:val="18"/>
          <w:color w:val="231F20"/>
        </w:rPr>
        <w:t>as of</w:t>
      </w:r>
      <w:r>
        <w:rPr>
          <w:rFonts w:ascii="Arial" w:cs="Arial" w:eastAsia="Arial" w:hAnsi="Arial"/>
          <w:sz w:val="18"/>
          <w:szCs w:val="18"/>
          <w:color w:val="auto"/>
        </w:rPr>
        <w:t xml:space="preserve"> March 31, 2021 </w:t>
      </w:r>
      <w:r>
        <w:rPr>
          <w:rFonts w:ascii="Arial" w:cs="Arial" w:eastAsia="Arial" w:hAnsi="Arial"/>
          <w:sz w:val="18"/>
          <w:szCs w:val="18"/>
          <w:color w:val="231F20"/>
        </w:rPr>
        <w:t>based on CAFD.</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2021, the Company's operating assets are comprised of the following projects: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Projects</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400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Counterparty</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9"/>
        </w:trPr>
        <w:tc>
          <w:tcPr>
            <w:tcW w:w="3320" w:type="dxa"/>
            <w:vAlign w:val="bottom"/>
            <w:gridSpan w:val="2"/>
            <w:vMerge w:val="continue"/>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Ownership</w:t>
            </w:r>
          </w:p>
        </w:tc>
        <w:tc>
          <w:tcPr>
            <w:tcW w:w="1080" w:type="dxa"/>
            <w:vAlign w:val="bottom"/>
          </w:tcPr>
          <w:p>
            <w:pPr>
              <w:jc w:val="right"/>
              <w:ind w:right="22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Conventional</w:t>
            </w: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Carlsbad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Diego Gas &amp; Electric</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El Segundo</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GenConn Devon</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 Light &amp; Power</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GenConn Middletown</w:t>
            </w:r>
          </w:p>
        </w:tc>
        <w:tc>
          <w:tcPr>
            <w:tcW w:w="12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Connecticut Light &amp; Power</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Marsh Landing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Walnut Creek</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6"/>
        </w:trPr>
        <w:tc>
          <w:tcPr>
            <w:tcW w:w="33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i w:val="1"/>
                <w:iCs w:val="1"/>
                <w:color w:val="auto"/>
              </w:rPr>
              <w:t>Total Conventional</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Utility Scale Solar</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Agua Caliente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Alpine</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Avenal</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Avra Valley</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Tucson Electric Power</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Blythe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Borrego</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San Diego Gas and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Georgetown, TX</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2043</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CVSR</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Desert Sunlight 250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Desert Sunlight 300</w:t>
            </w:r>
          </w:p>
        </w:tc>
        <w:tc>
          <w:tcPr>
            <w:tcW w:w="120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Kansas South</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9"/>
        </w:trPr>
        <w:tc>
          <w:tcPr>
            <w:tcW w:w="332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Hawaiian Electric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Hawaiian Electric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Roadrunner</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El Paso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TA High Desert</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40"/>
              <w:spacing w:after="0" w:line="193" w:lineRule="exact"/>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179"/>
        </w:trPr>
        <w:tc>
          <w:tcPr>
            <w:tcW w:w="332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Total Solar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Distributed Solar</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right"/>
              <w:spacing w:after="0"/>
              <w:rPr>
                <w:sz w:val="20"/>
                <w:szCs w:val="20"/>
                <w:color w:val="auto"/>
              </w:rPr>
            </w:pPr>
            <w:r>
              <w:rPr>
                <w:rFonts w:ascii="Arial" w:cs="Arial" w:eastAsia="Arial" w:hAnsi="Arial"/>
                <w:sz w:val="14"/>
                <w:szCs w:val="14"/>
                <w:color w:val="auto"/>
              </w:rPr>
              <w:t>2030 - 2044</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Power Partners (SPP) Projects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2026 - 2037</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DG Projects</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2023 - 2039</w:t>
            </w:r>
          </w:p>
        </w:tc>
        <w:tc>
          <w:tcPr>
            <w:tcW w:w="0" w:type="dxa"/>
            <w:vAlign w:val="bottom"/>
          </w:tcPr>
          <w:p>
            <w:pPr>
              <w:spacing w:after="0"/>
              <w:rPr>
                <w:sz w:val="1"/>
                <w:szCs w:val="1"/>
                <w:color w:val="auto"/>
              </w:rPr>
            </w:pPr>
          </w:p>
        </w:tc>
      </w:tr>
      <w:tr>
        <w:trPr>
          <w:trHeight w:val="186"/>
        </w:trPr>
        <w:tc>
          <w:tcPr>
            <w:tcW w:w="332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i w:val="1"/>
                <w:iCs w:val="1"/>
                <w:color w:val="auto"/>
              </w:rPr>
              <w:t>Total Distributed Solar</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32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Projects</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400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Counterparty</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9"/>
        </w:trPr>
        <w:tc>
          <w:tcPr>
            <w:tcW w:w="3320" w:type="dxa"/>
            <w:vAlign w:val="bottom"/>
            <w:gridSpan w:val="2"/>
            <w:vMerge w:val="continue"/>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Ownership</w:t>
            </w:r>
          </w:p>
        </w:tc>
        <w:tc>
          <w:tcPr>
            <w:tcW w:w="1080" w:type="dxa"/>
            <w:vAlign w:val="bottom"/>
          </w:tcPr>
          <w:p>
            <w:pPr>
              <w:jc w:val="right"/>
              <w:ind w:right="22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Wind</w:t>
            </w: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Alta I</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Alta II</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Alta III</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Alta IV</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Alta V</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9"/>
        </w:trPr>
        <w:tc>
          <w:tcPr>
            <w:tcW w:w="332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Buffalo Bear</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Western Farmers Electric Co-operative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Crosswinds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Corn Belt Power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89"/>
        </w:trPr>
        <w:tc>
          <w:tcPr>
            <w:tcW w:w="332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Elkhorn Ridge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Forward</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Constellation NewEnergy, Inc.</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Goat Wind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Dow Pipeline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Hardin</w:t>
            </w:r>
          </w:p>
        </w:tc>
        <w:tc>
          <w:tcPr>
            <w:tcW w:w="1200" w:type="dxa"/>
            <w:vAlign w:val="bottom"/>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Interstate Power and Light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Laredo Ridge</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Lookout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Maryland Electric Cooperative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189"/>
        </w:trPr>
        <w:tc>
          <w:tcPr>
            <w:tcW w:w="332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2032 - 2035</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Ocotillo</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Odin</w:t>
            </w:r>
          </w:p>
        </w:tc>
        <w:tc>
          <w:tcPr>
            <w:tcW w:w="1200" w:type="dxa"/>
            <w:vAlign w:val="bottom"/>
          </w:tcPr>
          <w:p>
            <w:pPr>
              <w:jc w:val="right"/>
              <w:spacing w:after="0"/>
              <w:rPr>
                <w:sz w:val="20"/>
                <w:szCs w:val="20"/>
                <w:color w:val="auto"/>
              </w:rPr>
            </w:pPr>
            <w:r>
              <w:rPr>
                <w:rFonts w:ascii="Arial" w:cs="Arial" w:eastAsia="Arial" w:hAnsi="Arial"/>
                <w:sz w:val="14"/>
                <w:szCs w:val="14"/>
                <w:color w:val="auto"/>
              </w:rPr>
              <w:t>99.9 %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Missouri River Energy Services</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38"/>
        </w:trPr>
        <w:tc>
          <w:tcPr>
            <w:tcW w:w="33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Pinnacle</w:t>
            </w:r>
            <w:r>
              <w:rPr>
                <w:rFonts w:ascii="Arial" w:cs="Arial" w:eastAsia="Arial" w:hAnsi="Arial"/>
                <w:sz w:val="18"/>
                <w:szCs w:val="18"/>
                <w:color w:val="auto"/>
                <w:vertAlign w:val="superscript"/>
              </w:rPr>
              <w:t>(b)</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40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Maryland Department of General Services and University System</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9"/>
        </w:trPr>
        <w:tc>
          <w:tcPr>
            <w:tcW w:w="33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 Maryland</w:t>
            </w: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18"/>
                <w:szCs w:val="18"/>
                <w:color w:val="auto"/>
                <w:vertAlign w:val="superscript"/>
              </w:rPr>
              <w:t>(b) (d)</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Avista Corporation</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San Juan Mesa</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Sleeping Bear</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Public Service Company of Oklahoma</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South Trent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AEP Energy Partners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3320" w:type="dxa"/>
            <w:vAlign w:val="bottom"/>
            <w:gridSpan w:val="2"/>
          </w:tcPr>
          <w:p>
            <w:pPr>
              <w:ind w:left="120"/>
              <w:spacing w:after="0"/>
              <w:rPr>
                <w:sz w:val="20"/>
                <w:szCs w:val="20"/>
                <w:color w:val="auto"/>
              </w:rPr>
            </w:pPr>
            <w:r>
              <w:rPr>
                <w:rFonts w:ascii="Arial" w:cs="Arial" w:eastAsia="Arial" w:hAnsi="Arial"/>
                <w:sz w:val="14"/>
                <w:szCs w:val="14"/>
                <w:color w:val="auto"/>
              </w:rPr>
              <w:t>Spanish Fork</w:t>
            </w:r>
          </w:p>
        </w:tc>
        <w:tc>
          <w:tcPr>
            <w:tcW w:w="12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PacifiCorp</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92"/>
        </w:trPr>
        <w:tc>
          <w:tcPr>
            <w:tcW w:w="332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9"/>
        </w:trPr>
        <w:tc>
          <w:tcPr>
            <w:tcW w:w="332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90.1 %</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Platte River Power Authority</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Taloga</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Oklahoma Gas &amp; Electric</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gridSpan w:val="2"/>
          </w:tcPr>
          <w:p>
            <w:pPr>
              <w:ind w:left="120"/>
              <w:spacing w:after="0" w:line="189"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83"/>
        </w:trPr>
        <w:tc>
          <w:tcPr>
            <w:tcW w:w="332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i w:val="1"/>
                <w:iCs w:val="1"/>
                <w:color w:val="auto"/>
              </w:rPr>
              <w:t>Total Wind</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2,792</w:t>
            </w:r>
          </w:p>
        </w:tc>
        <w:tc>
          <w:tcPr>
            <w:tcW w:w="10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Thermal generation</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86"/>
        </w:trPr>
        <w:tc>
          <w:tcPr>
            <w:tcW w:w="3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net generation capacity</w:t>
            </w: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6,991</w:t>
            </w:r>
          </w:p>
        </w:tc>
        <w:tc>
          <w:tcPr>
            <w:tcW w:w="100" w:type="dxa"/>
            <w:vAlign w:val="bottom"/>
            <w:tcBorders>
              <w:bottom w:val="single" w:sz="8" w:color="CCEEFF"/>
            </w:tcBorders>
            <w:shd w:val="clear" w:color="auto" w:fill="CCEEFF"/>
          </w:tcPr>
          <w:p>
            <w:pPr>
              <w:spacing w:after="0"/>
              <w:rPr>
                <w:sz w:val="15"/>
                <w:szCs w:val="15"/>
                <w:color w:val="auto"/>
              </w:rPr>
            </w:pPr>
          </w:p>
        </w:tc>
        <w:tc>
          <w:tcPr>
            <w:tcW w:w="3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Thermal equivalent MWt</w:t>
            </w:r>
            <w:r>
              <w:rPr>
                <w:rFonts w:ascii="Arial" w:cs="Arial" w:eastAsia="Arial" w:hAnsi="Arial"/>
                <w:sz w:val="18"/>
                <w:szCs w:val="18"/>
                <w:color w:val="auto"/>
                <w:vertAlign w:val="superscript"/>
              </w:rPr>
              <w:t>(c)</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97.1 %</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379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Net capacity represents the maximum, or rated, generating capacity of the facility multiplied by the Company's percentage ownership in the facility as of March 31, 2021</w:t>
      </w:r>
    </w:p>
    <w:p>
      <w:pPr>
        <w:ind w:firstLine="8"/>
        <w:spacing w:after="0"/>
        <w:tabs>
          <w:tab w:leader="none" w:pos="132" w:val="left"/>
        </w:tabs>
        <w:numPr>
          <w:ilvl w:val="0"/>
          <w:numId w:val="16"/>
        </w:numPr>
        <w:rPr>
          <w:rFonts w:ascii="Arial" w:cs="Arial" w:eastAsia="Arial" w:hAnsi="Arial"/>
          <w:sz w:val="15"/>
          <w:szCs w:val="15"/>
          <w:color w:val="auto"/>
          <w:vertAlign w:val="superscript"/>
        </w:rPr>
      </w:pPr>
      <w:r>
        <w:rPr>
          <w:rFonts w:ascii="Arial" w:cs="Arial" w:eastAsia="Arial" w:hAnsi="Arial"/>
          <w:sz w:val="11"/>
          <w:szCs w:val="11"/>
          <w:color w:val="auto"/>
        </w:rPr>
        <w:t xml:space="preserve">Projects are part of tax equity arrangements and ownership percentage is based on cash to be distributed, as further described in Item 1 — Note 4, </w:t>
      </w:r>
      <w:r>
        <w:rPr>
          <w:rFonts w:ascii="Arial" w:cs="Arial" w:eastAsia="Arial" w:hAnsi="Arial"/>
          <w:sz w:val="11"/>
          <w:szCs w:val="11"/>
          <w:i w:val="1"/>
          <w:iCs w:val="1"/>
          <w:color w:val="auto"/>
        </w:rPr>
        <w:t>Investments Accounted for by the Equity</w:t>
      </w:r>
      <w:r>
        <w:rPr>
          <w:rFonts w:ascii="Arial" w:cs="Arial" w:eastAsia="Arial" w:hAnsi="Arial"/>
          <w:sz w:val="11"/>
          <w:szCs w:val="11"/>
          <w:color w:val="auto"/>
        </w:rPr>
        <w:t xml:space="preserve"> </w:t>
      </w:r>
      <w:r>
        <w:rPr>
          <w:rFonts w:ascii="Arial" w:cs="Arial" w:eastAsia="Arial" w:hAnsi="Arial"/>
          <w:sz w:val="11"/>
          <w:szCs w:val="11"/>
          <w:i w:val="1"/>
          <w:iCs w:val="1"/>
          <w:color w:val="auto"/>
        </w:rPr>
        <w:t>Method and Variable Interest Entities</w:t>
      </w:r>
    </w:p>
    <w:p>
      <w:pPr>
        <w:spacing w:after="0" w:line="159" w:lineRule="exact"/>
        <w:rPr>
          <w:rFonts w:ascii="Arial" w:cs="Arial" w:eastAsia="Arial" w:hAnsi="Arial"/>
          <w:sz w:val="15"/>
          <w:szCs w:val="15"/>
          <w:color w:val="auto"/>
          <w:vertAlign w:val="superscript"/>
        </w:rPr>
      </w:pPr>
    </w:p>
    <w:p>
      <w:pPr>
        <w:spacing w:after="0"/>
        <w:rPr>
          <w:rFonts w:ascii="Arial" w:cs="Arial" w:eastAsia="Arial" w:hAnsi="Arial"/>
          <w:sz w:val="15"/>
          <w:szCs w:val="15"/>
          <w:color w:val="auto"/>
          <w:vertAlign w:val="superscript"/>
        </w:rPr>
      </w:pPr>
      <w:r>
        <w:rPr>
          <w:rFonts w:ascii="Arial" w:cs="Arial" w:eastAsia="Arial" w:hAnsi="Arial"/>
          <w:sz w:val="9"/>
          <w:szCs w:val="9"/>
          <w:color w:val="auto"/>
        </w:rPr>
        <w:t xml:space="preserve">(C) </w:t>
      </w:r>
      <w:r>
        <w:rPr>
          <w:rFonts w:ascii="Arial" w:cs="Arial" w:eastAsia="Arial" w:hAnsi="Arial"/>
          <w:sz w:val="13"/>
          <w:szCs w:val="13"/>
          <w:color w:val="auto"/>
        </w:rPr>
        <w:t>Net MWt capacity excludes 43 MWt available under the right-to-use provisions contained in agreements between one of the Company's thermal facilities and certain of its customers.</w:t>
      </w:r>
    </w:p>
    <w:p>
      <w:pPr>
        <w:spacing w:after="0" w:line="17" w:lineRule="exact"/>
        <w:rPr>
          <w:rFonts w:ascii="Arial" w:cs="Arial" w:eastAsia="Arial" w:hAnsi="Arial"/>
          <w:sz w:val="15"/>
          <w:szCs w:val="15"/>
          <w:color w:val="auto"/>
          <w:vertAlign w:val="superscript"/>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Rattlesnake has a deliverable capacity of 144 MW.</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Level Financing</w:t>
      </w:r>
    </w:p>
    <w:p>
      <w:pPr>
        <w:spacing w:after="0" w:line="171" w:lineRule="exact"/>
        <w:rPr>
          <w:sz w:val="20"/>
          <w:szCs w:val="20"/>
          <w:color w:val="auto"/>
        </w:rPr>
      </w:pPr>
    </w:p>
    <w:p>
      <w:pPr>
        <w:jc w:val="both"/>
        <w:ind w:left="66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The net proceeds from the 2031 Senior Notes were used to repurchase the 2025 Senior Notes as described below, as well as to repay amounts outstanding under the Company’s revolving credit facility and for general corporate purposes.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March 2021, the Company repurchased and redeemed an aggregate principal amount of $600 million of the 2025 Senior Notes, through the cash tender offer announced on March 2, 2021 and the redemption of the remaining amount on March 17, 2021. The repurchases and redemption were effectuated at a premium of approximately 106% for total consideration of $636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jc w:val="both"/>
        <w:ind w:left="660" w:hanging="328"/>
        <w:spacing w:after="0" w:line="301" w:lineRule="auto"/>
        <w:tabs>
          <w:tab w:leader="none" w:pos="655"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previous contributions and pay vendor invoices and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Acquisitions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23, 2021, the Company acquired 100% of the equity interests in NedPower Mount Storm LLC, or Mt. Storm, from a third party for approximately $96 million, excluding working capital adjustments. Mt. Storm is a 264 MW wind project located in Grant County, West Virginia. Mt. Storm will have a 10-year energy hedge with an investment-grade counterparty.</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February 3, 2021, the Company acquired an additional 35% equity interest in the Agua Caliente solar project from NRG Energy, Inc. for $202 million. Agua Caliente is a 290 MW solar project located in Dateland, Arizona in which the Company previously owned a 16% equity interest. The project has a 25-year PPA with PG&amp;E, with approximately 19 years remaining under the agreement. Following the close of the transaction, the Company owns a 51% equity interest in Agua Caliente. The Company removed its equity method investment and consolidates its interest in Agua Caliente from the date of the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color w:val="auto"/>
        </w:rPr>
        <w:t>On February 26, 2021, the Company, through an indirect subsidiary, entered into an amended partnership agreement with CEG to repower the Pinnacle wind project, a 55 net MW wind facility located in Mineral County, West Virginia.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are expected to occur in the second half of 2021.</w:t>
      </w:r>
    </w:p>
    <w:p>
      <w:pPr>
        <w:spacing w:after="0" w:line="122" w:lineRule="exact"/>
        <w:rPr>
          <w:rFonts w:ascii="Arial" w:cs="Arial" w:eastAsia="Arial" w:hAnsi="Arial"/>
          <w:sz w:val="17"/>
          <w:szCs w:val="17"/>
          <w:b w:val="1"/>
          <w:bCs w:val="1"/>
          <w:i w:val="1"/>
          <w:iCs w:val="1"/>
          <w:color w:val="auto"/>
        </w:rPr>
      </w:pPr>
    </w:p>
    <w:p>
      <w:pPr>
        <w:jc w:val="both"/>
        <w:ind w:left="660" w:hanging="328"/>
        <w:spacing w:after="0" w:line="257" w:lineRule="auto"/>
        <w:tabs>
          <w:tab w:leader="none" w:pos="65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color w:val="auto"/>
        </w:rPr>
        <w:t>On January 12, 2021, the Company acquired 100% of CEG's equity interest and a third party investor's minority interest in CWSP Rattlesnake Holding LLC, which indirectly owns the Rattlesnake wind project, a 160 MW wind facility located in Adams County, Washington that achieved commercial operations in December 2020, for $132 million in cash consideration. The Company expects its net capital commitment to be $119 million after proceeds from a state sales and use tax refund, which are expected to be received in 2021. The project has a 20-year PPA, which began when the facility reached commercial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Adequacy Agreement at Marsh Landing</w:t>
      </w:r>
    </w:p>
    <w:p>
      <w:pPr>
        <w:spacing w:after="0" w:line="171" w:lineRule="exact"/>
        <w:rPr>
          <w:sz w:val="20"/>
          <w:szCs w:val="20"/>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May 3, 2021, the Company contracted with a California Load Serving Entity to sell 100 MW of Resource Adequacy commencing in May 2023. The contract is for seven and a half years and is at terms which would maintain project level CAFD on an unlevered basis if applied to the full capacity of the plant.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Winter Events in Texas</w:t>
      </w:r>
    </w:p>
    <w:p>
      <w:pPr>
        <w:spacing w:after="0" w:line="171" w:lineRule="exact"/>
        <w:rPr>
          <w:sz w:val="20"/>
          <w:szCs w:val="20"/>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February 2021, Texas experienced extreme winter weather conditions. Certain of the Company's wind projects were unable to operate and experienced outages due to the weather conditions at that time. These projects are now</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ind w:left="660"/>
        <w:spacing w:after="0" w:line="254" w:lineRule="auto"/>
        <w:rPr>
          <w:sz w:val="20"/>
          <w:szCs w:val="20"/>
          <w:color w:val="auto"/>
        </w:rPr>
      </w:pPr>
      <w:r>
        <w:rPr>
          <w:rFonts w:ascii="Arial" w:cs="Arial" w:eastAsia="Arial" w:hAnsi="Arial"/>
          <w:sz w:val="18"/>
          <w:szCs w:val="18"/>
          <w:color w:val="auto"/>
        </w:rPr>
        <w:t>operating within expectations. The Company continues to assess the full financial exposure related to the circumstances, including potential mitigants, ongoing discussions with contractual counterparties, any potential disputes which may result and any state sponsored solutions to address the financial impacts caused by the circumstances. During the three months ended March 31, 2021, and inclusive of amounts related to third party investors, the Company recorded a reduction of approximately $50 million in revenue to settle obligations for wind facilities during the extreme weather conditions. Based on available information and after adjusting for third party equity investor contributions, the Company currently estimates the potential cash impact will be between $25 million and $30 million in 2021, of which approximately $25 million was in the first quarter.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 number of regulations that may affect the Company are under review, including the publishing of the Affordable Clean Energy (ACE) rule, state solar photovoltaic module (solar panel) disposal and recycling regulations, and proposed federal MBTA incidental take legislation and regulations. The Company will evaluate the impact of the legislation and regulations as they are revised but cannot fully predict the impact of each until anticipated revisions and legal challenges are resolved. To the extent the proposed legislation and regulations restrict or otherwise impact the Company's operations, the proposed legislation and regulations could have a negative impact on the Company's financial performance.</w:t>
      </w:r>
    </w:p>
    <w:p>
      <w:pPr>
        <w:spacing w:after="0" w:line="16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Affordable Clean Energy Rule </w:t>
      </w:r>
      <w:r>
        <w:rPr>
          <w:rFonts w:ascii="Arial" w:cs="Arial" w:eastAsia="Arial" w:hAnsi="Arial"/>
          <w:sz w:val="17"/>
          <w:szCs w:val="17"/>
          <w:color w:val="auto"/>
        </w:rPr>
        <w:t>— The attention in recent years on greenhouse gas emissions has resulted in federal regulations and state legislative</w:t>
      </w:r>
      <w:r>
        <w:rPr>
          <w:rFonts w:ascii="Arial" w:cs="Arial" w:eastAsia="Arial" w:hAnsi="Arial"/>
          <w:sz w:val="17"/>
          <w:szCs w:val="17"/>
          <w:i w:val="1"/>
          <w:iCs w:val="1"/>
          <w:color w:val="auto"/>
        </w:rPr>
        <w:t xml:space="preserve"> </w:t>
      </w:r>
      <w:r>
        <w:rPr>
          <w:rFonts w:ascii="Arial" w:cs="Arial" w:eastAsia="Arial" w:hAnsi="Arial"/>
          <w:sz w:val="17"/>
          <w:szCs w:val="17"/>
          <w:color w:val="auto"/>
        </w:rPr>
        <w:t>and regulatory action. In 2015, the EPA finalized the Clean Power Plan, or the CPP, which addressed greenhouse gas emissions from existing electric utility steam generating units. The CPP was challenged in court and in 2016 the U.S. Supreme Court stayed the CPP. In 2018, the EPA published the proposed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The ACE rule is currently being litigated in the D.C. Circuit. In January 2021, the U.S. Court of Appeals for the Washington, D.C. circuit vacated the ACE rule, removing the Administration’s replacement for the Obama-era Clean Power Plan. This decision effectively eliminated both the CPP and ACE, leaving the new administration to restart greenhouse gas emissions regulation.</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Proposed and Final State Solar Photovoltaic Module Disposal and Recycling Regulations </w:t>
      </w:r>
      <w:r>
        <w:rPr>
          <w:rFonts w:ascii="Arial" w:cs="Arial" w:eastAsia="Arial" w:hAnsi="Arial"/>
          <w:sz w:val="18"/>
          <w:szCs w:val="18"/>
          <w:color w:val="auto"/>
        </w:rPr>
        <w:t>— On October 1, 2015, California enacted SB 489, which</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California’s Department of Toxic Substances Control, or DTSC, to adopt regulations to designate discarded photovoltaic modules, which are classified as hazardous waste, as universal waste subject to universal waste management. On April 19, 2019, the DTSC proposed regulations that would allow discarded photovoltaic modules to be managed as universal waste. The final regulations were approved by the CA Office of Administrative Law in September 2020 and became effective January 1, 2021. The DTSC issued the final regulatory text in April 2020 and the regulations became effective January 1, 2021.</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2021, the State of Hawaii issued a public notice of proposed rule changes which, among other items, include a proposed new solar panel universal waste rule. This proposed rule would create a new universal waste category for solar panels and allow solar panel waste management to be conducted under the existing regulatory framework. The state opened a public comment period on the proposed rule, which closed in early March 2021. If the proposed rule goes into effect as drafted, the addition of solar panels as a new category of universal wastes will make managing solar panels that are classified as a hazardous waste simpler and less costly.</w:t>
      </w:r>
    </w:p>
    <w:p>
      <w:pPr>
        <w:spacing w:after="0" w:line="13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7"/>
          <w:szCs w:val="17"/>
          <w:i w:val="1"/>
          <w:iCs w:val="1"/>
          <w:color w:val="auto"/>
        </w:rPr>
        <w:t xml:space="preserve">Proposed Federal MBTA Incidental Take Legislation and Regulations </w:t>
      </w:r>
      <w:r>
        <w:rPr>
          <w:rFonts w:ascii="Arial" w:cs="Arial" w:eastAsia="Arial" w:hAnsi="Arial"/>
          <w:sz w:val="17"/>
          <w:szCs w:val="17"/>
          <w:color w:val="auto"/>
        </w:rPr>
        <w:t>— On January 15, 2020, the House Natural Resources Committee 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a bill that would reinstate the interpretation that incidental take is prohibited under the MBTA, overriding the recent Trump-administration</w:t>
      </w:r>
    </w:p>
    <w:p>
      <w:pPr>
        <w:jc w:val="both"/>
        <w:spacing w:after="0" w:line="277" w:lineRule="auto"/>
        <w:rPr>
          <w:sz w:val="20"/>
          <w:szCs w:val="20"/>
          <w:color w:val="auto"/>
        </w:rPr>
      </w:pPr>
      <w:r>
        <w:rPr>
          <w:rFonts w:ascii="Arial" w:cs="Arial" w:eastAsia="Arial" w:hAnsi="Arial"/>
          <w:sz w:val="18"/>
          <w:szCs w:val="18"/>
          <w:color w:val="auto"/>
        </w:rPr>
        <w:t>Solicitor’s Opinion M-37050 that held the MBTA only applies to intentional takings. The bill also develops a general permitting program that covers incidental take of migratory birds. To the extent that electric generation takes migratory birds, it typically is incidental to its operations.</w:t>
      </w:r>
    </w:p>
    <w:p>
      <w:pPr>
        <w:spacing w:after="0" w:line="1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On January 7, 2021, the U.S. Fish and Wildlife Service, or FWS, published a final rule codifying the Solicitor’s Opinion M-37050 defining the scope of certain prohibitions under the MBTA. The final rule clarifies that criminal liability for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jc w:val="both"/>
        <w:spacing w:after="0" w:line="291" w:lineRule="auto"/>
        <w:rPr>
          <w:sz w:val="20"/>
          <w:szCs w:val="20"/>
          <w:color w:val="auto"/>
        </w:rPr>
      </w:pPr>
      <w:r>
        <w:rPr>
          <w:rFonts w:ascii="Arial" w:cs="Arial" w:eastAsia="Arial" w:hAnsi="Arial"/>
          <w:sz w:val="16"/>
          <w:szCs w:val="16"/>
          <w:color w:val="auto"/>
        </w:rPr>
        <w:t>pursuing, hunting, taking, capturing, or killing or attempting to take, capture or kill migratory birds is limited to actions directed at migratory birds, their nests, or their eggs. Under the final rule, these prohibitions do not extend to actions that only incidentally take or kill migratory birds as a result of otherwise lawful activities. However, the final rule and the underlying Solicitor’s Opinion have both been subject to legal challenges. On August 11, 2020, the Southern District Court in New York vacated the Solicitor's Opinion, finding there was not an adequate legal basis for the policy changes articulated in the guidance document. In addition, on January 19, 2021, environmental groups filed a lawsuit in the U.S. District Court for the Southern District of New York arguing that the FWS’s January 2021 final rule improperly relied on the vacated Solicitor’s Opinion, violates the MBTA, and should be vacated. Finally, on January 20, 2021, President Biden issued an executive order to review and consider suspending, revising, or rescinding agency actions taken between January 20, 2017 and January 20, 2021 determined to be inconsistent with certain public health and environmental goals. This includes a review of both the Solicitor’s Opinion and the FWS’s January 2021 final rule. In response to this directive, on February 9, 2021, the FWS delayed the effective date of the January 2021 final rule until March 8, 2021 and requested public comment to inform its review and a potential extended delay. A return to the position that incidental take is prohibited under the MBTA, or the development of legislation or regulations contrary to the FWS’s January 2021 rule, could increase potential liability and impose additional permitting requirements on our operations. The Company, through its membership in trade organizations, is monitoring the FWS’s efforts to review and possibly create a permitting process to address MBTA take.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2020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2020 Form 10-K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COVID-19 Update</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the date of this report, the Company has not experienced any material financial or operational impacts related to COVID-19. All of the Company’s facilities have remained operational. The Company has experienced a decrease in volumetric sales at certain Thermal locations in part due to COVID-19 related impacts, which has not resulted in any material financial impacts to the Company. The Company believes that all of its accounts receivable balances as of March 31, 2021 are collectible. The Company will continue to assess collectability based on any future developments.</w:t>
      </w:r>
    </w:p>
    <w:p>
      <w:pPr>
        <w:spacing w:after="0" w:line="1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 xml:space="preserve">treatments, the duration of the outbreak,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Company's 2020 Form 10-K.</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0"/>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Change</w:t>
            </w:r>
          </w:p>
        </w:tc>
      </w:tr>
      <w:tr>
        <w:trPr>
          <w:trHeight w:val="21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333333"/>
                <w:w w:val="99"/>
              </w:rPr>
              <w:t>$</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333333"/>
              </w:rPr>
              <w:t>276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19"/>
                <w:szCs w:val="19"/>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333333"/>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33333"/>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333333"/>
              </w:rPr>
              <w:t>237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fuels</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333333"/>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Operations and maintenance</w:t>
            </w:r>
          </w:p>
        </w:tc>
        <w:tc>
          <w:tcPr>
            <w:tcW w:w="220" w:type="dxa"/>
            <w:vAlign w:val="bottom"/>
          </w:tcPr>
          <w:p>
            <w:pPr>
              <w:spacing w:after="0"/>
              <w:rPr>
                <w:sz w:val="19"/>
                <w:szCs w:val="19"/>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333333"/>
              </w:rPr>
              <w:t>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costs of operations</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333333"/>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tcPr>
          <w:p>
            <w:pPr>
              <w:spacing w:after="0"/>
              <w:rPr>
                <w:sz w:val="19"/>
                <w:szCs w:val="19"/>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333333"/>
              </w:rPr>
              <w:t>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333333"/>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220" w:type="dxa"/>
            <w:vAlign w:val="bottom"/>
          </w:tcPr>
          <w:p>
            <w:pPr>
              <w:spacing w:after="0"/>
              <w:rPr>
                <w:sz w:val="19"/>
                <w:szCs w:val="19"/>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333333"/>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333333"/>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333333"/>
              </w:rPr>
              <w:t>251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33333"/>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(losses) of unconsolidated affiliates</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333333"/>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333333"/>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Derivative interest expense income (expense)</w:t>
            </w:r>
          </w:p>
        </w:tc>
        <w:tc>
          <w:tcPr>
            <w:tcW w:w="220" w:type="dxa"/>
            <w:vAlign w:val="bottom"/>
          </w:tcPr>
          <w:p>
            <w:pPr>
              <w:spacing w:after="0"/>
              <w:rPr>
                <w:sz w:val="19"/>
                <w:szCs w:val="19"/>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333333"/>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33333"/>
              </w:rPr>
              <w:t>(92)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33333"/>
              </w:rPr>
              <w:t>(82)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333333"/>
              </w:rPr>
              <w:t>(181)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33333"/>
              </w:rPr>
              <w:t>(129)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33333"/>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Loss attributable to noncontrolling interests and redeemable interests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33333"/>
              </w:rPr>
              <w:t>(79)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35"/>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Borders>
              <w:bottom w:val="single" w:sz="8" w:color="auto"/>
            </w:tcBorders>
            <w:gridSpan w:val="9"/>
          </w:tcPr>
          <w:p>
            <w:pPr>
              <w:jc w:val="right"/>
              <w:ind w:right="171"/>
              <w:spacing w:after="0"/>
              <w:rPr>
                <w:sz w:val="20"/>
                <w:szCs w:val="20"/>
                <w:color w:val="auto"/>
              </w:rPr>
            </w:pPr>
            <w:r>
              <w:rPr>
                <w:rFonts w:ascii="Arial" w:cs="Arial" w:eastAsia="Arial" w:hAnsi="Arial"/>
                <w:sz w:val="14"/>
                <w:szCs w:val="14"/>
                <w:b w:val="1"/>
                <w:bCs w:val="1"/>
                <w:color w:val="auto"/>
              </w:rPr>
              <w:t>Three months ended March 31,</w:t>
            </w:r>
          </w:p>
        </w:tc>
      </w:tr>
      <w:tr>
        <w:trPr>
          <w:trHeight w:val="21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Business metrics:</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r>
      <w:tr>
        <w:trPr>
          <w:trHeight w:val="223"/>
        </w:trPr>
        <w:tc>
          <w:tcPr>
            <w:tcW w:w="81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1,676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Thermal MWt sold (in thousands)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605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Thermal MWh sold (in thousands)</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29"/>
        </w:trPr>
        <w:tc>
          <w:tcPr>
            <w:tcW w:w="8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(b)</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177</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Conventional equivalent availability factor</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83.2 %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22459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ind w:left="160" w:hanging="152"/>
        <w:spacing w:after="0" w:line="197" w:lineRule="auto"/>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ind w:right="2840"/>
        <w:spacing w:after="0" w:line="432"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March 31, 2021 and 2020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Conventional</w:t>
            </w:r>
          </w:p>
        </w:tc>
        <w:tc>
          <w:tcPr>
            <w:tcW w:w="16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Renewables</w:t>
            </w:r>
          </w:p>
        </w:tc>
        <w:tc>
          <w:tcPr>
            <w:tcW w:w="220" w:type="dxa"/>
            <w:vAlign w:val="bottom"/>
          </w:tcPr>
          <w:p>
            <w:pPr>
              <w:spacing w:after="0"/>
              <w:rPr>
                <w:sz w:val="16"/>
                <w:szCs w:val="1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Thermal</w:t>
            </w:r>
          </w:p>
        </w:tc>
        <w:tc>
          <w:tcPr>
            <w:tcW w:w="300" w:type="dxa"/>
            <w:vAlign w:val="bottom"/>
          </w:tcPr>
          <w:p>
            <w:pPr>
              <w:spacing w:after="0"/>
              <w:rPr>
                <w:sz w:val="16"/>
                <w:szCs w:val="16"/>
                <w:color w:val="auto"/>
              </w:rPr>
            </w:pPr>
          </w:p>
        </w:tc>
        <w:tc>
          <w:tcPr>
            <w:tcW w:w="1000" w:type="dxa"/>
            <w:vAlign w:val="bottom"/>
            <w:vMerge w:val="restart"/>
          </w:tcPr>
          <w:p>
            <w:pPr>
              <w:jc w:val="right"/>
              <w:ind w:right="3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58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Generation</w:t>
            </w: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1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 and capacity revenues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Other revenues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fuels</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Contract amortization</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Gross margin</w:t>
            </w:r>
          </w:p>
        </w:tc>
        <w:tc>
          <w:tcPr>
            <w:tcW w:w="1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gross margin</w:t>
            </w: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 and capacity revenues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Other revenues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fuels</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Contract amortization</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for economic hedging activities</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Gross margin</w:t>
            </w:r>
          </w:p>
        </w:tc>
        <w:tc>
          <w:tcPr>
            <w:tcW w:w="1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Mark-to-market for economic hedging activities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gross margin</w:t>
            </w: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231F20"/>
              </w:rPr>
              <w:t>42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5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ind w:firstLine="405"/>
        <w:spacing w:after="0" w:line="277" w:lineRule="auto"/>
        <w:rPr>
          <w:sz w:val="20"/>
          <w:szCs w:val="20"/>
          <w:color w:val="auto"/>
        </w:rPr>
      </w:pPr>
      <w:r>
        <w:rPr>
          <w:rFonts w:ascii="Arial" w:cs="Arial" w:eastAsia="Arial" w:hAnsi="Arial"/>
          <w:sz w:val="18"/>
          <w:szCs w:val="18"/>
          <w:color w:val="auto"/>
        </w:rPr>
        <w:t>Gross margin decreased by $23 million during the three months ended March 31, 2021, compared to the same period in 2020, due to a combination of the drivers summarized in the table below:</w:t>
      </w:r>
    </w:p>
    <w:p>
      <w:pPr>
        <w:sectPr>
          <w:pgSz w:w="11900" w:h="16838" w:orient="portrait"/>
          <w:cols w:equalWidth="0" w:num="1">
            <w:col w:w="11240"/>
          </w:cols>
          <w:pgMar w:left="320" w:top="1192" w:right="339" w:bottom="1440" w:gutter="0" w:footer="0" w:header="0"/>
        </w:sectPr>
      </w:pPr>
    </w:p>
    <w:p>
      <w:pPr>
        <w:spacing w:after="0" w:line="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702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7" w:lineRule="exact"/>
        <w:rPr>
          <w:sz w:val="20"/>
          <w:szCs w:val="20"/>
          <w:color w:val="auto"/>
        </w:rPr>
      </w:pPr>
    </w:p>
    <w:p>
      <w:pPr>
        <w:jc w:val="both"/>
        <w:ind w:left="1440" w:hanging="1419"/>
        <w:spacing w:after="0" w:line="238" w:lineRule="auto"/>
        <w:tabs>
          <w:tab w:leader="none" w:pos="1420" w:val="left"/>
        </w:tabs>
        <w:rPr>
          <w:sz w:val="20"/>
          <w:szCs w:val="20"/>
          <w:color w:val="auto"/>
        </w:rPr>
      </w:pPr>
      <w:r>
        <w:rPr>
          <w:rFonts w:ascii="Arial" w:cs="Arial" w:eastAsia="Arial" w:hAnsi="Arial"/>
          <w:sz w:val="16"/>
          <w:szCs w:val="16"/>
          <w:b w:val="1"/>
          <w:bCs w:val="1"/>
          <w:color w:val="auto"/>
        </w:rPr>
        <w:t>Renewables</w:t>
      </w:r>
      <w:r>
        <w:rPr>
          <w:sz w:val="20"/>
          <w:szCs w:val="20"/>
          <w:color w:val="auto"/>
        </w:rPr>
        <w:tab/>
      </w:r>
      <w:r>
        <w:rPr>
          <w:rFonts w:ascii="Arial" w:cs="Arial" w:eastAsia="Arial" w:hAnsi="Arial"/>
          <w:sz w:val="16"/>
          <w:szCs w:val="16"/>
          <w:color w:val="auto"/>
        </w:rPr>
        <w:t>Decrease of $50 million related to net settlements of obligations for wind facilities that were unable to produce the required output during extreme weather conditions in Texas in February 2021, offset by $17 million in gross margin</w:t>
      </w:r>
    </w:p>
    <w:p>
      <w:pPr>
        <w:spacing w:after="0" w:line="1" w:lineRule="exact"/>
        <w:rPr>
          <w:sz w:val="20"/>
          <w:szCs w:val="20"/>
          <w:color w:val="auto"/>
        </w:rPr>
      </w:pPr>
    </w:p>
    <w:p>
      <w:pPr>
        <w:jc w:val="both"/>
        <w:ind w:left="1440"/>
        <w:spacing w:after="0" w:line="214" w:lineRule="auto"/>
        <w:rPr>
          <w:sz w:val="20"/>
          <w:szCs w:val="20"/>
          <w:color w:val="auto"/>
        </w:rPr>
      </w:pPr>
      <w:r>
        <w:rPr>
          <w:rFonts w:ascii="Arial" w:cs="Arial" w:eastAsia="Arial" w:hAnsi="Arial"/>
          <w:sz w:val="18"/>
          <w:szCs w:val="18"/>
          <w:color w:val="auto"/>
        </w:rPr>
        <w:t>related to the consolidation of the DGPV investments in the fourth quarter of 2020, $8 million in gross margin related to Agua Caliente acquired in February 2021, $2 million gross margin related to Rosamond Central acquired in December 2020 and an additional $2 million in gross margin due to increased generation hours in various solar projects.</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Decrease in gross margin due to shorter spring outages in 2020 to manage labor availability given the onset of the</w:t>
      </w:r>
    </w:p>
    <w:p>
      <w:pPr>
        <w:spacing w:after="0" w:line="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b w:val="1"/>
          <w:bCs w:val="1"/>
          <w:color w:val="auto"/>
        </w:rPr>
        <w:t>Conventional</w:t>
      </w:r>
      <w:r>
        <w:rPr>
          <w:sz w:val="20"/>
          <w:szCs w:val="20"/>
          <w:color w:val="auto"/>
        </w:rPr>
        <w:tab/>
      </w:r>
      <w:r>
        <w:rPr>
          <w:rFonts w:ascii="Arial" w:cs="Arial" w:eastAsia="Arial" w:hAnsi="Arial"/>
          <w:sz w:val="18"/>
          <w:szCs w:val="18"/>
          <w:color w:val="auto"/>
        </w:rPr>
        <w:t>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14"/>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26" w:hanging="1026"/>
        <w:spacing w:after="0"/>
        <w:tabs>
          <w:tab w:leader="none" w:pos="10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(21)</w:t>
      </w:r>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ind w:left="1026" w:hanging="1026"/>
        <w:spacing w:after="0"/>
        <w:tabs>
          <w:tab w:leader="none" w:pos="1026" w:val="left"/>
        </w:tabs>
        <w:numPr>
          <w:ilvl w:val="0"/>
          <w:numId w:val="26"/>
        </w:numPr>
        <w:rPr>
          <w:rFonts w:ascii="Arial" w:cs="Arial" w:eastAsia="Arial" w:hAnsi="Arial"/>
          <w:sz w:val="16"/>
          <w:szCs w:val="16"/>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8655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1192" w:right="3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Depreciation, amortization and accretion expense increased by $26 million during the three months ended March 31, 2021, compared to the same period in 2020, primarily due to a $24 million increase in the Renewables segment. The increase related to $9 million from the wind and solar assets acquired during the second half of 2020, an $8 million increase related to the consolidation of the DGPV investments and a $4 million increase related to the acquisition of Aqua Caliente and Rattlesnake in the first quarter of 2021. In addition, approximately $8 million of accelerated depreciation was recorded in 2021 related to the repowering of Pinnacle partially offset by accelerated depreciation of $5 million recorded in the first quarter of 2020 for Wildorado.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Equity in earnings of unconsolidated affiliates increased by $17 million during the three months ended March 31, 2021, compared to the same period in 2020, primarily due to the consolidation of the DGPV investments on November 2, 2020, which had losses in the first quarter of 2020, and HLBV earnings for the Desert Sunlight.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recorded a loss on debt extinguishment of $42 million during the three months ended March 31, 2021, which primarily reflects the write-off of previously deferred finance costs and payment of premiums related to the redemption of the 2025 Senior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decreased by $122 million during the three months ended March 31, 2021, compared to the same period in 2020, due to the following:</w:t>
      </w:r>
    </w:p>
    <w:p>
      <w:pPr>
        <w:spacing w:after="0" w:line="148" w:lineRule="exact"/>
        <w:rPr>
          <w:sz w:val="20"/>
          <w:szCs w:val="20"/>
          <w:color w:val="auto"/>
        </w:rPr>
      </w:pPr>
    </w:p>
    <w:p>
      <w:pPr>
        <w:ind w:left="100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p>
      <w:pPr>
        <w:spacing w:after="0" w:line="36" w:lineRule="exact"/>
        <w:rPr>
          <w:sz w:val="20"/>
          <w:szCs w:val="20"/>
          <w:color w:val="auto"/>
        </w:rPr>
      </w:pPr>
    </w:p>
    <w:p>
      <w:pPr>
        <w:ind w:left="20" w:right="200"/>
        <w:spacing w:after="0" w:line="235" w:lineRule="auto"/>
        <w:rPr>
          <w:sz w:val="20"/>
          <w:szCs w:val="20"/>
          <w:color w:val="auto"/>
        </w:rPr>
      </w:pPr>
      <w:r>
        <w:rPr>
          <w:rFonts w:ascii="Arial" w:cs="Arial" w:eastAsia="Arial" w:hAnsi="Arial"/>
          <w:sz w:val="18"/>
          <w:szCs w:val="18"/>
          <w:color w:val="auto"/>
        </w:rPr>
        <w:t>Change in fair value of interest rate swaps due to an increase in forward interest rates in 2021 as compared to a decrease in rates during March 2020 at the onset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8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20"/>
        <w:spacing w:after="0" w:line="224" w:lineRule="auto"/>
        <w:rPr>
          <w:sz w:val="20"/>
          <w:szCs w:val="20"/>
          <w:color w:val="auto"/>
        </w:rPr>
      </w:pPr>
      <w:r>
        <w:rPr>
          <w:rFonts w:ascii="Arial" w:cs="Arial" w:eastAsia="Arial" w:hAnsi="Arial"/>
          <w:sz w:val="18"/>
          <w:szCs w:val="18"/>
          <w:color w:val="auto"/>
        </w:rPr>
        <w:t>Increase in Corporate interest expense due to the additional issuance of the 2028 Senior Notes in May 2020 and the issuance of the 2031 Senior Notes in March 2021, offset by lower interest expense related to revolver borrowings and the 2025 Senior Notes in 2021</w:t>
      </w:r>
    </w:p>
    <w:p>
      <w:pPr>
        <w:spacing w:after="0" w:line="1" w:lineRule="exact"/>
        <w:rPr>
          <w:sz w:val="20"/>
          <w:szCs w:val="20"/>
          <w:color w:val="auto"/>
        </w:rPr>
      </w:pPr>
    </w:p>
    <w:p>
      <w:pPr>
        <w:ind w:left="20" w:right="240"/>
        <w:spacing w:after="0" w:line="234" w:lineRule="auto"/>
        <w:rPr>
          <w:sz w:val="20"/>
          <w:szCs w:val="20"/>
          <w:color w:val="auto"/>
        </w:rPr>
      </w:pPr>
      <w:r>
        <w:rPr>
          <w:rFonts w:ascii="Arial" w:cs="Arial" w:eastAsia="Arial" w:hAnsi="Arial"/>
          <w:sz w:val="18"/>
          <w:szCs w:val="18"/>
          <w:color w:val="auto"/>
        </w:rPr>
        <w:t>Increase in interest expense due to increased principal balances of project level debt for the remainder of the portfolio primarily due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196" w:hanging="1196"/>
        <w:spacing w:after="0"/>
        <w:tabs>
          <w:tab w:leader="none" w:pos="11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-234315</wp:posOffset>
            </wp:positionV>
            <wp:extent cx="10369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65" w:lineRule="exact"/>
        <w:rPr>
          <w:sz w:val="20"/>
          <w:szCs w:val="20"/>
          <w:color w:val="auto"/>
        </w:rPr>
      </w:pPr>
    </w:p>
    <w:p>
      <w:pPr>
        <w:ind w:left="1456"/>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1456"/>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ind w:left="1196" w:hanging="1196"/>
        <w:spacing w:after="0"/>
        <w:tabs>
          <w:tab w:leader="none" w:pos="11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10369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184"/>
            <w:col w:w="1616"/>
          </w:cols>
          <w:pgMar w:left="320" w:top="1192" w:right="339" w:bottom="1440" w:gutter="0" w:footer="0" w:header="0"/>
          <w:type w:val="continuous"/>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2021, the Company recorded an income tax benefit of $20 million on a pretax loss of $96 million. For the same period in 2020, the Company recorded an income tax benefit of $22 million on a pretax loss of $129 million.</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2021 and 2020, the overall effective tax rate was different than the statutory rate of 21% primarily due to taxable earnings and losses allocated to partners' interests in Clearway Energy LLC, which includes the effects of applying the HLBV method of accounting for book purposes for certain partnerships.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Attributable to Noncontrolling Interests and Redeemable Interests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2021, the Company had a loss of $79 million attributable to noncontrolling interests and redeemable interests comprised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Loss attributable to third party investor in Lighthouse Renewable Holdco LLC</w:t>
            </w:r>
          </w:p>
        </w:tc>
        <w:tc>
          <w:tcPr>
            <w:tcW w:w="4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LLC</w:t>
            </w:r>
          </w:p>
        </w:tc>
        <w:tc>
          <w:tcPr>
            <w:tcW w:w="4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Income attributable to third party investor in Rosie TargetCo LLC</w:t>
            </w:r>
          </w:p>
        </w:tc>
        <w:tc>
          <w:tcPr>
            <w:tcW w:w="4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third party investor in Agua Caliente</w:t>
            </w:r>
          </w:p>
        </w:tc>
        <w:tc>
          <w:tcPr>
            <w:tcW w:w="4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7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
        </w:trPr>
        <w:tc>
          <w:tcPr>
            <w:tcW w:w="8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2020, the Company had a loss of $78 million attributable to noncontrolling interests and redeemable interests comprised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CEG's economic interest in Clearway LLC</w:t>
            </w:r>
          </w:p>
        </w:tc>
        <w:tc>
          <w:tcPr>
            <w:tcW w:w="4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third party investor in Kawailoa partnership</w:t>
            </w:r>
          </w:p>
        </w:tc>
        <w:tc>
          <w:tcPr>
            <w:tcW w:w="4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attributable to CEG's interests in the Kawailoa, Oahu and Repowering partnerships</w:t>
            </w: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8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2021</w:t>
      </w:r>
      <w:r>
        <w:rPr>
          <w:rFonts w:ascii="Arial" w:cs="Arial" w:eastAsia="Arial" w:hAnsi="Arial"/>
          <w:sz w:val="18"/>
          <w:szCs w:val="18"/>
          <w:color w:val="231F20"/>
        </w:rPr>
        <w:t xml:space="preserve"> and </w:t>
      </w:r>
      <w:r>
        <w:rPr>
          <w:rFonts w:ascii="Arial" w:cs="Arial" w:eastAsia="Arial" w:hAnsi="Arial"/>
          <w:sz w:val="18"/>
          <w:szCs w:val="18"/>
          <w:color w:val="000000"/>
        </w:rPr>
        <w:t>December 31, 2020</w:t>
      </w:r>
      <w:r>
        <w:rPr>
          <w:rFonts w:ascii="Arial" w:cs="Arial" w:eastAsia="Arial" w:hAnsi="Arial"/>
          <w:sz w:val="18"/>
          <w:szCs w:val="18"/>
          <w:color w:val="231F20"/>
        </w:rPr>
        <w:t>, the Company's liquidity was approximately $831 million and $894 million, respectively, comprised of cash, restricted cash and availability under the Company's revolving credit facility.</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 2020</w:t>
            </w:r>
          </w:p>
        </w:tc>
      </w:tr>
      <w:tr>
        <w:trPr>
          <w:trHeight w:val="215"/>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accounts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Revolving credit facility availability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liquidity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 xml:space="preserve">The Company's liquidity includes </w:t>
      </w:r>
      <w:r>
        <w:rPr>
          <w:rFonts w:ascii="Arial" w:cs="Arial" w:eastAsia="Arial" w:hAnsi="Arial"/>
          <w:sz w:val="16"/>
          <w:szCs w:val="16"/>
          <w:color w:val="000000"/>
        </w:rPr>
        <w:t>$287 million</w:t>
      </w:r>
      <w:r>
        <w:rPr>
          <w:rFonts w:ascii="Arial" w:cs="Arial" w:eastAsia="Arial" w:hAnsi="Arial"/>
          <w:sz w:val="16"/>
          <w:szCs w:val="16"/>
          <w:color w:val="231F20"/>
        </w:rPr>
        <w:t xml:space="preserve"> and $197 million of restricted cash balances as of March 31, 2021 and December 31, 2020,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March 31, 2021, these restricted funds were comprised of $114 million designated to fund operating expenses,</w:t>
      </w:r>
      <w:r>
        <w:rPr>
          <w:rFonts w:ascii="Arial" w:cs="Arial" w:eastAsia="Arial" w:hAnsi="Arial"/>
          <w:sz w:val="16"/>
          <w:szCs w:val="16"/>
          <w:color w:val="231F20"/>
        </w:rPr>
        <w:t xml:space="preserve"> </w:t>
      </w:r>
      <w:r>
        <w:rPr>
          <w:rFonts w:ascii="Arial" w:cs="Arial" w:eastAsia="Arial" w:hAnsi="Arial"/>
          <w:sz w:val="16"/>
          <w:szCs w:val="16"/>
          <w:color w:val="000000"/>
        </w:rPr>
        <w:t>approximately $45 million designated for current debt service payments, and $93 million restricted for reserves including debt service, performance obligations and other reserves, as well as capital expenditures. The remaining $35 million is held in distribution reserve accounts.</w:t>
      </w:r>
    </w:p>
    <w:p>
      <w:pPr>
        <w:spacing w:after="0" w:line="10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2021, the Company had $25 million of borrowings under the revolving credit facility and $70 million in letters of credit outstanding. During the three months ended March 31, 2021, the Company borrowed $195 million under the revolving credit facility, and subsequently repaid $170 million utilizing the proceeds from the issuance of the 2031 Senior Notes.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March 31, 2021: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4100" w:type="dxa"/>
            <w:vAlign w:val="bottom"/>
          </w:tcPr>
          <w:p>
            <w:pPr>
              <w:ind w:left="3220"/>
              <w:spacing w:after="0"/>
              <w:rPr>
                <w:sz w:val="20"/>
                <w:szCs w:val="20"/>
                <w:color w:val="auto"/>
              </w:rPr>
            </w:pPr>
            <w:r>
              <w:rPr>
                <w:rFonts w:ascii="Arial" w:cs="Arial" w:eastAsia="Arial" w:hAnsi="Arial"/>
                <w:sz w:val="14"/>
                <w:szCs w:val="14"/>
                <w:b w:val="1"/>
                <w:bCs w:val="1"/>
                <w:color w:val="auto"/>
              </w:rPr>
              <w:t>S&amp;P</w:t>
            </w:r>
          </w:p>
        </w:tc>
        <w:tc>
          <w:tcPr>
            <w:tcW w:w="1620" w:type="dxa"/>
            <w:vAlign w:val="bottom"/>
          </w:tcPr>
          <w:p>
            <w:pPr>
              <w:jc w:val="center"/>
              <w:ind w:left="34"/>
              <w:spacing w:after="0"/>
              <w:rPr>
                <w:sz w:val="20"/>
                <w:szCs w:val="20"/>
                <w:color w:val="auto"/>
              </w:rPr>
            </w:pPr>
            <w:r>
              <w:rPr>
                <w:rFonts w:ascii="Arial" w:cs="Arial" w:eastAsia="Arial" w:hAnsi="Arial"/>
                <w:sz w:val="14"/>
                <w:szCs w:val="14"/>
                <w:b w:val="1"/>
                <w:bCs w:val="1"/>
                <w:color w:val="auto"/>
                <w:w w:val="95"/>
              </w:rPr>
              <w:t>Moody's</w:t>
            </w:r>
          </w:p>
        </w:tc>
      </w:tr>
      <w:tr>
        <w:trPr>
          <w:trHeight w:val="235"/>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41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BB</w:t>
            </w:r>
          </w:p>
        </w:tc>
        <w:tc>
          <w:tcPr>
            <w:tcW w:w="16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3"/>
              </w:rPr>
              <w:t>Ba2</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5.000% Senior Notes, due 2026</w:t>
            </w:r>
          </w:p>
        </w:tc>
        <w:tc>
          <w:tcPr>
            <w:tcW w:w="4100" w:type="dxa"/>
            <w:vAlign w:val="bottom"/>
          </w:tcPr>
          <w:p>
            <w:pPr>
              <w:ind w:left="3240"/>
              <w:spacing w:after="0"/>
              <w:rPr>
                <w:sz w:val="20"/>
                <w:szCs w:val="20"/>
                <w:color w:val="auto"/>
              </w:rPr>
            </w:pPr>
            <w:r>
              <w:rPr>
                <w:rFonts w:ascii="Arial" w:cs="Arial" w:eastAsia="Arial" w:hAnsi="Arial"/>
                <w:sz w:val="18"/>
                <w:szCs w:val="18"/>
                <w:color w:val="auto"/>
              </w:rPr>
              <w:t>BB</w:t>
            </w:r>
          </w:p>
        </w:tc>
        <w:tc>
          <w:tcPr>
            <w:tcW w:w="1620" w:type="dxa"/>
            <w:vAlign w:val="bottom"/>
          </w:tcPr>
          <w:p>
            <w:pPr>
              <w:jc w:val="center"/>
              <w:ind w:left="34"/>
              <w:spacing w:after="0"/>
              <w:rPr>
                <w:sz w:val="20"/>
                <w:szCs w:val="20"/>
                <w:color w:val="auto"/>
              </w:rPr>
            </w:pPr>
            <w:r>
              <w:rPr>
                <w:rFonts w:ascii="Arial" w:cs="Arial" w:eastAsia="Arial" w:hAnsi="Arial"/>
                <w:sz w:val="18"/>
                <w:szCs w:val="18"/>
                <w:color w:val="auto"/>
                <w:w w:val="93"/>
              </w:rPr>
              <w:t>Ba2</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Notes, due 2028</w:t>
            </w:r>
          </w:p>
        </w:tc>
        <w:tc>
          <w:tcPr>
            <w:tcW w:w="41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BB</w:t>
            </w:r>
          </w:p>
        </w:tc>
        <w:tc>
          <w:tcPr>
            <w:tcW w:w="16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3"/>
              </w:rPr>
              <w:t>Ba2</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3.750% Senior Notes, due 2031</w:t>
            </w:r>
          </w:p>
        </w:tc>
        <w:tc>
          <w:tcPr>
            <w:tcW w:w="4100" w:type="dxa"/>
            <w:vAlign w:val="bottom"/>
          </w:tcPr>
          <w:p>
            <w:pPr>
              <w:ind w:left="3240"/>
              <w:spacing w:after="0"/>
              <w:rPr>
                <w:sz w:val="20"/>
                <w:szCs w:val="20"/>
                <w:color w:val="auto"/>
              </w:rPr>
            </w:pPr>
            <w:r>
              <w:rPr>
                <w:rFonts w:ascii="Arial" w:cs="Arial" w:eastAsia="Arial" w:hAnsi="Arial"/>
                <w:sz w:val="18"/>
                <w:szCs w:val="18"/>
                <w:color w:val="auto"/>
              </w:rPr>
              <w:t>BB</w:t>
            </w:r>
          </w:p>
        </w:tc>
        <w:tc>
          <w:tcPr>
            <w:tcW w:w="1620" w:type="dxa"/>
            <w:vAlign w:val="bottom"/>
          </w:tcPr>
          <w:p>
            <w:pPr>
              <w:jc w:val="center"/>
              <w:ind w:left="34"/>
              <w:spacing w:after="0"/>
              <w:rPr>
                <w:sz w:val="20"/>
                <w:szCs w:val="20"/>
                <w:color w:val="auto"/>
              </w:rPr>
            </w:pPr>
            <w:r>
              <w:rPr>
                <w:rFonts w:ascii="Arial" w:cs="Arial" w:eastAsia="Arial" w:hAnsi="Arial"/>
                <w:sz w:val="18"/>
                <w:szCs w:val="18"/>
                <w:color w:val="auto"/>
                <w:w w:val="93"/>
              </w:rPr>
              <w:t>Ba2</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Item 15 — Note 10, </w:t>
      </w:r>
      <w:r>
        <w:rPr>
          <w:rFonts w:ascii="Arial" w:cs="Arial" w:eastAsia="Arial" w:hAnsi="Arial"/>
          <w:sz w:val="18"/>
          <w:szCs w:val="18"/>
          <w:i w:val="1"/>
          <w:iCs w:val="1"/>
          <w:color w:val="231F20"/>
        </w:rPr>
        <w:t>Long-term Debt</w:t>
      </w:r>
      <w:r>
        <w:rPr>
          <w:rFonts w:ascii="Arial" w:cs="Arial" w:eastAsia="Arial" w:hAnsi="Arial"/>
          <w:sz w:val="18"/>
          <w:szCs w:val="18"/>
          <w:color w:val="231F20"/>
        </w:rPr>
        <w:t>, to the consolidated financial statements included in the Company's 2020 Form 10-K, the Company's financing arrangements consist of corporate level debt, which includes Senior Notes and the revolving credit facility; the ATM Programs; and project-level financings for its various assets.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231F20"/>
        </w:rPr>
        <w:t>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a total of $400 million available under the revolving credit facility as of March 31, 2021. The facility will continue to be used for general corporate purposes including financing of future acquisitions and posting letters of credit.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2031 Senior Notes</w:t>
      </w:r>
    </w:p>
    <w:p>
      <w:pPr>
        <w:spacing w:after="0" w:line="171" w:lineRule="exact"/>
        <w:rPr>
          <w:sz w:val="20"/>
          <w:szCs w:val="20"/>
          <w:color w:val="auto"/>
        </w:rPr>
      </w:pPr>
    </w:p>
    <w:p>
      <w:pPr>
        <w:jc w:val="both"/>
        <w:ind w:right="20" w:firstLine="405"/>
        <w:spacing w:after="0" w:line="273"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will commence on August 15, 2021. The 2031 Senior Notes are unsecured obligations of Clearway Energy Operating LLC and are guaranteed by Clearway Energy LLC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Pinnacle Repowering Partnership HoldCo LLC Financing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equipment purchases and pay vendor invoices and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cash dividends to investors.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Capital Expenditures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For the three months ended </w:t>
      </w:r>
      <w:r>
        <w:rPr>
          <w:rFonts w:ascii="Arial" w:cs="Arial" w:eastAsia="Arial" w:hAnsi="Arial"/>
          <w:sz w:val="18"/>
          <w:szCs w:val="18"/>
          <w:color w:val="000000"/>
        </w:rPr>
        <w:t>March 31, 2021</w:t>
      </w:r>
      <w:r>
        <w:rPr>
          <w:rFonts w:ascii="Arial" w:cs="Arial" w:eastAsia="Arial" w:hAnsi="Arial"/>
          <w:sz w:val="18"/>
          <w:szCs w:val="18"/>
          <w:color w:val="231F20"/>
        </w:rPr>
        <w:t xml:space="preserve">, the Company used approximately $79 million to fund capital expenditures, including growth </w:t>
      </w:r>
      <w:r>
        <w:rPr>
          <w:rFonts w:ascii="Arial" w:cs="Arial" w:eastAsia="Arial" w:hAnsi="Arial"/>
          <w:sz w:val="18"/>
          <w:szCs w:val="18"/>
          <w:color w:val="000000"/>
        </w:rPr>
        <w:t>expenditures of $62 million in the Renewables segment, $24 million of which were incurred in connection with the repowering of the Pinnacle wind project, $13 million incurred in connection with the Rosamond Central project, $10 million related to Mesquite Star and $14 million related to the Rattlesnake wind project. The Company also incurred $10 million of growth capital expenditures in the Thermal segment in connection with various development projects. In addition, the Company incurred $7 million in maintenance capital expenditures. The Company estimates $28 million of maintenance expenditures for 2021. These estimates are subject to continuing review and adjustment. Actual capital expenditures may vary from these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Rattlesnake Drop Down — </w:t>
      </w:r>
      <w:r>
        <w:rPr>
          <w:rFonts w:ascii="Arial" w:cs="Arial" w:eastAsia="Arial" w:hAnsi="Arial"/>
          <w:sz w:val="18"/>
          <w:szCs w:val="18"/>
          <w:color w:val="auto"/>
        </w:rPr>
        <w:t>On January 12, 2021, the Company acquired 100% of CEG's equity interest and a third party investor's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CWSP Rattlesnake Holding LLC, which indirectly owns the Rattlesnake wind project, a 160 MW wind facility located in Adams County, Washington for $132 million in cash consideration. The Company expects its net capital commitment to be $119 million after proceeds from a state sales and use tax refund, which are expected to be received in 2021.</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NRG Energy, Inc. for $202 million. Agua Caliente is a 290 MW solar project located in Dateland, Arizona in which the Company previously owned a 16% equity interest.</w:t>
      </w:r>
    </w:p>
    <w:p>
      <w:pPr>
        <w:spacing w:after="0" w:line="1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Pinnacle Wind Repowering </w:t>
      </w:r>
      <w:r>
        <w:rPr>
          <w:rFonts w:ascii="Arial" w:cs="Arial" w:eastAsia="Arial" w:hAnsi="Arial"/>
          <w:sz w:val="16"/>
          <w:szCs w:val="16"/>
          <w:color w:val="auto"/>
        </w:rPr>
        <w:t>— On February 26, 2021, the Company, through an indirect subsidiary, entered into an amended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CEG to repower the Pinnacle wind project, a 55 net MW wind facility located in Mineral County, West Virginia. The amended agreement commits the Company to invest an estimated $67 million in net corporate capital, subject to closing adjustments, and no longer requires an additional payment in 2031. Commercial operations and corporate capital funding for the Pinnacle wind repowering are expected to occur in the second half of 2021.</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Mt Storm Acquisition </w:t>
      </w:r>
      <w:r>
        <w:rPr>
          <w:rFonts w:ascii="Arial" w:cs="Arial" w:eastAsia="Arial" w:hAnsi="Arial"/>
          <w:sz w:val="18"/>
          <w:szCs w:val="18"/>
          <w:color w:val="auto"/>
        </w:rPr>
        <w:t>— On April 23, 2021, the Company acquired 100% of the equity interests in NedPower Mount Storm LLC, or Mt. Storm,</w:t>
      </w:r>
      <w:r>
        <w:rPr>
          <w:rFonts w:ascii="Arial" w:cs="Arial" w:eastAsia="Arial" w:hAnsi="Arial"/>
          <w:sz w:val="18"/>
          <w:szCs w:val="18"/>
          <w:i w:val="1"/>
          <w:iCs w:val="1"/>
          <w:color w:val="auto"/>
        </w:rPr>
        <w:t xml:space="preserve"> </w:t>
      </w:r>
      <w:r>
        <w:rPr>
          <w:rFonts w:ascii="Arial" w:cs="Arial" w:eastAsia="Arial" w:hAnsi="Arial"/>
          <w:sz w:val="18"/>
          <w:szCs w:val="18"/>
          <w:color w:val="auto"/>
        </w:rPr>
        <w:t>from a third party for approximately $96 million, excluding working capital adjustments. Mt. Storm is a 264 MW wind project located in Grant County, West Virginia.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1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2025 Senior Notes Tender Offer and Redemption — </w:t>
      </w:r>
      <w:r>
        <w:rPr>
          <w:rFonts w:ascii="Arial" w:cs="Arial" w:eastAsia="Arial" w:hAnsi="Arial"/>
          <w:sz w:val="17"/>
          <w:szCs w:val="17"/>
          <w:color w:val="auto"/>
        </w:rPr>
        <w:t>On March 9, 2021, the Company completed the repurchase of an aggregate principal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$411 million, or 68.6%, of the 2025 Senior Notes outstanding as part of the cash tender offer announced on March 2, 2021. Additionally, $6 million of the 2025 Senior Notes that were subject to guaranteed delivery procedures were repurchased on March 11, 2021. Concurrently with the launch of the tender offer, the Company exercised its right to optionally redeem the remaining principal amount of $183 million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In addition, the Company recorded a $5 million loss on extinguishment to write off the remaining unamortized deferred financing fees related to the 2025 Senior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Cash Dividends to Investors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Arial" w:cs="Arial" w:eastAsia="Arial" w:hAnsi="Arial"/>
          <w:sz w:val="17"/>
          <w:szCs w:val="17"/>
          <w:color w:val="000000"/>
        </w:rPr>
        <w:t>he Class A common stock and Class C common stock are subject to available</w:t>
      </w:r>
      <w:r>
        <w:rPr>
          <w:rFonts w:ascii="Arial" w:cs="Arial" w:eastAsia="Arial" w:hAnsi="Arial"/>
          <w:sz w:val="17"/>
          <w:szCs w:val="17"/>
          <w:color w:val="231F20"/>
        </w:rPr>
        <w:t xml:space="preserve"> </w:t>
      </w:r>
      <w:r>
        <w:rPr>
          <w:rFonts w:ascii="Arial" w:cs="Arial" w:eastAsia="Arial" w:hAnsi="Arial"/>
          <w:sz w:val="17"/>
          <w:szCs w:val="17"/>
          <w:color w:val="000000"/>
        </w:rPr>
        <w:t>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dividends paid on the Company's Class A common stock and Class C common stock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17" w:lineRule="exact"/>
        <w:rPr>
          <w:sz w:val="20"/>
          <w:szCs w:val="20"/>
          <w:color w:val="auto"/>
        </w:rPr>
      </w:pPr>
    </w:p>
    <w:p>
      <w:pPr>
        <w:jc w:val="center"/>
        <w:ind w:left="10100"/>
        <w:spacing w:after="0"/>
        <w:rPr>
          <w:sz w:val="20"/>
          <w:szCs w:val="20"/>
          <w:color w:val="auto"/>
        </w:rPr>
      </w:pPr>
      <w:r>
        <w:rPr>
          <w:rFonts w:ascii="Arial" w:cs="Arial" w:eastAsia="Arial" w:hAnsi="Arial"/>
          <w:sz w:val="14"/>
          <w:szCs w:val="14"/>
          <w:b w:val="1"/>
          <w:bCs w:val="1"/>
          <w:color w:val="auto"/>
        </w:rPr>
        <w:t>First Quarter</w:t>
      </w:r>
    </w:p>
    <w:p>
      <w:pPr>
        <w:jc w:val="center"/>
        <w:ind w:left="10100"/>
        <w:spacing w:after="0"/>
        <w:rPr>
          <w:sz w:val="20"/>
          <w:szCs w:val="20"/>
          <w:color w:val="auto"/>
        </w:rPr>
      </w:pPr>
      <w:r>
        <w:rPr>
          <w:rFonts w:ascii="Arial" w:cs="Arial" w:eastAsia="Arial" w:hAnsi="Arial"/>
          <w:sz w:val="14"/>
          <w:szCs w:val="14"/>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r>
      <w:tr>
        <w:trPr>
          <w:trHeight w:val="230"/>
        </w:trPr>
        <w:tc>
          <w:tcPr>
            <w:tcW w:w="1012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0.324</w:t>
            </w:r>
          </w:p>
        </w:tc>
      </w:tr>
    </w:tbl>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29, 2021, the Company declared quarterly dividends on its Class A common stock and Class C common stock of $0.329 per share payable on June 15, 2021, to stockholders of record as of June 1,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The following table reflects the changes in cash flows for the three months ended March 31, 2021, compared to the three months ended March 31, 2020:</w:t>
      </w: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(314)</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1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40" w:type="dxa"/>
            <w:vAlign w:val="bottom"/>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9"/>
        </w:trPr>
        <w:tc>
          <w:tcPr>
            <w:tcW w:w="95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2"/>
              </w:rPr>
              <w:t>Decrease in working capital primarily driven by the timing of accounts receivable collections and payments of accounts payable</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Decrease in operating income adjusted for non-cash items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dividend distributions received from unconsolidated affiliates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4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71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40" w:type="dxa"/>
            <w:vAlign w:val="bottom"/>
          </w:tcPr>
          <w:p>
            <w:pPr>
              <w:ind w:left="20"/>
              <w:spacing w:after="0"/>
              <w:rPr>
                <w:sz w:val="20"/>
                <w:szCs w:val="20"/>
                <w:color w:val="auto"/>
              </w:rPr>
            </w:pPr>
            <w:r>
              <w:rPr>
                <w:rFonts w:ascii="Arial" w:cs="Arial" w:eastAsia="Arial" w:hAnsi="Arial"/>
                <w:sz w:val="18"/>
                <w:szCs w:val="18"/>
                <w:color w:val="auto"/>
              </w:rPr>
              <w:t>Changes to net cash used in investing activities were driven by:</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the Rattlesnake Drop Down acquisition in 2021</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Cash paid for the Agua Caliente acquisition net of cash acquired in 2021</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940" w:type="dxa"/>
            <w:vAlign w:val="bottom"/>
            <w:gridSpan w:val="5"/>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Increase in capital expenditures primarily driven by growth capital expenditures within Renewables segment for final construction</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Rosamond Central and Mesquite Star in 2021</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Proceeds from sale of Dover in 2020</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investments in unconsolidated affiliates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tc>
        <w:tc>
          <w:tcPr>
            <w:tcW w:w="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1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40" w:type="dxa"/>
            <w:vAlign w:val="bottom"/>
          </w:tcPr>
          <w:p>
            <w:pPr>
              <w:ind w:left="20"/>
              <w:spacing w:after="0"/>
              <w:rPr>
                <w:sz w:val="20"/>
                <w:szCs w:val="20"/>
                <w:color w:val="auto"/>
              </w:rPr>
            </w:pPr>
            <w:r>
              <w:rPr>
                <w:rFonts w:ascii="Arial" w:cs="Arial" w:eastAsia="Arial" w:hAnsi="Arial"/>
                <w:sz w:val="18"/>
                <w:szCs w:val="18"/>
                <w:color w:val="auto"/>
              </w:rPr>
              <w:t>Changes in net cash provided by (used in) financing activities were driven by:</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75"/>
        </w:trPr>
        <w:tc>
          <w:tcPr>
            <w:tcW w:w="9500" w:type="dxa"/>
            <w:vAlign w:val="bottom"/>
            <w:gridSpan w:val="4"/>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Increase in proceeds from issuance of long-term debt net of payments primarily due to issuance of the 2031 Senior Notes and the</w:t>
            </w:r>
          </w:p>
        </w:tc>
        <w:tc>
          <w:tcPr>
            <w:tcW w:w="4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Pinnacle financing agreement in 2021</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Increase in net contributions from noncontrolling interests in 2021 compared to 2020</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net repayments under the revolving line of credit in 2021</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Increase in dividends paid to common stockholders in 2021</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0"/>
              </w:rPr>
              <w:t>Payment of debt issuance costs in 2021 associated with issuance of the 2031 Senior Notes and the Pinnacle financing agreement</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Net proceeds from equity issuance in 2020</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As of December 31, 2020, the Company has a cumulative federal NOL carry forward balance of $1.2 billion for financial statement purposes, of which $0.9 billion will begin expiring between 2033 to 2037 if unutilized. The Company does not anticipate any federal income tax payments for 2021. Additionally, as of December 31, 2020, the Company has a cumulative state NOL carryforward balance of $726 million for financial statement purposes, which will expire between 2023 to 2040 if unutilized. The Company does not anticipate significant income tax payments for state and local jurisdictions in 2021 Based on the Company's current and expected NOL balances generated primarily by accelerated tax depreciation of its property, plant and equipment, the Company does not expect to pay significant federal income tax for a period of approximately ten years inclusive of any NOL carryovers subject to an 80% limitation against future taxable years beginning after 2020 pursuant to the Tax Act as modified by the CARES Act (defined below).</w:t>
      </w:r>
    </w:p>
    <w:p>
      <w:pPr>
        <w:spacing w:after="0" w:line="11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December 31, 2020, the Company has an interest disallowance carry forward of $46 million as a result of the proposed §163(j) regulation, which was enacted as part of the Tax Act. The disallowed interest deduction has an indefinite carry forward period and any limitations on the utilization of this carry forward have been factored into our valuation allowance analysis.</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or CARES Act, was signed into law, which includes modifications to the business interest expense disallowance and net operating loss provisions. The Company utilized previously disallowed interest expense during 2020 as a result of the modifications and will continue to assess the effects of the CARES Act and ongoing government guidance related to COVID-19 that may be issued.</w:t>
      </w:r>
    </w:p>
    <w:p>
      <w:pPr>
        <w:spacing w:after="0" w:line="13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is subject to examination by taxing authorities for income tax returns filed in the U.S. federal jurisdiction and various state jurisdictions. The Company is not subject to U.S. federal or state income tax examinations for years prior to 2013. The Company has no uncertain tax benefits.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March 31, 2021, the Company has several investments with an ownership interest percentage of 50%</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$361 million as of March 31, 2021. This indebtedness may restrict the ability of these subsidiaries to issue dividends or distributions to the Company.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2020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March 31, 2021</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March 31, 2021</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1 —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41" w:lineRule="exact"/>
        <w:rPr>
          <w:sz w:val="20"/>
          <w:szCs w:val="20"/>
          <w:color w:val="auto"/>
        </w:rPr>
      </w:pPr>
    </w:p>
    <w:p>
      <w:pPr>
        <w:ind w:left="20"/>
        <w:spacing w:after="0"/>
        <w:tabs>
          <w:tab w:leader="none" w:pos="10280" w:val="left"/>
        </w:tabs>
        <w:rPr>
          <w:sz w:val="20"/>
          <w:szCs w:val="20"/>
          <w:color w:val="auto"/>
        </w:rPr>
      </w:pPr>
      <w:r>
        <w:rPr>
          <w:rFonts w:ascii="Arial" w:cs="Arial" w:eastAsia="Arial" w:hAnsi="Arial"/>
          <w:sz w:val="14"/>
          <w:szCs w:val="14"/>
          <w:b w:val="1"/>
          <w:bCs w:val="1"/>
          <w:u w:val="single" w:color="auto"/>
          <w:color w:val="auto"/>
        </w:rPr>
        <w:t>Derivative Activity (Losses) Gains</w:t>
      </w:r>
      <w:r>
        <w:rPr>
          <w:sz w:val="20"/>
          <w:szCs w:val="20"/>
          <w:color w:val="auto"/>
        </w:rPr>
        <w:tab/>
      </w: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of contracts as of December 31, 2020</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Contracts realized or otherwise settled during the period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of contracts as of March 31, 2021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3440" w:type="dxa"/>
        <w:tblCellMar>
          <w:top w:w="0" w:type="dxa"/>
          <w:left w:w="0" w:type="dxa"/>
          <w:bottom w:w="0" w:type="dxa"/>
          <w:right w:w="0" w:type="dxa"/>
        </w:tblCellMar>
      </w:tblPr>
      <w:tr>
        <w:trPr>
          <w:trHeight w:val="234"/>
        </w:trPr>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-334010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contracts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23495</wp:posOffset>
            </wp:positionV>
            <wp:extent cx="4080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23495</wp:posOffset>
            </wp:positionV>
            <wp:extent cx="40805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940" w:space="720"/>
            <w:col w:w="4580"/>
          </w:cols>
          <w:pgMar w:left="320" w:top="1053" w:right="339" w:bottom="1440" w:gutter="0" w:footer="0" w:header="0"/>
          <w:type w:val="continuous"/>
        </w:sectPr>
      </w:pPr>
    </w:p>
    <w:tbl>
      <w:tblPr>
        <w:tblLayout w:type="fixed"/>
        <w:tblInd w:w="20" w:type="dxa"/>
        <w:tblCellMar>
          <w:top w:w="0" w:type="dxa"/>
          <w:left w:w="0" w:type="dxa"/>
          <w:bottom w:w="0" w:type="dxa"/>
          <w:right w:w="0" w:type="dxa"/>
        </w:tblCellMar>
      </w:tblPr>
      <w:tr>
        <w:trPr>
          <w:trHeight w:val="171"/>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Greater Than</w:t>
            </w:r>
          </w:p>
        </w:tc>
        <w:tc>
          <w:tcPr>
            <w:tcW w:w="16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8"/>
        </w:trPr>
        <w:tc>
          <w:tcPr>
            <w:tcW w:w="4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6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3 Years to 5 Years</w:t>
            </w: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5 Years</w:t>
            </w:r>
          </w:p>
        </w:tc>
        <w:tc>
          <w:tcPr>
            <w:tcW w:w="180" w:type="dxa"/>
            <w:vAlign w:val="bottom"/>
          </w:tcPr>
          <w:p>
            <w:pPr>
              <w:spacing w:after="0"/>
              <w:rPr>
                <w:sz w:val="12"/>
                <w:szCs w:val="12"/>
                <w:color w:val="auto"/>
              </w:rPr>
            </w:pPr>
          </w:p>
        </w:tc>
        <w:tc>
          <w:tcPr>
            <w:tcW w:w="940" w:type="dxa"/>
            <w:vAlign w:val="bottom"/>
          </w:tcPr>
          <w:p>
            <w:pPr>
              <w:jc w:val="right"/>
              <w:ind w:right="297"/>
              <w:spacing w:after="0" w:line="12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BFE4FF"/>
          </w:tcPr>
          <w:p>
            <w:pPr>
              <w:ind w:left="2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BFE4FF"/>
          </w:tcPr>
          <w:p>
            <w:pPr>
              <w:spacing w:after="0"/>
              <w:rPr>
                <w:sz w:val="19"/>
                <w:szCs w:val="19"/>
                <w:color w:val="auto"/>
              </w:rPr>
            </w:pPr>
          </w:p>
        </w:tc>
        <w:tc>
          <w:tcPr>
            <w:tcW w:w="180" w:type="dxa"/>
            <w:vAlign w:val="bottom"/>
            <w:tcBorders>
              <w:bottom w:val="single" w:sz="8" w:color="auto"/>
            </w:tcBorders>
            <w:shd w:val="clear" w:color="auto" w:fill="BFE4FF"/>
          </w:tcPr>
          <w:p>
            <w:pPr>
              <w:spacing w:after="0"/>
              <w:rPr>
                <w:sz w:val="19"/>
                <w:szCs w:val="19"/>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 Commodity Price Risk,</w:t>
      </w:r>
      <w:r>
        <w:rPr>
          <w:rFonts w:ascii="Arial" w:cs="Arial" w:eastAsia="Arial" w:hAnsi="Arial"/>
          <w:sz w:val="16"/>
          <w:szCs w:val="16"/>
          <w:color w:val="231F20"/>
        </w:rPr>
        <w:t xml:space="preserve">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50" w:name="page51"/>
    <w:bookmarkEnd w:id="50"/>
    <w:p>
      <w:pPr>
        <w:jc w:val="both"/>
        <w:ind w:firstLine="405"/>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Item 1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w:t>
      </w:r>
      <w:r>
        <w:rPr>
          <w:rFonts w:ascii="Arial" w:cs="Arial" w:eastAsia="Arial" w:hAnsi="Arial"/>
          <w:sz w:val="18"/>
          <w:szCs w:val="18"/>
          <w:color w:val="231F20"/>
        </w:rPr>
        <w:t xml:space="preserve"> </w:t>
      </w:r>
      <w:r>
        <w:rPr>
          <w:rFonts w:ascii="Arial" w:cs="Arial" w:eastAsia="Arial" w:hAnsi="Arial"/>
          <w:sz w:val="18"/>
          <w:szCs w:val="18"/>
          <w:color w:val="000000"/>
        </w:rPr>
        <w:t xml:space="preserve">an 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2020 Form 10-K.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w:t>
      </w:r>
      <w:r>
        <w:rPr>
          <w:rFonts w:ascii="Arial" w:cs="Arial" w:eastAsia="Arial" w:hAnsi="Arial"/>
          <w:sz w:val="17"/>
          <w:szCs w:val="17"/>
          <w:color w:val="231F20"/>
        </w:rPr>
        <w:t xml:space="preserve"> </w:t>
      </w:r>
      <w:r>
        <w:rPr>
          <w:rFonts w:ascii="Arial" w:cs="Arial" w:eastAsia="Arial" w:hAnsi="Arial"/>
          <w:sz w:val="17"/>
          <w:szCs w:val="17"/>
          <w:color w:val="000000"/>
        </w:rPr>
        <w:t xml:space="preserve">2020 included in the 2020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March 31, 2021</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$74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March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2021</w:t>
      </w:r>
      <w:r>
        <w:rPr>
          <w:rFonts w:ascii="Arial" w:cs="Arial" w:eastAsia="Arial" w:hAnsi="Arial"/>
          <w:sz w:val="17"/>
          <w:szCs w:val="17"/>
          <w:color w:val="231F20"/>
        </w:rPr>
        <w:t>, a 1% change in interest rates would result in an approximately $1 million change in market interest expense on a rolling twelve-month basis.</w:t>
      </w:r>
    </w:p>
    <w:p>
      <w:pPr>
        <w:spacing w:after="0" w:line="1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2021</w:t>
      </w:r>
      <w:r>
        <w:rPr>
          <w:rFonts w:ascii="Arial" w:cs="Arial" w:eastAsia="Arial" w:hAnsi="Arial"/>
          <w:sz w:val="18"/>
          <w:szCs w:val="18"/>
          <w:color w:val="231F20"/>
        </w:rPr>
        <w:t xml:space="preserve">, the fair value of the Company's debt was $7,851 million and the carrying value was $8,046 million. The Company estimates that a 1% decrease in market interest rates would have increased the fair value of its long-term debt by approximately </w:t>
      </w:r>
      <w:r>
        <w:rPr>
          <w:rFonts w:ascii="Arial" w:cs="Arial" w:eastAsia="Arial" w:hAnsi="Arial"/>
          <w:sz w:val="18"/>
          <w:szCs w:val="18"/>
          <w:color w:val="000000"/>
        </w:rPr>
        <w:t>$495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have an immaterial impact on the net value of natural gas derivatives as of </w:t>
      </w:r>
      <w:r>
        <w:rPr>
          <w:rFonts w:ascii="Arial" w:cs="Arial" w:eastAsia="Arial" w:hAnsi="Arial"/>
          <w:sz w:val="18"/>
          <w:szCs w:val="18"/>
          <w:color w:val="000000"/>
        </w:rPr>
        <w:t>March 31, 2021</w:t>
      </w:r>
      <w:r>
        <w:rPr>
          <w:rFonts w:ascii="Arial" w:cs="Arial" w:eastAsia="Arial" w:hAnsi="Arial"/>
          <w:sz w:val="18"/>
          <w:szCs w:val="18"/>
          <w:color w:val="231F20"/>
        </w:rPr>
        <w:t>. The impact of a $0.50 per MWh increase or decrease in power prices across the term of the derivatives contracts would cause a change of approximately $3 million to the net value of power derivatives as of March 31, 2021.</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March 31, 2021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March 31, 2021, see Item 1 — Note 12,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2020 Form 10-K. There have been no material changes in the Company's risk factors since those reported in its 2020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 EXHIBITS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40" w:type="dxa"/>
            <w:vAlign w:val="bottom"/>
            <w:gridSpan w:val="15"/>
          </w:tcPr>
          <w:p>
            <w:pPr>
              <w:spacing w:after="0"/>
              <w:rPr>
                <w:sz w:val="20"/>
                <w:szCs w:val="20"/>
                <w:color w:val="auto"/>
              </w:rPr>
            </w:pPr>
            <w:r>
              <w:rPr>
                <w:rFonts w:ascii="Arial" w:cs="Arial" w:eastAsia="Arial" w:hAnsi="Arial"/>
                <w:sz w:val="16"/>
                <w:szCs w:val="16"/>
                <w:b w:val="1"/>
                <w:bCs w:val="1"/>
                <w:color w:val="auto"/>
              </w:rPr>
              <w:t>Description</w:t>
            </w:r>
          </w:p>
        </w:tc>
      </w:tr>
      <w:tr>
        <w:trPr>
          <w:trHeight w:val="181"/>
        </w:trPr>
        <w:tc>
          <w:tcPr>
            <w:tcW w:w="1020" w:type="dxa"/>
            <w:vAlign w:val="bottom"/>
          </w:tcPr>
          <w:p>
            <w:pPr>
              <w:spacing w:after="0" w:line="181" w:lineRule="exact"/>
              <w:rPr>
                <w:sz w:val="20"/>
                <w:szCs w:val="20"/>
                <w:color w:val="auto"/>
              </w:rPr>
            </w:pPr>
            <w:r>
              <w:rPr>
                <w:rFonts w:ascii="Arial" w:cs="Arial" w:eastAsia="Arial" w:hAnsi="Arial"/>
                <w:sz w:val="16"/>
                <w:szCs w:val="16"/>
                <w:color w:val="auto"/>
              </w:rPr>
              <w:t>4.1</w:t>
            </w:r>
          </w:p>
        </w:tc>
        <w:tc>
          <w:tcPr>
            <w:tcW w:w="5740" w:type="dxa"/>
            <w:vAlign w:val="bottom"/>
            <w:gridSpan w:val="15"/>
          </w:tcPr>
          <w:p>
            <w:pPr>
              <w:spacing w:after="0" w:line="181" w:lineRule="exact"/>
              <w:rPr>
                <w:rFonts w:ascii="Arial" w:cs="Arial" w:eastAsia="Arial" w:hAnsi="Arial"/>
                <w:sz w:val="16"/>
                <w:szCs w:val="16"/>
                <w:color w:val="0000FF"/>
                <w:w w:val="97"/>
              </w:rPr>
            </w:pPr>
            <w:hyperlink r:id="rId90">
              <w:r>
                <w:rPr>
                  <w:rFonts w:ascii="Arial" w:cs="Arial" w:eastAsia="Arial" w:hAnsi="Arial"/>
                  <w:sz w:val="16"/>
                  <w:szCs w:val="16"/>
                  <w:color w:val="0000FF"/>
                  <w:w w:val="97"/>
                </w:rPr>
                <w:t>Sixteenth Supplemental Indenture, dated as of February 3, 2021, among Clearway</w:t>
              </w:r>
            </w:hyperlink>
          </w:p>
        </w:tc>
      </w:tr>
      <w:tr>
        <w:trPr>
          <w:trHeight w:val="156"/>
        </w:trPr>
        <w:tc>
          <w:tcPr>
            <w:tcW w:w="1020" w:type="dxa"/>
            <w:vAlign w:val="bottom"/>
          </w:tcPr>
          <w:p>
            <w:pPr>
              <w:spacing w:after="0"/>
              <w:rPr>
                <w:sz w:val="13"/>
                <w:szCs w:val="13"/>
                <w:color w:val="auto"/>
              </w:rPr>
            </w:pPr>
          </w:p>
        </w:tc>
        <w:tc>
          <w:tcPr>
            <w:tcW w:w="5320" w:type="dxa"/>
            <w:vAlign w:val="bottom"/>
            <w:tcBorders>
              <w:top w:val="single" w:sz="8" w:color="0000FF"/>
            </w:tcBorders>
            <w:gridSpan w:val="10"/>
          </w:tcPr>
          <w:p>
            <w:pPr>
              <w:spacing w:after="0" w:line="155" w:lineRule="exact"/>
              <w:rPr>
                <w:rFonts w:ascii="Arial" w:cs="Arial" w:eastAsia="Arial" w:hAnsi="Arial"/>
                <w:sz w:val="16"/>
                <w:szCs w:val="16"/>
                <w:color w:val="0000FF"/>
                <w:w w:val="89"/>
              </w:rPr>
            </w:pPr>
            <w:hyperlink r:id="rId90">
              <w:r>
                <w:rPr>
                  <w:rFonts w:ascii="Arial" w:cs="Arial" w:eastAsia="Arial" w:hAnsi="Arial"/>
                  <w:sz w:val="16"/>
                  <w:szCs w:val="16"/>
                  <w:color w:val="0000FF"/>
                  <w:w w:val="89"/>
                </w:rPr>
                <w:t>Energy Operating LLC, the guarantors named therein and Delaware Trust Company</w:t>
              </w:r>
            </w:hyperlink>
          </w:p>
        </w:tc>
        <w:tc>
          <w:tcPr>
            <w:tcW w:w="420" w:type="dxa"/>
            <w:vAlign w:val="bottom"/>
            <w:gridSpan w:val="5"/>
          </w:tcPr>
          <w:p>
            <w:pPr>
              <w:ind w:left="160"/>
              <w:spacing w:after="0" w:line="155" w:lineRule="exact"/>
              <w:rPr>
                <w:rFonts w:ascii="Arial" w:cs="Arial" w:eastAsia="Arial" w:hAnsi="Arial"/>
                <w:sz w:val="16"/>
                <w:szCs w:val="16"/>
                <w:color w:val="0000FF"/>
              </w:rPr>
            </w:pPr>
            <w:hyperlink r:id="rId90">
              <w:r>
                <w:rPr>
                  <w:rFonts w:ascii="Arial" w:cs="Arial" w:eastAsia="Arial" w:hAnsi="Arial"/>
                  <w:sz w:val="16"/>
                  <w:szCs w:val="16"/>
                  <w:color w:val="0000FF"/>
                </w:rPr>
                <w:t>(as</w:t>
              </w:r>
            </w:hyperlink>
          </w:p>
        </w:tc>
      </w:tr>
      <w:tr>
        <w:trPr>
          <w:trHeight w:val="156"/>
        </w:trPr>
        <w:tc>
          <w:tcPr>
            <w:tcW w:w="10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7"/>
          </w:tcPr>
          <w:p>
            <w:pPr>
              <w:spacing w:after="0" w:line="155" w:lineRule="exact"/>
              <w:rPr>
                <w:rFonts w:ascii="Arial" w:cs="Arial" w:eastAsia="Arial" w:hAnsi="Arial"/>
                <w:sz w:val="16"/>
                <w:szCs w:val="16"/>
                <w:color w:val="0000FF"/>
                <w:w w:val="91"/>
              </w:rPr>
            </w:pPr>
            <w:hyperlink r:id="rId90">
              <w:r>
                <w:rPr>
                  <w:rFonts w:ascii="Arial" w:cs="Arial" w:eastAsia="Arial" w:hAnsi="Arial"/>
                  <w:sz w:val="16"/>
                  <w:szCs w:val="16"/>
                  <w:color w:val="0000FF"/>
                  <w:w w:val="91"/>
                </w:rPr>
                <w:t>successor in interest to Law Debenture Trust Company of New York).</w:t>
              </w:r>
            </w:hyperlink>
          </w:p>
        </w:tc>
        <w:tc>
          <w:tcPr>
            <w:tcW w:w="114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4.2</w:t>
            </w:r>
          </w:p>
        </w:tc>
        <w:tc>
          <w:tcPr>
            <w:tcW w:w="5740" w:type="dxa"/>
            <w:vAlign w:val="bottom"/>
            <w:gridSpan w:val="15"/>
          </w:tcPr>
          <w:p>
            <w:pPr>
              <w:spacing w:after="0"/>
              <w:rPr>
                <w:rFonts w:ascii="Arial" w:cs="Arial" w:eastAsia="Arial" w:hAnsi="Arial"/>
                <w:sz w:val="16"/>
                <w:szCs w:val="16"/>
                <w:color w:val="0000FF"/>
                <w:w w:val="91"/>
              </w:rPr>
            </w:pPr>
            <w:hyperlink r:id="rId91">
              <w:r>
                <w:rPr>
                  <w:rFonts w:ascii="Arial" w:cs="Arial" w:eastAsia="Arial" w:hAnsi="Arial"/>
                  <w:sz w:val="16"/>
                  <w:szCs w:val="16"/>
                  <w:color w:val="0000FF"/>
                  <w:w w:val="91"/>
                </w:rPr>
                <w:t>Twelfth Supplemental Indenture, dated as of February 3,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5" w:lineRule="exact"/>
              <w:rPr>
                <w:rFonts w:ascii="Arial" w:cs="Arial" w:eastAsia="Arial" w:hAnsi="Arial"/>
                <w:sz w:val="16"/>
                <w:szCs w:val="16"/>
                <w:color w:val="0000FF"/>
                <w:w w:val="91"/>
              </w:rPr>
            </w:pPr>
            <w:hyperlink r:id="rId91">
              <w:r>
                <w:rPr>
                  <w:rFonts w:ascii="Arial" w:cs="Arial" w:eastAsia="Arial" w:hAnsi="Arial"/>
                  <w:sz w:val="16"/>
                  <w:szCs w:val="16"/>
                  <w:color w:val="0000FF"/>
                  <w:w w:val="91"/>
                </w:rPr>
                <w:t>Operating LLC, the guarantors named therein and Delaware Trust Company.</w:t>
              </w:r>
            </w:hyperlink>
          </w:p>
        </w:tc>
        <w:tc>
          <w:tcPr>
            <w:tcW w:w="7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4.3</w:t>
            </w:r>
          </w:p>
        </w:tc>
        <w:tc>
          <w:tcPr>
            <w:tcW w:w="5740" w:type="dxa"/>
            <w:vAlign w:val="bottom"/>
            <w:gridSpan w:val="15"/>
          </w:tcPr>
          <w:p>
            <w:pPr>
              <w:spacing w:after="0"/>
              <w:rPr>
                <w:rFonts w:ascii="Arial" w:cs="Arial" w:eastAsia="Arial" w:hAnsi="Arial"/>
                <w:sz w:val="16"/>
                <w:szCs w:val="16"/>
                <w:color w:val="0000FF"/>
                <w:w w:val="92"/>
              </w:rPr>
            </w:pPr>
            <w:hyperlink r:id="rId92">
              <w:r>
                <w:rPr>
                  <w:rFonts w:ascii="Arial" w:cs="Arial" w:eastAsia="Arial" w:hAnsi="Arial"/>
                  <w:sz w:val="16"/>
                  <w:szCs w:val="16"/>
                  <w:color w:val="0000FF"/>
                  <w:w w:val="92"/>
                </w:rPr>
                <w:t>Eighth Supplemental Indenture, dated as of February 3,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5" w:lineRule="exact"/>
              <w:rPr>
                <w:rFonts w:ascii="Arial" w:cs="Arial" w:eastAsia="Arial" w:hAnsi="Arial"/>
                <w:sz w:val="16"/>
                <w:szCs w:val="16"/>
                <w:color w:val="0000FF"/>
                <w:w w:val="91"/>
              </w:rPr>
            </w:pPr>
            <w:hyperlink r:id="rId92">
              <w:r>
                <w:rPr>
                  <w:rFonts w:ascii="Arial" w:cs="Arial" w:eastAsia="Arial" w:hAnsi="Arial"/>
                  <w:sz w:val="16"/>
                  <w:szCs w:val="16"/>
                  <w:color w:val="0000FF"/>
                  <w:w w:val="91"/>
                </w:rPr>
                <w:t>Operating LLC, the guarantors named therein and Delaware Trust Company.</w:t>
              </w:r>
            </w:hyperlink>
          </w:p>
        </w:tc>
        <w:tc>
          <w:tcPr>
            <w:tcW w:w="680" w:type="dxa"/>
            <w:vAlign w:val="bottom"/>
            <w:tcBorders>
              <w:top w:val="single" w:sz="8" w:color="0000FF"/>
            </w:tcBorders>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4.4</w:t>
            </w:r>
          </w:p>
        </w:tc>
        <w:tc>
          <w:tcPr>
            <w:tcW w:w="5740" w:type="dxa"/>
            <w:vAlign w:val="bottom"/>
            <w:gridSpan w:val="15"/>
          </w:tcPr>
          <w:p>
            <w:pPr>
              <w:spacing w:after="0"/>
              <w:rPr>
                <w:rFonts w:ascii="Arial" w:cs="Arial" w:eastAsia="Arial" w:hAnsi="Arial"/>
                <w:sz w:val="16"/>
                <w:szCs w:val="16"/>
                <w:color w:val="0000FF"/>
              </w:rPr>
            </w:pPr>
            <w:hyperlink r:id="rId93">
              <w:r>
                <w:rPr>
                  <w:rFonts w:ascii="Arial" w:cs="Arial" w:eastAsia="Arial" w:hAnsi="Arial"/>
                  <w:sz w:val="16"/>
                  <w:szCs w:val="16"/>
                  <w:color w:val="0000FF"/>
                </w:rPr>
                <w:t>Indenture, dated March 9, 2021, among Clearway Energy Operating LLC, the</w:t>
              </w:r>
            </w:hyperlink>
          </w:p>
        </w:tc>
      </w:tr>
      <w:tr>
        <w:trPr>
          <w:trHeight w:val="156"/>
        </w:trPr>
        <w:tc>
          <w:tcPr>
            <w:tcW w:w="1020" w:type="dxa"/>
            <w:vAlign w:val="bottom"/>
          </w:tcPr>
          <w:p>
            <w:pPr>
              <w:spacing w:after="0"/>
              <w:rPr>
                <w:sz w:val="13"/>
                <w:szCs w:val="13"/>
                <w:color w:val="auto"/>
              </w:rPr>
            </w:pPr>
          </w:p>
        </w:tc>
        <w:tc>
          <w:tcPr>
            <w:tcW w:w="504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93">
              <w:r>
                <w:rPr>
                  <w:rFonts w:ascii="Arial" w:cs="Arial" w:eastAsia="Arial" w:hAnsi="Arial"/>
                  <w:sz w:val="16"/>
                  <w:szCs w:val="16"/>
                  <w:color w:val="0000FF"/>
                </w:rPr>
                <w:t>guarantors named therein and Delaware Trust Company, as trustee.</w:t>
              </w:r>
            </w:hyperlink>
          </w:p>
        </w:tc>
        <w:tc>
          <w:tcPr>
            <w:tcW w:w="60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6"/>
                <w:szCs w:val="16"/>
                <w:color w:val="auto"/>
              </w:rPr>
              <w:t>4.5</w:t>
            </w:r>
          </w:p>
        </w:tc>
        <w:tc>
          <w:tcPr>
            <w:tcW w:w="4340" w:type="dxa"/>
            <w:vAlign w:val="bottom"/>
            <w:tcBorders>
              <w:top w:val="single" w:sz="8" w:color="0000FF"/>
            </w:tcBorders>
            <w:gridSpan w:val="6"/>
          </w:tcPr>
          <w:p>
            <w:pPr>
              <w:spacing w:after="0"/>
              <w:rPr>
                <w:rFonts w:ascii="Arial" w:cs="Arial" w:eastAsia="Arial" w:hAnsi="Arial"/>
                <w:sz w:val="16"/>
                <w:szCs w:val="16"/>
                <w:color w:val="0000FF"/>
              </w:rPr>
            </w:pPr>
            <w:hyperlink r:id="rId93">
              <w:r>
                <w:rPr>
                  <w:rFonts w:ascii="Arial" w:cs="Arial" w:eastAsia="Arial" w:hAnsi="Arial"/>
                  <w:sz w:val="16"/>
                  <w:szCs w:val="16"/>
                  <w:color w:val="0000FF"/>
                </w:rPr>
                <w:t>Form of 3.750% Senior Notes due 2031.</w:t>
              </w:r>
            </w:hyperlink>
          </w:p>
        </w:tc>
        <w:tc>
          <w:tcPr>
            <w:tcW w:w="1400" w:type="dxa"/>
            <w:vAlign w:val="bottom"/>
            <w:gridSpan w:val="9"/>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10.1</w:t>
            </w:r>
          </w:p>
        </w:tc>
        <w:tc>
          <w:tcPr>
            <w:tcW w:w="5740" w:type="dxa"/>
            <w:vAlign w:val="bottom"/>
            <w:gridSpan w:val="15"/>
          </w:tcPr>
          <w:p>
            <w:pPr>
              <w:spacing w:after="0"/>
              <w:rPr>
                <w:rFonts w:ascii="Arial" w:cs="Arial" w:eastAsia="Arial" w:hAnsi="Arial"/>
                <w:sz w:val="16"/>
                <w:szCs w:val="16"/>
                <w:color w:val="0000FF"/>
                <w:w w:val="92"/>
              </w:rPr>
            </w:pPr>
            <w:hyperlink r:id="rId94">
              <w:r>
                <w:rPr>
                  <w:rFonts w:ascii="Arial" w:cs="Arial" w:eastAsia="Arial" w:hAnsi="Arial"/>
                  <w:sz w:val="16"/>
                  <w:szCs w:val="16"/>
                  <w:color w:val="0000FF"/>
                  <w:w w:val="92"/>
                </w:rPr>
                <w:t>Clearway Energy, Inc. Amended and Restated 2013 Equity Incentive Plan, as amended</w:t>
              </w:r>
            </w:hyperlink>
          </w:p>
        </w:tc>
      </w:tr>
      <w:tr>
        <w:trPr>
          <w:trHeight w:val="156"/>
        </w:trPr>
        <w:tc>
          <w:tcPr>
            <w:tcW w:w="10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0"/>
              </w:rPr>
            </w:pPr>
            <w:hyperlink r:id="rId94">
              <w:r>
                <w:rPr>
                  <w:rFonts w:ascii="Arial" w:cs="Arial" w:eastAsia="Arial" w:hAnsi="Arial"/>
                  <w:sz w:val="16"/>
                  <w:szCs w:val="16"/>
                  <w:color w:val="0000FF"/>
                  <w:w w:val="90"/>
                </w:rPr>
                <w:t>and restated effective February 19, 2021.</w:t>
              </w:r>
            </w:hyperlink>
          </w:p>
        </w:tc>
        <w:tc>
          <w:tcPr>
            <w:tcW w:w="2980" w:type="dxa"/>
            <w:vAlign w:val="bottom"/>
            <w:tcBorders>
              <w:top w:val="single" w:sz="8" w:color="0000FF"/>
            </w:tcBorders>
            <w:gridSpan w:val="9"/>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31.1</w:t>
            </w:r>
          </w:p>
        </w:tc>
        <w:tc>
          <w:tcPr>
            <w:tcW w:w="408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57">
              <w:r>
                <w:rPr>
                  <w:rFonts w:ascii="Arial" w:cs="Arial" w:eastAsia="Arial" w:hAnsi="Arial"/>
                  <w:sz w:val="16"/>
                  <w:szCs w:val="16"/>
                  <w:color w:val="0000FF"/>
                  <w:w w:val="92"/>
                </w:rPr>
                <w:t>Rule 13a-14(a)/15d-14(a) certification of Christopher S. Sotos.</w:t>
              </w:r>
            </w:hyperlink>
          </w:p>
        </w:tc>
        <w:tc>
          <w:tcPr>
            <w:tcW w:w="1660" w:type="dxa"/>
            <w:vAlign w:val="bottom"/>
            <w:gridSpan w:val="10"/>
          </w:tcPr>
          <w:p>
            <w:pPr>
              <w:spacing w:after="0"/>
              <w:rPr>
                <w:sz w:val="18"/>
                <w:szCs w:val="18"/>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color w:val="auto"/>
              </w:rPr>
              <w:t>31.2</w:t>
            </w:r>
          </w:p>
        </w:tc>
        <w:tc>
          <w:tcPr>
            <w:tcW w:w="5740" w:type="dxa"/>
            <w:vAlign w:val="bottom"/>
            <w:gridSpan w:val="15"/>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Rule 13a-14(a)/15d-14(a) certification of Chad Plotkin.</w:t>
              </w:r>
            </w:hyperlink>
          </w:p>
        </w:tc>
      </w:tr>
      <w:tr>
        <w:trPr>
          <w:trHeight w:val="20"/>
        </w:trPr>
        <w:tc>
          <w:tcPr>
            <w:tcW w:w="10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color w:val="auto"/>
              </w:rPr>
              <w:t>31.3</w:t>
            </w:r>
          </w:p>
        </w:tc>
        <w:tc>
          <w:tcPr>
            <w:tcW w:w="3880" w:type="dxa"/>
            <w:vAlign w:val="bottom"/>
            <w:tcBorders>
              <w:bottom w:val="single" w:sz="8" w:color="0000FF"/>
            </w:tcBorders>
            <w:gridSpan w:val="4"/>
          </w:tcPr>
          <w:p>
            <w:pPr>
              <w:spacing w:after="0"/>
              <w:rPr>
                <w:rFonts w:ascii="Arial" w:cs="Arial" w:eastAsia="Arial" w:hAnsi="Arial"/>
                <w:sz w:val="16"/>
                <w:szCs w:val="16"/>
                <w:color w:val="0000FF"/>
                <w:w w:val="91"/>
              </w:rPr>
            </w:pPr>
            <w:hyperlink w:anchor="page59">
              <w:r>
                <w:rPr>
                  <w:rFonts w:ascii="Arial" w:cs="Arial" w:eastAsia="Arial" w:hAnsi="Arial"/>
                  <w:sz w:val="16"/>
                  <w:szCs w:val="16"/>
                  <w:color w:val="0000FF"/>
                  <w:w w:val="91"/>
                </w:rPr>
                <w:t>Rule 13a-14(a)/15d-14(a) certification of Sarah Rubenstein.</w:t>
              </w:r>
            </w:hyperlink>
          </w:p>
        </w:tc>
        <w:tc>
          <w:tcPr>
            <w:tcW w:w="1860" w:type="dxa"/>
            <w:vAlign w:val="bottom"/>
            <w:gridSpan w:val="11"/>
          </w:tcPr>
          <w:p>
            <w:pPr>
              <w:spacing w:after="0"/>
              <w:rPr>
                <w:sz w:val="17"/>
                <w:szCs w:val="17"/>
                <w:color w:val="auto"/>
              </w:rPr>
            </w:pPr>
          </w:p>
        </w:tc>
      </w:tr>
    </w:tbl>
    <w:p>
      <w:pPr>
        <w:spacing w:after="0" w:line="31" w:lineRule="exact"/>
        <w:rPr>
          <w:sz w:val="20"/>
          <w:szCs w:val="20"/>
          <w:color w:val="auto"/>
        </w:rPr>
      </w:pPr>
    </w:p>
    <w:p>
      <w:pPr>
        <w:ind w:left="1060" w:hanging="1014"/>
        <w:spacing w:after="0"/>
        <w:tabs>
          <w:tab w:leader="none" w:pos="1060" w:val="left"/>
        </w:tabs>
        <w:numPr>
          <w:ilvl w:val="0"/>
          <w:numId w:val="29"/>
        </w:numPr>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Section 1350 Certification.</w:t>
        </w:r>
      </w:hyperlink>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INS</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CAL</w:t>
            </w:r>
          </w:p>
        </w:tc>
        <w:tc>
          <w:tcPr>
            <w:tcW w:w="3980" w:type="dxa"/>
            <w:vAlign w:val="bottom"/>
          </w:tcPr>
          <w:p>
            <w:pPr>
              <w:ind w:left="200"/>
              <w:spacing w:after="0"/>
              <w:rPr>
                <w:sz w:val="20"/>
                <w:szCs w:val="20"/>
                <w:color w:val="auto"/>
              </w:rPr>
            </w:pPr>
            <w:r>
              <w:rPr>
                <w:rFonts w:ascii="Arial" w:cs="Arial" w:eastAsia="Arial" w:hAnsi="Arial"/>
                <w:sz w:val="16"/>
                <w:szCs w:val="16"/>
                <w:color w:val="auto"/>
                <w:w w:val="95"/>
              </w:rPr>
              <w:t>Inline XBRL Taxonomy Extension Calculation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3980" w:type="dxa"/>
            <w:vAlign w:val="bottom"/>
          </w:tcPr>
          <w:p>
            <w:pPr>
              <w:ind w:left="200"/>
              <w:spacing w:after="0"/>
              <w:rPr>
                <w:sz w:val="20"/>
                <w:szCs w:val="20"/>
                <w:color w:val="auto"/>
              </w:rPr>
            </w:pPr>
            <w:r>
              <w:rPr>
                <w:rFonts w:ascii="Arial" w:cs="Arial" w:eastAsia="Arial" w:hAnsi="Arial"/>
                <w:sz w:val="16"/>
                <w:szCs w:val="16"/>
                <w:color w:val="auto"/>
                <w:w w:val="98"/>
              </w:rPr>
              <w:t>Inline XBRL Taxonomy Extension Definition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LAB</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3980" w:type="dxa"/>
            <w:vAlign w:val="bottom"/>
          </w:tcPr>
          <w:p>
            <w:pPr>
              <w:ind w:left="200"/>
              <w:spacing w:after="0"/>
              <w:rPr>
                <w:sz w:val="20"/>
                <w:szCs w:val="20"/>
                <w:color w:val="auto"/>
              </w:rPr>
            </w:pPr>
            <w:r>
              <w:rPr>
                <w:rFonts w:ascii="Arial" w:cs="Arial" w:eastAsia="Arial" w:hAnsi="Arial"/>
                <w:sz w:val="16"/>
                <w:szCs w:val="16"/>
                <w:color w:val="auto"/>
                <w:w w:val="92"/>
              </w:rPr>
              <w:t>Inline XBRL Taxonomy Extension Presentation Linkbase.</w:t>
            </w:r>
          </w:p>
        </w:tc>
      </w:tr>
    </w:tbl>
    <w:p>
      <w:pPr>
        <w:spacing w:after="0" w:line="10" w:lineRule="exact"/>
        <w:rPr>
          <w:sz w:val="20"/>
          <w:szCs w:val="20"/>
          <w:color w:val="auto"/>
        </w:rPr>
      </w:pPr>
    </w:p>
    <w:p>
      <w:pPr>
        <w:ind w:left="1060" w:right="40" w:hanging="1014"/>
        <w:spacing w:after="0" w:line="230"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36" w:lineRule="exact"/>
        <w:rPr>
          <w:sz w:val="20"/>
          <w:szCs w:val="20"/>
          <w:color w:val="auto"/>
        </w:rPr>
      </w:pPr>
    </w:p>
    <w:p>
      <w:pPr>
        <w:spacing w:after="0" w:line="32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February 5, 2021.</w:t>
      </w:r>
    </w:p>
    <w:p>
      <w:pPr>
        <w:spacing w:after="0" w:line="139"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4.2 to the Company's Current Report on Form 8-K filed on February 5,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4.3 to the Company's Current Report on Form 8-K filed on February 5,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4.1 to the Company's Current Report on Form 8-K filed on March 9,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4.2 to the Company's Current Report on Form 8-K filed on March 9, 2021.</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Incorporated herein by reference to Exhibit 4.2 to the Company's Current Report on Form 8-K filed on May 3, 2021.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544" w:lineRule="exact"/>
        <w:rPr>
          <w:sz w:val="20"/>
          <w:szCs w:val="20"/>
          <w:color w:val="auto"/>
        </w:rPr>
      </w:pPr>
    </w:p>
    <w:p>
      <w:pPr>
        <w:sectPr>
          <w:pgSz w:w="11900" w:h="16838" w:orient="portrait"/>
          <w:cols w:equalWidth="0" w:num="2">
            <w:col w:w="6780" w:space="160"/>
            <w:col w:w="4200"/>
          </w:cols>
          <w:pgMar w:left="320" w:top="1134" w:right="4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CLEARWAY ENERGY, INC.</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85"/>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SOTOS</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Christopher S. Sotos</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Chad Plotkin</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6"/>
        </w:trPr>
        <w:tc>
          <w:tcPr>
            <w:tcW w:w="6640" w:type="dxa"/>
            <w:vAlign w:val="bottom"/>
            <w:vMerge w:val="restart"/>
          </w:tcPr>
          <w:p>
            <w:pPr>
              <w:spacing w:after="0"/>
              <w:rPr>
                <w:sz w:val="20"/>
                <w:szCs w:val="20"/>
                <w:color w:val="auto"/>
              </w:rPr>
            </w:pPr>
            <w:r>
              <w:rPr>
                <w:rFonts w:ascii="Arial" w:cs="Arial" w:eastAsia="Arial" w:hAnsi="Arial"/>
                <w:sz w:val="18"/>
                <w:szCs w:val="18"/>
                <w:color w:val="auto"/>
              </w:rPr>
              <w:t>Date: May 6, 2021</w:t>
            </w: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Vice President, Accounting &amp; Controller</w:t>
            </w:r>
          </w:p>
        </w:tc>
        <w:tc>
          <w:tcPr>
            <w:tcW w:w="0" w:type="dxa"/>
            <w:vAlign w:val="bottom"/>
          </w:tcPr>
          <w:p>
            <w:pPr>
              <w:spacing w:after="0"/>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56</w:t>
      </w:r>
    </w:p>
    <w:p>
      <w:pPr>
        <w:sectPr>
          <w:pgSz w:w="11900" w:h="16838" w:orient="portrait"/>
          <w:cols w:equalWidth="0" w:num="1">
            <w:col w:w="11220"/>
          </w:cols>
          <w:pgMar w:left="320" w:top="891"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14605</wp:posOffset>
            </wp:positionV>
            <wp:extent cx="19030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Christopher S. Sotos</w:t>
      </w:r>
    </w:p>
    <w:p>
      <w:pPr>
        <w:ind w:left="6960"/>
        <w:spacing w:after="0" w:line="203" w:lineRule="auto"/>
        <w:rPr>
          <w:sz w:val="20"/>
          <w:szCs w:val="20"/>
          <w:color w:val="auto"/>
        </w:rPr>
      </w:pPr>
      <w:r>
        <w:rPr>
          <w:rFonts w:ascii="Arial" w:cs="Arial" w:eastAsia="Arial" w:hAnsi="Arial"/>
          <w:sz w:val="18"/>
          <w:szCs w:val="18"/>
          <w:i w:val="1"/>
          <w:iCs w:val="1"/>
          <w:color w:val="auto"/>
        </w:rPr>
        <w:t>Chief Executive Officer</w:t>
      </w:r>
    </w:p>
    <w:p>
      <w:pPr>
        <w:ind w:left="6960"/>
        <w:spacing w:after="0"/>
        <w:rPr>
          <w:sz w:val="20"/>
          <w:szCs w:val="20"/>
          <w:color w:val="auto"/>
        </w:rPr>
      </w:pPr>
      <w:r>
        <w:rPr>
          <w:rFonts w:ascii="Arial" w:cs="Arial" w:eastAsia="Arial" w:hAnsi="Arial"/>
          <w:sz w:val="18"/>
          <w:szCs w:val="18"/>
          <w:i w:val="1"/>
          <w:iCs w:val="1"/>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98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1954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Chad Plotkin</w:t>
      </w:r>
    </w:p>
    <w:p>
      <w:pPr>
        <w:ind w:left="68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98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18002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Sarah Rubenstein</w:t>
      </w:r>
    </w:p>
    <w:p>
      <w:pPr>
        <w:ind w:left="7300"/>
        <w:spacing w:after="0" w:line="203" w:lineRule="auto"/>
        <w:rPr>
          <w:sz w:val="20"/>
          <w:szCs w:val="20"/>
          <w:color w:val="auto"/>
        </w:rPr>
      </w:pPr>
      <w:r>
        <w:rPr>
          <w:rFonts w:ascii="Arial" w:cs="Arial" w:eastAsia="Arial" w:hAnsi="Arial"/>
          <w:sz w:val="18"/>
          <w:szCs w:val="18"/>
          <w:i w:val="1"/>
          <w:iCs w:val="1"/>
          <w:color w:val="auto"/>
        </w:rPr>
        <w:t>Vice President, Accounting &amp;</w:t>
      </w:r>
    </w:p>
    <w:p>
      <w:pPr>
        <w:ind w:left="7300"/>
        <w:spacing w:after="0" w:line="203" w:lineRule="auto"/>
        <w:rPr>
          <w:sz w:val="20"/>
          <w:szCs w:val="20"/>
          <w:color w:val="auto"/>
        </w:rPr>
      </w:pPr>
      <w:r>
        <w:rPr>
          <w:rFonts w:ascii="Arial" w:cs="Arial" w:eastAsia="Arial" w:hAnsi="Arial"/>
          <w:sz w:val="18"/>
          <w:szCs w:val="18"/>
          <w:i w:val="1"/>
          <w:iCs w:val="1"/>
          <w:color w:val="auto"/>
        </w:rPr>
        <w:t>Controller</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Inc. on Form 10-Q for the quarter ended March 31, 2021,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4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Chad Plotkin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ind w:left="5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Sarah Rubenstein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Vice President, Accounting &amp; Controller</w:t>
      </w:r>
    </w:p>
    <w:p>
      <w:pPr>
        <w:ind w:left="58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2"/>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4"/>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32"/>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90" Type="http://schemas.openxmlformats.org/officeDocument/2006/relationships/hyperlink" Target="http://www.sec.gov/Archives/edgar/data/1567683/000110465921012966/tm215220d2_ex4-1.htm" TargetMode="External"/><Relationship Id="rId91" Type="http://schemas.openxmlformats.org/officeDocument/2006/relationships/hyperlink" Target="http://www.sec.gov/Archives/edgar/data/1567683/000110465921012966/tm215220d2_ex4-2.htm" TargetMode="External"/><Relationship Id="rId92" Type="http://schemas.openxmlformats.org/officeDocument/2006/relationships/hyperlink" Target="http://www.sec.gov/Archives/edgar/data/1567683/000110465921012966/tm215220d2_ex4-3.htm" TargetMode="External"/><Relationship Id="rId93" Type="http://schemas.openxmlformats.org/officeDocument/2006/relationships/hyperlink" Target="http://www.sec.gov/Archives/edgar/data/1567683/000110465921033800/tm219068d1_ex4-1.htm" TargetMode="External"/><Relationship Id="rId94" Type="http://schemas.openxmlformats.org/officeDocument/2006/relationships/hyperlink" Target="http://www.sec.gov/Archives/edgar/data/1567683/000110465921060252/tm21144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2021-05-06T11:58:37Z</dcterms:created>
  <dcterms:modified xsi:type="dcterms:W3CDTF">2021-05-06T11:58:37Z</dcterms:modified>
</cp:coreProperties>
</file>