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6, 2021</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CLEARWAY ENERGY, INC.</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00" w:lineRule="exact"/>
        <w:rPr>
          <w:sz w:val="24"/>
          <w:szCs w:val="24"/>
          <w:color w:val="auto"/>
        </w:rPr>
      </w:pPr>
    </w:p>
    <w:tbl>
      <w:tblPr>
        <w:tblLayout w:type="fixed"/>
        <w:tblInd w:w="300" w:type="dxa"/>
        <w:tblCellMar>
          <w:top w:w="0" w:type="dxa"/>
          <w:left w:w="0" w:type="dxa"/>
          <w:bottom w:w="0" w:type="dxa"/>
          <w:right w:w="0" w:type="dxa"/>
        </w:tblCellMar>
      </w:tblPr>
      <w:tr>
        <w:trPr>
          <w:trHeight w:val="261"/>
        </w:trPr>
        <w:tc>
          <w:tcPr>
            <w:tcW w:w="368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1210"/>
              <w:spacing w:after="0"/>
              <w:rPr>
                <w:sz w:val="20"/>
                <w:szCs w:val="20"/>
                <w:color w:val="auto"/>
              </w:rPr>
            </w:pPr>
            <w:r>
              <w:rPr>
                <w:rFonts w:ascii="Arial" w:cs="Arial" w:eastAsia="Arial" w:hAnsi="Arial"/>
                <w:sz w:val="18"/>
                <w:szCs w:val="18"/>
                <w:b w:val="1"/>
                <w:bCs w:val="1"/>
                <w:color w:val="auto"/>
              </w:rPr>
              <w:t>001-36002</w:t>
            </w:r>
          </w:p>
        </w:tc>
        <w:tc>
          <w:tcPr>
            <w:tcW w:w="3300" w:type="dxa"/>
            <w:vAlign w:val="bottom"/>
          </w:tcPr>
          <w:p>
            <w:pPr>
              <w:jc w:val="right"/>
              <w:ind w:right="790"/>
              <w:spacing w:after="0"/>
              <w:rPr>
                <w:sz w:val="20"/>
                <w:szCs w:val="20"/>
                <w:color w:val="auto"/>
              </w:rPr>
            </w:pPr>
            <w:r>
              <w:rPr>
                <w:rFonts w:ascii="Arial" w:cs="Arial" w:eastAsia="Arial" w:hAnsi="Arial"/>
                <w:sz w:val="18"/>
                <w:szCs w:val="18"/>
                <w:b w:val="1"/>
                <w:bCs w:val="1"/>
                <w:color w:val="auto"/>
              </w:rPr>
              <w:t>46-1777204</w:t>
            </w:r>
          </w:p>
        </w:tc>
        <w:tc>
          <w:tcPr>
            <w:tcW w:w="0" w:type="dxa"/>
            <w:vAlign w:val="bottom"/>
          </w:tcPr>
          <w:p>
            <w:pPr>
              <w:spacing w:after="0"/>
              <w:rPr>
                <w:sz w:val="1"/>
                <w:szCs w:val="1"/>
                <w:color w:val="auto"/>
              </w:rPr>
            </w:pPr>
          </w:p>
        </w:tc>
      </w:tr>
      <w:tr>
        <w:trPr>
          <w:trHeight w:val="189"/>
        </w:trPr>
        <w:tc>
          <w:tcPr>
            <w:tcW w:w="368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3060" w:type="dxa"/>
            <w:vAlign w:val="bottom"/>
            <w:vMerge w:val="restart"/>
          </w:tcPr>
          <w:p>
            <w:pPr>
              <w:jc w:val="center"/>
              <w:ind w:right="230"/>
              <w:spacing w:after="0"/>
              <w:rPr>
                <w:sz w:val="20"/>
                <w:szCs w:val="20"/>
                <w:color w:val="auto"/>
              </w:rPr>
            </w:pPr>
            <w:r>
              <w:rPr>
                <w:rFonts w:ascii="Arial" w:cs="Arial" w:eastAsia="Arial" w:hAnsi="Arial"/>
                <w:sz w:val="18"/>
                <w:szCs w:val="18"/>
                <w:color w:val="auto"/>
                <w:w w:val="92"/>
              </w:rPr>
              <w:t>(Commission File Number)</w:t>
            </w:r>
          </w:p>
        </w:tc>
        <w:tc>
          <w:tcPr>
            <w:tcW w:w="3300" w:type="dxa"/>
            <w:vAlign w:val="bottom"/>
            <w:vMerge w:val="restart"/>
          </w:tcPr>
          <w:p>
            <w:pPr>
              <w:jc w:val="center"/>
              <w:ind w:left="59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135"/>
        </w:trPr>
        <w:tc>
          <w:tcPr>
            <w:tcW w:w="3680" w:type="dxa"/>
            <w:vAlign w:val="bottom"/>
            <w:vMerge w:val="restart"/>
          </w:tcPr>
          <w:p>
            <w:pPr>
              <w:jc w:val="center"/>
              <w:ind w:right="310"/>
              <w:spacing w:after="0"/>
              <w:rPr>
                <w:sz w:val="20"/>
                <w:szCs w:val="20"/>
                <w:color w:val="auto"/>
              </w:rPr>
            </w:pPr>
            <w:r>
              <w:rPr>
                <w:rFonts w:ascii="Arial" w:cs="Arial" w:eastAsia="Arial" w:hAnsi="Arial"/>
                <w:sz w:val="18"/>
                <w:szCs w:val="18"/>
                <w:color w:val="auto"/>
                <w:w w:val="92"/>
              </w:rPr>
              <w:t>organization)</w:t>
            </w:r>
          </w:p>
        </w:tc>
        <w:tc>
          <w:tcPr>
            <w:tcW w:w="3060" w:type="dxa"/>
            <w:vAlign w:val="bottom"/>
            <w:vMerge w:val="continue"/>
          </w:tcPr>
          <w:p>
            <w:pPr>
              <w:spacing w:after="0"/>
              <w:rPr>
                <w:sz w:val="11"/>
                <w:szCs w:val="11"/>
                <w:color w:val="auto"/>
              </w:rPr>
            </w:pPr>
          </w:p>
        </w:tc>
        <w:tc>
          <w:tcPr>
            <w:tcW w:w="3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680" w:type="dxa"/>
            <w:vAlign w:val="bottom"/>
            <w:vMerge w:val="continue"/>
          </w:tcPr>
          <w:p>
            <w:pPr>
              <w:spacing w:after="0"/>
              <w:rPr>
                <w:sz w:val="8"/>
                <w:szCs w:val="8"/>
                <w:color w:val="auto"/>
              </w:rPr>
            </w:pPr>
          </w:p>
        </w:tc>
        <w:tc>
          <w:tcPr>
            <w:tcW w:w="30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 Carnegie Center, Suite 300, Princeton, New Jersey 08540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3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31" w:lineRule="exact"/>
        <w:rPr>
          <w:rFonts w:ascii="MS PGothic" w:cs="MS PGothic" w:eastAsia="MS PGothic" w:hAnsi="MS PGothic"/>
          <w:sz w:val="18"/>
          <w:szCs w:val="18"/>
          <w:color w:val="auto"/>
        </w:rPr>
      </w:pPr>
    </w:p>
    <w:p>
      <w:pPr>
        <w:ind w:right="2940" w:firstLine="48"/>
        <w:spacing w:after="0" w:line="270"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0" w:type="dxa"/>
        <w:tblCellMar>
          <w:top w:w="0" w:type="dxa"/>
          <w:left w:w="0" w:type="dxa"/>
          <w:bottom w:w="0" w:type="dxa"/>
          <w:right w:w="0" w:type="dxa"/>
        </w:tblCellMar>
      </w:tblPr>
      <w:tr>
        <w:trPr>
          <w:trHeight w:val="234"/>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5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Trading Symbol(s)</w:t>
            </w:r>
          </w:p>
        </w:tc>
        <w:tc>
          <w:tcPr>
            <w:tcW w:w="48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2"/>
        </w:trPr>
        <w:tc>
          <w:tcPr>
            <w:tcW w:w="3880" w:type="dxa"/>
            <w:vAlign w:val="bottom"/>
          </w:tcPr>
          <w:p>
            <w:pPr>
              <w:jc w:val="center"/>
              <w:spacing w:after="0"/>
              <w:rPr>
                <w:sz w:val="20"/>
                <w:szCs w:val="20"/>
                <w:color w:val="auto"/>
              </w:rPr>
            </w:pPr>
            <w:r>
              <w:rPr>
                <w:rFonts w:ascii="Arial" w:cs="Arial" w:eastAsia="Arial" w:hAnsi="Arial"/>
                <w:sz w:val="18"/>
                <w:szCs w:val="18"/>
                <w:color w:val="auto"/>
                <w:w w:val="90"/>
              </w:rPr>
              <w:t>Class A Common Stock, par value $0.01</w:t>
            </w:r>
          </w:p>
        </w:tc>
        <w:tc>
          <w:tcPr>
            <w:tcW w:w="2560" w:type="dxa"/>
            <w:vAlign w:val="bottom"/>
          </w:tcPr>
          <w:p>
            <w:pPr>
              <w:jc w:val="center"/>
              <w:ind w:right="90"/>
              <w:spacing w:after="0"/>
              <w:rPr>
                <w:sz w:val="20"/>
                <w:szCs w:val="20"/>
                <w:color w:val="auto"/>
              </w:rPr>
            </w:pPr>
            <w:r>
              <w:rPr>
                <w:rFonts w:ascii="Arial" w:cs="Arial" w:eastAsia="Arial" w:hAnsi="Arial"/>
                <w:sz w:val="18"/>
                <w:szCs w:val="18"/>
                <w:color w:val="auto"/>
                <w:w w:val="97"/>
              </w:rPr>
              <w:t>CWEN.A</w:t>
            </w:r>
          </w:p>
        </w:tc>
        <w:tc>
          <w:tcPr>
            <w:tcW w:w="4800" w:type="dxa"/>
            <w:vAlign w:val="bottom"/>
          </w:tcPr>
          <w:p>
            <w:pPr>
              <w:jc w:val="center"/>
              <w:ind w:right="90"/>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3880" w:type="dxa"/>
            <w:vAlign w:val="bottom"/>
          </w:tcPr>
          <w:p>
            <w:pPr>
              <w:jc w:val="center"/>
              <w:spacing w:after="0"/>
              <w:rPr>
                <w:sz w:val="20"/>
                <w:szCs w:val="20"/>
                <w:color w:val="auto"/>
              </w:rPr>
            </w:pPr>
            <w:r>
              <w:rPr>
                <w:rFonts w:ascii="Arial" w:cs="Arial" w:eastAsia="Arial" w:hAnsi="Arial"/>
                <w:sz w:val="18"/>
                <w:szCs w:val="18"/>
                <w:color w:val="auto"/>
                <w:w w:val="89"/>
              </w:rPr>
              <w:t>Class C Common Stock, par value $0.01</w:t>
            </w:r>
          </w:p>
        </w:tc>
        <w:tc>
          <w:tcPr>
            <w:tcW w:w="2560" w:type="dxa"/>
            <w:vAlign w:val="bottom"/>
          </w:tcPr>
          <w:p>
            <w:pPr>
              <w:jc w:val="center"/>
              <w:ind w:right="70"/>
              <w:spacing w:after="0"/>
              <w:rPr>
                <w:sz w:val="20"/>
                <w:szCs w:val="20"/>
                <w:color w:val="auto"/>
              </w:rPr>
            </w:pPr>
            <w:r>
              <w:rPr>
                <w:rFonts w:ascii="Arial" w:cs="Arial" w:eastAsia="Arial" w:hAnsi="Arial"/>
                <w:sz w:val="18"/>
                <w:szCs w:val="18"/>
                <w:color w:val="auto"/>
                <w:w w:val="94"/>
              </w:rPr>
              <w:t>CWEN</w:t>
            </w:r>
          </w:p>
        </w:tc>
        <w:tc>
          <w:tcPr>
            <w:tcW w:w="4800" w:type="dxa"/>
            <w:vAlign w:val="bottom"/>
          </w:tcPr>
          <w:p>
            <w:pPr>
              <w:jc w:val="center"/>
              <w:ind w:right="90"/>
              <w:spacing w:after="0"/>
              <w:rPr>
                <w:sz w:val="20"/>
                <w:szCs w:val="20"/>
                <w:color w:val="auto"/>
              </w:rPr>
            </w:pPr>
            <w:r>
              <w:rPr>
                <w:rFonts w:ascii="Arial" w:cs="Arial" w:eastAsia="Arial" w:hAnsi="Arial"/>
                <w:sz w:val="18"/>
                <w:szCs w:val="18"/>
                <w:color w:val="auto"/>
                <w:w w:val="91"/>
              </w:rPr>
              <w:t>New York Stock Exchange</w:t>
            </w:r>
          </w:p>
        </w:tc>
      </w:tr>
    </w:tbl>
    <w:p>
      <w:pPr>
        <w:spacing w:after="0" w:line="33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231F20"/>
        </w:rPr>
        <w:t xml:space="preserve">Emerging growth company </w:t>
      </w:r>
      <w:r>
        <w:rPr>
          <w:rFonts w:ascii="MS PGothic" w:cs="MS PGothic" w:eastAsia="MS PGothic" w:hAnsi="MS PGothic"/>
          <w:sz w:val="16"/>
          <w:szCs w:val="16"/>
          <w:color w:val="000000"/>
        </w:rPr>
        <w:t>☐</w:t>
      </w:r>
    </w:p>
    <w:p>
      <w:pPr>
        <w:spacing w:after="0" w:line="266" w:lineRule="exact"/>
        <w:rPr>
          <w:sz w:val="24"/>
          <w:szCs w:val="24"/>
          <w:color w:val="auto"/>
        </w:rPr>
      </w:pPr>
    </w:p>
    <w:p>
      <w:pPr>
        <w:ind w:right="160"/>
        <w:spacing w:after="0" w:line="25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 w:lineRule="exact"/>
        <w:rPr>
          <w:sz w:val="24"/>
          <w:szCs w:val="24"/>
          <w:color w:val="auto"/>
        </w:rPr>
      </w:pP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904875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ind w:firstLine="183"/>
        <w:spacing w:after="0" w:line="259" w:lineRule="auto"/>
        <w:rPr>
          <w:sz w:val="20"/>
          <w:szCs w:val="20"/>
          <w:color w:val="auto"/>
        </w:rPr>
      </w:pPr>
      <w:r>
        <w:rPr>
          <w:rFonts w:ascii="Arial" w:cs="Arial" w:eastAsia="Arial" w:hAnsi="Arial"/>
          <w:sz w:val="18"/>
          <w:szCs w:val="18"/>
          <w:color w:val="auto"/>
        </w:rPr>
        <w:t xml:space="preserve">On May 6, 2021, Clearway Energy, Inc. issued a press release announcing its financial results for the quarter ended March 31, 2021. A copy of the press release is furnished as Exhibit 99.1 to this report on Form 8-K and is hereby incorporated by reference. </w:t>
      </w:r>
      <w:r>
        <w:rPr>
          <w:rFonts w:ascii="Arial" w:cs="Arial" w:eastAsia="Arial" w:hAnsi="Arial"/>
          <w:sz w:val="18"/>
          <w:szCs w:val="18"/>
          <w:color w:val="212529"/>
        </w:rPr>
        <w:t>In accordance with General Instruction B.2 of</w:t>
      </w:r>
      <w:r>
        <w:rPr>
          <w:rFonts w:ascii="Arial" w:cs="Arial" w:eastAsia="Arial" w:hAnsi="Arial"/>
          <w:sz w:val="18"/>
          <w:szCs w:val="18"/>
          <w:color w:val="auto"/>
        </w:rPr>
        <w:t xml:space="preserve"> </w:t>
      </w:r>
      <w:r>
        <w:rPr>
          <w:rFonts w:ascii="Arial" w:cs="Arial" w:eastAsia="Arial" w:hAnsi="Arial"/>
          <w:sz w:val="18"/>
          <w:szCs w:val="18"/>
          <w:color w:val="212529"/>
        </w:rPr>
        <w:t>Form 8-K, the information set forth in this Item 2.02 and in the attached exhibit are deemed to be furnished and shall not be deemed to be “filed” for purposes of Section 18 of the Securities Exchange Act of 1934, as amended (the “Exchange Act”).</w:t>
      </w:r>
    </w:p>
    <w:p>
      <w:pPr>
        <w:spacing w:after="0" w:line="2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12529"/>
        </w:rPr>
        <w:t>In accordance with General Instruction B.2 of Form 8-K, the information set forth in the attached exhibit is deemed to be furnished and shall not be deemed to be “filed” for purposes of Section 18 of the Exchange Act.</w:t>
      </w:r>
    </w:p>
    <w:p>
      <w:pPr>
        <w:sectPr>
          <w:pgSz w:w="11900" w:h="16838" w:orient="portrait"/>
          <w:cols w:equalWidth="0" w:num="1">
            <w:col w:w="11240"/>
          </w:cols>
          <w:pgMar w:left="320" w:top="1296" w:right="339" w:bottom="1440" w:gutter="0" w:footer="0" w:header="0"/>
        </w:sectPr>
      </w:pP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w:t>
      </w:r>
    </w:p>
    <w:p>
      <w:pPr>
        <w:ind w:left="2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1259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99.1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1606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0645" cy="8255"/>
                    </a:xfrm>
                    <a:prstGeom prst="rect">
                      <a:avLst/>
                    </a:prstGeom>
                    <a:noFill/>
                  </pic:spPr>
                </pic:pic>
              </a:graphicData>
            </a:graphic>
          </wp:anchor>
        </w:drawing>
      </w:r>
    </w:p>
    <w:p>
      <w:pPr>
        <w:spacing w:after="0" w:line="20" w:lineRule="exact"/>
        <w:rPr>
          <w:sz w:val="20"/>
          <w:szCs w:val="20"/>
          <w:color w:val="auto"/>
        </w:rPr>
      </w:pPr>
    </w:p>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May 6, 2021</w:t>
        </w:r>
      </w:hyperlink>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p>
      <w:pPr>
        <w:spacing w:after="0" w:line="222" w:lineRule="exact"/>
        <w:rPr>
          <w:sz w:val="20"/>
          <w:szCs w:val="20"/>
          <w:color w:val="auto"/>
        </w:rPr>
      </w:pPr>
    </w:p>
    <w:p>
      <w:pPr>
        <w:sectPr>
          <w:pgSz w:w="11900" w:h="16838" w:orient="portrait"/>
          <w:cols w:equalWidth="0" w:num="2">
            <w:col w:w="1740" w:space="720"/>
            <w:col w:w="8780"/>
          </w:cols>
          <w:pgMar w:left="320" w:top="129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type w:val="continuous"/>
        </w:sectPr>
      </w:pPr>
    </w:p>
    <w:bookmarkStart w:id="2" w:name="page3"/>
    <w:bookmarkEnd w:id="2"/>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Clearway Energy,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78"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P. Malcarney</w:t>
            </w:r>
          </w:p>
        </w:tc>
      </w:tr>
      <w:tr>
        <w:trPr>
          <w:trHeight w:val="222"/>
        </w:trPr>
        <w:tc>
          <w:tcPr>
            <w:tcW w:w="5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Kevin P. Malcarney</w:t>
            </w:r>
          </w:p>
        </w:tc>
      </w:tr>
      <w:tr>
        <w:trPr>
          <w:trHeight w:val="230"/>
        </w:trPr>
        <w:tc>
          <w:tcPr>
            <w:tcW w:w="5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2442845"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4284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Clearway Energy, Inc. Reports First Quarter 2021 Financial Results</w:t>
      </w:r>
    </w:p>
    <w:p>
      <w:pPr>
        <w:spacing w:after="0" w:line="27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b w:val="1"/>
          <w:bCs w:val="1"/>
          <w:color w:val="auto"/>
        </w:rPr>
      </w:pPr>
      <w:r>
        <w:rPr>
          <w:rFonts w:ascii="Arial" w:cs="Arial" w:eastAsia="Arial" w:hAnsi="Arial"/>
          <w:sz w:val="18"/>
          <w:szCs w:val="18"/>
          <w:b w:val="1"/>
          <w:bCs w:val="1"/>
          <w:color w:val="auto"/>
        </w:rPr>
        <w:t>Raised $925 million of corporate capital through the issuance of the 2031 "Green Bond" Senior Notes</w:t>
      </w:r>
    </w:p>
    <w:p>
      <w:pPr>
        <w:spacing w:after="0" w:line="10" w:lineRule="exact"/>
        <w:rPr>
          <w:rFonts w:ascii="Arial" w:cs="Arial" w:eastAsia="Arial" w:hAnsi="Arial"/>
          <w:sz w:val="22"/>
          <w:szCs w:val="22"/>
          <w:b w:val="1"/>
          <w:bCs w:val="1"/>
          <w:color w:val="auto"/>
        </w:rPr>
      </w:pPr>
    </w:p>
    <w:p>
      <w:pPr>
        <w:ind w:left="660" w:hanging="328"/>
        <w:spacing w:after="0" w:line="233" w:lineRule="auto"/>
        <w:tabs>
          <w:tab w:leader="none" w:pos="660" w:val="left"/>
        </w:tabs>
        <w:numPr>
          <w:ilvl w:val="0"/>
          <w:numId w:val="2"/>
        </w:numPr>
        <w:rPr>
          <w:rFonts w:ascii="Arial" w:cs="Arial" w:eastAsia="Arial" w:hAnsi="Arial"/>
          <w:sz w:val="22"/>
          <w:szCs w:val="22"/>
          <w:b w:val="1"/>
          <w:bCs w:val="1"/>
          <w:i w:val="1"/>
          <w:iCs w:val="1"/>
          <w:color w:val="auto"/>
        </w:rPr>
      </w:pPr>
      <w:r>
        <w:rPr>
          <w:rFonts w:ascii="Arial" w:cs="Arial" w:eastAsia="Arial" w:hAnsi="Arial"/>
          <w:sz w:val="18"/>
          <w:szCs w:val="18"/>
          <w:b w:val="1"/>
          <w:bCs w:val="1"/>
          <w:color w:val="auto"/>
        </w:rPr>
        <w:t>Closed the acquisition of the 264 MW Mt. Storm wind project</w:t>
      </w:r>
    </w:p>
    <w:p>
      <w:pPr>
        <w:spacing w:after="0" w:line="2" w:lineRule="exact"/>
        <w:rPr>
          <w:rFonts w:ascii="Arial" w:cs="Arial" w:eastAsia="Arial" w:hAnsi="Arial"/>
          <w:sz w:val="22"/>
          <w:szCs w:val="22"/>
          <w:b w:val="1"/>
          <w:bCs w:val="1"/>
          <w:i w:val="1"/>
          <w:i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Executed a multi-year, 100 MW Resource Adequacy agreement at Marsh Landing</w:t>
      </w:r>
    </w:p>
    <w:p>
      <w:pPr>
        <w:spacing w:after="0" w:line="10"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Raising pro forma CAFD outlook</w:t>
      </w:r>
    </w:p>
    <w:p>
      <w:pPr>
        <w:spacing w:after="0" w:line="22"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2"/>
        </w:numPr>
        <w:rPr>
          <w:rFonts w:ascii="Arial" w:cs="Arial" w:eastAsia="Arial" w:hAnsi="Arial"/>
          <w:sz w:val="22"/>
          <w:szCs w:val="22"/>
          <w:b w:val="1"/>
          <w:bCs w:val="1"/>
          <w:color w:val="auto"/>
        </w:rPr>
      </w:pPr>
      <w:r>
        <w:rPr>
          <w:rFonts w:ascii="Arial" w:cs="Arial" w:eastAsia="Arial" w:hAnsi="Arial"/>
          <w:sz w:val="18"/>
          <w:szCs w:val="18"/>
          <w:b w:val="1"/>
          <w:bCs w:val="1"/>
          <w:color w:val="auto"/>
        </w:rPr>
        <w:t>Increasing the quarterly dividend by 1.5% to $0.329 per share in the second quarter of 2021; On track to achieve the upper end of 5-8% annual growth target by year end</w:t>
      </w:r>
    </w:p>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w:t>
      </w:r>
      <w:r>
        <w:rPr>
          <w:rFonts w:ascii="Arial" w:cs="Arial" w:eastAsia="Arial" w:hAnsi="Arial"/>
          <w:sz w:val="18"/>
          <w:szCs w:val="18"/>
          <w:b w:val="1"/>
          <w:bCs w:val="1"/>
          <w:color w:val="auto"/>
        </w:rPr>
        <w:t xml:space="preserve"> May 6, 2021</w:t>
      </w:r>
      <w:r>
        <w:rPr>
          <w:rFonts w:ascii="Arial" w:cs="Arial" w:eastAsia="Arial" w:hAnsi="Arial"/>
          <w:sz w:val="18"/>
          <w:szCs w:val="18"/>
          <w:color w:val="auto"/>
        </w:rPr>
        <w:t>— Clearway Energy, Inc. (NYSE: CWEN, CWEN.A) today reported first quarter 2021 financial results, including a</w:t>
      </w:r>
      <w:r>
        <w:rPr>
          <w:rFonts w:ascii="Arial" w:cs="Arial" w:eastAsia="Arial" w:hAnsi="Arial"/>
          <w:sz w:val="18"/>
          <w:szCs w:val="18"/>
          <w:b w:val="1"/>
          <w:bCs w:val="1"/>
          <w:color w:val="auto"/>
        </w:rPr>
        <w:t xml:space="preserve"> </w:t>
      </w:r>
      <w:r>
        <w:rPr>
          <w:rFonts w:ascii="Arial" w:cs="Arial" w:eastAsia="Arial" w:hAnsi="Arial"/>
          <w:sz w:val="18"/>
          <w:szCs w:val="18"/>
          <w:color w:val="auto"/>
        </w:rPr>
        <w:t>Net Loss of $76 million, Adjusted EBITDA of $198 million, Cash from Operating Activities of $47 million, and Cash Available for Distribution (CAFD) of $(15) million.</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"Clearway continues to execute on its business objectives through balance sheet optimization, new project execution, and by advancing efforts to commercialize the Company's California natural gas portfolio for post contract periods," said Christopher Sotos, Clearway Energy, Inc.’s President and Chief Executive Officer. "In March, Clearway raised $925 million in new Green Bonds due in 2031 at an attractive cost which lowered the Company's cash interest costs by refinancing the $600 million 2025 Senior Notes while also providing additional permanent capital to fund growth. The Company has now closed the previously announced acquisition of the 264 MW Mt. Storm wind project located in West Virginia, providing further geographic diversification to the Company. Lastly, we are pleased to announce the execution of a seven-and-a-half year Resource Adequacy agreement at Marsh Landing for 100 MW at a price that would maintain project level CAFD at the end of the existing contract if applied to the full capacity of the plant."</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the reduced interest expense related to the refinancing of the 2025 Senior Notes, we are also pleased to announce an increase in the Company’s pro forma CAFD outlook to $395 million which further positions Clearway for sustained long term dividend growth.”</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and Cash Available for Distribution used in this press release are non-GAAP measures and are explained in greater detail under “Non-GAAP Financial Information”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3"/>
          </w:tcPr>
          <w:p>
            <w:pPr>
              <w:spacing w:after="0"/>
              <w:rPr>
                <w:sz w:val="20"/>
                <w:szCs w:val="20"/>
                <w:color w:val="auto"/>
              </w:rPr>
            </w:pPr>
            <w:r>
              <w:rPr>
                <w:rFonts w:ascii="Arial" w:cs="Arial" w:eastAsia="Arial" w:hAnsi="Arial"/>
                <w:sz w:val="18"/>
                <w:szCs w:val="18"/>
                <w:b w:val="1"/>
                <w:bCs w:val="1"/>
                <w:color w:val="auto"/>
              </w:rPr>
              <w:t>Overview of Financial and Operating Results</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6480" w:type="dxa"/>
            <w:vAlign w:val="bottom"/>
            <w:gridSpan w:val="3"/>
          </w:tcPr>
          <w:p>
            <w:pPr>
              <w:spacing w:after="0"/>
              <w:rPr>
                <w:sz w:val="20"/>
                <w:szCs w:val="20"/>
                <w:color w:val="auto"/>
              </w:rPr>
            </w:pPr>
            <w:r>
              <w:rPr>
                <w:rFonts w:ascii="Arial" w:cs="Arial" w:eastAsia="Arial" w:hAnsi="Arial"/>
                <w:sz w:val="18"/>
                <w:szCs w:val="18"/>
                <w:b w:val="1"/>
                <w:bCs w:val="1"/>
                <w:color w:val="auto"/>
              </w:rPr>
              <w:t>Segment Results</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9"/>
        </w:trPr>
        <w:tc>
          <w:tcPr>
            <w:tcW w:w="6480" w:type="dxa"/>
            <w:vAlign w:val="bottom"/>
            <w:gridSpan w:val="3"/>
          </w:tcPr>
          <w:p>
            <w:pPr>
              <w:spacing w:after="0"/>
              <w:rPr>
                <w:sz w:val="20"/>
                <w:szCs w:val="20"/>
                <w:color w:val="auto"/>
              </w:rPr>
            </w:pPr>
            <w:r>
              <w:rPr>
                <w:rFonts w:ascii="Arial" w:cs="Arial" w:eastAsia="Arial" w:hAnsi="Arial"/>
                <w:sz w:val="18"/>
                <w:szCs w:val="18"/>
                <w:b w:val="1"/>
                <w:bCs w:val="1"/>
                <w:color w:val="auto"/>
              </w:rPr>
              <w:t>Table 1: Net (Loss)/ Income</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2"/>
        </w:trPr>
        <w:tc>
          <w:tcPr>
            <w:tcW w:w="1940" w:type="dxa"/>
            <w:vAlign w:val="bottom"/>
          </w:tcPr>
          <w:p>
            <w:pPr>
              <w:spacing w:after="0"/>
              <w:rPr>
                <w:sz w:val="21"/>
                <w:szCs w:val="21"/>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8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1940" w:type="dxa"/>
            <w:vAlign w:val="bottom"/>
          </w:tcPr>
          <w:p>
            <w:pPr>
              <w:spacing w:after="0"/>
              <w:rPr>
                <w:sz w:val="20"/>
                <w:szCs w:val="20"/>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3/31/21</w:t>
            </w:r>
          </w:p>
        </w:tc>
        <w:tc>
          <w:tcPr>
            <w:tcW w:w="140" w:type="dxa"/>
            <w:vAlign w:val="bottom"/>
          </w:tcPr>
          <w:p>
            <w:pPr>
              <w:spacing w:after="0"/>
              <w:rPr>
                <w:sz w:val="20"/>
                <w:szCs w:val="20"/>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3/31/20</w:t>
            </w:r>
          </w:p>
        </w:tc>
      </w:tr>
      <w:tr>
        <w:trPr>
          <w:trHeight w:val="223"/>
        </w:trPr>
        <w:tc>
          <w:tcPr>
            <w:tcW w:w="1940" w:type="dxa"/>
            <w:vAlign w:val="bottom"/>
          </w:tcPr>
          <w:p>
            <w:pPr>
              <w:spacing w:after="0"/>
              <w:rPr>
                <w:sz w:val="19"/>
                <w:szCs w:val="19"/>
                <w:color w:val="auto"/>
              </w:rPr>
            </w:pPr>
          </w:p>
        </w:tc>
        <w:tc>
          <w:tcPr>
            <w:tcW w:w="4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6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940" w:type="dxa"/>
            <w:vAlign w:val="bottom"/>
          </w:tcPr>
          <w:p>
            <w:pPr>
              <w:spacing w:after="0"/>
              <w:rPr>
                <w:sz w:val="19"/>
                <w:szCs w:val="19"/>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34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1940" w:type="dxa"/>
            <w:vAlign w:val="bottom"/>
          </w:tcPr>
          <w:p>
            <w:pPr>
              <w:spacing w:after="0"/>
              <w:rPr>
                <w:sz w:val="19"/>
                <w:szCs w:val="19"/>
                <w:color w:val="auto"/>
              </w:rPr>
            </w:pP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940" w:type="dxa"/>
            <w:vAlign w:val="bottom"/>
          </w:tcPr>
          <w:p>
            <w:pPr>
              <w:spacing w:after="0"/>
              <w:rPr>
                <w:sz w:val="19"/>
                <w:szCs w:val="19"/>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1940" w:type="dxa"/>
            <w:vAlign w:val="bottom"/>
          </w:tcPr>
          <w:p>
            <w:pPr>
              <w:spacing w:after="0"/>
              <w:rPr>
                <w:sz w:val="21"/>
                <w:szCs w:val="21"/>
                <w:color w:val="auto"/>
              </w:rPr>
            </w:pPr>
          </w:p>
        </w:tc>
        <w:tc>
          <w:tcPr>
            <w:tcW w:w="4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(Loss)/ Income</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1940" w:type="dxa"/>
            <w:vAlign w:val="bottom"/>
          </w:tcPr>
          <w:p>
            <w:pPr>
              <w:spacing w:after="0" w:line="20" w:lineRule="exact"/>
              <w:rPr>
                <w:sz w:val="1"/>
                <w:szCs w:val="1"/>
                <w:color w:val="auto"/>
              </w:rPr>
            </w:pPr>
          </w:p>
        </w:tc>
        <w:tc>
          <w:tcPr>
            <w:tcW w:w="4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420" w:type="dxa"/>
            <w:vAlign w:val="bottom"/>
            <w:gridSpan w:val="4"/>
          </w:tcPr>
          <w:p>
            <w:pPr>
              <w:spacing w:after="0"/>
              <w:rPr>
                <w:sz w:val="20"/>
                <w:szCs w:val="20"/>
                <w:color w:val="auto"/>
              </w:rPr>
            </w:pPr>
            <w:r>
              <w:rPr>
                <w:rFonts w:ascii="Arial" w:cs="Arial" w:eastAsia="Arial" w:hAnsi="Arial"/>
                <w:sz w:val="18"/>
                <w:szCs w:val="18"/>
                <w:b w:val="1"/>
                <w:bCs w:val="1"/>
                <w:color w:val="auto"/>
              </w:rPr>
              <w:t>Table 2: Adjusted EBITDA</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52"/>
        </w:trPr>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8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2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34"/>
        </w:trPr>
        <w:tc>
          <w:tcPr>
            <w:tcW w:w="1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8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3/31/21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3/31/20</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23"/>
        </w:trPr>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9"/>
                <w:szCs w:val="19"/>
                <w:color w:val="auto"/>
              </w:rPr>
            </w:pPr>
          </w:p>
        </w:tc>
      </w:tr>
      <w:tr>
        <w:trPr>
          <w:trHeight w:val="229"/>
        </w:trPr>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126</w:t>
            </w:r>
          </w:p>
        </w:tc>
        <w:tc>
          <w:tcPr>
            <w:tcW w:w="380" w:type="dxa"/>
            <w:vAlign w:val="bottom"/>
          </w:tcPr>
          <w:p>
            <w:pPr>
              <w:spacing w:after="0"/>
              <w:rPr>
                <w:sz w:val="19"/>
                <w:szCs w:val="19"/>
                <w:color w:val="auto"/>
              </w:rPr>
            </w:pPr>
          </w:p>
        </w:tc>
      </w:tr>
      <w:tr>
        <w:trPr>
          <w:trHeight w:val="229"/>
        </w:trPr>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9"/>
                <w:szCs w:val="19"/>
                <w:color w:val="auto"/>
              </w:rPr>
            </w:pPr>
          </w:p>
        </w:tc>
      </w:tr>
      <w:tr>
        <w:trPr>
          <w:trHeight w:val="230"/>
        </w:trPr>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9"/>
                <w:szCs w:val="19"/>
                <w:color w:val="auto"/>
              </w:rPr>
            </w:pPr>
          </w:p>
        </w:tc>
      </w:tr>
      <w:tr>
        <w:trPr>
          <w:trHeight w:val="223"/>
        </w:trPr>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225</w:t>
            </w:r>
          </w:p>
        </w:tc>
        <w:tc>
          <w:tcPr>
            <w:tcW w:w="380" w:type="dxa"/>
            <w:vAlign w:val="bottom"/>
          </w:tcPr>
          <w:p>
            <w:pPr>
              <w:spacing w:after="0"/>
              <w:rPr>
                <w:sz w:val="19"/>
                <w:szCs w:val="19"/>
                <w:color w:val="auto"/>
              </w:rPr>
            </w:pPr>
          </w:p>
        </w:tc>
      </w:tr>
      <w:tr>
        <w:trPr>
          <w:trHeight w:val="547"/>
        </w:trPr>
        <w:tc>
          <w:tcPr>
            <w:tcW w:w="6720" w:type="dxa"/>
            <w:vAlign w:val="bottom"/>
            <w:gridSpan w:val="6"/>
          </w:tcPr>
          <w:p>
            <w:pPr>
              <w:spacing w:after="0"/>
              <w:rPr>
                <w:sz w:val="20"/>
                <w:szCs w:val="20"/>
                <w:color w:val="auto"/>
              </w:rPr>
            </w:pPr>
            <w:r>
              <w:rPr>
                <w:rFonts w:ascii="Arial" w:cs="Arial" w:eastAsia="Arial" w:hAnsi="Arial"/>
                <w:sz w:val="18"/>
                <w:szCs w:val="18"/>
                <w:b w:val="1"/>
                <w:bCs w:val="1"/>
                <w:color w:val="auto"/>
                <w:w w:val="94"/>
              </w:rPr>
              <w:t>Table 3: Cash from Operating Activities and Cash Available for Distribution (CAFD)</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2"/>
        </w:trPr>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gridSpan w:val="8"/>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1560" w:type="dxa"/>
            <w:vAlign w:val="bottom"/>
          </w:tcPr>
          <w:p>
            <w:pPr>
              <w:spacing w:after="0"/>
              <w:rPr>
                <w:sz w:val="20"/>
                <w:szCs w:val="20"/>
                <w:color w:val="auto"/>
              </w:rPr>
            </w:pPr>
          </w:p>
        </w:tc>
        <w:tc>
          <w:tcPr>
            <w:tcW w:w="4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 millions)</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3/31/21</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3/31/20</w:t>
            </w:r>
          </w:p>
        </w:tc>
        <w:tc>
          <w:tcPr>
            <w:tcW w:w="380" w:type="dxa"/>
            <w:vAlign w:val="bottom"/>
            <w:tcBorders>
              <w:bottom w:val="single" w:sz="8" w:color="auto"/>
            </w:tcBorders>
          </w:tcPr>
          <w:p>
            <w:pPr>
              <w:spacing w:after="0"/>
              <w:rPr>
                <w:sz w:val="20"/>
                <w:szCs w:val="20"/>
                <w:color w:val="auto"/>
              </w:rPr>
            </w:pPr>
          </w:p>
        </w:tc>
      </w:tr>
      <w:tr>
        <w:trPr>
          <w:trHeight w:val="223"/>
        </w:trPr>
        <w:tc>
          <w:tcPr>
            <w:tcW w:w="1560" w:type="dxa"/>
            <w:vAlign w:val="bottom"/>
          </w:tcPr>
          <w:p>
            <w:pPr>
              <w:spacing w:after="0"/>
              <w:rPr>
                <w:sz w:val="19"/>
                <w:szCs w:val="19"/>
                <w:color w:val="auto"/>
              </w:rPr>
            </w:pPr>
          </w:p>
        </w:tc>
        <w:tc>
          <w:tcPr>
            <w:tcW w:w="486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Cash from Operating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r>
      <w:tr>
        <w:trPr>
          <w:trHeight w:val="223"/>
        </w:trPr>
        <w:tc>
          <w:tcPr>
            <w:tcW w:w="1560" w:type="dxa"/>
            <w:vAlign w:val="bottom"/>
          </w:tcPr>
          <w:p>
            <w:pPr>
              <w:spacing w:after="0"/>
              <w:rPr>
                <w:sz w:val="19"/>
                <w:szCs w:val="19"/>
                <w:color w:val="auto"/>
              </w:rPr>
            </w:pPr>
          </w:p>
        </w:tc>
        <w:tc>
          <w:tcPr>
            <w:tcW w:w="4860" w:type="dxa"/>
            <w:vAlign w:val="bottom"/>
            <w:gridSpan w:val="3"/>
          </w:tcPr>
          <w:p>
            <w:pPr>
              <w:ind w:left="20"/>
              <w:spacing w:after="0" w:line="223" w:lineRule="exact"/>
              <w:rPr>
                <w:sz w:val="20"/>
                <w:szCs w:val="20"/>
                <w:color w:val="auto"/>
              </w:rPr>
            </w:pPr>
            <w:r>
              <w:rPr>
                <w:rFonts w:ascii="Arial" w:cs="Arial" w:eastAsia="Arial" w:hAnsi="Arial"/>
                <w:sz w:val="18"/>
                <w:szCs w:val="18"/>
                <w:color w:val="auto"/>
              </w:rPr>
              <w:t>Cash Available for Distribution (CAFD)</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(15)</w:t>
            </w:r>
          </w:p>
        </w:tc>
        <w:tc>
          <w:tcPr>
            <w:tcW w:w="14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0"/>
        </w:trPr>
        <w:tc>
          <w:tcPr>
            <w:tcW w:w="1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first quarter of 2021, the Company reported a Net Loss of $76 million, Adjusted EBITDA of $198 million, Cash from Operating Activities of $47 million, and CAFD of $(15) million. Net Loss decreased versus the first quarter of 2020 primarily due to the non-cash change in the fair value of interest rate swaps. First quarter Adjusted EBITDA results were lower than 2020 primarily due to the impact from the previously disclosed February 2021 Texas winter event. Due to the consolidation of certain projects in the company's financial statements, Adjusted EBITDA also reflects the financial impact of the Texas winter event attributable to third party equity investors. The impact of the Texas winter event was partially offset by the contribution of growth investments, including the acquisition of the 35% interest in Agua Caliente, and strong production at renewable projects on the West coast of the United States versus last year. In the first quarter of 2021, CAFD results were lower than 2020 primarily due to the impact of the Texas winter event and accelerated accrued corporate interest due to the repurchase of the 2025 Senior Notes.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COVID-19 pandemic, the Company has implemented measures and developed corporate and regional response plans to protect its employees and to maintain safe and reliable operations at its facilities. The Company does not currently anticipate any material impact to its financial conditions resulting from the pandemic, however it has seen some degradation in volumetric sales at certain Thermal locations. The Company continues to anticipate that there will be lower volumetric sales at the Thermal segment through 2021.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Operational Performance</w:t>
            </w: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59"/>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Table 4: Selected Operating Results</w:t>
            </w: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2"/>
        </w:trPr>
        <w:tc>
          <w:tcPr>
            <w:tcW w:w="1780" w:type="dxa"/>
            <w:vAlign w:val="bottom"/>
          </w:tcPr>
          <w:p>
            <w:pPr>
              <w:spacing w:after="0"/>
              <w:rPr>
                <w:sz w:val="21"/>
                <w:szCs w:val="21"/>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i w:val="1"/>
                <w:iCs w:val="1"/>
                <w:color w:val="auto"/>
              </w:rPr>
              <w:t>(MWh and MWht in thousands)</w:t>
            </w:r>
          </w:p>
        </w:tc>
        <w:tc>
          <w:tcPr>
            <w:tcW w:w="340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1780" w:type="dxa"/>
            <w:vAlign w:val="bottom"/>
          </w:tcPr>
          <w:p>
            <w:pPr>
              <w:spacing w:after="0"/>
              <w:rPr>
                <w:sz w:val="20"/>
                <w:szCs w:val="20"/>
                <w:color w:val="auto"/>
              </w:rPr>
            </w:pPr>
          </w:p>
        </w:tc>
        <w:tc>
          <w:tcPr>
            <w:tcW w:w="41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3/31/21</w:t>
            </w:r>
          </w:p>
        </w:tc>
        <w:tc>
          <w:tcPr>
            <w:tcW w:w="16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3/31/20</w:t>
            </w:r>
          </w:p>
        </w:tc>
      </w:tr>
      <w:tr>
        <w:trPr>
          <w:trHeight w:val="250"/>
        </w:trPr>
        <w:tc>
          <w:tcPr>
            <w:tcW w:w="1780" w:type="dxa"/>
            <w:vAlign w:val="bottom"/>
          </w:tcPr>
          <w:p>
            <w:pPr>
              <w:spacing w:after="0"/>
              <w:rPr>
                <w:sz w:val="21"/>
                <w:szCs w:val="21"/>
                <w:color w:val="auto"/>
              </w:rPr>
            </w:pPr>
          </w:p>
        </w:tc>
        <w:tc>
          <w:tcPr>
            <w:tcW w:w="418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Conventional Equivalent Availability Factor</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83.2 %</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89.0 %</w:t>
            </w:r>
          </w:p>
        </w:tc>
      </w:tr>
      <w:tr>
        <w:trPr>
          <w:trHeight w:val="257"/>
        </w:trPr>
        <w:tc>
          <w:tcPr>
            <w:tcW w:w="1780" w:type="dxa"/>
            <w:vAlign w:val="bottom"/>
          </w:tcPr>
          <w:p>
            <w:pPr>
              <w:spacing w:after="0"/>
              <w:rPr>
                <w:sz w:val="22"/>
                <w:szCs w:val="22"/>
                <w:color w:val="auto"/>
              </w:rPr>
            </w:pPr>
          </w:p>
        </w:tc>
        <w:tc>
          <w:tcPr>
            <w:tcW w:w="43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Renewables Generation Sold (MWh)</w:t>
            </w:r>
            <w:r>
              <w:rPr>
                <w:rFonts w:ascii="Arial" w:cs="Arial" w:eastAsia="Arial" w:hAnsi="Arial"/>
                <w:sz w:val="23"/>
                <w:szCs w:val="23"/>
                <w:color w:val="auto"/>
                <w:vertAlign w:val="superscript"/>
              </w:rPr>
              <w:t>3</w:t>
            </w:r>
          </w:p>
        </w:tc>
        <w:tc>
          <w:tcPr>
            <w:tcW w:w="1620" w:type="dxa"/>
            <w:vAlign w:val="bottom"/>
          </w:tcPr>
          <w:p>
            <w:pPr>
              <w:jc w:val="right"/>
              <w:spacing w:after="0"/>
              <w:rPr>
                <w:sz w:val="20"/>
                <w:szCs w:val="20"/>
                <w:color w:val="auto"/>
              </w:rPr>
            </w:pPr>
            <w:r>
              <w:rPr>
                <w:rFonts w:ascii="Arial" w:cs="Arial" w:eastAsia="Arial" w:hAnsi="Arial"/>
                <w:sz w:val="18"/>
                <w:szCs w:val="18"/>
                <w:color w:val="auto"/>
              </w:rPr>
              <w:t>2,530</w:t>
            </w:r>
          </w:p>
        </w:tc>
        <w:tc>
          <w:tcPr>
            <w:tcW w:w="16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1,676</w:t>
            </w:r>
          </w:p>
        </w:tc>
      </w:tr>
      <w:tr>
        <w:trPr>
          <w:trHeight w:val="230"/>
        </w:trPr>
        <w:tc>
          <w:tcPr>
            <w:tcW w:w="1780" w:type="dxa"/>
            <w:vAlign w:val="bottom"/>
          </w:tcPr>
          <w:p>
            <w:pPr>
              <w:spacing w:after="0"/>
              <w:rPr>
                <w:sz w:val="19"/>
                <w:szCs w:val="19"/>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Thermal Generation Sold (MWh/MWht)</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6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quarter of 2021, availability at the Conventional segment was lower than the first quarter of 2020 primarily due to shortened spring outages in 2020 at several projects to manage labor availability given the onset of the COVID-19 pandemic.</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Generation in the Renewables segment during the first quarter of 2021 was 51% higher than the first quarter of 2020 primarily due to improved renewable energy conditions on the West coast and from the execution of growth investments. These growth investments included the acquisition of the 35% interest in Agua Caliente and the additional interest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7" w:lineRule="exact"/>
        <w:rPr>
          <w:sz w:val="20"/>
          <w:szCs w:val="20"/>
          <w:color w:val="auto"/>
        </w:rPr>
      </w:pPr>
    </w:p>
    <w:p>
      <w:pPr>
        <w:ind w:right="180" w:firstLine="8"/>
        <w:spacing w:after="0" w:line="201" w:lineRule="auto"/>
        <w:tabs>
          <w:tab w:leader="none" w:pos="103"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Includes adjustments to reflect CAFD generated by unconsolidated investments that were not able to distribute project dividends prior to PG&amp;E's emergence from bankruptcy on July 1, 2020 and subsequent release post-bankruptcy</w:t>
      </w:r>
    </w:p>
    <w:p>
      <w:pPr>
        <w:spacing w:after="0" w:line="1" w:lineRule="exact"/>
        <w:rPr>
          <w:rFonts w:ascii="Arial" w:cs="Arial" w:eastAsia="Arial" w:hAnsi="Arial"/>
          <w:sz w:val="23"/>
          <w:szCs w:val="23"/>
          <w:color w:val="auto"/>
          <w:vertAlign w:val="superscript"/>
        </w:rPr>
      </w:pPr>
    </w:p>
    <w:p>
      <w:pPr>
        <w:spacing w:after="0" w:line="184" w:lineRule="auto"/>
        <w:rPr>
          <w:rFonts w:ascii="Arial" w:cs="Arial" w:eastAsia="Arial" w:hAnsi="Arial"/>
          <w:sz w:val="23"/>
          <w:szCs w:val="23"/>
          <w:color w:val="auto"/>
          <w:vertAlign w:val="superscript"/>
        </w:rPr>
      </w:pPr>
      <w:r>
        <w:rPr>
          <w:rFonts w:ascii="Arial" w:cs="Arial" w:eastAsia="Arial" w:hAnsi="Arial"/>
          <w:sz w:val="22"/>
          <w:szCs w:val="22"/>
          <w:color w:val="auto"/>
          <w:vertAlign w:val="superscript"/>
        </w:rPr>
        <w:t>2</w:t>
      </w:r>
      <w:r>
        <w:rPr>
          <w:rFonts w:ascii="Arial" w:cs="Arial" w:eastAsia="Arial" w:hAnsi="Arial"/>
          <w:sz w:val="14"/>
          <w:szCs w:val="14"/>
          <w:color w:val="auto"/>
        </w:rPr>
        <w:t xml:space="preserve"> Excludes unconsolidated projects</w:t>
      </w: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3</w:t>
      </w:r>
      <w:r>
        <w:rPr>
          <w:rFonts w:ascii="Arial" w:cs="Arial" w:eastAsia="Arial" w:hAnsi="Arial"/>
          <w:sz w:val="14"/>
          <w:szCs w:val="14"/>
          <w:color w:val="auto"/>
        </w:rPr>
        <w:t xml:space="preserve"> Generation sold excludes MWh that are reimbursable for economic curtailment</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891" w:right="339" w:bottom="1440" w:gutter="0" w:footer="0" w:header="0"/>
        </w:sectPr>
      </w:pPr>
    </w:p>
    <w:bookmarkStart w:id="5" w:name="page6"/>
    <w:bookmarkEnd w:id="5"/>
    <w:p>
      <w:pPr>
        <w:jc w:val="both"/>
        <w:ind w:right="20"/>
        <w:spacing w:after="0" w:line="277" w:lineRule="auto"/>
        <w:rPr>
          <w:sz w:val="20"/>
          <w:szCs w:val="20"/>
          <w:color w:val="auto"/>
        </w:rPr>
      </w:pPr>
      <w:r>
        <w:rPr>
          <w:rFonts w:ascii="Arial" w:cs="Arial" w:eastAsia="Arial" w:hAnsi="Arial"/>
          <w:sz w:val="18"/>
          <w:szCs w:val="18"/>
          <w:color w:val="auto"/>
        </w:rPr>
        <w:t>Distributed Generation partnerships where results for both are now consolidated due to the resulting change in ownership. Thermal generation sold was 1% lower during the first quarter of 2021 versus last year primarily due to the divestiture of Dover.</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February 2021, Texas experienced extreme winter weather conditions. Certain of the Company's wind projects were unable to operate and experienced outages due to the weather conditions at that time. The Company continues to assess the full financial exposure related to the circumstances, including potential mitigants, ongoing discussions with contractual counterparties, any potential disputes which may result, any state sponsored solutions to address the financial impacts caused by the circumstances and any regulatory developments in Texas. During the quarter, and inclusive of amounts related to third party equity investors, the Company recorded a reduction of approximately $50 million in revenue to settle obligations for wind facilities during the extreme weather conditions. Based on available information, and after adjusting for third party equity investor contributions, the Company currently estimates a potential cash impact between $25 million and $30 million in 2021, of which approximately $25 million was in the first quarter.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9"/>
        </w:trPr>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Table 5: Liquidity</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740" w:type="dxa"/>
            <w:vAlign w:val="bottom"/>
          </w:tcPr>
          <w:p>
            <w:pPr>
              <w:spacing w:after="0"/>
              <w:rPr>
                <w:sz w:val="22"/>
                <w:szCs w:val="22"/>
                <w:color w:val="auto"/>
              </w:rPr>
            </w:pPr>
          </w:p>
        </w:tc>
        <w:tc>
          <w:tcPr>
            <w:tcW w:w="6980" w:type="dxa"/>
            <w:vAlign w:val="bottom"/>
            <w:gridSpan w:val="2"/>
          </w:tcPr>
          <w:p>
            <w:pPr>
              <w:spacing w:after="0"/>
              <w:rPr>
                <w:sz w:val="20"/>
                <w:szCs w:val="20"/>
                <w:color w:val="auto"/>
              </w:rPr>
            </w:pPr>
            <w:r>
              <w:rPr>
                <w:rFonts w:ascii="Arial" w:cs="Arial" w:eastAsia="Arial" w:hAnsi="Arial"/>
                <w:sz w:val="18"/>
                <w:szCs w:val="18"/>
                <w:i w:val="1"/>
                <w:iCs w:val="1"/>
                <w:color w:val="auto"/>
              </w:rPr>
              <w:t>($ millions)</w:t>
            </w:r>
          </w:p>
        </w:tc>
        <w:tc>
          <w:tcPr>
            <w:tcW w:w="220" w:type="dxa"/>
            <w:vAlign w:val="bottom"/>
          </w:tcPr>
          <w:p>
            <w:pPr>
              <w:spacing w:after="0"/>
              <w:rPr>
                <w:sz w:val="22"/>
                <w:szCs w:val="22"/>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3/31/2021</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12/31/2020</w:t>
            </w:r>
          </w:p>
        </w:tc>
      </w:tr>
      <w:tr>
        <w:trPr>
          <w:trHeight w:val="210"/>
        </w:trPr>
        <w:tc>
          <w:tcPr>
            <w:tcW w:w="740" w:type="dxa"/>
            <w:vAlign w:val="bottom"/>
          </w:tcPr>
          <w:p>
            <w:pPr>
              <w:spacing w:after="0"/>
              <w:rPr>
                <w:sz w:val="18"/>
                <w:szCs w:val="18"/>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29"/>
        </w:trPr>
        <w:tc>
          <w:tcPr>
            <w:tcW w:w="740" w:type="dxa"/>
            <w:vAlign w:val="bottom"/>
          </w:tcPr>
          <w:p>
            <w:pPr>
              <w:spacing w:after="0"/>
              <w:rPr>
                <w:sz w:val="19"/>
                <w:szCs w:val="19"/>
                <w:color w:val="auto"/>
              </w:rPr>
            </w:pPr>
          </w:p>
        </w:tc>
        <w:tc>
          <w:tcPr>
            <w:tcW w:w="6980" w:type="dxa"/>
            <w:vAlign w:val="bottom"/>
            <w:gridSpan w:val="2"/>
          </w:tcPr>
          <w:p>
            <w:pPr>
              <w:ind w:left="220"/>
              <w:spacing w:after="0"/>
              <w:rPr>
                <w:sz w:val="20"/>
                <w:szCs w:val="20"/>
                <w:color w:val="auto"/>
              </w:rPr>
            </w:pPr>
            <w:r>
              <w:rPr>
                <w:rFonts w:ascii="Arial" w:cs="Arial" w:eastAsia="Arial" w:hAnsi="Arial"/>
                <w:sz w:val="16"/>
                <w:szCs w:val="16"/>
                <w:color w:val="auto"/>
              </w:rPr>
              <w:t>Clearway Energy, Inc. and Clearway Energy LLC, excluding subsidiaries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740" w:type="dxa"/>
            <w:vAlign w:val="bottom"/>
          </w:tcPr>
          <w:p>
            <w:pPr>
              <w:spacing w:after="0"/>
              <w:rPr>
                <w:sz w:val="19"/>
                <w:szCs w:val="19"/>
                <w:color w:val="auto"/>
              </w:rPr>
            </w:pPr>
          </w:p>
        </w:tc>
        <w:tc>
          <w:tcPr>
            <w:tcW w:w="6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Subsidiaries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13"/>
        </w:trPr>
        <w:tc>
          <w:tcPr>
            <w:tcW w:w="74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6"/>
                <w:szCs w:val="16"/>
                <w:b w:val="1"/>
                <w:bCs w:val="1"/>
                <w:color w:val="auto"/>
              </w:rPr>
              <w:t>Restricted Cash:</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2"/>
        </w:trPr>
        <w:tc>
          <w:tcPr>
            <w:tcW w:w="740" w:type="dxa"/>
            <w:vAlign w:val="bottom"/>
          </w:tcPr>
          <w:p>
            <w:pPr>
              <w:spacing w:after="0"/>
              <w:rPr>
                <w:sz w:val="20"/>
                <w:szCs w:val="20"/>
                <w:color w:val="auto"/>
              </w:rPr>
            </w:pPr>
          </w:p>
        </w:tc>
        <w:tc>
          <w:tcPr>
            <w:tcW w:w="6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accounts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740" w:type="dxa"/>
            <w:vAlign w:val="bottom"/>
          </w:tcPr>
          <w:p>
            <w:pPr>
              <w:spacing w:after="0"/>
              <w:rPr>
                <w:sz w:val="19"/>
                <w:szCs w:val="19"/>
                <w:color w:val="auto"/>
              </w:rPr>
            </w:pPr>
          </w:p>
        </w:tc>
        <w:tc>
          <w:tcPr>
            <w:tcW w:w="6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Reserves, including debt service, distributions, performance obligations and other reserves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740" w:type="dxa"/>
            <w:vAlign w:val="bottom"/>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Cash</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23"/>
        </w:trPr>
        <w:tc>
          <w:tcPr>
            <w:tcW w:w="740" w:type="dxa"/>
            <w:vAlign w:val="bottom"/>
          </w:tcPr>
          <w:p>
            <w:pPr>
              <w:spacing w:after="0"/>
              <w:rPr>
                <w:sz w:val="19"/>
                <w:szCs w:val="19"/>
                <w:color w:val="auto"/>
              </w:rPr>
            </w:pPr>
          </w:p>
        </w:tc>
        <w:tc>
          <w:tcPr>
            <w:tcW w:w="69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Revolving credit facility availability</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r>
      <w:tr>
        <w:trPr>
          <w:trHeight w:val="248"/>
        </w:trPr>
        <w:tc>
          <w:tcPr>
            <w:tcW w:w="740" w:type="dxa"/>
            <w:vAlign w:val="bottom"/>
          </w:tcPr>
          <w:p>
            <w:pPr>
              <w:spacing w:after="0"/>
              <w:rPr>
                <w:sz w:val="21"/>
                <w:szCs w:val="21"/>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Liquidity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0"/>
        </w:trPr>
        <w:tc>
          <w:tcPr>
            <w:tcW w:w="740" w:type="dxa"/>
            <w:vAlign w:val="bottom"/>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liquidity as of March 31, 2021 was $831 million, which was $63 million lower than as of December 31, 2020 primarily due to the execution of growth investments and the redemption of the 2025 Senior Notes. This was partially offset by the issuance of the 2031 Senior Notes.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 xml:space="preserve">The Company's liquidity includes </w:t>
      </w:r>
      <w:r>
        <w:rPr>
          <w:rFonts w:ascii="Arial" w:cs="Arial" w:eastAsia="Arial" w:hAnsi="Arial"/>
          <w:sz w:val="18"/>
          <w:szCs w:val="18"/>
          <w:color w:val="000000"/>
        </w:rPr>
        <w:t>$287 million</w:t>
      </w:r>
      <w:r>
        <w:rPr>
          <w:rFonts w:ascii="Arial" w:cs="Arial" w:eastAsia="Arial" w:hAnsi="Arial"/>
          <w:sz w:val="18"/>
          <w:szCs w:val="18"/>
          <w:color w:val="231F20"/>
        </w:rPr>
        <w:t xml:space="preserve"> of restricted cash as of March 31, 2021. Restricted cash consists primarily of funds to satisfy the requirements of certain debt arrangements and funds held within the Company's projects that are restricted in their use. As </w:t>
      </w:r>
      <w:r>
        <w:rPr>
          <w:rFonts w:ascii="Arial" w:cs="Arial" w:eastAsia="Arial" w:hAnsi="Arial"/>
          <w:sz w:val="18"/>
          <w:szCs w:val="18"/>
          <w:color w:val="000000"/>
        </w:rPr>
        <w:t>of March 31, 2021, these</w:t>
      </w:r>
      <w:r>
        <w:rPr>
          <w:rFonts w:ascii="Arial" w:cs="Arial" w:eastAsia="Arial" w:hAnsi="Arial"/>
          <w:sz w:val="18"/>
          <w:szCs w:val="18"/>
          <w:color w:val="231F20"/>
        </w:rPr>
        <w:t xml:space="preserve"> </w:t>
      </w:r>
      <w:r>
        <w:rPr>
          <w:rFonts w:ascii="Arial" w:cs="Arial" w:eastAsia="Arial" w:hAnsi="Arial"/>
          <w:sz w:val="18"/>
          <w:szCs w:val="18"/>
          <w:color w:val="000000"/>
        </w:rPr>
        <w:t>restricted funds were comprised of $114 million designated to fund operating expenses, approximately $45 million designated for current debt service payments, and $93 million of reserves for debt service, performance obligations and other items including capital expenditures. The remaining $35 million is held in distribution reserve accounts.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Potential future sources of liquidity include excess operating cash flow, availability under the revolving credit facility, asset dispositions, and, subject to market conditions, new corporate debt and equity financings.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Investments and Commercial Agreements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Mt. Storm Wind Project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23, 2021, the Company acquired Mt. Storm, a 264 MW wind asset in West Virginia, from Castleton Commodities International. Mt. Storm has a 10-year energy hedge with an investment-grade counterparty. The corporate capital commitment for the transaction was $96 million excluding working capital and other adjustments. The Company utilized existing corporate liquidity to fund the transaction. The project is not expected to have a meaningful contribution to CAFD in 2021 but is expected to contribute asset CAFD on a five-year average annual basis of approximately $10 million beginning January 1, 2022.</w:t>
      </w:r>
    </w:p>
    <w:p>
      <w:pPr>
        <w:spacing w:after="0" w:line="200" w:lineRule="exact"/>
        <w:rPr>
          <w:sz w:val="20"/>
          <w:szCs w:val="20"/>
          <w:color w:val="auto"/>
        </w:rPr>
      </w:pPr>
    </w:p>
    <w:p>
      <w:pPr>
        <w:spacing w:after="0" w:line="357"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89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Resource Adequacy Agreement at Marsh Landing</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3, 2021, the Company contracted with a California Load Serving Entity to sell 100 MW of Resource Adequacy commencing in May 2023. The agreement is for seven-and-a-half years and is at terms which would maintain project level CAFD at the end of the contract period when no project level non-recourse debt remains if applied to the full capacity of the plant.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Update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2031 "Green Bond" Senior Notes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9, 2021, Clearway Energy Operating LLC completed the sale of $925 million of senior unsecured notes due 2031, or the 2031 Senior Notes. The 2031 Senior Notes bear interest at 3.750% and mature on February 15, 2031. Interest on the 2031 Senior Notes is payable semi-annually on February 15 and August 15 of each year, and interest payments will commence on August 15, 2021. The 2031 Senior Notes are unsecured obligations of Clearway Energy Operating LLC and are guaranteed by Clearway Energy LLC and by certain of Clearway Energy Operating LLC's wholly owned current and future subsidiaries. The net proceeds from the 2031 Senior Notes were used to repurchase the 2025 Senior Notes, as well as to repay amounts outstanding under the Company’s revolving credit facility and for general corporate purposes.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2025 Senior Notes</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9, 2021, the Company completed the repurchase of an aggregate principal amount of $411 million, or 68.6%, of the 2025 Senior Notes outstanding as part of the cash tender offer announced on March 2, 2021. Additionally, $6 million of the 2025 Senior Notes that were subject to guaranteed delivery procedures were subsequently repurchased on March 11, 2021. Concurrent with the launch of the tender offer, the Company exercised its right to optionally redeem the remaining principal amount of $183 million that were not validly tendered and purchased in the tender offer, pursuant to the terms of the indenture governing the 2025 Senior Notes. The 2025 Senior Notes repurchased and redeemed in March 2021 were effectuated at a premium of approximately 106% for total consideration of $636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Dividend</w:t>
      </w:r>
    </w:p>
    <w:p>
      <w:pPr>
        <w:spacing w:after="0" w:line="2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April 29, 2021, Clearway Energy, Inc.’s Board of Directors declared a quarterly dividend on Class A and Class C common stock of $0.329 per share payable on June 15, 2021, to stockholders of record as of June 1, 2021.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Clearway Energy, Inc.’s quarterly operating results are impacted by seasonal factors, as well as weather variability which can impact renewable energy resource and volumetric sales of steam and chilled water at the Thermal segment.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spacing w:after="0" w:line="19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Higher summer capacity prices from conventional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Higher solar insolation during the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Higher wind resources during the spring and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Debt service payments which are made either quarterly or semi-annually;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Timing of maintenance capital expenditures and the impact of both unforced and forced outages;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Timing of distributions from unconsolidated affiliates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takes into consideration the timing of these factors to ensure sufficient funds are available for distributions and operating activities on a quarterly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 and Pro Forma CAFD 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reiterating its 2021 full year CAFD guidance of $325 million.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2021 financial guidance factors in the contribution of committed growth investments based on current expected closing timelines, the change in cash interest payments due to the issuance of the 2031 Senior Notes and the repayment of the 2025 Senior Notes, estimates for potential impacts on Thermal volumes related to the COVID-19 pandemic, and the Company’s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95" w:right="339" w:bottom="1440" w:gutter="0" w:footer="0" w:header="0"/>
        </w:sectPr>
      </w:pPr>
    </w:p>
    <w:bookmarkStart w:id="7" w:name="page8"/>
    <w:bookmarkEnd w:id="7"/>
    <w:p>
      <w:pPr>
        <w:jc w:val="both"/>
        <w:ind w:right="20"/>
        <w:spacing w:after="0" w:line="277" w:lineRule="auto"/>
        <w:rPr>
          <w:sz w:val="20"/>
          <w:szCs w:val="20"/>
          <w:color w:val="auto"/>
        </w:rPr>
      </w:pPr>
      <w:r>
        <w:rPr>
          <w:rFonts w:ascii="Arial" w:cs="Arial" w:eastAsia="Arial" w:hAnsi="Arial"/>
          <w:sz w:val="18"/>
          <w:szCs w:val="18"/>
          <w:color w:val="auto"/>
        </w:rPr>
        <w:t>current estimated financial exposure from the previously disclosed February 2021 severe weather event in Texas. 2021 CAFD guidance does not factor in the timing of when CAFD is realized from new growth investments pursuant to 5-year averages beyond 2021.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effects above and the timing of CAFD realization pursuant to 5-year averages, the Company is updating its pro forma CAFD outlook expectations to approximately $395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Financial guidance and the pro forma CAFD outlook continue to be based on median renewable energy production estimates for the full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Conference Call</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6, 2021, Clearway Energy, Inc. will host a conference call at 8:00 a.m.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 Inc.</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Clearway Energy, Inc. is one of the largest renewable energy owners in the US with over 4,200 net MW of installed wind and solar generation projects. Clearway Energy’s over 8,000 net MW of assets also includes approximately 2,500 net MW of environmentally-sound, highly efficient natural gas generation facilities as well as a portfolio of district energy systems. Through this environmentally-sound diversified and primarily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Disclosure</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estimated impact of recent weather events on the Company, its operations, its facilities and its financial results, the Company’s response to such weather events, impacts related to COVID-19 or any other pandemic, the benefits of the relationship with Global Infrastructure Partners III (GIP) and GIP’s expertise, the Company’s future relationship and arrangements with GIP and Clearway Energy Group, as well as the Company's dividend expectations,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impacts related to COVID-19 or any other pandemic,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the Company's ability to access capital markets, cyber terrorism and inadequate cybersecurity, the ability to engage in successful acquisitions activity, unanticipated outages at its generation facilities, adverse results in current and future litigation, failure to identify, execute or successfully implement acquisitions (including receipt of third party consents and regulatory approvals), the Company's ability to enter into new contracts as existing contracts expire, risk relating to the Company's relationships with GIP and Clearway Energy Group, the Company's ability to acquire assets from GIP, Clearway Energy Group or third parties, the Company's ability to close drop down transactions, and the Company's ability to maintain and grow its quarterly dividends. Furthermore, any dividends are subject to available capital, market conditions, and compliance with associated laws and regulations.</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895" w:right="339" w:bottom="1440" w:gutter="0" w:footer="0" w:header="0"/>
        </w:sectPr>
      </w:pPr>
    </w:p>
    <w:bookmarkStart w:id="8" w:name="page9"/>
    <w:bookmarkEnd w:id="8"/>
    <w:p>
      <w:pPr>
        <w:jc w:val="both"/>
        <w:spacing w:after="0" w:line="291" w:lineRule="auto"/>
        <w:rPr>
          <w:sz w:val="20"/>
          <w:szCs w:val="20"/>
          <w:color w:val="auto"/>
        </w:rPr>
      </w:pPr>
      <w:r>
        <w:rPr>
          <w:rFonts w:ascii="Arial" w:cs="Arial" w:eastAsia="Arial" w:hAnsi="Arial"/>
          <w:sz w:val="16"/>
          <w:szCs w:val="16"/>
          <w:color w:val="auto"/>
        </w:rPr>
        <w:t>Clearway Energy, Inc. undertakes no obligation to update or revise any forward-looking statements, whether as a result of new information, future events or otherwise. The Adjusted EBITDA and Cash Available for Distribution are estimates as of today’s date, May 6, 2021,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Securities and Exchange Commission.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34"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Investors:</w:t>
      </w:r>
      <w:r>
        <w:rPr>
          <w:sz w:val="20"/>
          <w:szCs w:val="20"/>
          <w:color w:val="auto"/>
        </w:rPr>
        <w:tab/>
      </w:r>
      <w:r>
        <w:rPr>
          <w:rFonts w:ascii="Arial" w:cs="Arial" w:eastAsia="Arial" w:hAnsi="Arial"/>
          <w:sz w:val="18"/>
          <w:szCs w:val="18"/>
          <w:b w:val="1"/>
          <w:bCs w:val="1"/>
          <w:color w:val="auto"/>
        </w:rPr>
        <w:t>Media:</w:t>
      </w:r>
    </w:p>
    <w:p>
      <w:pPr>
        <w:spacing w:after="0" w:line="27"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8"/>
          <w:szCs w:val="18"/>
          <w:color w:val="auto"/>
        </w:rPr>
        <w:t>Akil Marsh</w:t>
      </w:r>
      <w:r>
        <w:rPr>
          <w:sz w:val="20"/>
          <w:szCs w:val="20"/>
          <w:color w:val="auto"/>
        </w:rPr>
        <w:tab/>
      </w:r>
      <w:r>
        <w:rPr>
          <w:rFonts w:ascii="Arial" w:cs="Arial" w:eastAsia="Arial" w:hAnsi="Arial"/>
          <w:sz w:val="16"/>
          <w:szCs w:val="16"/>
          <w:color w:val="auto"/>
        </w:rPr>
        <w:t>Zadie Oleksiw</w:t>
      </w:r>
    </w:p>
    <w:p>
      <w:pPr>
        <w:spacing w:after="0" w:line="9" w:lineRule="exact"/>
        <w:rPr>
          <w:sz w:val="20"/>
          <w:szCs w:val="20"/>
          <w:color w:val="auto"/>
        </w:rPr>
      </w:pPr>
    </w:p>
    <w:p>
      <w:pPr>
        <w:ind w:left="180"/>
        <w:spacing w:after="0"/>
        <w:tabs>
          <w:tab w:leader="none" w:pos="3220" w:val="left"/>
        </w:tabs>
        <w:rPr>
          <w:sz w:val="20"/>
          <w:szCs w:val="20"/>
          <w:color w:val="auto"/>
        </w:rPr>
      </w:pPr>
      <w:r>
        <w:rPr>
          <w:rFonts w:ascii="Arial" w:cs="Arial" w:eastAsia="Arial" w:hAnsi="Arial"/>
          <w:sz w:val="18"/>
          <w:szCs w:val="18"/>
          <w:color w:val="auto"/>
        </w:rPr>
        <w:t>investor.relations@clearwayenergy.com</w:t>
      </w:r>
      <w:r>
        <w:rPr>
          <w:sz w:val="20"/>
          <w:szCs w:val="20"/>
          <w:color w:val="auto"/>
        </w:rPr>
        <w:tab/>
      </w:r>
      <w:r>
        <w:rPr>
          <w:rFonts w:ascii="Arial" w:cs="Arial" w:eastAsia="Arial" w:hAnsi="Arial"/>
          <w:sz w:val="16"/>
          <w:szCs w:val="16"/>
          <w:color w:val="auto"/>
        </w:rPr>
        <w:t>media@clearwayenergy.com</w:t>
      </w:r>
    </w:p>
    <w:p>
      <w:pPr>
        <w:spacing w:after="0" w:line="9" w:lineRule="exact"/>
        <w:rPr>
          <w:sz w:val="20"/>
          <w:szCs w:val="20"/>
          <w:color w:val="auto"/>
        </w:rPr>
      </w:pPr>
    </w:p>
    <w:p>
      <w:pPr>
        <w:ind w:left="180"/>
        <w:spacing w:after="0"/>
        <w:tabs>
          <w:tab w:leader="none" w:pos="1900" w:val="left"/>
        </w:tabs>
        <w:rPr>
          <w:sz w:val="20"/>
          <w:szCs w:val="20"/>
          <w:color w:val="auto"/>
        </w:rPr>
      </w:pPr>
      <w:r>
        <w:rPr>
          <w:rFonts w:ascii="Arial" w:cs="Arial" w:eastAsia="Arial" w:hAnsi="Arial"/>
          <w:sz w:val="18"/>
          <w:szCs w:val="18"/>
          <w:color w:val="auto"/>
        </w:rPr>
        <w:t>609-608-1500</w:t>
      </w:r>
      <w:r>
        <w:rPr>
          <w:sz w:val="20"/>
          <w:szCs w:val="20"/>
          <w:color w:val="auto"/>
        </w:rPr>
        <w:tab/>
      </w:r>
      <w:r>
        <w:rPr>
          <w:rFonts w:ascii="Arial" w:cs="Arial" w:eastAsia="Arial" w:hAnsi="Arial"/>
          <w:sz w:val="16"/>
          <w:szCs w:val="16"/>
          <w:color w:val="auto"/>
        </w:rPr>
        <w:t>202-836-5754</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895" w:right="339" w:bottom="1440" w:gutter="0" w:footer="0" w:header="0"/>
        </w:sectPr>
      </w:pPr>
    </w:p>
    <w:bookmarkStart w:id="9" w:name="page10"/>
    <w:bookmarkEnd w:id="9"/>
    <w:p>
      <w:pPr>
        <w:jc w:val="center"/>
        <w:ind w:right="112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operations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5280" w:type="dxa"/>
            <w:vAlign w:val="bottom"/>
          </w:tcPr>
          <w:p>
            <w:pPr>
              <w:ind w:left="120"/>
              <w:spacing w:after="0"/>
              <w:rPr>
                <w:sz w:val="20"/>
                <w:szCs w:val="20"/>
                <w:color w:val="auto"/>
              </w:rPr>
            </w:pPr>
            <w:r>
              <w:rPr>
                <w:rFonts w:ascii="Arial" w:cs="Arial" w:eastAsia="Arial" w:hAnsi="Arial"/>
                <w:sz w:val="18"/>
                <w:szCs w:val="18"/>
                <w:color w:val="auto"/>
              </w:rPr>
              <w:t>Depreciation, amortization and accretion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280" w:type="dxa"/>
            <w:vAlign w:val="bottom"/>
          </w:tcPr>
          <w:p>
            <w:pPr>
              <w:ind w:left="120"/>
              <w:spacing w:after="0"/>
              <w:rPr>
                <w:sz w:val="20"/>
                <w:szCs w:val="20"/>
                <w:color w:val="auto"/>
              </w:rPr>
            </w:pPr>
            <w:r>
              <w:rPr>
                <w:rFonts w:ascii="Arial" w:cs="Arial" w:eastAsia="Arial" w:hAnsi="Arial"/>
                <w:sz w:val="18"/>
                <w:szCs w:val="18"/>
                <w:color w:val="auto"/>
              </w:rPr>
              <w:t>Transaction and integration costs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Development costs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earnings (losses) of unconsolidated affiliates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280" w:type="dxa"/>
            <w:vAlign w:val="bottom"/>
          </w:tcPr>
          <w:p>
            <w:pPr>
              <w:ind w:left="14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benefit</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76"/>
        </w:trPr>
        <w:tc>
          <w:tcPr>
            <w:tcW w:w="52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7"/>
              </w:rPr>
              <w:t>Less: Loss attributable to noncontrolling interests and redeemable</w:t>
            </w:r>
          </w:p>
        </w:tc>
        <w:tc>
          <w:tcPr>
            <w:tcW w:w="2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Clearway Energy, Inc.</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Earnings Per Share Attributable to Clearway Energy, Inc. Class</w:t>
            </w: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 and Class C Common Stockholders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4"/>
                <w:szCs w:val="14"/>
                <w:color w:val="auto"/>
                <w:w w:val="96"/>
              </w:rPr>
              <w:t>Weighted average number of Class A common shares outstanding - basic and diluted</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6"/>
              </w:rPr>
              <w:t>Weighted average number of Class C common shares outstanding - basic and diluted</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Earnings (Loss) per Weighted Average Class A and Class C</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8"/>
        </w:trPr>
        <w:tc>
          <w:tcPr>
            <w:tcW w:w="528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Common Share - Basic and Diluted</w:t>
            </w:r>
          </w:p>
        </w:tc>
        <w:tc>
          <w:tcPr>
            <w:tcW w:w="24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Class A Common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Dividends Per Class C Common Share</w:t>
            </w: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0.324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0.210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120"/>
          </w:cols>
          <w:pgMar w:left="1440" w:top="769" w:right="339" w:bottom="1440" w:gutter="0" w:footer="0" w:header="0"/>
        </w:sectPr>
      </w:pPr>
    </w:p>
    <w:bookmarkStart w:id="10" w:name="page11"/>
    <w:bookmarkEnd w:id="10"/>
    <w:p>
      <w:pPr>
        <w:jc w:val="center"/>
        <w:ind w:right="112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7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040" w:type="dxa"/>
            <w:vAlign w:val="bottom"/>
          </w:tcPr>
          <w:p>
            <w:pPr>
              <w:jc w:val="right"/>
              <w:ind w:right="415"/>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ind w:right="413"/>
              <w:spacing w:after="0" w:line="149"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3"/>
              </w:rPr>
              <w:t>Unrealized gain (loss) on derivatives, net of income tax expense (benefit) of $2</w:t>
            </w: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and $(2)</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0"/>
              </w:rPr>
              <w:t>Less: Comprehensive loss attributable to noncontrolling interests and redeemable</w:t>
            </w: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 Attributable to Clearway Energy,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120"/>
          </w:cols>
          <w:pgMar w:left="1440" w:top="769" w:right="339" w:bottom="1440" w:gutter="0" w:footer="0" w:header="0"/>
        </w:sectPr>
      </w:pPr>
    </w:p>
    <w:bookmarkStart w:id="11" w:name="page12"/>
    <w:bookmarkEnd w:id="11"/>
    <w:p>
      <w:pPr>
        <w:jc w:val="center"/>
        <w:ind w:right="22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(In millions, except shares)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6"/>
              </w:rPr>
              <w:t>March 31, 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97"/>
        </w:trPr>
        <w:tc>
          <w:tcPr>
            <w:tcW w:w="7320" w:type="dxa"/>
            <w:vAlign w:val="bottom"/>
          </w:tcPr>
          <w:p>
            <w:pPr>
              <w:ind w:left="336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7"/>
                <w:szCs w:val="17"/>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 — trade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Arial" w:cs="Arial" w:eastAsia="Arial" w:hAnsi="Arial"/>
                <w:sz w:val="16"/>
                <w:szCs w:val="16"/>
                <w:color w:val="auto"/>
              </w:rPr>
              <w:t>Inventory</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Prepayments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6"/>
        </w:trPr>
        <w:tc>
          <w:tcPr>
            <w:tcW w:w="73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7,217</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Other Assets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Equity investments in affiliates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Arial" w:cs="Arial" w:eastAsia="Arial" w:hAnsi="Arial"/>
                <w:sz w:val="16"/>
                <w:szCs w:val="16"/>
                <w:color w:val="auto"/>
              </w:rPr>
              <w:t>Intangible assets for power purchase agreements, net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1,231</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Arial" w:cs="Arial" w:eastAsia="Arial" w:hAnsi="Arial"/>
                <w:sz w:val="16"/>
                <w:szCs w:val="16"/>
                <w:color w:val="auto"/>
              </w:rPr>
              <w:t>Derivative instruments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Arial" w:cs="Arial" w:eastAsia="Arial" w:hAnsi="Arial"/>
                <w:sz w:val="16"/>
                <w:szCs w:val="16"/>
                <w:color w:val="auto"/>
              </w:rPr>
              <w:t>Right of use assets, net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6"/>
        </w:trPr>
        <w:tc>
          <w:tcPr>
            <w:tcW w:w="73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assets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2,667</w:t>
            </w:r>
          </w:p>
        </w:tc>
        <w:tc>
          <w:tcPr>
            <w:tcW w:w="0" w:type="dxa"/>
            <w:vAlign w:val="bottom"/>
          </w:tcPr>
          <w:p>
            <w:pPr>
              <w:spacing w:after="0"/>
              <w:rPr>
                <w:sz w:val="1"/>
                <w:szCs w:val="1"/>
                <w:color w:val="auto"/>
              </w:rPr>
            </w:pPr>
          </w:p>
        </w:tc>
      </w:tr>
      <w:tr>
        <w:trPr>
          <w:trHeight w:val="23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190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3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4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 trade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3"/>
        </w:trPr>
        <w:tc>
          <w:tcPr>
            <w:tcW w:w="7320" w:type="dxa"/>
            <w:vAlign w:val="bottom"/>
          </w:tcPr>
          <w:p>
            <w:pPr>
              <w:ind w:left="140"/>
              <w:spacing w:after="0"/>
              <w:rPr>
                <w:sz w:val="20"/>
                <w:szCs w:val="20"/>
                <w:color w:val="auto"/>
              </w:rPr>
            </w:pPr>
            <w:r>
              <w:rPr>
                <w:rFonts w:ascii="Arial" w:cs="Arial" w:eastAsia="Arial" w:hAnsi="Arial"/>
                <w:sz w:val="16"/>
                <w:szCs w:val="16"/>
                <w:color w:val="auto"/>
              </w:rPr>
              <w:t>Accounts payable — affiliates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7320" w:type="dxa"/>
            <w:vAlign w:val="bottom"/>
          </w:tcPr>
          <w:p>
            <w:pPr>
              <w:ind w:left="140"/>
              <w:spacing w:after="0"/>
              <w:rPr>
                <w:sz w:val="20"/>
                <w:szCs w:val="20"/>
                <w:color w:val="auto"/>
              </w:rPr>
            </w:pPr>
            <w:r>
              <w:rPr>
                <w:rFonts w:ascii="Arial" w:cs="Arial" w:eastAsia="Arial" w:hAnsi="Arial"/>
                <w:sz w:val="16"/>
                <w:szCs w:val="16"/>
                <w:color w:val="auto"/>
              </w:rPr>
              <w:t>Accrued interest expense</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6"/>
        </w:trPr>
        <w:tc>
          <w:tcPr>
            <w:tcW w:w="73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199"/>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Liabilities</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2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7,463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6,585</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Derivative instruments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3"/>
        </w:trPr>
        <w:tc>
          <w:tcPr>
            <w:tcW w:w="7320" w:type="dxa"/>
            <w:vAlign w:val="bottom"/>
          </w:tcPr>
          <w:p>
            <w:pPr>
              <w:ind w:left="120"/>
              <w:spacing w:after="0"/>
              <w:rPr>
                <w:sz w:val="20"/>
                <w:szCs w:val="20"/>
                <w:color w:val="auto"/>
              </w:rPr>
            </w:pPr>
            <w:r>
              <w:rPr>
                <w:rFonts w:ascii="Arial" w:cs="Arial" w:eastAsia="Arial" w:hAnsi="Arial"/>
                <w:sz w:val="16"/>
                <w:szCs w:val="16"/>
                <w:color w:val="auto"/>
              </w:rPr>
              <w:t>Long-term lease liabilities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6"/>
        </w:trPr>
        <w:tc>
          <w:tcPr>
            <w:tcW w:w="73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non-current liabilities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7,243</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7,877</w:t>
            </w:r>
          </w:p>
        </w:tc>
        <w:tc>
          <w:tcPr>
            <w:tcW w:w="0" w:type="dxa"/>
            <w:vAlign w:val="bottom"/>
          </w:tcPr>
          <w:p>
            <w:pPr>
              <w:spacing w:after="0"/>
              <w:rPr>
                <w:sz w:val="1"/>
                <w:szCs w:val="1"/>
                <w:color w:val="auto"/>
              </w:rPr>
            </w:pPr>
          </w:p>
        </w:tc>
      </w:tr>
      <w:tr>
        <w:trPr>
          <w:trHeight w:val="193"/>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2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2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7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5"/>
              </w:rPr>
              <w:t>Class A, Class B, Class C and Class D common stock, $0.01 par value; 3,000,000,000 shares</w:t>
            </w: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authorized (Class A 500,000,000, Class B 500,000,000, Class C 1,000,000,000, Class D</w:t>
            </w: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9"/>
              </w:rPr>
              <w:t>1,000,000,000); 201,818,187 shares issued and outstanding (Class A 34,599,645, Class B</w:t>
            </w: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1"/>
              </w:rPr>
              <w:t>42,738,750, Class C 81,741,042, Class D 42,738,750) at March 31, 2021 and 201,635,990 shares</w:t>
            </w: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4"/>
              </w:rPr>
              <w:t>issued and outstanding (Class A 34,599,645, Class B 42,738,750, Class C 81,558,845, Class D</w:t>
            </w: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42,738,750) at December 31, 2020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73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1,922</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deficit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3"/>
        </w:trPr>
        <w:tc>
          <w:tcPr>
            <w:tcW w:w="732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07"/>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2,715</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020"/>
          </w:cols>
          <w:pgMar w:left="540" w:top="769" w:right="339" w:bottom="1440" w:gutter="0" w:footer="0" w:header="0"/>
        </w:sectPr>
      </w:pPr>
    </w:p>
    <w:bookmarkStart w:id="12" w:name="page13"/>
    <w:bookmarkEnd w:id="12"/>
    <w:p>
      <w:pPr>
        <w:jc w:val="center"/>
        <w:ind w:right="580"/>
        <w:spacing w:after="0"/>
        <w:rPr>
          <w:sz w:val="20"/>
          <w:szCs w:val="20"/>
          <w:color w:val="auto"/>
        </w:rPr>
      </w:pPr>
      <w:r>
        <w:rPr>
          <w:rFonts w:ascii="Arial" w:cs="Arial" w:eastAsia="Arial" w:hAnsi="Arial"/>
          <w:sz w:val="18"/>
          <w:szCs w:val="18"/>
          <w:b w:val="1"/>
          <w:bCs w:val="1"/>
          <w:color w:val="auto"/>
        </w:rPr>
        <w:t>CLEARWAY ENERGY, INC.</w:t>
      </w:r>
    </w:p>
    <w:p>
      <w:pPr>
        <w:spacing w:after="0" w:line="63"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86"/>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r>
      <w:tr>
        <w:trPr>
          <w:trHeight w:val="212"/>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75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Net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7560" w:type="dxa"/>
            <w:vAlign w:val="bottom"/>
          </w:tcPr>
          <w:p>
            <w:pPr>
              <w:ind w:left="2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(earnings) losses of unconsolidated affiliates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7560" w:type="dxa"/>
            <w:vAlign w:val="bottom"/>
          </w:tcPr>
          <w:p>
            <w:pPr>
              <w:ind w:left="340"/>
              <w:spacing w:after="0"/>
              <w:rPr>
                <w:sz w:val="20"/>
                <w:szCs w:val="20"/>
                <w:color w:val="auto"/>
              </w:rPr>
            </w:pPr>
            <w:r>
              <w:rPr>
                <w:rFonts w:ascii="Arial" w:cs="Arial" w:eastAsia="Arial" w:hAnsi="Arial"/>
                <w:sz w:val="18"/>
                <w:szCs w:val="18"/>
                <w:color w:val="auto"/>
              </w:rPr>
              <w:t>Distributions from unconsolidated affiliates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amortization and accretion</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7560" w:type="dxa"/>
            <w:vAlign w:val="bottom"/>
          </w:tcPr>
          <w:p>
            <w:pPr>
              <w:ind w:left="340"/>
              <w:spacing w:after="0"/>
              <w:rPr>
                <w:sz w:val="20"/>
                <w:szCs w:val="20"/>
                <w:color w:val="auto"/>
              </w:rPr>
            </w:pPr>
            <w:r>
              <w:rPr>
                <w:rFonts w:ascii="Arial" w:cs="Arial" w:eastAsia="Arial" w:hAnsi="Arial"/>
                <w:sz w:val="18"/>
                <w:szCs w:val="18"/>
                <w:color w:val="auto"/>
              </w:rPr>
              <w:t>Amortization of financing costs and debt discounts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560" w:type="dxa"/>
            <w:vAlign w:val="bottom"/>
          </w:tcPr>
          <w:p>
            <w:pPr>
              <w:ind w:left="340"/>
              <w:spacing w:after="0"/>
              <w:rPr>
                <w:sz w:val="20"/>
                <w:szCs w:val="20"/>
                <w:color w:val="auto"/>
              </w:rPr>
            </w:pPr>
            <w:r>
              <w:rPr>
                <w:rFonts w:ascii="Arial" w:cs="Arial" w:eastAsia="Arial" w:hAnsi="Arial"/>
                <w:sz w:val="18"/>
                <w:szCs w:val="18"/>
                <w:color w:val="auto"/>
              </w:rPr>
              <w:t>Loss on debt extinguishment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Reduction in carrying amount of right-of-use assets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560" w:type="dxa"/>
            <w:vAlign w:val="bottom"/>
          </w:tcPr>
          <w:p>
            <w:pPr>
              <w:ind w:left="340"/>
              <w:spacing w:after="0"/>
              <w:rPr>
                <w:sz w:val="20"/>
                <w:szCs w:val="20"/>
                <w:color w:val="auto"/>
              </w:rPr>
            </w:pPr>
            <w:r>
              <w:rPr>
                <w:rFonts w:ascii="Arial" w:cs="Arial" w:eastAsia="Arial" w:hAnsi="Arial"/>
                <w:sz w:val="18"/>
                <w:szCs w:val="18"/>
                <w:color w:val="auto"/>
              </w:rPr>
              <w:t>Changes in deferred income taxes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derivative instruments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7560" w:type="dxa"/>
            <w:vAlign w:val="bottom"/>
          </w:tcPr>
          <w:p>
            <w:pPr>
              <w:ind w:left="240"/>
              <w:spacing w:after="0"/>
              <w:rPr>
                <w:sz w:val="20"/>
                <w:szCs w:val="20"/>
                <w:color w:val="auto"/>
              </w:rPr>
            </w:pPr>
            <w:r>
              <w:rPr>
                <w:rFonts w:ascii="Arial" w:cs="Arial" w:eastAsia="Arial" w:hAnsi="Arial"/>
                <w:sz w:val="18"/>
                <w:szCs w:val="18"/>
                <w:color w:val="auto"/>
              </w:rPr>
              <w:t>Cash used in changes in other working capital</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Changes in other working capital</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09"/>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Agua Caliente, net of cash acquired</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Pr>
          <w:p>
            <w:pPr>
              <w:ind w:left="340"/>
              <w:spacing w:after="0"/>
              <w:rPr>
                <w:sz w:val="20"/>
                <w:szCs w:val="20"/>
                <w:color w:val="auto"/>
              </w:rPr>
            </w:pPr>
            <w:r>
              <w:rPr>
                <w:rFonts w:ascii="Arial" w:cs="Arial" w:eastAsia="Arial" w:hAnsi="Arial"/>
                <w:sz w:val="18"/>
                <w:szCs w:val="18"/>
                <w:color w:val="auto"/>
              </w:rPr>
              <w:t>Acquisition of Drop Down Asset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7560" w:type="dxa"/>
            <w:vAlign w:val="bottom"/>
          </w:tcPr>
          <w:p>
            <w:pPr>
              <w:ind w:left="340"/>
              <w:spacing w:after="0"/>
              <w:rPr>
                <w:sz w:val="20"/>
                <w:szCs w:val="20"/>
                <w:color w:val="auto"/>
              </w:rPr>
            </w:pPr>
            <w:r>
              <w:rPr>
                <w:rFonts w:ascii="Arial" w:cs="Arial" w:eastAsia="Arial" w:hAnsi="Arial"/>
                <w:sz w:val="18"/>
                <w:szCs w:val="18"/>
                <w:color w:val="auto"/>
              </w:rPr>
              <w:t>Return of investment from unconsolidated affiliates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in unconsolidated affiliates</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560" w:type="dxa"/>
            <w:vAlign w:val="bottom"/>
          </w:tcPr>
          <w:p>
            <w:pPr>
              <w:ind w:left="340"/>
              <w:spacing w:after="0"/>
              <w:rPr>
                <w:sz w:val="20"/>
                <w:szCs w:val="20"/>
                <w:color w:val="auto"/>
              </w:rPr>
            </w:pPr>
            <w:r>
              <w:rPr>
                <w:rFonts w:ascii="Arial" w:cs="Arial" w:eastAsia="Arial" w:hAnsi="Arial"/>
                <w:sz w:val="18"/>
                <w:szCs w:val="18"/>
                <w:color w:val="auto"/>
              </w:rPr>
              <w:t>Proceeds from sale of assets</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Insurance proceeds</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7560" w:type="dxa"/>
            <w:vAlign w:val="bottom"/>
          </w:tcPr>
          <w:p>
            <w:pPr>
              <w:ind w:left="340"/>
              <w:spacing w:after="0"/>
              <w:rPr>
                <w:sz w:val="20"/>
                <w:szCs w:val="20"/>
                <w:color w:val="auto"/>
              </w:rPr>
            </w:pPr>
            <w:r>
              <w:rPr>
                <w:rFonts w:ascii="Arial" w:cs="Arial" w:eastAsia="Arial" w:hAnsi="Arial"/>
                <w:sz w:val="18"/>
                <w:szCs w:val="18"/>
                <w:color w:val="auto"/>
              </w:rPr>
              <w:t>Net contributions from noncontrolling interests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the issuance of common stock</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560" w:type="dxa"/>
            <w:vAlign w:val="bottom"/>
          </w:tcPr>
          <w:p>
            <w:pPr>
              <w:ind w:left="340"/>
              <w:spacing w:after="0"/>
              <w:rPr>
                <w:sz w:val="20"/>
                <w:szCs w:val="20"/>
                <w:color w:val="auto"/>
              </w:rPr>
            </w:pPr>
            <w:r>
              <w:rPr>
                <w:rFonts w:ascii="Arial" w:cs="Arial" w:eastAsia="Arial" w:hAnsi="Arial"/>
                <w:sz w:val="18"/>
                <w:szCs w:val="18"/>
                <w:color w:val="auto"/>
              </w:rPr>
              <w:t>Payments of dividends and distributions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debt issuance costs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Pr>
          <w:p>
            <w:pPr>
              <w:ind w:left="340"/>
              <w:spacing w:after="0"/>
              <w:rPr>
                <w:sz w:val="20"/>
                <w:szCs w:val="20"/>
                <w:color w:val="auto"/>
              </w:rPr>
            </w:pPr>
            <w:r>
              <w:rPr>
                <w:rFonts w:ascii="Arial" w:cs="Arial" w:eastAsia="Arial" w:hAnsi="Arial"/>
                <w:sz w:val="18"/>
                <w:szCs w:val="18"/>
                <w:color w:val="auto"/>
              </w:rPr>
              <w:t>Proceeds from the revolving credit facility</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for the revolving credit facility</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tcPr>
          <w:p>
            <w:pPr>
              <w:ind w:left="340"/>
              <w:spacing w:after="0"/>
              <w:rPr>
                <w:sz w:val="20"/>
                <w:szCs w:val="20"/>
                <w:color w:val="auto"/>
              </w:rPr>
            </w:pPr>
            <w:r>
              <w:rPr>
                <w:rFonts w:ascii="Arial" w:cs="Arial" w:eastAsia="Arial" w:hAnsi="Arial"/>
                <w:sz w:val="18"/>
                <w:szCs w:val="18"/>
                <w:color w:val="auto"/>
              </w:rPr>
              <w:t>Proceeds from the issuance of long-term debt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for long-term debt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30"/>
        </w:trPr>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r>
      <w:tr>
        <w:trPr>
          <w:trHeight w:val="20"/>
        </w:trPr>
        <w:tc>
          <w:tcPr>
            <w:tcW w:w="7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660"/>
          </w:cols>
          <w:pgMar w:left="900" w:top="769" w:right="339" w:bottom="1440" w:gutter="0" w:footer="0" w:header="0"/>
        </w:sectPr>
      </w:pPr>
    </w:p>
    <w:bookmarkStart w:id="13" w:name="page14"/>
    <w:bookmarkEnd w:id="13"/>
    <w:p>
      <w:pPr>
        <w:jc w:val="center"/>
        <w:ind w:right="36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7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For the Three Months Ended March 31, 2021</w:t>
      </w:r>
    </w:p>
    <w:p>
      <w:pPr>
        <w:spacing w:after="0" w:line="167"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center"/>
              <w:ind w:right="122"/>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1"/>
        </w:trPr>
        <w:tc>
          <w:tcPr>
            <w:tcW w:w="3760" w:type="dxa"/>
            <w:vAlign w:val="bottom"/>
          </w:tcPr>
          <w:p>
            <w:pPr>
              <w:spacing w:after="0"/>
              <w:rPr>
                <w:sz w:val="10"/>
                <w:szCs w:val="10"/>
                <w:color w:val="auto"/>
              </w:rPr>
            </w:pPr>
          </w:p>
        </w:tc>
        <w:tc>
          <w:tcPr>
            <w:tcW w:w="80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Preferred</w:t>
            </w:r>
          </w:p>
        </w:tc>
        <w:tc>
          <w:tcPr>
            <w:tcW w:w="10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Common</w:t>
            </w: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Other</w:t>
            </w:r>
          </w:p>
        </w:tc>
        <w:tc>
          <w:tcPr>
            <w:tcW w:w="10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Noncontrolling</w:t>
            </w: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8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1080" w:type="dxa"/>
            <w:vAlign w:val="bottom"/>
            <w:gridSpan w:val="3"/>
            <w:vMerge w:val="continue"/>
          </w:tcPr>
          <w:p>
            <w:pPr>
              <w:spacing w:after="0"/>
              <w:rPr>
                <w:sz w:val="10"/>
                <w:szCs w:val="10"/>
                <w:color w:val="auto"/>
              </w:rPr>
            </w:pPr>
          </w:p>
        </w:tc>
        <w:tc>
          <w:tcPr>
            <w:tcW w:w="9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376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Interest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22"/>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15"/>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2,715</w:t>
            </w:r>
          </w:p>
        </w:tc>
        <w:tc>
          <w:tcPr>
            <w:tcW w:w="0" w:type="dxa"/>
            <w:vAlign w:val="bottom"/>
          </w:tcPr>
          <w:p>
            <w:pPr>
              <w:spacing w:after="0"/>
              <w:rPr>
                <w:sz w:val="1"/>
                <w:szCs w:val="1"/>
                <w:color w:val="auto"/>
              </w:rPr>
            </w:pPr>
          </w:p>
        </w:tc>
      </w:tr>
      <w:tr>
        <w:trPr>
          <w:trHeight w:val="213"/>
        </w:trPr>
        <w:tc>
          <w:tcPr>
            <w:tcW w:w="3760" w:type="dxa"/>
            <w:vAlign w:val="bottom"/>
          </w:tcPr>
          <w:p>
            <w:pPr>
              <w:ind w:left="24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Unrealized gain on derivatives, net of tax</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3760" w:type="dxa"/>
            <w:vAlign w:val="bottom"/>
          </w:tcPr>
          <w:p>
            <w:pPr>
              <w:ind w:left="240"/>
              <w:spacing w:after="0"/>
              <w:rPr>
                <w:sz w:val="20"/>
                <w:szCs w:val="20"/>
                <w:color w:val="auto"/>
              </w:rPr>
            </w:pPr>
            <w:r>
              <w:rPr>
                <w:rFonts w:ascii="Arial" w:cs="Arial" w:eastAsia="Arial" w:hAnsi="Arial"/>
                <w:sz w:val="16"/>
                <w:szCs w:val="16"/>
                <w:color w:val="auto"/>
              </w:rPr>
              <w:t>Contributions from CEG, non-cash</w:t>
            </w:r>
          </w:p>
        </w:tc>
        <w:tc>
          <w:tcPr>
            <w:tcW w:w="1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Contributions from CEG, cash</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66"/>
        </w:trPr>
        <w:tc>
          <w:tcPr>
            <w:tcW w:w="3760" w:type="dxa"/>
            <w:vAlign w:val="bottom"/>
          </w:tcPr>
          <w:p>
            <w:pPr>
              <w:ind w:left="240"/>
              <w:spacing w:after="0" w:line="166" w:lineRule="exact"/>
              <w:rPr>
                <w:sz w:val="20"/>
                <w:szCs w:val="20"/>
                <w:color w:val="auto"/>
              </w:rPr>
            </w:pPr>
            <w:r>
              <w:rPr>
                <w:rFonts w:ascii="Arial" w:cs="Arial" w:eastAsia="Arial" w:hAnsi="Arial"/>
                <w:sz w:val="16"/>
                <w:szCs w:val="16"/>
                <w:color w:val="auto"/>
              </w:rPr>
              <w:t>Contributions from noncontrolling interests, net of</w:t>
            </w:r>
          </w:p>
        </w:tc>
        <w:tc>
          <w:tcPr>
            <w:tcW w:w="140" w:type="dxa"/>
            <w:vAlign w:val="bottom"/>
          </w:tcPr>
          <w:p>
            <w:pPr>
              <w:spacing w:after="0"/>
              <w:rPr>
                <w:sz w:val="14"/>
                <w:szCs w:val="14"/>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9"/>
        </w:trPr>
        <w:tc>
          <w:tcPr>
            <w:tcW w:w="3760" w:type="dxa"/>
            <w:vAlign w:val="bottom"/>
          </w:tcPr>
          <w:p>
            <w:pPr>
              <w:ind w:left="240"/>
              <w:spacing w:after="0"/>
              <w:rPr>
                <w:sz w:val="20"/>
                <w:szCs w:val="20"/>
                <w:color w:val="auto"/>
              </w:rPr>
            </w:pPr>
            <w:r>
              <w:rPr>
                <w:rFonts w:ascii="Arial" w:cs="Arial" w:eastAsia="Arial" w:hAnsi="Arial"/>
                <w:sz w:val="16"/>
                <w:szCs w:val="16"/>
                <w:color w:val="auto"/>
              </w:rPr>
              <w:t>distributions, cash</w:t>
            </w:r>
          </w:p>
        </w:tc>
        <w:tc>
          <w:tcPr>
            <w:tcW w:w="14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Agua Caliente acquisition</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13"/>
        </w:trPr>
        <w:tc>
          <w:tcPr>
            <w:tcW w:w="3760" w:type="dxa"/>
            <w:vAlign w:val="bottom"/>
          </w:tcPr>
          <w:p>
            <w:pPr>
              <w:ind w:left="240"/>
              <w:spacing w:after="0"/>
              <w:rPr>
                <w:sz w:val="20"/>
                <w:szCs w:val="20"/>
                <w:color w:val="auto"/>
              </w:rPr>
            </w:pPr>
            <w:r>
              <w:rPr>
                <w:rFonts w:ascii="Arial" w:cs="Arial" w:eastAsia="Arial" w:hAnsi="Arial"/>
                <w:sz w:val="16"/>
                <w:szCs w:val="16"/>
                <w:color w:val="auto"/>
              </w:rPr>
              <w:t>Rattlesnake Drop Down</w:t>
            </w:r>
          </w:p>
        </w:tc>
        <w:tc>
          <w:tcPr>
            <w:tcW w:w="1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adjustments for change in tax basis</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37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w w:val="98"/>
              </w:rPr>
              <w:t>Common stock dividends and distributions to CEG</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March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1,886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2,995</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7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For the Three Months Ended March 31, 2020</w:t>
      </w:r>
    </w:p>
    <w:p>
      <w:pPr>
        <w:spacing w:after="0" w:line="167"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center"/>
              <w:ind w:right="103"/>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Preferred</w:t>
            </w:r>
          </w:p>
        </w:tc>
        <w:tc>
          <w:tcPr>
            <w:tcW w:w="100" w:type="dxa"/>
            <w:vAlign w:val="bottom"/>
          </w:tcPr>
          <w:p>
            <w:pPr>
              <w:spacing w:after="0"/>
              <w:rPr>
                <w:sz w:val="10"/>
                <w:szCs w:val="10"/>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Other</w:t>
            </w: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6"/>
              </w:rPr>
              <w:t>Non-controlling</w:t>
            </w: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2"/>
              </w:rPr>
              <w:t>Paid-In</w:t>
            </w:r>
          </w:p>
        </w:tc>
        <w:tc>
          <w:tcPr>
            <w:tcW w:w="9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1120" w:type="dxa"/>
            <w:vAlign w:val="bottom"/>
            <w:gridSpan w:val="3"/>
            <w:vMerge w:val="continue"/>
          </w:tcPr>
          <w:p>
            <w:pPr>
              <w:spacing w:after="0"/>
              <w:rPr>
                <w:sz w:val="10"/>
                <w:szCs w:val="10"/>
                <w:color w:val="auto"/>
              </w:rPr>
            </w:pPr>
          </w:p>
        </w:tc>
        <w:tc>
          <w:tcPr>
            <w:tcW w:w="9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78"/>
              </w:rPr>
              <w:t>Loss</w:t>
            </w:r>
          </w:p>
        </w:tc>
        <w:tc>
          <w:tcPr>
            <w:tcW w:w="20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Interest</w:t>
            </w:r>
          </w:p>
        </w:tc>
        <w:tc>
          <w:tcPr>
            <w:tcW w:w="180" w:type="dxa"/>
            <w:vAlign w:val="bottom"/>
          </w:tcPr>
          <w:p>
            <w:pPr>
              <w:spacing w:after="0"/>
              <w:rPr>
                <w:sz w:val="11"/>
                <w:szCs w:val="11"/>
                <w:color w:val="auto"/>
              </w:rPr>
            </w:pPr>
          </w:p>
        </w:tc>
        <w:tc>
          <w:tcPr>
            <w:tcW w:w="720" w:type="dxa"/>
            <w:vAlign w:val="bottom"/>
          </w:tcPr>
          <w:p>
            <w:pPr>
              <w:jc w:val="center"/>
              <w:ind w:right="103"/>
              <w:spacing w:after="0" w:line="135"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December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1,936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gridSpan w:val="2"/>
          </w:tcPr>
          <w:p>
            <w:pPr>
              <w:ind w:left="220"/>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left="445"/>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Unrealized loss on derivatives, net of tax</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gridSpan w:val="2"/>
          </w:tcPr>
          <w:p>
            <w:pPr>
              <w:ind w:left="180"/>
              <w:spacing w:after="0"/>
              <w:rPr>
                <w:sz w:val="20"/>
                <w:szCs w:val="20"/>
                <w:color w:val="auto"/>
              </w:rPr>
            </w:pPr>
            <w:r>
              <w:rPr>
                <w:rFonts w:ascii="Arial" w:cs="Arial" w:eastAsia="Arial" w:hAnsi="Arial"/>
                <w:sz w:val="16"/>
                <w:szCs w:val="16"/>
                <w:color w:val="auto"/>
              </w:rPr>
              <w:t>Contributions from CEG, cash</w:t>
            </w:r>
          </w:p>
        </w:tc>
        <w:tc>
          <w:tcPr>
            <w:tcW w:w="10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center"/>
              <w:ind w:left="445"/>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74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6"/>
                <w:szCs w:val="16"/>
                <w:color w:val="auto"/>
              </w:rPr>
              <w:t>Contributions from tax equity interests, net of</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center"/>
              <w:ind w:left="445"/>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distributions, cash</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40" w:type="dxa"/>
            <w:vAlign w:val="bottom"/>
            <w:gridSpan w:val="2"/>
          </w:tcPr>
          <w:p>
            <w:pPr>
              <w:ind w:left="180"/>
              <w:spacing w:after="0" w:line="166" w:lineRule="exact"/>
              <w:rPr>
                <w:sz w:val="20"/>
                <w:szCs w:val="20"/>
                <w:color w:val="auto"/>
              </w:rPr>
            </w:pPr>
            <w:r>
              <w:rPr>
                <w:rFonts w:ascii="Arial" w:cs="Arial" w:eastAsia="Arial" w:hAnsi="Arial"/>
                <w:sz w:val="16"/>
                <w:szCs w:val="16"/>
                <w:color w:val="auto"/>
              </w:rPr>
              <w:t>Net proceeds from the issuance of common stock</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20" w:type="dxa"/>
            <w:vAlign w:val="bottom"/>
            <w:vMerge w:val="restart"/>
          </w:tcPr>
          <w:p>
            <w:pPr>
              <w:jc w:val="right"/>
              <w:ind w:right="4"/>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40" w:type="dxa"/>
            <w:vAlign w:val="bottom"/>
            <w:gridSpan w:val="2"/>
            <w:vMerge w:val="restart"/>
          </w:tcPr>
          <w:p>
            <w:pPr>
              <w:jc w:val="center"/>
              <w:ind w:left="445"/>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gridSpan w:val="2"/>
          </w:tcPr>
          <w:p>
            <w:pPr>
              <w:ind w:left="180"/>
              <w:spacing w:after="0"/>
              <w:rPr>
                <w:sz w:val="20"/>
                <w:szCs w:val="20"/>
                <w:color w:val="auto"/>
              </w:rPr>
            </w:pPr>
            <w:r>
              <w:rPr>
                <w:rFonts w:ascii="Arial" w:cs="Arial" w:eastAsia="Arial" w:hAnsi="Arial"/>
                <w:sz w:val="16"/>
                <w:szCs w:val="16"/>
                <w:color w:val="auto"/>
              </w:rPr>
              <w:t>under the ATM Program</w:t>
            </w:r>
          </w:p>
        </w:tc>
        <w:tc>
          <w:tcPr>
            <w:tcW w:w="10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Distributions to tax equity investors, non-cash</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left="445"/>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gridSpan w:val="2"/>
          </w:tcPr>
          <w:p>
            <w:pPr>
              <w:ind w:left="180"/>
              <w:spacing w:after="0"/>
              <w:rPr>
                <w:sz w:val="20"/>
                <w:szCs w:val="20"/>
                <w:color w:val="auto"/>
              </w:rPr>
            </w:pPr>
            <w:r>
              <w:rPr>
                <w:rFonts w:ascii="Arial" w:cs="Arial" w:eastAsia="Arial" w:hAnsi="Arial"/>
                <w:sz w:val="16"/>
                <w:szCs w:val="16"/>
                <w:color w:val="auto"/>
                <w:w w:val="99"/>
              </w:rPr>
              <w:t>Common stock dividends and distributions to CEG</w:t>
            </w:r>
          </w:p>
        </w:tc>
        <w:tc>
          <w:tcPr>
            <w:tcW w:w="10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center"/>
              <w:ind w:left="445"/>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1"/>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March 31,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center"/>
              <w:ind w:left="545"/>
              <w:spacing w:after="0"/>
              <w:rPr>
                <w:sz w:val="20"/>
                <w:szCs w:val="20"/>
                <w:color w:val="auto"/>
              </w:rPr>
            </w:pPr>
            <w:r>
              <w:rPr>
                <w:rFonts w:ascii="Arial" w:cs="Arial" w:eastAsia="Arial" w:hAnsi="Arial"/>
                <w:sz w:val="14"/>
                <w:szCs w:val="14"/>
                <w:color w:val="auto"/>
                <w:w w:val="96"/>
              </w:rPr>
              <w:t>(21)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880"/>
          </w:cols>
          <w:pgMar w:left="680" w:top="769"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Appendix Table A-1: Three Months Ended March 31, 2021,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7"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40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Conventional</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Thermal</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Plus:</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Amortization, and ARO</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Contract Amortization</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on Debt Extinguishment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4200" w:type="dxa"/>
            <w:vAlign w:val="bottom"/>
            <w:gridSpan w:val="2"/>
          </w:tcPr>
          <w:p>
            <w:pPr>
              <w:ind w:left="160"/>
              <w:spacing w:after="0"/>
              <w:rPr>
                <w:sz w:val="20"/>
                <w:szCs w:val="20"/>
                <w:color w:val="auto"/>
              </w:rPr>
            </w:pPr>
            <w:r>
              <w:rPr>
                <w:rFonts w:ascii="Arial" w:cs="Arial" w:eastAsia="Arial" w:hAnsi="Arial"/>
                <w:sz w:val="18"/>
                <w:szCs w:val="18"/>
                <w:color w:val="auto"/>
                <w:w w:val="98"/>
              </w:rPr>
              <w:t>Mark to Market (MtM) Losses on Economic Hedges</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6"/>
        </w:trPr>
        <w:tc>
          <w:tcPr>
            <w:tcW w:w="420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Adjustments to reflect CWEN’s pro-rata share of</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200" w:type="dxa"/>
            <w:vAlign w:val="bottom"/>
            <w:gridSpan w:val="2"/>
          </w:tcPr>
          <w:p>
            <w:pPr>
              <w:ind w:left="340"/>
              <w:spacing w:after="0"/>
              <w:rPr>
                <w:sz w:val="20"/>
                <w:szCs w:val="20"/>
                <w:color w:val="auto"/>
              </w:rPr>
            </w:pPr>
            <w:r>
              <w:rPr>
                <w:rFonts w:ascii="Arial" w:cs="Arial" w:eastAsia="Arial" w:hAnsi="Arial"/>
                <w:sz w:val="18"/>
                <w:szCs w:val="18"/>
                <w:color w:val="auto"/>
              </w:rPr>
              <w:t>Adjusted EBITDA from Unconsolidated Affiliates</w:t>
            </w: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A-2: Three Months Ended March 31, 2020,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7"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40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Conventional</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Thermal</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Plus:</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Amortization, and ARO</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Contract Amortization</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on Debt Extinguishment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5"/>
        </w:trPr>
        <w:tc>
          <w:tcPr>
            <w:tcW w:w="420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Mark to Market (MtM) Losses</w:t>
            </w:r>
          </w:p>
        </w:tc>
        <w:tc>
          <w:tcPr>
            <w:tcW w:w="140" w:type="dxa"/>
            <w:vAlign w:val="bottom"/>
          </w:tcPr>
          <w:p>
            <w:pPr>
              <w:spacing w:after="0"/>
              <w:rPr>
                <w:sz w:val="15"/>
                <w:szCs w:val="15"/>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200" w:type="dxa"/>
            <w:vAlign w:val="bottom"/>
            <w:gridSpan w:val="2"/>
          </w:tcPr>
          <w:p>
            <w:pPr>
              <w:ind w:left="300"/>
              <w:spacing w:after="0"/>
              <w:rPr>
                <w:sz w:val="20"/>
                <w:szCs w:val="20"/>
                <w:color w:val="auto"/>
              </w:rPr>
            </w:pPr>
            <w:r>
              <w:rPr>
                <w:rFonts w:ascii="Arial" w:cs="Arial" w:eastAsia="Arial" w:hAnsi="Arial"/>
                <w:sz w:val="18"/>
                <w:szCs w:val="18"/>
                <w:color w:val="auto"/>
              </w:rPr>
              <w:t>on economic hedges</w:t>
            </w: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Other Non-recurring Charges</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5"/>
        </w:trPr>
        <w:tc>
          <w:tcPr>
            <w:tcW w:w="420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Adjustments to reflect CWEN’s pro-rata share of</w:t>
            </w: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Adjusted EBITDA from Unconsolidated Affiliates</w:t>
            </w: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w:t>
            </w:r>
          </w:p>
        </w:tc>
        <w:tc>
          <w:tcPr>
            <w:tcW w:w="0" w:type="dxa"/>
            <w:vAlign w:val="bottom"/>
          </w:tcPr>
          <w:p>
            <w:pPr>
              <w:spacing w:after="0"/>
              <w:rPr>
                <w:sz w:val="1"/>
                <w:szCs w:val="1"/>
                <w:color w:val="auto"/>
              </w:rPr>
            </w:pP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386"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Appendix Table A-3: Cash Available for Distribution Reconciliation</w:t>
      </w:r>
    </w:p>
    <w:p>
      <w:pPr>
        <w:spacing w:after="0" w:line="22" w:lineRule="exact"/>
        <w:rPr>
          <w:sz w:val="20"/>
          <w:szCs w:val="20"/>
          <w:color w:val="auto"/>
        </w:rPr>
      </w:pPr>
    </w:p>
    <w:p>
      <w:pPr>
        <w:ind w:right="460"/>
        <w:spacing w:after="0" w:line="244" w:lineRule="auto"/>
        <w:rPr>
          <w:sz w:val="20"/>
          <w:szCs w:val="20"/>
          <w:color w:val="auto"/>
        </w:rPr>
      </w:pPr>
      <w:r>
        <w:rPr>
          <w:rFonts w:ascii="Arial" w:cs="Arial" w:eastAsia="Arial" w:hAnsi="Arial"/>
          <w:sz w:val="20"/>
          <w:szCs w:val="20"/>
          <w:color w:val="auto"/>
        </w:rPr>
        <w:t>The following table summarizes the calculation of Cash Available for Distribution and provides a reconciliation to Cash from Operating Activities:</w:t>
      </w:r>
    </w:p>
    <w:p>
      <w:pPr>
        <w:spacing w:after="0" w:line="14" w:lineRule="exact"/>
        <w:rPr>
          <w:sz w:val="20"/>
          <w:szCs w:val="20"/>
          <w:color w:val="auto"/>
        </w:rPr>
      </w:pPr>
    </w:p>
    <w:tbl>
      <w:tblPr>
        <w:tblLayout w:type="fixed"/>
        <w:tblInd w:w="1860" w:type="dxa"/>
        <w:tblCellMar>
          <w:top w:w="0" w:type="dxa"/>
          <w:left w:w="0" w:type="dxa"/>
          <w:bottom w:w="0" w:type="dxa"/>
          <w:right w:w="0" w:type="dxa"/>
        </w:tblCellMar>
      </w:tblPr>
      <w:tr>
        <w:trPr>
          <w:trHeight w:val="230"/>
        </w:trPr>
        <w:tc>
          <w:tcPr>
            <w:tcW w:w="5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3/31/21</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3/31/20</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c>
          <w:tcPr>
            <w:tcW w:w="0" w:type="dxa"/>
            <w:vAlign w:val="bottom"/>
          </w:tcPr>
          <w:p>
            <w:pPr>
              <w:spacing w:after="0"/>
              <w:rPr>
                <w:sz w:val="1"/>
                <w:szCs w:val="1"/>
                <w:color w:val="auto"/>
              </w:rPr>
            </w:pPr>
          </w:p>
        </w:tc>
      </w:tr>
      <w:tr>
        <w:trPr>
          <w:trHeight w:val="223"/>
        </w:trPr>
        <w:tc>
          <w:tcPr>
            <w:tcW w:w="5140" w:type="dxa"/>
            <w:vAlign w:val="bottom"/>
          </w:tcPr>
          <w:p>
            <w:pPr>
              <w:ind w:left="140"/>
              <w:spacing w:after="0"/>
              <w:rPr>
                <w:sz w:val="20"/>
                <w:szCs w:val="20"/>
                <w:color w:val="auto"/>
              </w:rPr>
            </w:pPr>
            <w:r>
              <w:rPr>
                <w:rFonts w:ascii="Arial" w:cs="Arial" w:eastAsia="Arial" w:hAnsi="Arial"/>
                <w:sz w:val="18"/>
                <w:szCs w:val="18"/>
                <w:color w:val="auto"/>
              </w:rPr>
              <w:t>Cash interest paid</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Changes in prepaid and accrued liabilities for tolling agreements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Pro-rata Adjusted EBITDA from unconsolidated affiliates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from unconsolidated affiliates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Changes in working capital and other</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23"/>
        </w:trPr>
        <w:tc>
          <w:tcPr>
            <w:tcW w:w="5140" w:type="dxa"/>
            <w:vAlign w:val="bottom"/>
          </w:tcPr>
          <w:p>
            <w:pPr>
              <w:ind w:left="140"/>
              <w:spacing w:after="0"/>
              <w:rPr>
                <w:sz w:val="20"/>
                <w:szCs w:val="20"/>
                <w:color w:val="auto"/>
              </w:rPr>
            </w:pPr>
            <w:r>
              <w:rPr>
                <w:rFonts w:ascii="Arial" w:cs="Arial" w:eastAsia="Arial" w:hAnsi="Arial"/>
                <w:sz w:val="18"/>
                <w:szCs w:val="18"/>
                <w:color w:val="auto"/>
              </w:rPr>
              <w:t>Changes in working capital and other</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Development Expenses</w:t>
            </w:r>
            <w:r>
              <w:rPr>
                <w:rFonts w:ascii="Arial" w:cs="Arial" w:eastAsia="Arial" w:hAnsi="Arial"/>
                <w:sz w:val="23"/>
                <w:szCs w:val="23"/>
                <w:color w:val="auto"/>
                <w:vertAlign w:val="superscript"/>
              </w:rPr>
              <w:t>4</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140" w:type="dxa"/>
            <w:vAlign w:val="bottom"/>
          </w:tcPr>
          <w:p>
            <w:pPr>
              <w:ind w:left="140"/>
              <w:spacing w:after="0"/>
              <w:rPr>
                <w:sz w:val="20"/>
                <w:szCs w:val="20"/>
                <w:color w:val="auto"/>
              </w:rPr>
            </w:pPr>
            <w:r>
              <w:rPr>
                <w:rFonts w:ascii="Arial" w:cs="Arial" w:eastAsia="Arial" w:hAnsi="Arial"/>
                <w:sz w:val="18"/>
                <w:szCs w:val="18"/>
                <w:color w:val="auto"/>
              </w:rPr>
              <w:t>Return of investment from unconsolidated affiliates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Net contributions from non-controlling interest</w:t>
            </w:r>
            <w:r>
              <w:rPr>
                <w:rFonts w:ascii="Arial" w:cs="Arial" w:eastAsia="Arial" w:hAnsi="Arial"/>
                <w:sz w:val="23"/>
                <w:szCs w:val="23"/>
                <w:color w:val="auto"/>
                <w:vertAlign w:val="superscript"/>
              </w:rPr>
              <w:t>5</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tcPr>
          <w:p>
            <w:pPr>
              <w:ind w:left="140"/>
              <w:spacing w:after="0"/>
              <w:rPr>
                <w:sz w:val="20"/>
                <w:szCs w:val="20"/>
                <w:color w:val="auto"/>
              </w:rPr>
            </w:pPr>
            <w:r>
              <w:rPr>
                <w:rFonts w:ascii="Arial" w:cs="Arial" w:eastAsia="Arial" w:hAnsi="Arial"/>
                <w:sz w:val="18"/>
                <w:szCs w:val="18"/>
                <w:color w:val="auto"/>
              </w:rPr>
              <w:t>Maintenance capital expenditures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Principal amortization of indebtedness</w:t>
            </w:r>
            <w:r>
              <w:rPr>
                <w:rFonts w:ascii="Arial" w:cs="Arial" w:eastAsia="Arial" w:hAnsi="Arial"/>
                <w:sz w:val="23"/>
                <w:szCs w:val="23"/>
                <w:color w:val="auto"/>
                <w:vertAlign w:val="superscript"/>
              </w:rPr>
              <w:t>6</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75"/>
        </w:trPr>
        <w:tc>
          <w:tcPr>
            <w:tcW w:w="5140" w:type="dxa"/>
            <w:vAlign w:val="bottom"/>
          </w:tcPr>
          <w:p>
            <w:pPr>
              <w:ind w:left="140"/>
              <w:spacing w:after="0" w:line="176" w:lineRule="exact"/>
              <w:rPr>
                <w:sz w:val="20"/>
                <w:szCs w:val="20"/>
                <w:color w:val="auto"/>
              </w:rPr>
            </w:pPr>
            <w:r>
              <w:rPr>
                <w:rFonts w:ascii="Arial" w:cs="Arial" w:eastAsia="Arial" w:hAnsi="Arial"/>
                <w:sz w:val="18"/>
                <w:szCs w:val="18"/>
                <w:color w:val="auto"/>
              </w:rPr>
              <w:t>Adjustments to reflect CAFD generated by unconsolidated</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40" w:type="dxa"/>
            <w:vAlign w:val="bottom"/>
          </w:tcPr>
          <w:p>
            <w:pPr>
              <w:ind w:left="140"/>
              <w:spacing w:after="0" w:line="176" w:lineRule="exact"/>
              <w:rPr>
                <w:sz w:val="20"/>
                <w:szCs w:val="20"/>
                <w:color w:val="auto"/>
              </w:rPr>
            </w:pPr>
            <w:r>
              <w:rPr>
                <w:rFonts w:ascii="Arial" w:cs="Arial" w:eastAsia="Arial" w:hAnsi="Arial"/>
                <w:sz w:val="18"/>
                <w:szCs w:val="18"/>
                <w:color w:val="auto"/>
                <w:w w:val="91"/>
              </w:rPr>
              <w:t>investments that are unable to distribute project dividends due to the</w:t>
            </w:r>
          </w:p>
        </w:tc>
        <w:tc>
          <w:tcPr>
            <w:tcW w:w="280" w:type="dxa"/>
            <w:vAlign w:val="bottom"/>
          </w:tcPr>
          <w:p>
            <w:pPr>
              <w:spacing w:after="0"/>
              <w:rPr>
                <w:sz w:val="15"/>
                <w:szCs w:val="15"/>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140" w:type="dxa"/>
            <w:vAlign w:val="bottom"/>
          </w:tcPr>
          <w:p>
            <w:pPr>
              <w:ind w:left="140"/>
              <w:spacing w:after="0"/>
              <w:rPr>
                <w:sz w:val="20"/>
                <w:szCs w:val="20"/>
                <w:color w:val="auto"/>
              </w:rPr>
            </w:pPr>
            <w:r>
              <w:rPr>
                <w:rFonts w:ascii="Arial" w:cs="Arial" w:eastAsia="Arial" w:hAnsi="Arial"/>
                <w:sz w:val="18"/>
                <w:szCs w:val="18"/>
                <w:color w:val="auto"/>
              </w:rPr>
              <w:t>PG&amp;E bankruptcy</w:t>
            </w:r>
          </w:p>
        </w:tc>
        <w:tc>
          <w:tcPr>
            <w:tcW w:w="2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Available for Distribution</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1714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0" w:hanging="112"/>
        <w:spacing w:after="0"/>
        <w:tabs>
          <w:tab w:leader="none" w:pos="120" w:val="left"/>
        </w:tabs>
        <w:numPr>
          <w:ilvl w:val="0"/>
          <w:numId w:val="5"/>
        </w:numPr>
        <w:rPr>
          <w:rFonts w:ascii="Arial" w:cs="Arial" w:eastAsia="Arial" w:hAnsi="Arial"/>
          <w:sz w:val="23"/>
          <w:szCs w:val="23"/>
          <w:color w:val="auto"/>
          <w:vertAlign w:val="superscript"/>
        </w:rPr>
      </w:pPr>
      <w:r>
        <w:rPr>
          <w:rFonts w:ascii="Arial" w:cs="Arial" w:eastAsia="Arial" w:hAnsi="Arial"/>
          <w:sz w:val="14"/>
          <w:szCs w:val="14"/>
          <w:color w:val="auto"/>
        </w:rPr>
        <w:t>Primarily relates to Thermal Development Expenses</w:t>
      </w:r>
    </w:p>
    <w:p>
      <w:pPr>
        <w:ind w:left="120" w:hanging="112"/>
        <w:spacing w:after="0" w:line="187" w:lineRule="auto"/>
        <w:tabs>
          <w:tab w:leader="none" w:pos="120" w:val="left"/>
        </w:tabs>
        <w:numPr>
          <w:ilvl w:val="0"/>
          <w:numId w:val="6"/>
        </w:numPr>
        <w:rPr>
          <w:rFonts w:ascii="Arial" w:cs="Arial" w:eastAsia="Arial" w:hAnsi="Arial"/>
          <w:sz w:val="21"/>
          <w:szCs w:val="21"/>
          <w:color w:val="auto"/>
          <w:vertAlign w:val="superscript"/>
        </w:rPr>
      </w:pPr>
      <w:r>
        <w:rPr>
          <w:rFonts w:ascii="Arial" w:cs="Arial" w:eastAsia="Arial" w:hAnsi="Arial"/>
          <w:sz w:val="13"/>
          <w:szCs w:val="13"/>
          <w:color w:val="auto"/>
        </w:rPr>
        <w:t>2021 excludes $107 million of contributions related to funding of Rattlesnake; 2020 excludes $152 million of contributions relating to funding of Repowering 1.0 Partnership</w:t>
      </w:r>
    </w:p>
    <w:p>
      <w:pPr>
        <w:spacing w:after="0" w:line="19" w:lineRule="exact"/>
        <w:rPr>
          <w:sz w:val="20"/>
          <w:szCs w:val="20"/>
          <w:color w:val="auto"/>
        </w:rPr>
      </w:pPr>
    </w:p>
    <w:p>
      <w:pPr>
        <w:ind w:right="80" w:firstLine="8"/>
        <w:spacing w:after="0" w:line="194" w:lineRule="auto"/>
        <w:tabs>
          <w:tab w:leader="none" w:pos="103" w:val="left"/>
        </w:tabs>
        <w:numPr>
          <w:ilvl w:val="0"/>
          <w:numId w:val="7"/>
        </w:numPr>
        <w:rPr>
          <w:rFonts w:ascii="Arial" w:cs="Arial" w:eastAsia="Arial" w:hAnsi="Arial"/>
          <w:sz w:val="23"/>
          <w:szCs w:val="23"/>
          <w:color w:val="auto"/>
          <w:vertAlign w:val="superscript"/>
        </w:rPr>
      </w:pPr>
      <w:r>
        <w:rPr>
          <w:rFonts w:ascii="Arial" w:cs="Arial" w:eastAsia="Arial" w:hAnsi="Arial"/>
          <w:sz w:val="14"/>
          <w:szCs w:val="14"/>
          <w:color w:val="auto"/>
        </w:rPr>
        <w:t>2021 excludes $805 million total consideration for the redemption of Corporate Notes and revolver payments, $52 million in connection with Pinnacle repowering; 2020 excludes $260 million for the repayment of construction financing in connection with the Repowering 1.0 Partnership and $90 million total consideration for the redemption of Corporate Notes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008" w:right="339" w:bottom="1440" w:gutter="0" w:footer="0" w:header="0"/>
        </w:sectPr>
      </w:pPr>
    </w:p>
    <w:bookmarkStart w:id="16" w:name="page17"/>
    <w:bookmarkEnd w:id="16"/>
    <w:p>
      <w:pPr>
        <w:ind w:right="60"/>
        <w:spacing w:after="0" w:line="293" w:lineRule="auto"/>
        <w:rPr>
          <w:sz w:val="20"/>
          <w:szCs w:val="20"/>
          <w:color w:val="auto"/>
        </w:rPr>
      </w:pPr>
      <w:r>
        <w:rPr>
          <w:rFonts w:ascii="Arial" w:cs="Arial" w:eastAsia="Arial" w:hAnsi="Arial"/>
          <w:sz w:val="19"/>
          <w:szCs w:val="19"/>
          <w:b w:val="1"/>
          <w:bCs w:val="1"/>
          <w:color w:val="auto"/>
        </w:rPr>
        <w:t xml:space="preserve">Appendix Table A-4: </w:t>
      </w:r>
      <w:r>
        <w:rPr>
          <w:rFonts w:ascii="Arial" w:cs="Arial" w:eastAsia="Arial" w:hAnsi="Arial"/>
          <w:sz w:val="16"/>
          <w:szCs w:val="16"/>
          <w:b w:val="1"/>
          <w:bCs w:val="1"/>
          <w:color w:val="auto"/>
        </w:rPr>
        <w:t>Three Months Ended March 31, 2021</w:t>
      </w:r>
      <w:r>
        <w:rPr>
          <w:rFonts w:ascii="Arial" w:cs="Arial" w:eastAsia="Arial" w:hAnsi="Arial"/>
          <w:sz w:val="19"/>
          <w:szCs w:val="19"/>
          <w:b w:val="1"/>
          <w:bCs w:val="1"/>
          <w:color w:val="auto"/>
        </w:rPr>
        <w:t xml:space="preserve">, Sources and Uses of Liquidity </w:t>
      </w:r>
      <w:r>
        <w:rPr>
          <w:rFonts w:ascii="Arial" w:cs="Arial" w:eastAsia="Arial" w:hAnsi="Arial"/>
          <w:sz w:val="19"/>
          <w:szCs w:val="19"/>
          <w:color w:val="auto"/>
        </w:rPr>
        <w:t>The following table summarizes the sources and uses of liquidity in 2021:</w:t>
      </w:r>
    </w:p>
    <w:p>
      <w:pPr>
        <w:spacing w:after="0" w:line="380" w:lineRule="exact"/>
        <w:rPr>
          <w:sz w:val="20"/>
          <w:szCs w:val="20"/>
          <w:color w:val="auto"/>
        </w:rPr>
      </w:pPr>
    </w:p>
    <w:p>
      <w:pPr>
        <w:ind w:left="178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14605</wp:posOffset>
            </wp:positionV>
            <wp:extent cx="490347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3470" cy="146050"/>
                    </a:xfrm>
                    <a:prstGeom prst="rect">
                      <a:avLst/>
                    </a:prstGeom>
                    <a:noFill/>
                  </pic:spPr>
                </pic:pic>
              </a:graphicData>
            </a:graphic>
          </wp:anchor>
        </w:drawing>
      </w:r>
    </w:p>
    <w:p>
      <w:pPr>
        <w:spacing w:after="0" w:line="17"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Sources:</w:t>
      </w:r>
    </w:p>
    <w:p>
      <w:pPr>
        <w:spacing w:after="0" w:line="50"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Proceeds from the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17780</wp:posOffset>
            </wp:positionV>
            <wp:extent cx="490347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3470" cy="145415"/>
                    </a:xfrm>
                    <a:prstGeom prst="rect">
                      <a:avLst/>
                    </a:prstGeom>
                    <a:noFill/>
                  </pic:spPr>
                </pic:pic>
              </a:graphicData>
            </a:graphic>
          </wp:anchor>
        </w:drawing>
      </w:r>
    </w:p>
    <w:p>
      <w:pPr>
        <w:spacing w:after="0" w:line="2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Net contributions from non-controlling interests</w:t>
      </w:r>
    </w:p>
    <w:p>
      <w:pPr>
        <w:spacing w:after="0" w:line="4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Proceeds from the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17780</wp:posOffset>
            </wp:positionV>
            <wp:extent cx="490347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03470" cy="145415"/>
                    </a:xfrm>
                    <a:prstGeom prst="rect">
                      <a:avLst/>
                    </a:prstGeom>
                    <a:noFill/>
                  </pic:spPr>
                </pic:pic>
              </a:graphicData>
            </a:graphic>
          </wp:anchor>
        </w:drawing>
      </w:r>
    </w:p>
    <w:p>
      <w:pPr>
        <w:spacing w:after="0" w:line="2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Net cash provided by operating activities</w:t>
      </w:r>
    </w:p>
    <w:p>
      <w:pPr>
        <w:spacing w:after="0" w:line="4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Return of investment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17780</wp:posOffset>
            </wp:positionV>
            <wp:extent cx="490347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03470" cy="146050"/>
                    </a:xfrm>
                    <a:prstGeom prst="rect">
                      <a:avLst/>
                    </a:prstGeom>
                    <a:noFill/>
                  </pic:spPr>
                </pic:pic>
              </a:graphicData>
            </a:graphic>
          </wp:anchor>
        </w:drawing>
      </w:r>
    </w:p>
    <w:p>
      <w:pPr>
        <w:spacing w:after="0" w:line="2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Other net cash inflows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146685</wp:posOffset>
            </wp:positionV>
            <wp:extent cx="490347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03470" cy="154305"/>
                    </a:xfrm>
                    <a:prstGeom prst="rect">
                      <a:avLst/>
                    </a:prstGeom>
                    <a:noFill/>
                  </pic:spPr>
                </pic:pic>
              </a:graphicData>
            </a:graphic>
          </wp:anchor>
        </w:drawing>
      </w:r>
    </w:p>
    <w:p>
      <w:pPr>
        <w:spacing w:after="0" w:line="238"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Uses:</w:t>
      </w:r>
    </w:p>
    <w:p>
      <w:pPr>
        <w:spacing w:after="0" w:line="50"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Payments for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17780</wp:posOffset>
            </wp:positionV>
            <wp:extent cx="490347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03470" cy="145415"/>
                    </a:xfrm>
                    <a:prstGeom prst="rect">
                      <a:avLst/>
                    </a:prstGeom>
                    <a:noFill/>
                  </pic:spPr>
                </pic:pic>
              </a:graphicData>
            </a:graphic>
          </wp:anchor>
        </w:drawing>
      </w:r>
    </w:p>
    <w:p>
      <w:pPr>
        <w:spacing w:after="0" w:line="2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Payments for the revolving credit facility</w:t>
      </w:r>
    </w:p>
    <w:p>
      <w:pPr>
        <w:spacing w:after="0" w:line="32"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Acquisition of Drop Down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17780</wp:posOffset>
            </wp:positionV>
            <wp:extent cx="490347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03470" cy="146050"/>
                    </a:xfrm>
                    <a:prstGeom prst="rect">
                      <a:avLst/>
                    </a:prstGeom>
                    <a:noFill/>
                  </pic:spPr>
                </pic:pic>
              </a:graphicData>
            </a:graphic>
          </wp:anchor>
        </w:drawing>
      </w:r>
    </w:p>
    <w:p>
      <w:pPr>
        <w:spacing w:after="0" w:line="2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Acquisition of Agua Caliente, net of cash acquired</w:t>
      </w:r>
    </w:p>
    <w:p>
      <w:pPr>
        <w:spacing w:after="0" w:line="4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17780</wp:posOffset>
            </wp:positionV>
            <wp:extent cx="490347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03470" cy="145415"/>
                    </a:xfrm>
                    <a:prstGeom prst="rect">
                      <a:avLst/>
                    </a:prstGeom>
                    <a:noFill/>
                  </pic:spPr>
                </pic:pic>
              </a:graphicData>
            </a:graphic>
          </wp:anchor>
        </w:drawing>
      </w:r>
    </w:p>
    <w:p>
      <w:pPr>
        <w:spacing w:after="0" w:line="2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Payment of dividends and distributions</w:t>
      </w:r>
    </w:p>
    <w:p>
      <w:pPr>
        <w:spacing w:after="0" w:line="46"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Payments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17780</wp:posOffset>
            </wp:positionV>
            <wp:extent cx="490347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03470" cy="171450"/>
                    </a:xfrm>
                    <a:prstGeom prst="rect">
                      <a:avLst/>
                    </a:prstGeom>
                    <a:noFill/>
                  </pic:spPr>
                </pic:pic>
              </a:graphicData>
            </a:graphic>
          </wp:anchor>
        </w:drawing>
      </w:r>
    </w:p>
    <w:p>
      <w:pPr>
        <w:spacing w:after="0" w:line="278"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Change in total cash, cash equivalents,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jc w:val="center"/>
        <w:ind w:right="1760"/>
        <w:spacing w:after="0"/>
        <w:rPr>
          <w:sz w:val="20"/>
          <w:szCs w:val="20"/>
          <w:color w:val="auto"/>
        </w:rPr>
      </w:pPr>
      <w:r>
        <w:rPr>
          <w:rFonts w:ascii="Arial" w:cs="Arial" w:eastAsia="Arial" w:hAnsi="Arial"/>
          <w:sz w:val="18"/>
          <w:szCs w:val="18"/>
          <w:b w:val="1"/>
          <w:bCs w:val="1"/>
          <w:color w:val="auto"/>
        </w:rPr>
        <w:t>Three Months</w:t>
      </w:r>
    </w:p>
    <w:p>
      <w:pPr>
        <w:ind w:left="440"/>
        <w:spacing w:after="0"/>
        <w:rPr>
          <w:sz w:val="20"/>
          <w:szCs w:val="20"/>
          <w:color w:val="auto"/>
        </w:rPr>
      </w:pPr>
      <w:r>
        <w:rPr>
          <w:rFonts w:ascii="Arial" w:cs="Arial" w:eastAsia="Arial" w:hAnsi="Arial"/>
          <w:sz w:val="18"/>
          <w:szCs w:val="18"/>
          <w:b w:val="1"/>
          <w:bCs w:val="1"/>
          <w:color w:val="auto"/>
        </w:rPr>
        <w:t>Ended</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3/31/21</w:t>
      </w:r>
    </w:p>
    <w:p>
      <w:pPr>
        <w:spacing w:after="0" w:line="251"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1,004</w:t>
      </w:r>
    </w:p>
    <w:p>
      <w:pPr>
        <w:spacing w:after="0" w:line="23"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229</w:t>
      </w:r>
    </w:p>
    <w:p>
      <w:pPr>
        <w:spacing w:after="0" w:line="23"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195</w:t>
      </w:r>
    </w:p>
    <w:p>
      <w:pPr>
        <w:spacing w:after="0" w:line="23"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47</w:t>
      </w:r>
    </w:p>
    <w:p>
      <w:pPr>
        <w:spacing w:after="0" w:line="23"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67"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(957)</w:t>
      </w:r>
    </w:p>
    <w:p>
      <w:pPr>
        <w:spacing w:after="0" w:line="23"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(170)</w:t>
      </w:r>
    </w:p>
    <w:p>
      <w:pPr>
        <w:spacing w:after="0" w:line="26" w:lineRule="exact"/>
        <w:rPr>
          <w:sz w:val="20"/>
          <w:szCs w:val="20"/>
          <w:color w:val="auto"/>
        </w:rPr>
      </w:pPr>
    </w:p>
    <w:p>
      <w:pPr>
        <w:jc w:val="center"/>
        <w:ind w:right="760"/>
        <w:spacing w:after="0"/>
        <w:rPr>
          <w:sz w:val="20"/>
          <w:szCs w:val="20"/>
          <w:color w:val="auto"/>
        </w:rPr>
      </w:pPr>
      <w:r>
        <w:rPr>
          <w:rFonts w:ascii="Arial" w:cs="Arial" w:eastAsia="Arial" w:hAnsi="Arial"/>
          <w:sz w:val="15"/>
          <w:szCs w:val="15"/>
          <w:color w:val="auto"/>
        </w:rPr>
        <w:t>(132)</w:t>
      </w:r>
    </w:p>
    <w:p>
      <w:pPr>
        <w:spacing w:after="0" w:line="3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(111)</w:t>
      </w:r>
    </w:p>
    <w:p>
      <w:pPr>
        <w:spacing w:after="0" w:line="23"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(79)</w:t>
      </w:r>
    </w:p>
    <w:p>
      <w:pPr>
        <w:spacing w:after="0" w:line="23"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(66)</w:t>
      </w:r>
    </w:p>
    <w:p>
      <w:pPr>
        <w:spacing w:after="0" w:line="23"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(15)</w:t>
      </w:r>
    </w:p>
    <w:p>
      <w:pPr>
        <w:spacing w:after="0" w:line="292" w:lineRule="exact"/>
        <w:rPr>
          <w:sz w:val="20"/>
          <w:szCs w:val="20"/>
          <w:color w:val="auto"/>
        </w:rPr>
      </w:pPr>
    </w:p>
    <w:p>
      <w:pPr>
        <w:ind w:left="1100" w:hanging="1095"/>
        <w:spacing w:after="0"/>
        <w:tabs>
          <w:tab w:leader="none" w:pos="1100"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(34)</w:t>
      </w:r>
    </w:p>
    <w:p>
      <w:pPr>
        <w:spacing w:after="0" w:line="211" w:lineRule="exact"/>
        <w:rPr>
          <w:sz w:val="20"/>
          <w:szCs w:val="20"/>
          <w:color w:val="auto"/>
        </w:rPr>
      </w:pPr>
    </w:p>
    <w:p>
      <w:pPr>
        <w:sectPr>
          <w:pgSz w:w="11900" w:h="16838" w:orient="portrait"/>
          <w:cols w:equalWidth="0" w:num="2">
            <w:col w:w="7360" w:space="720"/>
            <w:col w:w="3160"/>
          </w:cols>
          <w:pgMar w:left="320" w:top="1008" w:right="339" w:bottom="1440" w:gutter="0" w:footer="0" w:header="0"/>
        </w:sectPr>
      </w:pPr>
    </w:p>
    <w:p>
      <w:pPr>
        <w:spacing w:after="0" w:line="390"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100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Appendix Table A-5: Adjusted EBITDA and Cash Available for Distribution Guidance</w:t>
      </w:r>
    </w:p>
    <w:p>
      <w:pPr>
        <w:spacing w:after="0" w:line="18" w:lineRule="exact"/>
        <w:rPr>
          <w:sz w:val="20"/>
          <w:szCs w:val="20"/>
          <w:color w:val="auto"/>
        </w:rPr>
      </w:pPr>
    </w:p>
    <w:tbl>
      <w:tblPr>
        <w:tblLayout w:type="fixed"/>
        <w:tblInd w:w="186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78"/>
              <w:spacing w:after="0"/>
              <w:rPr>
                <w:sz w:val="20"/>
                <w:szCs w:val="20"/>
                <w:color w:val="auto"/>
              </w:rPr>
            </w:pPr>
            <w:r>
              <w:rPr>
                <w:rFonts w:ascii="Arial" w:cs="Arial" w:eastAsia="Arial" w:hAnsi="Arial"/>
                <w:sz w:val="18"/>
                <w:szCs w:val="18"/>
                <w:b w:val="1"/>
                <w:bCs w:val="1"/>
                <w:color w:val="auto"/>
              </w:rPr>
              <w:t>2021 Full</w:t>
            </w:r>
          </w:p>
        </w:tc>
        <w:tc>
          <w:tcPr>
            <w:tcW w:w="160" w:type="dxa"/>
            <w:vAlign w:val="bottom"/>
          </w:tcPr>
          <w:p>
            <w:pPr>
              <w:spacing w:after="0"/>
              <w:rPr>
                <w:sz w:val="17"/>
                <w:szCs w:val="17"/>
                <w:color w:val="auto"/>
              </w:rPr>
            </w:pPr>
          </w:p>
        </w:tc>
        <w:tc>
          <w:tcPr>
            <w:tcW w:w="1080" w:type="dxa"/>
            <w:vAlign w:val="bottom"/>
            <w:vMerge w:val="restart"/>
          </w:tcPr>
          <w:p>
            <w:pPr>
              <w:jc w:val="right"/>
              <w:ind w:right="99"/>
              <w:spacing w:after="0"/>
              <w:rPr>
                <w:sz w:val="20"/>
                <w:szCs w:val="20"/>
                <w:color w:val="auto"/>
              </w:rPr>
            </w:pPr>
            <w:r>
              <w:rPr>
                <w:rFonts w:ascii="Arial" w:cs="Arial" w:eastAsia="Arial" w:hAnsi="Arial"/>
                <w:sz w:val="18"/>
                <w:szCs w:val="18"/>
                <w:b w:val="1"/>
                <w:bCs w:val="1"/>
                <w:color w:val="auto"/>
                <w:w w:val="97"/>
              </w:rPr>
              <w:t>Pro Forma</w:t>
            </w:r>
          </w:p>
        </w:tc>
        <w:tc>
          <w:tcPr>
            <w:tcW w:w="0" w:type="dxa"/>
            <w:vAlign w:val="bottom"/>
          </w:tcPr>
          <w:p>
            <w:pPr>
              <w:spacing w:after="0"/>
              <w:rPr>
                <w:sz w:val="1"/>
                <w:szCs w:val="1"/>
                <w:color w:val="auto"/>
              </w:rPr>
            </w:pPr>
          </w:p>
        </w:tc>
      </w:tr>
      <w:tr>
        <w:trPr>
          <w:trHeight w:val="81"/>
        </w:trPr>
        <w:tc>
          <w:tcPr>
            <w:tcW w:w="5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restart"/>
          </w:tcPr>
          <w:p>
            <w:pPr>
              <w:jc w:val="right"/>
              <w:ind w:right="278"/>
              <w:spacing w:after="0" w:line="176" w:lineRule="exact"/>
              <w:rPr>
                <w:sz w:val="20"/>
                <w:szCs w:val="20"/>
                <w:color w:val="auto"/>
              </w:rPr>
            </w:pPr>
            <w:r>
              <w:rPr>
                <w:rFonts w:ascii="Arial" w:cs="Arial" w:eastAsia="Arial" w:hAnsi="Arial"/>
                <w:sz w:val="18"/>
                <w:szCs w:val="18"/>
                <w:b w:val="1"/>
                <w:bCs w:val="1"/>
                <w:color w:val="auto"/>
              </w:rPr>
              <w:t>Year</w:t>
            </w: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5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7"/>
              </w:rPr>
              <w:t>CAFD Outlook</w:t>
            </w:r>
          </w:p>
        </w:tc>
        <w:tc>
          <w:tcPr>
            <w:tcW w:w="0" w:type="dxa"/>
            <w:vAlign w:val="bottom"/>
          </w:tcPr>
          <w:p>
            <w:pPr>
              <w:spacing w:after="0"/>
              <w:rPr>
                <w:sz w:val="1"/>
                <w:szCs w:val="1"/>
                <w:color w:val="auto"/>
              </w:rPr>
            </w:pPr>
          </w:p>
        </w:tc>
      </w:tr>
      <w:tr>
        <w:trPr>
          <w:trHeight w:val="140"/>
        </w:trPr>
        <w:tc>
          <w:tcPr>
            <w:tcW w:w="52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Pr>
          <w:p>
            <w:pPr>
              <w:spacing w:after="0"/>
              <w:rPr>
                <w:sz w:val="12"/>
                <w:szCs w:val="12"/>
                <w:color w:val="auto"/>
              </w:rPr>
            </w:pPr>
          </w:p>
        </w:tc>
        <w:tc>
          <w:tcPr>
            <w:tcW w:w="960" w:type="dxa"/>
            <w:vAlign w:val="bottom"/>
            <w:vMerge w:val="restart"/>
          </w:tcPr>
          <w:p>
            <w:pPr>
              <w:jc w:val="right"/>
              <w:ind w:right="98"/>
              <w:spacing w:after="0"/>
              <w:rPr>
                <w:sz w:val="20"/>
                <w:szCs w:val="20"/>
                <w:color w:val="auto"/>
              </w:rPr>
            </w:pPr>
            <w:r>
              <w:rPr>
                <w:rFonts w:ascii="Arial" w:cs="Arial" w:eastAsia="Arial" w:hAnsi="Arial"/>
                <w:sz w:val="18"/>
                <w:szCs w:val="18"/>
                <w:b w:val="1"/>
                <w:bCs w:val="1"/>
                <w:color w:val="auto"/>
                <w:w w:val="92"/>
              </w:rPr>
              <w:t>Guidance</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5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265</w:t>
            </w:r>
          </w:p>
        </w:tc>
        <w:tc>
          <w:tcPr>
            <w:tcW w:w="0" w:type="dxa"/>
            <w:vAlign w:val="bottom"/>
          </w:tcPr>
          <w:p>
            <w:pPr>
              <w:spacing w:after="0"/>
              <w:rPr>
                <w:sz w:val="1"/>
                <w:szCs w:val="1"/>
                <w:color w:val="auto"/>
              </w:rPr>
            </w:pPr>
          </w:p>
        </w:tc>
      </w:tr>
      <w:tr>
        <w:trPr>
          <w:trHeight w:val="223"/>
        </w:trPr>
        <w:tc>
          <w:tcPr>
            <w:tcW w:w="50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29"/>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Depreciation, Amortization, and ARO Expense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600</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176"/>
        </w:trPr>
        <w:tc>
          <w:tcPr>
            <w:tcW w:w="522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Adjustment to reflect CWEN share of Adjusted EBITDA in</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unconsolidated affiliates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0"/>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Non-Cash Equity Compensation</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1,185</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1,335</w:t>
            </w:r>
          </w:p>
        </w:tc>
        <w:tc>
          <w:tcPr>
            <w:tcW w:w="0" w:type="dxa"/>
            <w:vAlign w:val="bottom"/>
          </w:tcPr>
          <w:p>
            <w:pPr>
              <w:spacing w:after="0"/>
              <w:rPr>
                <w:sz w:val="1"/>
                <w:szCs w:val="1"/>
                <w:color w:val="auto"/>
              </w:rPr>
            </w:pPr>
          </w:p>
        </w:tc>
      </w:tr>
      <w:tr>
        <w:trPr>
          <w:trHeight w:val="223"/>
        </w:trPr>
        <w:tc>
          <w:tcPr>
            <w:tcW w:w="5080" w:type="dxa"/>
            <w:vAlign w:val="bottom"/>
          </w:tcPr>
          <w:p>
            <w:pPr>
              <w:ind w:left="180"/>
              <w:spacing w:after="0"/>
              <w:rPr>
                <w:sz w:val="20"/>
                <w:szCs w:val="20"/>
                <w:color w:val="auto"/>
              </w:rPr>
            </w:pPr>
            <w:r>
              <w:rPr>
                <w:rFonts w:ascii="Arial" w:cs="Arial" w:eastAsia="Arial" w:hAnsi="Arial"/>
                <w:sz w:val="18"/>
                <w:szCs w:val="18"/>
                <w:color w:val="auto"/>
              </w:rPr>
              <w:t>Cash interest paid</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(347)</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Changes in prepaid and accrued liabilities for tolling agreements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57"/>
        </w:trPr>
        <w:tc>
          <w:tcPr>
            <w:tcW w:w="522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Adjustment to reflect sale-type lease</w:t>
            </w:r>
            <w:r>
              <w:rPr>
                <w:rFonts w:ascii="Arial" w:cs="Arial" w:eastAsia="Arial" w:hAnsi="Arial"/>
                <w:sz w:val="23"/>
                <w:szCs w:val="23"/>
                <w:color w:val="auto"/>
                <w:vertAlign w:val="superscript"/>
              </w:rPr>
              <w:t>7</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Pro-rata Adjusted EBITDA from unconsolidated affiliates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57"/>
        </w:trPr>
        <w:tc>
          <w:tcPr>
            <w:tcW w:w="522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Cash distributions from unconsolidated affiliates</w:t>
            </w:r>
            <w:r>
              <w:rPr>
                <w:rFonts w:ascii="Arial" w:cs="Arial" w:eastAsia="Arial" w:hAnsi="Arial"/>
                <w:sz w:val="23"/>
                <w:szCs w:val="23"/>
                <w:color w:val="auto"/>
                <w:vertAlign w:val="superscript"/>
              </w:rPr>
              <w:t>8</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 Payment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Cash from Operating Activities</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797</w:t>
            </w: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978</w:t>
            </w: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ind w:left="180"/>
              <w:spacing w:after="0" w:line="250" w:lineRule="exact"/>
              <w:rPr>
                <w:sz w:val="20"/>
                <w:szCs w:val="20"/>
                <w:color w:val="auto"/>
              </w:rPr>
            </w:pPr>
            <w:r>
              <w:rPr>
                <w:rFonts w:ascii="Arial" w:cs="Arial" w:eastAsia="Arial" w:hAnsi="Arial"/>
                <w:sz w:val="18"/>
                <w:szCs w:val="18"/>
                <w:color w:val="auto"/>
              </w:rPr>
              <w:t>Development Expense</w:t>
            </w:r>
            <w:r>
              <w:rPr>
                <w:rFonts w:ascii="Arial" w:cs="Arial" w:eastAsia="Arial" w:hAnsi="Arial"/>
                <w:sz w:val="23"/>
                <w:szCs w:val="23"/>
                <w:color w:val="auto"/>
                <w:vertAlign w:val="superscript"/>
              </w:rPr>
              <w:t>9</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7"/>
        </w:trPr>
        <w:tc>
          <w:tcPr>
            <w:tcW w:w="522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Net distributions to non-controlling interest</w:t>
            </w:r>
            <w:r>
              <w:rPr>
                <w:rFonts w:ascii="Arial" w:cs="Arial" w:eastAsia="Arial" w:hAnsi="Arial"/>
                <w:sz w:val="23"/>
                <w:szCs w:val="23"/>
                <w:color w:val="auto"/>
                <w:vertAlign w:val="superscript"/>
              </w:rPr>
              <w:t>10</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Maintenance capital expenditures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0"/>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Principal amortization of indebtedness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(416)</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Available for Distribution</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325</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395</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Add Back: Principal amortization of indebtedness</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Adjusted Cash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741</w:t>
            </w: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851</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A-6: Growth Investments 5 Year Average CAFD</w:t>
      </w:r>
    </w:p>
    <w:p>
      <w:pPr>
        <w:spacing w:after="0" w:line="261" w:lineRule="exact"/>
        <w:rPr>
          <w:sz w:val="20"/>
          <w:szCs w:val="20"/>
          <w:color w:val="auto"/>
        </w:rPr>
      </w:pPr>
    </w:p>
    <w:tbl>
      <w:tblPr>
        <w:tblLayout w:type="fixed"/>
        <w:tblInd w:w="270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6"/>
              <w:spacing w:after="0"/>
              <w:rPr>
                <w:sz w:val="20"/>
                <w:szCs w:val="20"/>
                <w:color w:val="auto"/>
              </w:rPr>
            </w:pPr>
            <w:r>
              <w:rPr>
                <w:rFonts w:ascii="Arial" w:cs="Arial" w:eastAsia="Arial" w:hAnsi="Arial"/>
                <w:sz w:val="18"/>
                <w:szCs w:val="18"/>
                <w:b w:val="1"/>
                <w:bCs w:val="1"/>
                <w:color w:val="auto"/>
                <w:w w:val="97"/>
              </w:rPr>
              <w:t>Mt Storm</w:t>
            </w:r>
          </w:p>
        </w:tc>
        <w:tc>
          <w:tcPr>
            <w:tcW w:w="0" w:type="dxa"/>
            <w:vAlign w:val="bottom"/>
          </w:tcPr>
          <w:p>
            <w:pPr>
              <w:spacing w:after="0"/>
              <w:rPr>
                <w:sz w:val="1"/>
                <w:szCs w:val="1"/>
                <w:color w:val="auto"/>
              </w:rPr>
            </w:pPr>
          </w:p>
        </w:tc>
      </w:tr>
      <w:tr>
        <w:trPr>
          <w:trHeight w:val="175"/>
        </w:trPr>
        <w:tc>
          <w:tcPr>
            <w:tcW w:w="46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100" w:type="dxa"/>
            <w:vAlign w:val="bottom"/>
          </w:tcPr>
          <w:p>
            <w:pPr>
              <w:spacing w:after="0"/>
              <w:rPr>
                <w:sz w:val="15"/>
                <w:szCs w:val="15"/>
                <w:color w:val="auto"/>
              </w:rPr>
            </w:pPr>
          </w:p>
        </w:tc>
        <w:tc>
          <w:tcPr>
            <w:tcW w:w="1100" w:type="dxa"/>
            <w:vAlign w:val="bottom"/>
          </w:tcPr>
          <w:p>
            <w:pPr>
              <w:jc w:val="center"/>
              <w:ind w:right="36"/>
              <w:spacing w:after="0" w:line="176" w:lineRule="exact"/>
              <w:rPr>
                <w:sz w:val="20"/>
                <w:szCs w:val="20"/>
                <w:color w:val="auto"/>
              </w:rPr>
            </w:pPr>
            <w:r>
              <w:rPr>
                <w:rFonts w:ascii="Arial" w:cs="Arial" w:eastAsia="Arial" w:hAnsi="Arial"/>
                <w:sz w:val="18"/>
                <w:szCs w:val="18"/>
                <w:b w:val="1"/>
                <w:bCs w:val="1"/>
                <w:color w:val="auto"/>
                <w:w w:val="90"/>
              </w:rPr>
              <w:t>5 Year Ave. -</w:t>
            </w:r>
          </w:p>
        </w:tc>
        <w:tc>
          <w:tcPr>
            <w:tcW w:w="0" w:type="dxa"/>
            <w:vAlign w:val="bottom"/>
          </w:tcPr>
          <w:p>
            <w:pPr>
              <w:spacing w:after="0"/>
              <w:rPr>
                <w:sz w:val="1"/>
                <w:szCs w:val="1"/>
                <w:color w:val="auto"/>
              </w:rPr>
            </w:pPr>
          </w:p>
        </w:tc>
      </w:tr>
      <w:tr>
        <w:trPr>
          <w:trHeight w:val="230"/>
        </w:trPr>
        <w:tc>
          <w:tcPr>
            <w:tcW w:w="46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ind w:right="36"/>
              <w:spacing w:after="0"/>
              <w:rPr>
                <w:sz w:val="20"/>
                <w:szCs w:val="20"/>
                <w:color w:val="auto"/>
              </w:rPr>
            </w:pPr>
            <w:r>
              <w:rPr>
                <w:rFonts w:ascii="Arial" w:cs="Arial" w:eastAsia="Arial" w:hAnsi="Arial"/>
                <w:sz w:val="18"/>
                <w:szCs w:val="18"/>
                <w:b w:val="1"/>
                <w:bCs w:val="1"/>
                <w:color w:val="auto"/>
                <w:w w:val="90"/>
              </w:rPr>
              <w:t>2022-2026</w:t>
            </w:r>
          </w:p>
        </w:tc>
        <w:tc>
          <w:tcPr>
            <w:tcW w:w="0" w:type="dxa"/>
            <w:vAlign w:val="bottom"/>
          </w:tcPr>
          <w:p>
            <w:pPr>
              <w:spacing w:after="0"/>
              <w:rPr>
                <w:sz w:val="1"/>
                <w:szCs w:val="1"/>
                <w:color w:val="auto"/>
              </w:rPr>
            </w:pPr>
          </w:p>
        </w:tc>
      </w:tr>
      <w:tr>
        <w:trPr>
          <w:trHeight w:val="223"/>
        </w:trPr>
        <w:tc>
          <w:tcPr>
            <w:tcW w:w="4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230"/>
        </w:trPr>
        <w:tc>
          <w:tcPr>
            <w:tcW w:w="4660" w:type="dxa"/>
            <w:vAlign w:val="bottom"/>
            <w:gridSpan w:val="2"/>
          </w:tcPr>
          <w:p>
            <w:pPr>
              <w:ind w:left="120"/>
              <w:spacing w:after="0"/>
              <w:rPr>
                <w:sz w:val="20"/>
                <w:szCs w:val="20"/>
                <w:color w:val="auto"/>
              </w:rPr>
            </w:pPr>
            <w:r>
              <w:rPr>
                <w:rFonts w:ascii="Arial" w:cs="Arial" w:eastAsia="Arial" w:hAnsi="Arial"/>
                <w:sz w:val="18"/>
                <w:szCs w:val="18"/>
                <w:color w:val="auto"/>
              </w:rPr>
              <w:t>Depreciation, Amortization, and ARO Expense</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4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Maintenance capital expenditures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3"/>
        </w:trPr>
        <w:tc>
          <w:tcPr>
            <w:tcW w:w="4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Estimated Cash Available for Distribution</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714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120" w:hanging="112"/>
        <w:spacing w:after="0"/>
        <w:tabs>
          <w:tab w:leader="none" w:pos="120" w:val="left"/>
        </w:tabs>
        <w:numPr>
          <w:ilvl w:val="0"/>
          <w:numId w:val="9"/>
        </w:numPr>
        <w:rPr>
          <w:rFonts w:ascii="Arial" w:cs="Arial" w:eastAsia="Arial" w:hAnsi="Arial"/>
          <w:sz w:val="23"/>
          <w:szCs w:val="23"/>
          <w:color w:val="auto"/>
          <w:vertAlign w:val="superscript"/>
        </w:rPr>
      </w:pPr>
      <w:r>
        <w:rPr>
          <w:rFonts w:ascii="Arial" w:cs="Arial" w:eastAsia="Arial" w:hAnsi="Arial"/>
          <w:sz w:val="14"/>
          <w:szCs w:val="14"/>
          <w:color w:val="auto"/>
        </w:rPr>
        <w:t>Adjustment to reflect cash generated from sales-type lease projects</w:t>
      </w:r>
    </w:p>
    <w:p>
      <w:pPr>
        <w:ind w:left="120" w:hanging="112"/>
        <w:spacing w:after="0" w:line="201" w:lineRule="auto"/>
        <w:tabs>
          <w:tab w:leader="none" w:pos="120" w:val="left"/>
        </w:tabs>
        <w:numPr>
          <w:ilvl w:val="0"/>
          <w:numId w:val="10"/>
        </w:numPr>
        <w:rPr>
          <w:rFonts w:ascii="Arial" w:cs="Arial" w:eastAsia="Arial" w:hAnsi="Arial"/>
          <w:sz w:val="21"/>
          <w:szCs w:val="21"/>
          <w:color w:val="auto"/>
          <w:vertAlign w:val="superscript"/>
        </w:rPr>
      </w:pPr>
      <w:r>
        <w:rPr>
          <w:rFonts w:ascii="Arial" w:cs="Arial" w:eastAsia="Arial" w:hAnsi="Arial"/>
          <w:sz w:val="13"/>
          <w:szCs w:val="13"/>
          <w:color w:val="auto"/>
        </w:rPr>
        <w:t>Distribution from unconsolidated affiliates can be classified as Return of Investment on Unconsolidated Affiliates when actuals are reported. This is below cash from operating activities</w:t>
      </w:r>
    </w:p>
    <w:p>
      <w:pPr>
        <w:spacing w:after="0" w:line="19" w:lineRule="exact"/>
        <w:rPr>
          <w:rFonts w:ascii="Arial" w:cs="Arial" w:eastAsia="Arial" w:hAnsi="Arial"/>
          <w:sz w:val="21"/>
          <w:szCs w:val="21"/>
          <w:color w:val="auto"/>
          <w:vertAlign w:val="superscript"/>
        </w:rPr>
      </w:pPr>
    </w:p>
    <w:p>
      <w:pPr>
        <w:spacing w:after="0" w:line="187"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9</w:t>
      </w:r>
      <w:r>
        <w:rPr>
          <w:rFonts w:ascii="Arial" w:cs="Arial" w:eastAsia="Arial" w:hAnsi="Arial"/>
          <w:sz w:val="13"/>
          <w:szCs w:val="13"/>
          <w:color w:val="auto"/>
        </w:rPr>
        <w:t xml:space="preserve"> Primarily relates to Thermal Development Expenses</w:t>
      </w:r>
    </w:p>
    <w:p>
      <w:pPr>
        <w:spacing w:after="0"/>
        <w:rPr>
          <w:rFonts w:ascii="Arial" w:cs="Arial" w:eastAsia="Arial" w:hAnsi="Arial"/>
          <w:sz w:val="21"/>
          <w:szCs w:val="21"/>
          <w:color w:val="auto"/>
          <w:vertAlign w:val="superscript"/>
        </w:rPr>
      </w:pPr>
      <w:r>
        <w:rPr>
          <w:rFonts w:ascii="Arial" w:cs="Arial" w:eastAsia="Arial" w:hAnsi="Arial"/>
          <w:sz w:val="23"/>
          <w:szCs w:val="23"/>
          <w:color w:val="auto"/>
          <w:vertAlign w:val="superscript"/>
        </w:rPr>
        <w:t>10</w:t>
      </w:r>
      <w:r>
        <w:rPr>
          <w:rFonts w:ascii="Arial" w:cs="Arial" w:eastAsia="Arial" w:hAnsi="Arial"/>
          <w:sz w:val="14"/>
          <w:szCs w:val="14"/>
          <w:color w:val="auto"/>
        </w:rPr>
        <w:t xml:space="preserve"> Includes tax equity proceeds and distributions to tax equity partners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765"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Non-GAAP Financial Information</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2"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EBITDA does not reflect cash expenditures, or future requirements for capital expenditures, or contractual commitments;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 or cash income tax payments;</w:t>
      </w:r>
    </w:p>
    <w:p>
      <w:pPr>
        <w:ind w:left="340" w:hanging="332"/>
        <w:spacing w:after="0" w:line="250"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320" w:hanging="312"/>
        <w:spacing w:after="0"/>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Other companies in this industry may calculate EBITDA differently than Clearway Energy does, limiting its usefulness as a comparative measure.</w:t>
      </w:r>
    </w:p>
    <w:p>
      <w:pPr>
        <w:spacing w:after="0" w:line="2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30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Cash Available for Distribution</w:t>
      </w:r>
    </w:p>
    <w:p>
      <w:pPr>
        <w:spacing w:after="0" w:line="2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non-GAAP measure, Cash Available for Distribution is defined as of March 31, 2021 as Adjusted EBITDA plus cash distributions/return of investment from unconsolidated affiliates, adjustments to reflect CAFD generated by unconsolidated investments that were not able to distribute project dividends prior to PG&amp;E's emergence from bankruptcy on July 1, 2020 and subsequent release post-bankruptcy, cash receipts from notes receivable, cash distributions from noncontrolling interests, adjustments to reflect sales-type lease cash payments,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 Management believes CAFD is a relevant supplemental measure of the Company’s ability to earn and distribute cash returns to investors.</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sectPr>
      <w:pgSz w:w="11900" w:h="16838" w:orient="portrait"/>
      <w:cols w:equalWidth="0" w:num="1">
        <w:col w:w="11240"/>
      </w:cols>
      <w:pgMar w:left="320" w:top="8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6"/>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7"/>
      <w:numFmt w:val="bullet"/>
      <w:start w:val="1"/>
    </w:lvl>
  </w:abstractNum>
  <w:abstractNum w:abstractNumId="9">
    <w:nsid w:val="216231B"/>
    <w:multiLevelType w:val="hybridMultilevel"/>
    <w:lvl w:ilvl="0">
      <w:lvlJc w:val="left"/>
      <w:lvlText w:val="8"/>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2021-05-06T06:01:02Z</dcterms:created>
  <dcterms:modified xsi:type="dcterms:W3CDTF">2021-05-06T06:01:02Z</dcterms:modified>
</cp:coreProperties>
</file>