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21,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27" w:right="23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727" w:right="2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420"/>
          </w:cols>
          <w:pgMar w:left="240" w:top="727" w:right="239" w:bottom="1440" w:gutter="0" w:footer="0" w:header="0"/>
          <w:type w:val="continuous"/>
        </w:sectPr>
      </w:pP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3040" w:firstLine="8"/>
        <w:spacing w:after="0" w:line="498" w:lineRule="auto"/>
        <w:tabs>
          <w:tab w:leader="none" w:pos="3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86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CWEN.A</w:t>
            </w:r>
          </w:p>
        </w:tc>
        <w:tc>
          <w:tcPr>
            <w:tcW w:w="4320" w:type="dxa"/>
            <w:vAlign w:val="bottom"/>
          </w:tcPr>
          <w:p>
            <w:pPr>
              <w:jc w:val="center"/>
              <w:ind w:left="250"/>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2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CWEN</w:t>
            </w:r>
          </w:p>
        </w:tc>
        <w:tc>
          <w:tcPr>
            <w:tcW w:w="43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780"/>
        <w:spacing w:after="0" w:line="207" w:lineRule="exact"/>
        <w:tabs>
          <w:tab w:leader="none" w:pos="99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Twelfth Supplemental Indenture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21, 2019, Clearway Energy Operating LLC (“Clearway Operating LLC”), a subsidiary of Clearway Energy LLC (“Clearway LLC”), the guarantors currently party to the 2024 Notes Indenture (defined below), Thermal Hawaii Development Holdings LLC (the “Guaranteeing Subsidiary”) and Delaware Trust Company (as successor in interest to Law Debenture Trust Company of New York), as trustee (the “Trustee”), entered into the twelfth supplemental indenture (the “Twelfth Supplemental Indenture”), supplementing the indenture, dated as of August 5, 2014 (as amended or supplemented to the date hereof, the “2024 Notes Indenture”), by and among Clearway Operating LLC, the guarantors party thereto and the Trustee, pursuant to which Clearway Operating LLC issued $500,000,000 in aggregate principal amount of its 5.375% Senior Notes due 2024 (the “2024 Notes”). Pursuant to the Twelfth Supplemental Indenture, the Guaranteeing Subsidiary became a guarantor of Clearway Operating LLC’s obligations under the 2024 Notes. Each of Clearway Operating LLC, Clearway LLC and the Guaranteeing Subsidiary are subsidiaries of Clearway Energy, Inc.</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Twelfth Supplemental Indenture does not purport to be complete and is qualified in its entirety by reference to the Twelfth Supplemental Indenture, which is attached as Exhibit 4.1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Eighth Supplemental Indenture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21, 2019, Clearway Operating LLC, the guarantors currently party to the 2026 Notes Indenture (defined below), the Guaranteeing Subsidiary and the Trustee also entered into the eighth supplemental indenture (the “Eighth Supplemental Indenture”), supplementing the indenture, dated as of August 18, 2016 (the “2026 Notes Indenture”), by and among Clearway Operating LLC, the guarantors party thereto and the Trustee, pursuant to which Clearway Operating LLC issued $350,000,000 in aggregate principal amount of its 5.000% Senior Notes due 2026 (the “2026 Notes”). Pursuant to the Eighth Supplemental Indenture, the Guaranteeing Subsidiary became a guarantor of Clearway Operating LLC’s obligations under the 2026 Notes.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Eighth Supplemental Indenture does not purport to be complete and is qualified in its entirety by reference to the Eighth Supplemental Indenture, which is attached as Exhibit 4.2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Supplemental Indenture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21, 2019, Clearway Operating LLC, the guarantors currently party to the 2025 Notes Indenture (defined below), the Guaranteeing Subsidiary and the Trustee also entered into the fourth supplemental indenture (the “Fourth Supplemental Indenture”), supplementing the indenture, dated as of October 1, 2018 (the “2025 Notes Indenture”), by and among Clearway Operating LLC, the guarantors party thereto and the Trustee, pursuant to which Clearway Operating LLC issued $600,000,000 in aggregate principal amount of its 5.750% Senior Notes due 2025 (the “2025 Notes”). Pursuant to the Fourth Supplemental Indenture, the Guaranteeing Subsidiary became a guarantor of Clearway Operating LLC’s obligations under the 2025 Notes.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Supplemental Indenture does not purport to be complete and is qualified in its entirety by reference to the Fourth Supplemental Indenture, which is attached as Exhibit 4.3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0" w:type="dxa"/>
            <w:vAlign w:val="bottom"/>
          </w:tcPr>
          <w:p>
            <w:pPr>
              <w:spacing w:after="0"/>
              <w:rPr>
                <w:sz w:val="20"/>
                <w:szCs w:val="20"/>
                <w:color w:val="auto"/>
              </w:rPr>
            </w:pPr>
          </w:p>
        </w:tc>
        <w:tc>
          <w:tcPr>
            <w:tcW w:w="7840" w:type="dxa"/>
            <w:vAlign w:val="bottom"/>
            <w:gridSpan w:val="3"/>
          </w:tcPr>
          <w:p>
            <w:pPr>
              <w:ind w:left="24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line="170"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tcBorders>
            <w:gridSpan w:val="4"/>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Twelfth Supplemental Indenture, dated as of November 21, 2019, among Clearway Energy Operating LLC, the guarantors named therein</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Delaware Trust Company (as successor in interest to Law Debenture Trust Company of New York).</w:t>
              </w:r>
            </w:hyperlink>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r>
      <w:tr>
        <w:trPr>
          <w:trHeight w:val="412"/>
        </w:trPr>
        <w:tc>
          <w:tcPr>
            <w:tcW w:w="1160" w:type="dxa"/>
            <w:vAlign w:val="bottom"/>
            <w:gridSpan w:val="4"/>
          </w:tcPr>
          <w:p>
            <w:pPr>
              <w:jc w:val="right"/>
              <w:ind w:right="46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20" w:type="dxa"/>
            <w:vAlign w:val="bottom"/>
          </w:tcPr>
          <w:p>
            <w:pPr>
              <w:spacing w:after="0"/>
              <w:rPr>
                <w:sz w:val="24"/>
                <w:szCs w:val="24"/>
                <w:color w:val="auto"/>
              </w:rPr>
            </w:pPr>
          </w:p>
        </w:tc>
        <w:tc>
          <w:tcPr>
            <w:tcW w:w="10040" w:type="dxa"/>
            <w:vAlign w:val="bottom"/>
            <w:gridSpan w:val="4"/>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Eighth Supplemental Indenture, dated as of November 21, 2019, among Clearway Energy Operating LLC, the guarantors named therein</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and Delaware Trust Company (as successor in interest to Law Debenture Trust Company of New York).</w:t>
              </w:r>
            </w:hyperlink>
          </w:p>
        </w:tc>
      </w:tr>
      <w:tr>
        <w:trPr>
          <w:trHeight w:val="20"/>
        </w:trPr>
        <w:tc>
          <w:tcPr>
            <w:tcW w:w="11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r>
      <w:tr>
        <w:trPr>
          <w:trHeight w:val="412"/>
        </w:trPr>
        <w:tc>
          <w:tcPr>
            <w:tcW w:w="1160" w:type="dxa"/>
            <w:vAlign w:val="bottom"/>
            <w:gridSpan w:val="4"/>
          </w:tcPr>
          <w:p>
            <w:pPr>
              <w:jc w:val="right"/>
              <w:ind w:right="46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20" w:type="dxa"/>
            <w:vAlign w:val="bottom"/>
          </w:tcPr>
          <w:p>
            <w:pPr>
              <w:spacing w:after="0"/>
              <w:rPr>
                <w:sz w:val="24"/>
                <w:szCs w:val="24"/>
                <w:color w:val="auto"/>
              </w:rPr>
            </w:pPr>
          </w:p>
        </w:tc>
        <w:tc>
          <w:tcPr>
            <w:tcW w:w="10040" w:type="dxa"/>
            <w:vAlign w:val="bottom"/>
            <w:gridSpan w:val="4"/>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Fourth Supplemental Indenture, dated as of November 21, 2019, among Clearway Energy Operating LLC, the guarantors named therein</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and Delaware Trust Company.</w:t>
              </w:r>
            </w:hyperlink>
          </w:p>
        </w:tc>
        <w:tc>
          <w:tcPr>
            <w:tcW w:w="7840" w:type="dxa"/>
            <w:vAlign w:val="bottom"/>
            <w:tcBorders>
              <w:top w:val="single" w:sz="8" w:color="0000EE"/>
            </w:tcBorders>
            <w:gridSpan w:val="3"/>
          </w:tcPr>
          <w:p>
            <w:pPr>
              <w:spacing w:after="0"/>
              <w:rPr>
                <w:sz w:val="17"/>
                <w:szCs w:val="17"/>
                <w:color w:val="auto"/>
              </w:rPr>
            </w:pPr>
          </w:p>
        </w:tc>
      </w:tr>
    </w:tbl>
    <w:p>
      <w:pPr>
        <w:spacing w:after="0" w:line="225" w:lineRule="exact"/>
        <w:rPr>
          <w:sz w:val="20"/>
          <w:szCs w:val="20"/>
          <w:color w:val="auto"/>
        </w:rPr>
      </w:pPr>
    </w:p>
    <w:p>
      <w:pPr>
        <w:ind w:left="5680" w:right="1980" w:hanging="5233"/>
        <w:spacing w:after="0" w:line="783" w:lineRule="auto"/>
        <w:tabs>
          <w:tab w:leader="none" w:pos="13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TWELFTH SUPPLEMENTAL INDENTURE</w:t>
      </w:r>
    </w:p>
    <w:p>
      <w:pPr>
        <w:spacing w:after="0" w:line="223"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color w:val="auto"/>
        </w:rPr>
        <w:t>TWELFTH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21, 2019, among Thermal Hawaii Development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(formerly known as NRG Yield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right="20" w:firstLine="1297"/>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August 5, 2014 providing for the issuance of 5.375% Senior Notes due 2024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380" w:hanging="724"/>
        <w:spacing w:after="0"/>
        <w:tabs>
          <w:tab w:leader="none" w:pos="1380"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49"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449"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jc w:val="both"/>
        <w:ind w:firstLine="656"/>
        <w:spacing w:after="0" w:line="266" w:lineRule="auto"/>
        <w:tabs>
          <w:tab w:leader="none" w:pos="1476"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6" w:lineRule="exact"/>
        <w:rPr>
          <w:rFonts w:ascii="Times New Roman" w:cs="Times New Roman" w:eastAsia="Times New Roman" w:hAnsi="Times New Roman"/>
          <w:sz w:val="18"/>
          <w:szCs w:val="18"/>
          <w:color w:val="010000"/>
        </w:rPr>
      </w:pPr>
    </w:p>
    <w:p>
      <w:pPr>
        <w:ind w:firstLine="656"/>
        <w:spacing w:after="0" w:line="282" w:lineRule="auto"/>
        <w:tabs>
          <w:tab w:leader="none" w:pos="1395"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340" w:hanging="684"/>
        <w:spacing w:after="0"/>
        <w:tabs>
          <w:tab w:leader="none" w:pos="134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99"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503"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firstLine="1297"/>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Twelfth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0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Twelfth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293370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20"/>
          </w:cols>
          <w:pgMar w:left="1440" w:top="904"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Benjamin Hancock</w:t>
      </w:r>
    </w:p>
    <w:p>
      <w:pPr>
        <w:spacing w:after="0" w:line="27" w:lineRule="exact"/>
        <w:rPr>
          <w:sz w:val="20"/>
          <w:szCs w:val="20"/>
          <w:color w:val="auto"/>
        </w:rPr>
      </w:pPr>
    </w:p>
    <w:p>
      <w:pPr>
        <w:jc w:val="right"/>
        <w:ind w:right="813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4"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Twelfth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EIGHTH SUPPLEMENTAL INDENTURE</w:t>
      </w:r>
    </w:p>
    <w:p>
      <w:pPr>
        <w:spacing w:after="0" w:line="223"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color w:val="auto"/>
        </w:rPr>
        <w:t>EIGHTH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21, 2019, among Thermal Hawaii Development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(formerly known as NRG Yield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August 18, 2016 providing for the issuance of 5.000% Senior Notes due 2026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280" w:hanging="624"/>
        <w:spacing w:after="0"/>
        <w:tabs>
          <w:tab w:leader="none" w:pos="128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86"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386"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jc w:val="both"/>
        <w:ind w:left="-20" w:firstLine="656"/>
        <w:spacing w:after="0" w:line="266" w:lineRule="auto"/>
        <w:tabs>
          <w:tab w:leader="none" w:pos="1393"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6" w:lineRule="exact"/>
        <w:rPr>
          <w:rFonts w:ascii="Times New Roman" w:cs="Times New Roman" w:eastAsia="Times New Roman" w:hAnsi="Times New Roman"/>
          <w:sz w:val="18"/>
          <w:szCs w:val="18"/>
          <w:color w:val="010000"/>
        </w:rPr>
      </w:pPr>
    </w:p>
    <w:p>
      <w:pPr>
        <w:ind w:left="-20" w:right="20" w:firstLine="656"/>
        <w:spacing w:after="0" w:line="282" w:lineRule="auto"/>
        <w:tabs>
          <w:tab w:leader="none" w:pos="1312"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260" w:hanging="624"/>
        <w:spacing w:after="0"/>
        <w:tabs>
          <w:tab w:leader="none" w:pos="126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left="-20" w:firstLine="656"/>
        <w:spacing w:after="0" w:line="266" w:lineRule="auto"/>
        <w:tabs>
          <w:tab w:leader="none" w:pos="1389"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010000"/>
        </w:rPr>
      </w:pPr>
    </w:p>
    <w:p>
      <w:pPr>
        <w:jc w:val="both"/>
        <w:ind w:left="-20" w:firstLine="656"/>
        <w:spacing w:after="0" w:line="261" w:lineRule="auto"/>
        <w:tabs>
          <w:tab w:leader="none" w:pos="1389"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0" w:name="page11"/>
    <w:bookmarkEnd w:id="10"/>
    <w:p>
      <w:pPr>
        <w:ind w:firstLine="1297"/>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Eighth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Eighth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447675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0"/>
          </w:cols>
          <w:pgMar w:left="1440" w:top="904" w:right="6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Benjamin Hancock</w:t>
      </w:r>
    </w:p>
    <w:p>
      <w:pPr>
        <w:spacing w:after="0" w:line="27" w:lineRule="exact"/>
        <w:rPr>
          <w:sz w:val="20"/>
          <w:szCs w:val="20"/>
          <w:color w:val="auto"/>
        </w:rPr>
      </w:pPr>
    </w:p>
    <w:p>
      <w:pPr>
        <w:jc w:val="right"/>
        <w:ind w:right="813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98"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Eighth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SUPPLEMENTAL INDENTURE</w:t>
      </w:r>
    </w:p>
    <w:p>
      <w:pPr>
        <w:spacing w:after="0" w:line="22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FOURTH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21, 2019, among Thermal Hawaii Development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(formerly known as NRG Yield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1, 2018 providing for the issuance of 5.750% Senior Notes due 2025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62" w:lineRule="exact"/>
        <w:rPr>
          <w:sz w:val="20"/>
          <w:szCs w:val="20"/>
          <w:color w:val="auto"/>
        </w:rPr>
      </w:pPr>
    </w:p>
    <w:p>
      <w:pPr>
        <w:ind w:left="1380" w:hanging="724"/>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14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 w:name="page15"/>
    <w:bookmarkEnd w:id="14"/>
    <w:p>
      <w:pPr>
        <w:ind w:left="-656" w:firstLine="656"/>
        <w:spacing w:after="0" w:line="282" w:lineRule="auto"/>
        <w:tabs>
          <w:tab w:leader="none" w:pos="7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724" w:hanging="724"/>
        <w:spacing w:after="0"/>
        <w:tabs>
          <w:tab w:leader="none" w:pos="7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8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8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Supplemental Indenture to be duly executed and attested, all as of the date first above written.</w:t>
      </w: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34"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3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310515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0"/>
          </w:cols>
          <w:pgMar w:left="1440" w:top="904"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Benjamin Hancock</w:t>
      </w:r>
    </w:p>
    <w:p>
      <w:pPr>
        <w:spacing w:after="0" w:line="27" w:lineRule="exact"/>
        <w:rPr>
          <w:sz w:val="20"/>
          <w:szCs w:val="20"/>
          <w:color w:val="auto"/>
        </w:rPr>
      </w:pPr>
    </w:p>
    <w:p>
      <w:pPr>
        <w:jc w:val="right"/>
        <w:ind w:right="813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25"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2019-12-28T01:17:42Z</dcterms:created>
  <dcterms:modified xsi:type="dcterms:W3CDTF">2019-12-28T01:17:42Z</dcterms:modified>
</cp:coreProperties>
</file>