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4"/>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24"/>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64"/>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2018</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64"/>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85"/>
          </w:cols>
          <w:pgMar w:left="275" w:top="10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75"/>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5"/>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74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85" w:space="720"/>
            <w:col w:w="2680" w:space="720"/>
            <w:col w:w="3080"/>
          </w:cols>
          <w:pgMar w:left="275" w:top="1067" w:right="339" w:bottom="1440" w:gutter="0" w:footer="0" w:header="0"/>
          <w:type w:val="continuous"/>
        </w:sectPr>
      </w:pPr>
    </w:p>
    <w:p>
      <w:pPr>
        <w:spacing w:after="0" w:line="397" w:lineRule="exact"/>
        <w:rPr>
          <w:sz w:val="24"/>
          <w:szCs w:val="24"/>
          <w:color w:val="auto"/>
        </w:rPr>
      </w:pPr>
    </w:p>
    <w:p>
      <w:pPr>
        <w:ind w:left="3725"/>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545"/>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6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5"/>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05" w:hanging="105"/>
        <w:spacing w:after="0" w:line="207" w:lineRule="exact"/>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left="5" w:right="5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185"/>
        <w:spacing w:after="0"/>
        <w:tabs>
          <w:tab w:leader="none" w:pos="7365"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left="5"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134620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5"/>
          </w:cols>
          <w:pgMar w:left="275" w:top="1067"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March 1, 2018, NRG Yield, Inc. issued a press release announcing its financial results for the year ended December 31, 2017. A copy of the press release is furnished as Exhibit 99.1 to this report on Form 8-K and is hereby incorporated by reference.</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660"/>
              <w:spacing w:after="0"/>
              <w:rPr>
                <w:sz w:val="20"/>
                <w:szCs w:val="20"/>
                <w:color w:val="auto"/>
              </w:rPr>
            </w:pPr>
            <w:r>
              <w:rPr>
                <w:rFonts w:ascii="Arial" w:cs="Arial" w:eastAsia="Arial" w:hAnsi="Arial"/>
                <w:sz w:val="18"/>
                <w:szCs w:val="18"/>
                <w:color w:val="auto"/>
              </w:rPr>
              <w:t>(d)</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360"/>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ind w:left="220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99.1</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March 1, 2018</w:t>
              </w:r>
            </w:hyperlink>
          </w:p>
        </w:tc>
        <w:tc>
          <w:tcPr>
            <w:tcW w:w="2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580" w:right="6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NRG Yield,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09395"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93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NRG Yield, Inc. Reports Full Year 2017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Increases Quarterly Dividend</w:t>
      </w:r>
    </w:p>
    <w:p>
      <w:pPr>
        <w:spacing w:after="0" w:line="283" w:lineRule="exact"/>
        <w:rPr>
          <w:sz w:val="20"/>
          <w:szCs w:val="20"/>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Cash from Operating Activities and Cash Available for Distribution (CAFD) in line with expectations with an increase in the annualized dividend by 15.2% in 2017</w:t>
      </w:r>
    </w:p>
    <w:p>
      <w:pPr>
        <w:spacing w:after="0" w:line="1"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Declared 3.47% quarterly dividend increase to $0.298 per share in first quarter 2018; continue to target annualized dividend per share growth of 15% through 2018</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Executed on growth investments in 2017 with $319 million in accretive capital deployed</w:t>
      </w:r>
    </w:p>
    <w:p>
      <w:pPr>
        <w:spacing w:after="0" w:line="63"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Announced transformative agreement with Global Infrastructure Partners (GIP) ("NRG Transaction") to become NRG Yield's new controlling stockholder and sponsor; closing of the NRG Transaction is expected in the second half of 2018</w:t>
      </w:r>
    </w:p>
    <w:p>
      <w:pPr>
        <w:spacing w:after="0" w:line="1"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Over $450 million of new capital commitments in 2018, including the binding agreements with NRG Energy, Inc. (NRG) to acquire the 154 MW Buckthorn Solar Project and the 527 MW Carlsbad Energy Center, funding for the University of Pittsburgh Medical Center (UPMC) thermal project, and additional investments in the distributed generation partnerships</w:t>
      </w:r>
    </w:p>
    <w:p>
      <w:pPr>
        <w:spacing w:after="0" w:line="14" w:lineRule="exact"/>
        <w:rPr>
          <w:rFonts w:ascii="Arial" w:cs="Arial" w:eastAsia="Arial" w:hAnsi="Arial"/>
          <w:sz w:val="18"/>
          <w:szCs w:val="18"/>
          <w:b w:val="1"/>
          <w:bCs w:val="1"/>
          <w:color w:val="auto"/>
        </w:rPr>
      </w:pPr>
    </w:p>
    <w:p>
      <w:pPr>
        <w:ind w:left="660" w:right="20" w:hanging="328"/>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Recorded $112 million in non-cash charges relating to a deferred tax asset write down from federal tax reform and asset impairment charges; financial performance of the projects remain within expectations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March 1, 2018 </w:t>
      </w:r>
      <w:r>
        <w:rPr>
          <w:rFonts w:ascii="Arial" w:cs="Arial" w:eastAsia="Arial" w:hAnsi="Arial"/>
          <w:sz w:val="18"/>
          <w:szCs w:val="18"/>
          <w:color w:val="auto"/>
        </w:rPr>
        <w:t>— NRG Yield, Inc. (NYSE: NYLD, NYLD.A) today reported full year 2017 financial results including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$23 million, Adjusted EBITDA of $933 million, Cash from Operating Activities of $516 million, and Cash Available for Distribution (CAFD) of $267 million.</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"2017 was a very successful year for NRG Yield with strong results across our diversified portfolio as well as accretive capital deployment," said Christopher Sotos, NRG Yield's President and Chief Executive Officer. “As we work diligently to help facilitate a timely close of the NRG Transaction in the second half of 2018, we look forward to Global Infrastructure Partners becoming the Company’s new sponsor and reigniting long-term growth across the platform. NRG Yield also continues to execute on near-term growth with over $450 million in new capital commitments already in place.”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31"/>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r>
              <w:rPr>
                <w:rFonts w:ascii="Arial" w:cs="Arial" w:eastAsia="Arial" w:hAnsi="Arial"/>
                <w:sz w:val="25"/>
                <w:szCs w:val="25"/>
                <w:b w:val="1"/>
                <w:bCs w:val="1"/>
                <w:color w:val="auto"/>
                <w:vertAlign w:val="superscript"/>
              </w:rPr>
              <w:t>1</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1: Net (Loss)/Income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420" w:type="dxa"/>
            <w:vAlign w:val="bottom"/>
          </w:tcPr>
          <w:p>
            <w:pPr>
              <w:spacing w:after="0"/>
              <w:rPr>
                <w:sz w:val="24"/>
                <w:szCs w:val="24"/>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3180" w:type="dxa"/>
            <w:vAlign w:val="bottom"/>
            <w:gridSpan w:val="4"/>
          </w:tcPr>
          <w:p>
            <w:pPr>
              <w:ind w:left="720"/>
              <w:spacing w:after="0"/>
              <w:rPr>
                <w:sz w:val="20"/>
                <w:szCs w:val="20"/>
                <w:color w:val="auto"/>
              </w:rPr>
            </w:pPr>
            <w:r>
              <w:rPr>
                <w:rFonts w:ascii="Arial" w:cs="Arial" w:eastAsia="Arial" w:hAnsi="Arial"/>
                <w:sz w:val="18"/>
                <w:szCs w:val="18"/>
                <w:b w:val="1"/>
                <w:bCs w:val="1"/>
                <w:color w:val="auto"/>
              </w:rPr>
              <w:t>Three Months Ended</w:t>
            </w:r>
          </w:p>
        </w:tc>
        <w:tc>
          <w:tcPr>
            <w:tcW w:w="28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Twelve Months Ended</w:t>
            </w:r>
          </w:p>
        </w:tc>
      </w:tr>
      <w:tr>
        <w:trPr>
          <w:trHeight w:val="270"/>
        </w:trPr>
        <w:tc>
          <w:tcPr>
            <w:tcW w:w="4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12/31/17</w:t>
            </w:r>
          </w:p>
        </w:tc>
        <w:tc>
          <w:tcPr>
            <w:tcW w:w="120" w:type="dxa"/>
            <w:vAlign w:val="bottom"/>
          </w:tcPr>
          <w:p>
            <w:pPr>
              <w:spacing w:after="0"/>
              <w:rPr>
                <w:sz w:val="23"/>
                <w:szCs w:val="23"/>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12/31/16</w:t>
            </w:r>
          </w:p>
        </w:tc>
        <w:tc>
          <w:tcPr>
            <w:tcW w:w="10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12/31/17</w:t>
            </w:r>
          </w:p>
        </w:tc>
        <w:tc>
          <w:tcPr>
            <w:tcW w:w="120" w:type="dxa"/>
            <w:vAlign w:val="bottom"/>
          </w:tcPr>
          <w:p>
            <w:pPr>
              <w:spacing w:after="0"/>
              <w:rPr>
                <w:sz w:val="23"/>
                <w:szCs w:val="23"/>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12/31/16</w:t>
            </w:r>
          </w:p>
        </w:tc>
      </w:tr>
      <w:tr>
        <w:trPr>
          <w:trHeight w:val="27"/>
        </w:trPr>
        <w:tc>
          <w:tcPr>
            <w:tcW w:w="4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420" w:type="dxa"/>
            <w:vAlign w:val="bottom"/>
          </w:tcPr>
          <w:p>
            <w:pPr>
              <w:spacing w:after="0"/>
              <w:rPr>
                <w:sz w:val="24"/>
                <w:szCs w:val="24"/>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4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80" w:firstLine="8"/>
        <w:spacing w:after="0" w:line="213"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In accordance with GAAP, 2016 results have been recast to include the March 2017 and November 2017 Drop Down Assets as if the combinations had been in effect from the beginning of the financial statement period</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Table 2: Adjusted EBITDA</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20" w:type="dxa"/>
            <w:vAlign w:val="bottom"/>
          </w:tcPr>
          <w:p>
            <w:pPr>
              <w:spacing w:after="0"/>
              <w:rPr>
                <w:sz w:val="24"/>
                <w:szCs w:val="24"/>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6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Twelve Months Ended</w:t>
            </w:r>
          </w:p>
        </w:tc>
      </w:tr>
      <w:tr>
        <w:trPr>
          <w:trHeight w:val="270"/>
        </w:trPr>
        <w:tc>
          <w:tcPr>
            <w:tcW w:w="4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12/31/17</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12/31/16</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12/31/17</w:t>
            </w:r>
          </w:p>
        </w:tc>
        <w:tc>
          <w:tcPr>
            <w:tcW w:w="120" w:type="dxa"/>
            <w:vAlign w:val="bottom"/>
          </w:tcPr>
          <w:p>
            <w:pPr>
              <w:spacing w:after="0"/>
              <w:rPr>
                <w:sz w:val="23"/>
                <w:szCs w:val="23"/>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12/31/16</w:t>
            </w:r>
          </w:p>
        </w:tc>
      </w:tr>
      <w:tr>
        <w:trPr>
          <w:trHeight w:val="27"/>
        </w:trPr>
        <w:tc>
          <w:tcPr>
            <w:tcW w:w="4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10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113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123</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4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4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0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20" w:type="dxa"/>
            <w:vAlign w:val="bottom"/>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r>
      <w:tr>
        <w:trPr>
          <w:trHeight w:val="20"/>
        </w:trPr>
        <w:tc>
          <w:tcPr>
            <w:tcW w:w="420" w:type="dxa"/>
            <w:vAlign w:val="bottom"/>
          </w:tcPr>
          <w:p>
            <w:pPr>
              <w:spacing w:after="0" w:line="20" w:lineRule="exact"/>
              <w:rPr>
                <w:sz w:val="1"/>
                <w:szCs w:val="1"/>
                <w:color w:val="auto"/>
              </w:rPr>
            </w:pPr>
          </w:p>
        </w:tc>
        <w:tc>
          <w:tcPr>
            <w:tcW w:w="4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Cash from Operating Activities and Cash Available for Distribution (CAFD)</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Twelve Months Ended</w:t>
            </w: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12/31/17</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12/31/16</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12/31/17</w:t>
            </w:r>
          </w:p>
        </w:tc>
        <w:tc>
          <w:tcPr>
            <w:tcW w:w="1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12/31/16</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Cash Available for Distribution (CAFD)</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34"/>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fourth quarter of 2017, NRG Yield reported a Net Loss of $98 million, Adjusted EBITDA of $204 million, Cash from Operating Activities of $142 million, and CAFD of $59 million. Fourth quarter Net Loss results were primarily due to the $68 million write down of the revaluation of the existing net deferred tax asset pursuant to the reduction in the corporate income tax rate to 21% in accordance with the Tax Cut and Jobs Act and $31 million of non-cash asset impairments within NRG Wind TE Holdco at two separate wind projects: Elbow Creek located in Texas, and Forward Wind located in Pennsylvania. Fourth quarter Adjusted EBITDA results were lower than 2016 primarily due to lower wind production in 2017 versus fourth quarter 2016, partially offset by growth in the distributed generation partnerships. CAFD results were lower than 2016 primarily due to Adjusted EBITDA results, partially offset by higher distributions received from Agua Caliente and distributed generation partnerships.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twelve months ended December 31, 2017, NRG Yield reported a Net Loss of $23 million, Adjusted EBITDA of $933 million, Cash from Operating Activities of $516 million, and CAFD of $267 million. Full year Net Loss results were impacted by the write down of the existing net deferred tax asset and the non-cash asset impairments in the fourth quarter, as well as a $13 million impairment taken by NRG in the third quarter of 2017 in connection with the November 2017 Drop Down assets sale to NRG Yield. In accordance with common control accounting rules, NRG Yield recorded the impairment in its year-end financial statements as if the November 2017 Drop Down Assets were part of the Company from the beginning of the financial statement period. Adjusted EBITDA results were higher than 2016 primarily due to the full year contribution of the Utah solar assets which achieved commercial operation in 2016 and growth in the distributed generation partnerships. This increase was offset by lower renewable production in 2017 versus full year 2016. CAFD results were lower than 2016 primarily due to lower renewable production, additional debt service from both non-recourse project and corporate-level financings raised in 2016, and additional maintenance capital expenditures at the Walnut Creek facility. This decrease was partially offset by higher distributions received from the distributed generation partnerships.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8"/>
        </w:trPr>
        <w:tc>
          <w:tcPr>
            <w:tcW w:w="260" w:type="dxa"/>
            <w:vAlign w:val="bottom"/>
          </w:tcPr>
          <w:p>
            <w:pPr>
              <w:spacing w:after="0"/>
              <w:rPr>
                <w:sz w:val="24"/>
                <w:szCs w:val="24"/>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280" w:type="dxa"/>
            <w:vAlign w:val="bottom"/>
            <w:gridSpan w:val="4"/>
          </w:tcPr>
          <w:p>
            <w:pPr>
              <w:ind w:left="760"/>
              <w:spacing w:after="0"/>
              <w:rPr>
                <w:sz w:val="20"/>
                <w:szCs w:val="20"/>
                <w:color w:val="auto"/>
              </w:rPr>
            </w:pPr>
            <w:r>
              <w:rPr>
                <w:rFonts w:ascii="Arial" w:cs="Arial" w:eastAsia="Arial" w:hAnsi="Arial"/>
                <w:sz w:val="18"/>
                <w:szCs w:val="18"/>
                <w:b w:val="1"/>
                <w:bCs w:val="1"/>
                <w:color w:val="auto"/>
              </w:rPr>
              <w:t>Three Months Ended</w:t>
            </w:r>
          </w:p>
        </w:tc>
        <w:tc>
          <w:tcPr>
            <w:tcW w:w="316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Twelve Months Ended</w:t>
            </w:r>
          </w:p>
        </w:tc>
      </w:tr>
      <w:tr>
        <w:trPr>
          <w:trHeight w:val="270"/>
        </w:trPr>
        <w:tc>
          <w:tcPr>
            <w:tcW w:w="26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12/31/17</w:t>
            </w:r>
          </w:p>
        </w:tc>
        <w:tc>
          <w:tcPr>
            <w:tcW w:w="100" w:type="dxa"/>
            <w:vAlign w:val="bottom"/>
          </w:tcPr>
          <w:p>
            <w:pPr>
              <w:spacing w:after="0"/>
              <w:rPr>
                <w:sz w:val="23"/>
                <w:szCs w:val="23"/>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12/31/16</w:t>
            </w:r>
          </w:p>
        </w:tc>
        <w:tc>
          <w:tcPr>
            <w:tcW w:w="120" w:type="dxa"/>
            <w:vAlign w:val="bottom"/>
          </w:tcPr>
          <w:p>
            <w:pPr>
              <w:spacing w:after="0"/>
              <w:rPr>
                <w:sz w:val="23"/>
                <w:szCs w:val="23"/>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12/31/17</w:t>
            </w:r>
          </w:p>
        </w:tc>
        <w:tc>
          <w:tcPr>
            <w:tcW w:w="120" w:type="dxa"/>
            <w:vAlign w:val="bottom"/>
          </w:tcPr>
          <w:p>
            <w:pPr>
              <w:spacing w:after="0"/>
              <w:rPr>
                <w:sz w:val="23"/>
                <w:szCs w:val="23"/>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12/31/16</w:t>
            </w:r>
          </w:p>
        </w:tc>
      </w:tr>
      <w:tr>
        <w:trPr>
          <w:trHeight w:val="27"/>
        </w:trPr>
        <w:tc>
          <w:tcPr>
            <w:tcW w:w="26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Equivalent Availability Factor (Conventional)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43"/>
        </w:trPr>
        <w:tc>
          <w:tcPr>
            <w:tcW w:w="260" w:type="dxa"/>
            <w:vAlign w:val="bottom"/>
          </w:tcPr>
          <w:p>
            <w:pPr>
              <w:spacing w:after="0"/>
              <w:rPr>
                <w:sz w:val="21"/>
                <w:szCs w:val="21"/>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Renewables Generation Sold (MWh)</w:t>
            </w:r>
          </w:p>
        </w:tc>
        <w:tc>
          <w:tcPr>
            <w:tcW w:w="154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6,844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7,291</w:t>
            </w:r>
          </w:p>
        </w:tc>
      </w:tr>
      <w:tr>
        <w:trPr>
          <w:trHeight w:val="27"/>
        </w:trPr>
        <w:tc>
          <w:tcPr>
            <w:tcW w:w="2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7"/>
        </w:trPr>
        <w:tc>
          <w:tcPr>
            <w:tcW w:w="260" w:type="dxa"/>
            <w:vAlign w:val="bottom"/>
          </w:tcPr>
          <w:p>
            <w:pPr>
              <w:spacing w:after="0"/>
              <w:rPr>
                <w:sz w:val="24"/>
                <w:szCs w:val="24"/>
                <w:color w:val="auto"/>
              </w:rPr>
            </w:pPr>
          </w:p>
        </w:tc>
        <w:tc>
          <w:tcPr>
            <w:tcW w:w="4380" w:type="dxa"/>
            <w:vAlign w:val="bottom"/>
            <w:tcBorders>
              <w:bottom w:val="single" w:sz="8" w:color="auto"/>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Thermal Generation Sold (MWht)</w:t>
            </w:r>
            <w:r>
              <w:rPr>
                <w:rFonts w:ascii="Arial" w:cs="Arial" w:eastAsia="Arial" w:hAnsi="Arial"/>
                <w:sz w:val="25"/>
                <w:szCs w:val="25"/>
                <w:color w:val="auto"/>
                <w:vertAlign w:val="superscript"/>
              </w:rPr>
              <w:t>2</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r>
    </w:tbl>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fourth quarter of 2017, generation in the Renewables segment was below expectations and 12% lower than the fourth quarter of 2016 primarily due to weak wind resources across the portfolio. Renewable energy conditions during the first quarter of 2018 have continued to trend below expectations primarily from weak wind resources in the West Coast.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00" w:hanging="92"/>
        <w:spacing w:after="0"/>
        <w:tabs>
          <w:tab w:leader="none" w:pos="10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Also includes Thermal MWh sold</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both"/>
        <w:ind w:right="20"/>
        <w:spacing w:after="0" w:line="286" w:lineRule="auto"/>
        <w:rPr>
          <w:sz w:val="20"/>
          <w:szCs w:val="20"/>
          <w:color w:val="auto"/>
        </w:rPr>
      </w:pPr>
      <w:r>
        <w:rPr>
          <w:rFonts w:ascii="Arial" w:cs="Arial" w:eastAsia="Arial" w:hAnsi="Arial"/>
          <w:sz w:val="17"/>
          <w:szCs w:val="17"/>
          <w:color w:val="auto"/>
        </w:rPr>
        <w:t>During the first half of 2017, Walnut Creek experienced forced outages due to mechanical failures of turbine parts that caused downstream damage to several of the plant's units, primarily Unit 1. The repairs necessary to return Unit 1 to service were completed in the second quarter of 2017; the plant has performed reliably since then. The financial impact from the Unit 1 outage was approximately $2 million after recovery of insurance proceeds.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2017, the Company, through the Walnut Creek project, executed an amendment to the contractual service agreement with the original equipment manufacturer to improve long-term reliability. The amendment provides for the original equipment manufacturer to perform all required, currently available and future turbine reliability upgrades in exchange for an investment of approximately $15 million that would be paid over the next five years, of which $8 million is expected to be paid in 2018.</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December 18, 2017, the Company amended the power purchase agreement for its 29 MW Forward Wind project in Berlin, PA, to extend the maturity date to December 31, 2022. The Forward Wind project is a part of the Company’s NRG Wind TE Holdco portfolio.</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31"/>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r>
              <w:rPr>
                <w:rFonts w:ascii="Arial" w:cs="Arial" w:eastAsia="Arial" w:hAnsi="Arial"/>
                <w:sz w:val="25"/>
                <w:szCs w:val="25"/>
                <w:b w:val="1"/>
                <w:bCs w:val="1"/>
                <w:color w:val="auto"/>
                <w:vertAlign w:val="superscript"/>
              </w:rPr>
              <w:t>3</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0"/>
        </w:trPr>
        <w:tc>
          <w:tcPr>
            <w:tcW w:w="1540" w:type="dxa"/>
            <w:vAlign w:val="bottom"/>
          </w:tcPr>
          <w:p>
            <w:pPr>
              <w:spacing w:after="0"/>
              <w:rPr>
                <w:sz w:val="24"/>
                <w:szCs w:val="24"/>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12/31/17</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9/30/17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12/31/16</w:t>
            </w:r>
          </w:p>
        </w:tc>
      </w:tr>
      <w:tr>
        <w:trPr>
          <w:trHeight w:val="27"/>
        </w:trPr>
        <w:tc>
          <w:tcPr>
            <w:tcW w:w="15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54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1540" w:type="dxa"/>
            <w:vAlign w:val="bottom"/>
          </w:tcPr>
          <w:p>
            <w:pPr>
              <w:spacing w:after="0"/>
              <w:rPr>
                <w:sz w:val="21"/>
                <w:szCs w:val="21"/>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15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54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Cash</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r>
      <w:tr>
        <w:trPr>
          <w:trHeight w:val="243"/>
        </w:trPr>
        <w:tc>
          <w:tcPr>
            <w:tcW w:w="1540" w:type="dxa"/>
            <w:vAlign w:val="bottom"/>
          </w:tcPr>
          <w:p>
            <w:pPr>
              <w:spacing w:after="0"/>
              <w:rPr>
                <w:sz w:val="21"/>
                <w:szCs w:val="21"/>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auto"/>
              </w:rPr>
              <w:t>Revolver Availability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427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15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1540" w:type="dxa"/>
            <w:vAlign w:val="bottom"/>
          </w:tcPr>
          <w:p>
            <w:pPr>
              <w:spacing w:after="0"/>
              <w:rPr>
                <w:sz w:val="22"/>
                <w:szCs w:val="22"/>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Liquidity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r>
      <w:tr>
        <w:trPr>
          <w:trHeight w:val="20"/>
        </w:trPr>
        <w:tc>
          <w:tcPr>
            <w:tcW w:w="1540" w:type="dxa"/>
            <w:vAlign w:val="bottom"/>
          </w:tcPr>
          <w:p>
            <w:pPr>
              <w:spacing w:after="0" w:line="20" w:lineRule="exact"/>
              <w:rPr>
                <w:sz w:val="1"/>
                <w:szCs w:val="1"/>
                <w:color w:val="auto"/>
              </w:rPr>
            </w:pPr>
          </w:p>
        </w:tc>
        <w:tc>
          <w:tcPr>
            <w:tcW w:w="4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Total liquidity as of December 31, 2017 was $682 million, a decrease of $251 million from December 31, 2016. This reflects a decrease in total cash of $182 million</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resulting primarily from dividend payments paid and the successful deployment of growth investments in 2017. Revolver availability during the same period decreased by $69 million due to $55 million in cash borrowings in the fourth quarter of 2017 to primarily fund distributed generation partnership investments and increases in issued letters of credit.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future sources of liquidity include excess operating cash flow in the business, the $150 million at-the-market (ATM) program, of which $115 million remains available at the end of 2017, and availability under the corporate revolver.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Sponsorship with Global Infrastructure Partners (GIP)</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6, 2018, GIP entered into a purchase and sale agreement with NRG for the acquisition of NRG's full ownership interest in NRG Yield and NRG's renewable energy development and operations platform consisting of a robust pipeline of over 6.4 GW of backlog and development projects, as well as operational oversight of 2.4 GW across 17 states (the "NRG Transaction"). In connection with the NRG Transaction, NRG Yield entered into a Consent and Indemnity Agreement (the "C&amp;I Agreement") with NRG and GIP setting forth the key terms and conditions of NRG Yield's Corporate Governance, Conflicts, and Nominating Committee's consent to the NRG Transaction. Refer to the Company's press release on February 7, 2018 for further details.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Founded in 2006, GIP is an independent infrastructure fund with over $45 billion in assets under management that invests in infrastructure assets and businesses in both OECD and select emerging market countries. GIP targets investments in single assets and portfolios of assets and companies in power and utilities, natural resources infrastructure, air transport infrastructure, seaports, freight railroad, water distribution and treatment and waste management.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GIP has a strong track record of investment and value creation in the renewable energy sector with a portfolio that now includes approximately $9 billion in equity committed or invested, 8 GW of operating renewable assets, and over 14 GW of renewable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280" w:firstLine="8"/>
        <w:spacing w:after="0" w:line="213" w:lineRule="auto"/>
        <w:tabs>
          <w:tab w:leader="none" w:pos="108" w:val="left"/>
        </w:tabs>
        <w:numPr>
          <w:ilvl w:val="0"/>
          <w:numId w:val="5"/>
        </w:numPr>
        <w:rPr>
          <w:rFonts w:ascii="Arial" w:cs="Arial" w:eastAsia="Arial" w:hAnsi="Arial"/>
          <w:sz w:val="25"/>
          <w:szCs w:val="25"/>
          <w:color w:val="auto"/>
          <w:vertAlign w:val="superscript"/>
        </w:rPr>
      </w:pPr>
      <w:r>
        <w:rPr>
          <w:rFonts w:ascii="Arial" w:cs="Arial" w:eastAsia="Arial" w:hAnsi="Arial"/>
          <w:sz w:val="14"/>
          <w:szCs w:val="14"/>
          <w:color w:val="auto"/>
        </w:rPr>
        <w:t>In accordance with GAAP, 2016 results have been recast to include the March 2017 and November 2017 Drop Down Assets as if the combinations had been in effect from the beginning of the financial statement period</w:t>
      </w:r>
    </w:p>
    <w:p>
      <w:pPr>
        <w:spacing w:after="0" w:line="11"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4"/>
          <w:szCs w:val="14"/>
          <w:color w:val="auto"/>
        </w:rPr>
        <w:t xml:space="preserve"> See Appendix A-6 Sources and Uses of Cash and Cash Equivalents for Twelve Months Ended December 31, 2017</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assets under construction or in development. Additionally, GIP has extensive experience with publicly traded yield vehicles and development platforms, ranging from Europe's first application of a YieldCo/DevCo model to the largest renewable platform in Asia-Pacific.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NRG Transaction is subject to certain closing conditions, including customary legal and regulatory approvals. NRG Yield expects the NRG Transaction to close in the second half of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Buckthorn Solar Drop Down Transaction with NRG</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January 24, 2018, NRG Yield entered into a binding agreement to purchase the 154 MW Buckthorn Solar utility-scale project from NRG for cash consideration of $42.3 million, plus assumed non-recourse debt of approximately $131 million. Buckthorn Solar will sell power under a 25-year PPA to the city of Georgetown, Texas starting in July 2018 when it is expected to achieve commercial operation. The purchase price is expected to be funded via revolver borrowings and cash on hand and is expected to increase CAFD on an average annual basis by approximately $4 million</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starting in 2019. The transaction is expected to close in the first quarter of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Carlsbad Energy Center Drop Down Transaction with NRG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6, 2018, NRG Yield signed a binding agreement to purchase the 527 MW Carlsbad Energy Center for cash consideration of $365 million, excluding working capital and other adjustments, plus assumed non-recourse debt of $601 million at completion. The agreement to acquire Carlsbad is subject to the closing of the NRG Transaction. The project is expected to increase CAFD on an average annual basis by approximately $40 million beginning in 2019.</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Because the project is not expected to close until the fourth quarter of 2018, the Carlsbad transaction includes a number of other items and conditions, including adjustments to the purchase price subject to (a) final tested capacity, (b) final tested heat rate, (c) insurance costs, and (d) NRG Yield's stock price prior to funding.</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Per the C&amp;I Agreement, GIP has committed to provide up to $400 million in financing support for the Carlsbad Energy Center drop down transaction. This commitment would be exercised if NRG Yield were unable to efficiently raise third party capital by the closing of the Carlsbad transaction and would entail GIP acquiring the project directly from NRG to be dropped down to NRG Yield in the future subject to similar terms and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Pittsburgh Medical Center (UPMC) Thermal Project and Non-Recourse Thermal Financing</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October 31, 2016, NRG Business Services LLC, a subsidiary of NRG, and NRG Energy Center Pittsburgh LLC (NECP), a subsidiary of NRG Yield, entered into an Engineering, Procurement, and Construction (EPC) agreement for the construction of an 80 MWt district energy system for NECP to provide steam, chilled water and emergency backup power service to UPMC. The initial term of the energy services agreement (under fixed capacity payments) with UPMC will be for a period of twenty years from the service commencement date. Pursuant to the terms of the EPC Agreement, NECP shall pay NRG Business Services LLC $88 million, subject to adjustment based upon certain conditions in the EPC Agreement, $84 million of which will be paid at substantial completion and $4 million of which will be paid at final completion. The project is expected to achieve commercial operations in the first half of 2018.</w:t>
      </w:r>
    </w:p>
    <w:p>
      <w:pPr>
        <w:spacing w:after="0" w:line="18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In connection with the UPMC project, NRG Energy Center Minneapolis LLC established shelf facilities for the anticipated issuances of $70 million of Series E notes and $10 million of Series F notes. The proceeds from the notes, if issued, will be utilized to make payments with respect to the EPC Agreement described above. The UMPC project, net of non-recourse financing, is expected to increase CAFD on an average annual basis by approximately $4 million</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starting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CAFD average over the 5-year period from 2019-2023</w:t>
      </w:r>
    </w:p>
    <w:p>
      <w:pPr>
        <w:spacing w:after="0" w:line="59" w:lineRule="exact"/>
        <w:rPr>
          <w:rFonts w:ascii="Arial" w:cs="Arial" w:eastAsia="Arial" w:hAnsi="Arial"/>
          <w:sz w:val="25"/>
          <w:szCs w:val="25"/>
          <w:color w:val="auto"/>
          <w:vertAlign w:val="superscript"/>
        </w:rPr>
      </w:pPr>
    </w:p>
    <w:p>
      <w:pPr>
        <w:spacing w:after="0" w:line="234"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6</w:t>
      </w:r>
      <w:r>
        <w:rPr>
          <w:rFonts w:ascii="Arial" w:cs="Arial" w:eastAsia="Arial" w:hAnsi="Arial"/>
          <w:sz w:val="14"/>
          <w:szCs w:val="14"/>
          <w:color w:val="auto"/>
        </w:rPr>
        <w:t xml:space="preserve"> CAFD average over the 5-year period from 2019-2023</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Investment Partnerships with NRG Energy</w:t>
      </w:r>
    </w:p>
    <w:p>
      <w:pPr>
        <w:spacing w:after="0" w:line="2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During the fourth quarter of 2017, NRG Yield invested approximately $24 million in the existing business-renewable focused distributed solar partnerships bringing total capital invested to $208 million</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in the distributed solar investment partnerships. As of December 31, 2017, through the existing partnership agreements, NRG Yield owns approximately 233 MW</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of distributed solar capacity with a weighted average contract life by CAFD of approximately 20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 to Provide Black Start Services at Marsh Landing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2017, the California Independent System Operator selected a proposal by NRG Yield's Marsh Landing project to provide black start capability in the greater San Francisco Bay Area. In partnership with NRG, the Company is evaluating options for the implementation of the service, which based on preliminary assessment, would require an investment between $10 and $12 million. The Company expects to make an investment decision by the third quarter of 2018.</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Update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15, 2018, NRG Yield’s Board of Directors declared a quarterly dividend on Class A and Class C common stock of $0.298 per share (approximately $1.19 per share annualized) payable on March 15, 2018, to stockholders of record as of March 1, 2018. This equates to a 3.47% increase over the prior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NRG Yield’s quarterly operating results are impacted by seasonal factors, as well as variability in renewable energy resources. The majority of NRG Yield’s revenues are generated from the months of May through September, as contracted pricing and renewable resources are at their highest levels in the Company’s core markets. The factors driving the fluctuation in Net Income, Adjusted EBITDA, Cash from Operating Activities, and CAFD include the following:</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wind resources during the spring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 on a quarterly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Financial Guidance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NRG Yield is reconfirming 2018 full year financial guidance. This financial guidance does not include growth investments under evaluation or not yet completed. Financial guidance continues to be based on median renewable energy production estimates.</w:t>
      </w:r>
    </w:p>
    <w:p>
      <w:pPr>
        <w:spacing w:after="0" w:line="329" w:lineRule="exact"/>
        <w:rPr>
          <w:sz w:val="20"/>
          <w:szCs w:val="20"/>
          <w:color w:val="auto"/>
        </w:rPr>
      </w:pPr>
    </w:p>
    <w:tbl>
      <w:tblPr>
        <w:tblLayout w:type="fixed"/>
        <w:tblInd w:w="278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2018 Full Year</w:t>
            </w:r>
          </w:p>
        </w:tc>
      </w:tr>
      <w:tr>
        <w:trPr>
          <w:trHeight w:val="234"/>
        </w:trPr>
        <w:tc>
          <w:tcPr>
            <w:tcW w:w="454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Guidance</w:t>
            </w:r>
          </w:p>
        </w:tc>
      </w:tr>
      <w:tr>
        <w:trPr>
          <w:trHeight w:val="27"/>
        </w:trPr>
        <w:tc>
          <w:tcPr>
            <w:tcW w:w="4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125</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950</w:t>
            </w: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599</w:t>
            </w: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Cash Available for Distribution (CAFD)</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280</w:t>
            </w:r>
          </w:p>
        </w:tc>
      </w:tr>
      <w:tr>
        <w:trPr>
          <w:trHeight w:val="27"/>
        </w:trPr>
        <w:tc>
          <w:tcPr>
            <w:tcW w:w="4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NRG Yield is targeting dividend per share growth of 15% annually on each of its Class A and Class C common stock through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Excludes $26 million for 14 MW of residential solar leases acquired outside of partnerships, not adjusted for dividends received</w:t>
      </w:r>
    </w:p>
    <w:p>
      <w:pPr>
        <w:spacing w:after="0" w:line="59" w:lineRule="exact"/>
        <w:rPr>
          <w:rFonts w:ascii="Arial" w:cs="Arial" w:eastAsia="Arial" w:hAnsi="Arial"/>
          <w:sz w:val="25"/>
          <w:szCs w:val="25"/>
          <w:color w:val="auto"/>
          <w:vertAlign w:val="superscript"/>
        </w:rPr>
      </w:pPr>
    </w:p>
    <w:p>
      <w:pPr>
        <w:spacing w:after="0" w:line="234"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8</w:t>
      </w:r>
      <w:r>
        <w:rPr>
          <w:rFonts w:ascii="Arial" w:cs="Arial" w:eastAsia="Arial" w:hAnsi="Arial"/>
          <w:sz w:val="14"/>
          <w:szCs w:val="14"/>
          <w:color w:val="auto"/>
        </w:rPr>
        <w:t xml:space="preserve"> Based on cash to be distributed; excludes 14 MW of residential solar leases acquired outside of partnership</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Earnings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 2018, NRG Yield will host a conference call at 9:15 a.m. Eastern to discuss these results. Investors, the news media and others may access the live webcast of the conference call and accompanying presentation materials by logging on to NRG Yield’s website at http://www.nrgyield.com and clicking on “Presentations &amp; Webcasts.”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provide the capacity to support more than two million American homes and businesses. Our thermal infrastructure assets provide steam, hot water and/or chilled water, and in some instances electricity, to commercial businesses, universities, hospitals and governmental units in multiple locations. NRG Yield’s Class C and Class A common stock are traded on the New York Stock Exchange under the symbols NYLD and NYLD.A, respectively. Visit www.nrgyield.com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“believe” and similar terms. Such forward-looking statements include, but are not limited to, statements regarding our Net Income, Adjusted EBITDA, Cash from Operating Activities, cash available for distribution, the satisfaction of the conditions to the Company’s consent to the sale by NRG Energy, Inc. of its interests in the Company, the Company’s future revenues, income, indebtedness, capital structure, strategy, plans, expectations, objectives, projected financial performance and/or business results and other future events, and views of economic and market conditions.</w:t>
      </w:r>
    </w:p>
    <w:p>
      <w:pPr>
        <w:spacing w:after="0" w:line="2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NRG Yield, Inc.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our ability to access capital markets, cyber terrorism and inadequate cybersecurity, the ability to engage in successful mergers and acquisitions activity, potential risks to the company as a result of NRG’s sale of its ownership interest in the Company, including the inability to meet certain deadlines, failure of the conditions to be met, unanticipated liabilities in connection with the sale or the reaction of customer, partners or lenders to the transaction, unanticipated outages at our generation facilities, adverse results in current and future litigation, failure to identify, execute or successfully implement acquisitions (including receipt of third party consents and regulatory approvals), our ability to enter into new contracts as existing contracts expire, our ability to acquire assets from NRG Energy, Inc. or third parties, our ability to close drop down transactions, and our ability to maintain and grow our quarterly dividends. Furthermore, any dividends are subject to available capital, market conditions, and compliance with associated laws and regulations.</w:t>
      </w:r>
    </w:p>
    <w:p>
      <w:pPr>
        <w:spacing w:after="0" w:line="2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NRG Yield, Inc. undertakes no obligation to update or revise any forward-looking statements, whether as a result of new information, future events or otherwise. The Adjusted EBITDA and Cash Available for Distribution are estimates as of today’s date, March 1, 2018, and are based on assumptions believed to be reasonable as of this date. NRG Yield expressly disclaims any current intention to update such guidance. The foregoing review of factors that could cause NRG Yield’s actual results to differ materially from those contemplated in the forward-looking statements included in this news release should be considered in connection with information regarding risks and uncertainties that may affect NRG Yield’s future results included in NRG Yield’s filings with the Securities and Exchange Commission at www.sec.gov. In addition, NRG Yield makes available free of charge at www.nrgyield.com, copies of materials it files with, or furnish to, the SEC.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420"/>
          </w:cols>
          <w:pgMar w:left="240" w:top="364" w:right="2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Sheri Woodruff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609.524.4608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Kevin L. Cole, CFA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609.524.4526</w:t>
      </w:r>
    </w:p>
    <w:p>
      <w:pPr>
        <w:spacing w:after="0" w:line="200" w:lineRule="exact"/>
        <w:rPr>
          <w:sz w:val="20"/>
          <w:szCs w:val="20"/>
          <w:color w:val="auto"/>
        </w:rPr>
      </w:pPr>
    </w:p>
    <w:p>
      <w:pPr>
        <w:sectPr>
          <w:pgSz w:w="11900" w:h="16838" w:orient="portrait"/>
          <w:cols w:equalWidth="0" w:num="2">
            <w:col w:w="1780" w:space="20"/>
            <w:col w:w="9620"/>
          </w:cols>
          <w:pgMar w:left="240" w:top="364" w:right="239" w:bottom="1440" w:gutter="0" w:footer="0" w:header="0"/>
          <w:type w:val="continuous"/>
        </w:sectPr>
      </w:pPr>
    </w:p>
    <w:p>
      <w:pPr>
        <w:spacing w:after="0" w:line="11"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Marijke Shugrue 609.524.5262</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6"/>
          <w:szCs w:val="16"/>
          <w:color w:val="auto"/>
        </w:rPr>
        <w:t>Lindsey Puchyr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609.524.4527</w:t>
      </w:r>
    </w:p>
    <w:p>
      <w:pPr>
        <w:spacing w:after="0" w:line="241" w:lineRule="exact"/>
        <w:rPr>
          <w:sz w:val="20"/>
          <w:szCs w:val="20"/>
          <w:color w:val="auto"/>
        </w:rPr>
      </w:pPr>
    </w:p>
    <w:p>
      <w:pPr>
        <w:sectPr>
          <w:pgSz w:w="11900" w:h="16838" w:orient="portrait"/>
          <w:cols w:equalWidth="0" w:num="2">
            <w:col w:w="1880" w:space="120"/>
            <w:col w:w="9420"/>
          </w:cols>
          <w:pgMar w:left="240" w:top="364" w:right="239" w:bottom="1440" w:gutter="0" w:footer="0" w:header="0"/>
          <w:type w:val="continuous"/>
        </w:sectPr>
      </w:pPr>
    </w:p>
    <w:p>
      <w:pPr>
        <w:ind w:left="113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4" w:right="2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NRG YIELD,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Pr>
          <w:p>
            <w:pPr>
              <w:spacing w:after="0"/>
              <w:rPr>
                <w:sz w:val="19"/>
                <w:szCs w:val="19"/>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Cost of operations</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Impairment losses</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37"/>
        </w:trPr>
        <w:tc>
          <w:tcPr>
            <w:tcW w:w="810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(loss) of Drop Down Assets</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Excluding Pre-acquisition Net Income (Loss) of Drop Down Assets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Less: Net (loss) income attributable to noncontrolling interests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NRG Yield,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9"/>
              </w:rPr>
              <w:t>Earnings Per Share Attributable to NRG Yield, Inc. Class A and Class C Common Stockholders</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Weighted average number of Class A common shares outstanding - basic and diluted</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60" w:type="dxa"/>
            <w:vAlign w:val="bottom"/>
            <w:gridSpan w:val="2"/>
          </w:tcPr>
          <w:p>
            <w:pPr>
              <w:ind w:left="140"/>
              <w:spacing w:after="0"/>
              <w:rPr>
                <w:sz w:val="20"/>
                <w:szCs w:val="20"/>
                <w:color w:val="auto"/>
              </w:rPr>
            </w:pPr>
            <w:r>
              <w:rPr>
                <w:rFonts w:ascii="Arial" w:cs="Arial" w:eastAsia="Arial" w:hAnsi="Arial"/>
                <w:sz w:val="17"/>
                <w:szCs w:val="17"/>
                <w:color w:val="auto"/>
              </w:rPr>
              <w:t>Weighted average number of Class C common shares outstanding - basic and diluted</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8"/>
              </w:rPr>
              <w:t>(Loss) Earnings per Weighted Average Class A and Class C Common Share -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Dividends Per Class A Common Share</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0.945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Class C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0.625</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566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81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91"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Unrealized gain (loss) on derivatives, net of income tax (expense) benefit of ($7), $0, and $10</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0" w:type="dxa"/>
            <w:vAlign w:val="bottom"/>
            <w:gridSpan w:val="2"/>
          </w:tcPr>
          <w:p>
            <w:pPr>
              <w:ind w:left="5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(loss) of Drop Down Assets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Income Attributable to NRG Yield,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jc w:val="right"/>
              <w:ind w:right="228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80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36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shares)</w:t>
            </w:r>
          </w:p>
        </w:tc>
        <w:tc>
          <w:tcPr>
            <w:tcW w:w="20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4"/>
                <w:szCs w:val="14"/>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6180" w:type="dxa"/>
            <w:vAlign w:val="bottom"/>
            <w:vMerge w:val="restart"/>
          </w:tcPr>
          <w:p>
            <w:pPr>
              <w:jc w:val="center"/>
              <w:ind w:right="159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Accounts receivable — trade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Notes receivable — current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Prepayments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investments in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8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jc w:val="center"/>
              <w:ind w:right="159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Accounts payable — trade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 affiliate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 affiliate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ind w:left="36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380"/>
          </w:cols>
          <w:pgMar w:left="260" w:top="364" w:right="259" w:bottom="1440" w:gutter="0" w:footer="0" w:header="0"/>
        </w:sectPr>
      </w:pPr>
    </w:p>
    <w:p>
      <w:pPr>
        <w:ind w:left="160"/>
        <w:spacing w:after="0"/>
        <w:rPr>
          <w:sz w:val="20"/>
          <w:szCs w:val="20"/>
          <w:color w:val="auto"/>
        </w:rPr>
      </w:pPr>
      <w:r>
        <w:rPr>
          <w:rFonts w:ascii="Arial" w:cs="Arial" w:eastAsia="Arial" w:hAnsi="Arial"/>
          <w:sz w:val="18"/>
          <w:szCs w:val="18"/>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29475" cy="823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23595"/>
                    </a:xfrm>
                    <a:prstGeom prst="rect">
                      <a:avLst/>
                    </a:prstGeom>
                    <a:noFill/>
                  </pic:spPr>
                </pic:pic>
              </a:graphicData>
            </a:graphic>
          </wp:anchor>
        </w:drawing>
      </w:r>
    </w:p>
    <w:p>
      <w:pPr>
        <w:spacing w:after="0" w:line="205" w:lineRule="exact"/>
        <w:rPr>
          <w:sz w:val="20"/>
          <w:szCs w:val="20"/>
          <w:color w:val="auto"/>
        </w:rPr>
      </w:pPr>
    </w:p>
    <w:p>
      <w:pPr>
        <w:ind w:left="160" w:right="680"/>
        <w:spacing w:after="0" w:line="291" w:lineRule="auto"/>
        <w:rPr>
          <w:sz w:val="20"/>
          <w:szCs w:val="20"/>
          <w:color w:val="auto"/>
        </w:rPr>
      </w:pPr>
      <w:r>
        <w:rPr>
          <w:rFonts w:ascii="Arial" w:cs="Arial" w:eastAsia="Arial" w:hAnsi="Arial"/>
          <w:sz w:val="16"/>
          <w:szCs w:val="16"/>
          <w:color w:val="auto"/>
        </w:rPr>
        <w:t>Class A, Class B, Class C and Class D common stock, $0.01 par value; 3,000,000,000 shares authorized (Class A 500,000,000, Class B 500,000,000, Class C 1,000,000,000, Class D 1,000,000,000);</w:t>
      </w:r>
    </w:p>
    <w:p>
      <w:pPr>
        <w:ind w:left="160" w:right="520"/>
        <w:spacing w:after="0" w:line="302" w:lineRule="auto"/>
        <w:rPr>
          <w:sz w:val="20"/>
          <w:szCs w:val="20"/>
          <w:color w:val="auto"/>
        </w:rPr>
      </w:pPr>
      <w:r>
        <w:rPr>
          <w:rFonts w:ascii="Arial" w:cs="Arial" w:eastAsia="Arial" w:hAnsi="Arial"/>
          <w:sz w:val="16"/>
          <w:szCs w:val="16"/>
          <w:color w:val="auto"/>
        </w:rPr>
        <w:t>184,780,837 shares issued and outstanding (Class A 34,586,250, Class B 42,738,750, Class C 64,717,087, Class D 42,738,750) at December 31, 2017 and 182,848,000 shares issued and outstanding (Class A 34,586,250, Class B 42,738,750, Class C 62,784,250, Class D 42,738,750) at December 31, 2016</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20"/>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1,843</w:t>
            </w:r>
          </w:p>
        </w:tc>
        <w:tc>
          <w:tcPr>
            <w:tcW w:w="114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7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(69)</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140" w:type="dxa"/>
            <w:vAlign w:val="bottom"/>
          </w:tcPr>
          <w:p>
            <w:pPr>
              <w:jc w:val="right"/>
              <w:ind w:right="590"/>
              <w:spacing w:after="0"/>
              <w:rPr>
                <w:sz w:val="20"/>
                <w:szCs w:val="20"/>
                <w:color w:val="auto"/>
              </w:rPr>
            </w:pPr>
            <w:r>
              <w:rPr>
                <w:rFonts w:ascii="Arial" w:cs="Arial" w:eastAsia="Arial" w:hAnsi="Arial"/>
                <w:sz w:val="18"/>
                <w:szCs w:val="18"/>
                <w:color w:val="auto"/>
              </w:rPr>
              <w:t>(28)</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391</w:t>
            </w:r>
          </w:p>
        </w:tc>
        <w:tc>
          <w:tcPr>
            <w:tcW w:w="1140" w:type="dxa"/>
            <w:vAlign w:val="bottom"/>
          </w:tcPr>
          <w:p>
            <w:pPr>
              <w:jc w:val="right"/>
              <w:spacing w:after="0"/>
              <w:rPr>
                <w:sz w:val="20"/>
                <w:szCs w:val="20"/>
                <w:color w:val="auto"/>
              </w:rPr>
            </w:pPr>
            <w:r>
              <w:rPr>
                <w:rFonts w:ascii="Arial" w:cs="Arial" w:eastAsia="Arial" w:hAnsi="Arial"/>
                <w:sz w:val="18"/>
                <w:szCs w:val="18"/>
                <w:color w:val="auto"/>
              </w:rPr>
              <w:t>749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17145</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8340" w:space="720"/>
            <w:col w:w="2320"/>
          </w:cols>
          <w:pgMar w:left="260" w:top="364" w:right="2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6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2,599</w:t>
            </w:r>
          </w:p>
        </w:tc>
      </w:tr>
      <w:tr>
        <w:trPr>
          <w:trHeight w:val="27"/>
        </w:trPr>
        <w:tc>
          <w:tcPr>
            <w:tcW w:w="78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8,962</w:t>
            </w:r>
          </w:p>
        </w:tc>
      </w:tr>
      <w:tr>
        <w:trPr>
          <w:trHeight w:val="20"/>
        </w:trPr>
        <w:tc>
          <w:tcPr>
            <w:tcW w:w="7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4" w:right="25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60" w:top="364" w:right="25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NRG YIELD,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ind w:left="460"/>
              <w:spacing w:after="0"/>
              <w:rPr>
                <w:sz w:val="20"/>
                <w:szCs w:val="20"/>
                <w:color w:val="auto"/>
              </w:rPr>
            </w:pPr>
            <w:r>
              <w:rPr>
                <w:rFonts w:ascii="Arial" w:cs="Arial" w:eastAsia="Arial" w:hAnsi="Arial"/>
                <w:sz w:val="14"/>
                <w:szCs w:val="14"/>
                <w:b w:val="1"/>
                <w:bCs w:val="1"/>
                <w:color w:val="auto"/>
                <w:w w:val="91"/>
              </w:rPr>
              <w:t>Year ended December 31,</w:t>
            </w:r>
          </w:p>
        </w:tc>
        <w:tc>
          <w:tcPr>
            <w:tcW w:w="760" w:type="dxa"/>
            <w:vAlign w:val="bottom"/>
            <w:tcBorders>
              <w:bottom w:val="single" w:sz="8" w:color="auto"/>
            </w:tcBorders>
          </w:tcPr>
          <w:p>
            <w:pPr>
              <w:spacing w:after="0"/>
              <w:rPr>
                <w:sz w:val="16"/>
                <w:szCs w:val="16"/>
                <w:color w:val="auto"/>
              </w:rPr>
            </w:pPr>
          </w:p>
        </w:tc>
      </w:tr>
      <w:tr>
        <w:trPr>
          <w:trHeight w:val="263"/>
        </w:trPr>
        <w:tc>
          <w:tcPr>
            <w:tcW w:w="8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r>
      <w:tr>
        <w:trPr>
          <w:trHeight w:val="23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r>
      <w:tr>
        <w:trPr>
          <w:trHeight w:val="237"/>
        </w:trPr>
        <w:tc>
          <w:tcPr>
            <w:tcW w:w="8080" w:type="dxa"/>
            <w:vAlign w:val="bottom"/>
          </w:tcPr>
          <w:p>
            <w:pPr>
              <w:ind w:left="1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Distributions from unconsolidated affiliates</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60</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Amortization of financing costs and debt discounts</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16</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intangibles and out-of-market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Loss on debt extinguishment</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9</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Impairment losses</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Loss on disposal of asset components</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provided by (used in) changes in other 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Changes in prepaid and accrued capacity payments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other working capital</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425</w:t>
            </w:r>
          </w:p>
        </w:tc>
      </w:tr>
      <w:tr>
        <w:trPr>
          <w:trHeight w:val="3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Acquisition of businesses, net of cash acquired</w:t>
            </w: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Drop Down Assets,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receipts from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Return of investment from unconsolidated affiliates</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42</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9</w:t>
            </w:r>
          </w:p>
        </w:tc>
      </w:tr>
      <w:tr>
        <w:trPr>
          <w:trHeight w:val="3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w:t>
            </w:r>
          </w:p>
        </w:tc>
      </w:tr>
      <w:tr>
        <w:trPr>
          <w:trHeight w:val="231"/>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contributions from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Net distributions and return of capital to NRG prior to the acquisition of Drop Down Assets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issuance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599</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Payments of dividends and distributions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551</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Payments for the revolving credit facility</w:t>
            </w: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w:t>
            </w:r>
          </w:p>
        </w:tc>
      </w:tr>
      <w:tr>
        <w:trPr>
          <w:trHeight w:val="237"/>
        </w:trPr>
        <w:tc>
          <w:tcPr>
            <w:tcW w:w="8080" w:type="dxa"/>
            <w:vAlign w:val="bottom"/>
          </w:tcPr>
          <w:p>
            <w:pPr>
              <w:ind w:left="38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1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354</w:t>
            </w:r>
          </w:p>
        </w:tc>
      </w:tr>
      <w:tr>
        <w:trPr>
          <w:trHeight w:val="3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3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573</w:t>
            </w:r>
          </w:p>
        </w:tc>
      </w:tr>
      <w:tr>
        <w:trPr>
          <w:trHeight w:val="3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64"/>
        </w:trPr>
        <w:tc>
          <w:tcPr>
            <w:tcW w:w="8080" w:type="dxa"/>
            <w:vAlign w:val="bottom"/>
          </w:tcPr>
          <w:p>
            <w:pPr>
              <w:ind w:left="280"/>
              <w:spacing w:after="0"/>
              <w:rPr>
                <w:sz w:val="20"/>
                <w:szCs w:val="20"/>
                <w:color w:val="auto"/>
              </w:rPr>
            </w:pPr>
            <w:r>
              <w:rPr>
                <w:rFonts w:ascii="Arial" w:cs="Arial" w:eastAsia="Arial" w:hAnsi="Arial"/>
                <w:sz w:val="14"/>
                <w:szCs w:val="14"/>
                <w:color w:val="auto"/>
              </w:rPr>
              <w:t>Interest paid, net of amount capitalized</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27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8080" w:type="dxa"/>
            <w:vAlign w:val="bottom"/>
          </w:tcPr>
          <w:p>
            <w:pPr>
              <w:ind w:left="280"/>
              <w:spacing w:after="0"/>
              <w:rPr>
                <w:sz w:val="20"/>
                <w:szCs w:val="20"/>
                <w:color w:val="auto"/>
              </w:rPr>
            </w:pPr>
            <w:r>
              <w:rPr>
                <w:rFonts w:ascii="Arial" w:cs="Arial" w:eastAsia="Arial" w:hAnsi="Arial"/>
                <w:sz w:val="14"/>
                <w:szCs w:val="14"/>
                <w:color w:val="auto"/>
              </w:rPr>
              <w:t>Additions to fixed assets for accrued capital expenditures</w:t>
            </w:r>
          </w:p>
        </w:tc>
        <w:tc>
          <w:tcPr>
            <w:tcW w:w="22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40"/>
              <w:spacing w:after="0"/>
              <w:rPr>
                <w:sz w:val="20"/>
                <w:szCs w:val="20"/>
                <w:color w:val="auto"/>
              </w:rPr>
            </w:pPr>
            <w:r>
              <w:rPr>
                <w:rFonts w:ascii="Arial" w:cs="Arial" w:eastAsia="Arial" w:hAnsi="Arial"/>
                <w:sz w:val="14"/>
                <w:szCs w:val="14"/>
                <w:color w:val="auto"/>
              </w:rPr>
              <w:t>3</w:t>
            </w:r>
          </w:p>
        </w:tc>
      </w:tr>
      <w:tr>
        <w:trPr>
          <w:trHeight w:val="276"/>
        </w:trPr>
        <w:tc>
          <w:tcPr>
            <w:tcW w:w="8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Decrease to fixed assets for deferred tax asset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19</w:t>
            </w:r>
          </w:p>
        </w:tc>
      </w:tr>
      <w:tr>
        <w:trPr>
          <w:trHeight w:val="264"/>
        </w:trPr>
        <w:tc>
          <w:tcPr>
            <w:tcW w:w="8080" w:type="dxa"/>
            <w:vAlign w:val="bottom"/>
          </w:tcPr>
          <w:p>
            <w:pPr>
              <w:ind w:left="280"/>
              <w:spacing w:after="0"/>
              <w:rPr>
                <w:sz w:val="20"/>
                <w:szCs w:val="20"/>
                <w:color w:val="auto"/>
              </w:rPr>
            </w:pPr>
            <w:r>
              <w:rPr>
                <w:rFonts w:ascii="Arial" w:cs="Arial" w:eastAsia="Arial" w:hAnsi="Arial"/>
                <w:sz w:val="14"/>
                <w:szCs w:val="14"/>
                <w:color w:val="auto"/>
              </w:rPr>
              <w:t>Non-cash adjustment for change in tax basis of assets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40"/>
              <w:spacing w:after="0"/>
              <w:rPr>
                <w:sz w:val="20"/>
                <w:szCs w:val="20"/>
                <w:color w:val="auto"/>
              </w:rPr>
            </w:pPr>
            <w:r>
              <w:rPr>
                <w:rFonts w:ascii="Arial" w:cs="Arial" w:eastAsia="Arial" w:hAnsi="Arial"/>
                <w:sz w:val="14"/>
                <w:szCs w:val="14"/>
                <w:color w:val="auto"/>
              </w:rPr>
              <w:t>38</w:t>
            </w:r>
          </w:p>
        </w:tc>
      </w:tr>
      <w:tr>
        <w:trPr>
          <w:trHeight w:val="276"/>
        </w:trPr>
        <w:tc>
          <w:tcPr>
            <w:tcW w:w="8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return of capital and distributions to NRG, net of contributions</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bl>
    <w:p>
      <w:pPr>
        <w:spacing w:after="0" w:line="200" w:lineRule="exact"/>
        <w:rPr>
          <w:sz w:val="20"/>
          <w:szCs w:val="20"/>
          <w:color w:val="auto"/>
        </w:rPr>
      </w:pPr>
    </w:p>
    <w:p>
      <w:pPr>
        <w:sectPr>
          <w:pgSz w:w="11900" w:h="16838" w:orient="portrait"/>
          <w:cols w:equalWidth="0" w:num="1">
            <w:col w:w="11360"/>
          </w:cols>
          <w:pgMar w:left="280" w:top="391"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80" w:top="391" w:right="2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Appendix Table A-1: Three Months Ended December 31, 2017,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64"/>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68</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113</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12</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204</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December 31, 2016,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 recurring charges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214</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576" w:right="39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Appendix Table A-3: Twelve Months Ended December 31, 2017,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99"/>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69</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Loss on Debt Extinguishment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305</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589</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58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933</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A-4: Twelve Months Ended December 31, 2016,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Thermal</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2</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Contract Amortization</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non-recurring charges</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29"/>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Adjustments to reflect NRG Yield’s pro-rata share of</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60" w:type="dxa"/>
            <w:vAlign w:val="bottom"/>
            <w:gridSpan w:val="2"/>
          </w:tcPr>
          <w:p>
            <w:pPr>
              <w:ind w:left="340"/>
              <w:spacing w:after="0"/>
              <w:rPr>
                <w:sz w:val="20"/>
                <w:szCs w:val="20"/>
                <w:color w:val="auto"/>
              </w:rPr>
            </w:pPr>
            <w:r>
              <w:rPr>
                <w:rFonts w:ascii="Arial" w:cs="Arial" w:eastAsia="Arial" w:hAnsi="Arial"/>
                <w:sz w:val="18"/>
                <w:szCs w:val="18"/>
                <w:color w:val="auto"/>
              </w:rPr>
              <w:t>Adjusted EBITDA from Unconsolidated Affiliates</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75</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581</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932</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723"/>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60"/>
          </w:cols>
          <w:pgMar w:left="240" w:top="360" w:right="39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A-5: Cash Available for Distribution Reconciliation</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820" w:type="dxa"/>
            <w:vAlign w:val="bottom"/>
            <w:gridSpan w:val="4"/>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22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Twelve Months Ended</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12/31/17</w:t>
            </w:r>
          </w:p>
        </w:tc>
        <w:tc>
          <w:tcPr>
            <w:tcW w:w="120" w:type="dxa"/>
            <w:vAlign w:val="bottom"/>
          </w:tcPr>
          <w:p>
            <w:pPr>
              <w:spacing w:after="0"/>
              <w:rPr>
                <w:sz w:val="23"/>
                <w:szCs w:val="23"/>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12/31/16</w:t>
            </w:r>
          </w:p>
        </w:tc>
        <w:tc>
          <w:tcPr>
            <w:tcW w:w="10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12/31/17</w:t>
            </w:r>
          </w:p>
        </w:tc>
        <w:tc>
          <w:tcPr>
            <w:tcW w:w="1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12/31/16</w:t>
            </w:r>
          </w:p>
        </w:tc>
      </w:tr>
      <w:tr>
        <w:trPr>
          <w:trHeight w:val="27"/>
        </w:trPr>
        <w:tc>
          <w:tcPr>
            <w:tcW w:w="5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w:t>
            </w:r>
          </w:p>
        </w:tc>
      </w:tr>
      <w:tr>
        <w:trPr>
          <w:trHeight w:val="237"/>
        </w:trPr>
        <w:tc>
          <w:tcPr>
            <w:tcW w:w="5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Cash interest paid</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5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380" w:type="dxa"/>
            <w:vAlign w:val="bottom"/>
          </w:tcPr>
          <w:p>
            <w:pPr>
              <w:ind w:left="140"/>
              <w:spacing w:after="0"/>
              <w:rPr>
                <w:sz w:val="20"/>
                <w:szCs w:val="20"/>
                <w:color w:val="auto"/>
              </w:rPr>
            </w:pPr>
            <w:r>
              <w:rPr>
                <w:rFonts w:ascii="Arial" w:cs="Arial" w:eastAsia="Arial" w:hAnsi="Arial"/>
                <w:sz w:val="18"/>
                <w:szCs w:val="18"/>
                <w:color w:val="auto"/>
              </w:rPr>
              <w:t>Adjustment to reflect Walnut Creek investment payments</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380" w:type="dxa"/>
            <w:vAlign w:val="bottom"/>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All other changes in working capital</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577</w:t>
            </w:r>
          </w:p>
        </w:tc>
      </w:tr>
      <w:tr>
        <w:trPr>
          <w:trHeight w:val="27"/>
        </w:trPr>
        <w:tc>
          <w:tcPr>
            <w:tcW w:w="5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All other changes in working capital</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380" w:type="dxa"/>
            <w:vAlign w:val="bottom"/>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contributions (to)/from non-controlling interest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5380" w:type="dxa"/>
            <w:vAlign w:val="bottom"/>
          </w:tcPr>
          <w:p>
            <w:pPr>
              <w:ind w:left="160"/>
              <w:spacing w:after="0" w:line="270" w:lineRule="exact"/>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9</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53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5"/>
                <w:szCs w:val="25"/>
                <w:color w:val="auto"/>
                <w:vertAlign w:val="superscript"/>
              </w:rPr>
              <w:t>10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70"/>
        </w:trPr>
        <w:tc>
          <w:tcPr>
            <w:tcW w:w="5380" w:type="dxa"/>
            <w:vAlign w:val="bottom"/>
            <w:tcBorders>
              <w:bottom w:val="single" w:sz="8" w:color="auto"/>
            </w:tcBorders>
          </w:tcPr>
          <w:p>
            <w:pPr>
              <w:ind w:left="160"/>
              <w:spacing w:after="0" w:line="270" w:lineRule="exact"/>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 (Recast)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r>
      <w:tr>
        <w:trPr>
          <w:trHeight w:val="264"/>
        </w:trPr>
        <w:tc>
          <w:tcPr>
            <w:tcW w:w="5380" w:type="dxa"/>
            <w:vAlign w:val="bottom"/>
            <w:tcBorders>
              <w:top w:val="single" w:sz="8" w:color="auto"/>
              <w:bottom w:val="single" w:sz="8" w:color="auto"/>
            </w:tcBorders>
          </w:tcPr>
          <w:p>
            <w:pPr>
              <w:ind w:left="160"/>
              <w:spacing w:after="0" w:line="264" w:lineRule="exact"/>
              <w:rPr>
                <w:sz w:val="20"/>
                <w:szCs w:val="20"/>
                <w:color w:val="auto"/>
              </w:rPr>
            </w:pPr>
            <w:r>
              <w:rPr>
                <w:rFonts w:ascii="Arial" w:cs="Arial" w:eastAsia="Arial" w:hAnsi="Arial"/>
                <w:sz w:val="18"/>
                <w:szCs w:val="18"/>
                <w:color w:val="auto"/>
              </w:rPr>
              <w:t>Adjustment to reflect NYLD's CAFD pre Drop Down acquisition</w:t>
            </w:r>
            <w:r>
              <w:rPr>
                <w:rFonts w:ascii="Arial" w:cs="Arial" w:eastAsia="Arial" w:hAnsi="Arial"/>
                <w:sz w:val="25"/>
                <w:szCs w:val="25"/>
                <w:color w:val="auto"/>
                <w:vertAlign w:val="superscript"/>
              </w:rPr>
              <w:t>12</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6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5"/>
          <w:szCs w:val="25"/>
          <w:color w:val="auto"/>
          <w:vertAlign w:val="superscript"/>
        </w:rPr>
      </w:pPr>
      <w:r>
        <w:rPr>
          <w:rFonts w:ascii="Arial" w:cs="Arial" w:eastAsia="Arial" w:hAnsi="Arial"/>
          <w:sz w:val="14"/>
          <w:szCs w:val="14"/>
          <w:color w:val="auto"/>
        </w:rPr>
        <w:t>Net of allocated insurance proceeds</w:t>
      </w:r>
    </w:p>
    <w:p>
      <w:pPr>
        <w:ind w:left="180" w:hanging="172"/>
        <w:spacing w:after="0" w:line="208" w:lineRule="auto"/>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3"/>
          <w:szCs w:val="13"/>
          <w:color w:val="auto"/>
        </w:rPr>
        <w:t>Excludes $7 million in Q4 2017 and $37 million in 2017 for SPP discretionary debt retirements made by NRG as reflected in the financial due to common control</w:t>
      </w:r>
    </w:p>
    <w:p>
      <w:pPr>
        <w:spacing w:after="0" w:line="59"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Reimbursement of network upgrades</w:t>
      </w:r>
    </w:p>
    <w:p>
      <w:pPr>
        <w:spacing w:after="0" w:line="59"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1"/>
          <w:szCs w:val="11"/>
          <w:color w:val="auto"/>
        </w:rPr>
        <w:t>Adjustments to reflect drop down assets prior to ownership by NRG Yield</w:t>
      </w:r>
    </w:p>
    <w:p>
      <w:pPr>
        <w:spacing w:after="0" w:line="28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240" w:top="616" w:right="679" w:bottom="1440" w:gutter="0" w:footer="0" w:header="0"/>
        </w:sectPr>
      </w:pPr>
    </w:p>
    <w:bookmarkStart w:id="16" w:name="page17"/>
    <w:bookmarkEnd w:id="16"/>
    <w:p>
      <w:pPr>
        <w:spacing w:after="0" w:line="267" w:lineRule="auto"/>
        <w:rPr>
          <w:sz w:val="20"/>
          <w:szCs w:val="20"/>
          <w:color w:val="auto"/>
        </w:rPr>
      </w:pPr>
      <w:r>
        <w:rPr>
          <w:rFonts w:ascii="Arial" w:cs="Arial" w:eastAsia="Arial" w:hAnsi="Arial"/>
          <w:sz w:val="20"/>
          <w:szCs w:val="20"/>
          <w:b w:val="1"/>
          <w:bCs w:val="1"/>
          <w:color w:val="auto"/>
        </w:rPr>
        <w:t xml:space="preserve">Appendix Table A-6: Twelve Months Ended December 31, 2017, Sources and Uses of Liquidity </w:t>
      </w:r>
      <w:r>
        <w:rPr>
          <w:rFonts w:ascii="Arial" w:cs="Arial" w:eastAsia="Arial" w:hAnsi="Arial"/>
          <w:sz w:val="20"/>
          <w:szCs w:val="20"/>
          <w:color w:val="auto"/>
        </w:rPr>
        <w:t>The following table summarizes the sources and uses of liquidity in 2017:</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71"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Sources:</w:t>
      </w:r>
    </w:p>
    <w:p>
      <w:pPr>
        <w:spacing w:after="0" w:line="9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revolving credit facility</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Return of investment from unconsolidated affiliates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Other net cash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215265</wp:posOffset>
            </wp:positionV>
            <wp:extent cx="489648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96485" cy="188595"/>
                    </a:xfrm>
                    <a:prstGeom prst="rect">
                      <a:avLst/>
                    </a:prstGeom>
                    <a:noFill/>
                  </pic:spPr>
                </pic:pic>
              </a:graphicData>
            </a:graphic>
          </wp:anchor>
        </w:drawing>
      </w:r>
    </w:p>
    <w:p>
      <w:pPr>
        <w:spacing w:after="0" w:line="37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Uses:</w:t>
      </w:r>
    </w:p>
    <w:p>
      <w:pPr>
        <w:spacing w:after="0" w:line="9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Payments for the Drop Down Assets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Payment of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6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Investments in unconsolidated affiliates</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34925</wp:posOffset>
            </wp:positionV>
            <wp:extent cx="489648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96485" cy="205740"/>
                    </a:xfrm>
                    <a:prstGeom prst="rect">
                      <a:avLst/>
                    </a:prstGeom>
                    <a:noFill/>
                  </pic:spPr>
                </pic:pic>
              </a:graphicData>
            </a:graphic>
          </wp:anchor>
        </w:drawing>
      </w:r>
    </w:p>
    <w:p>
      <w:pPr>
        <w:spacing w:after="0" w:line="373"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Change in total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37465</wp:posOffset>
            </wp:positionV>
            <wp:extent cx="40474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47490" cy="171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Appendix Table A-7: Adjusted EBITDA and Cash Available for Distribution Guidance</w:t>
      </w:r>
    </w:p>
    <w:p>
      <w:pPr>
        <w:spacing w:after="0" w:line="398"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Net Income</w:t>
      </w:r>
      <w:r>
        <w:rPr>
          <w:rFonts w:ascii="Arial" w:cs="Arial" w:eastAsia="Arial" w:hAnsi="Arial"/>
          <w:sz w:val="25"/>
          <w:szCs w:val="25"/>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-15875</wp:posOffset>
            </wp:positionV>
            <wp:extent cx="40474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8964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Depreciation, Amortization, and Accretion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Adjustment to reflect NRG share of Adjusted EBITDA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39370</wp:posOffset>
            </wp:positionV>
            <wp:extent cx="40474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6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6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interest paid</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Adjustment to reflect Walnut Creek investment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Pro-rata Adjusted EBITDA from unconsolidated affiliates</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0474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6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Net contributions from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48964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Maintenance capital expenditures</w:t>
      </w:r>
      <w:r>
        <w:rPr>
          <w:rFonts w:ascii="Arial" w:cs="Arial" w:eastAsia="Arial" w:hAnsi="Arial"/>
          <w:sz w:val="25"/>
          <w:szCs w:val="25"/>
          <w:color w:val="auto"/>
          <w:vertAlign w:val="superscript"/>
        </w:rPr>
        <w:t>14</w:t>
      </w:r>
    </w:p>
    <w:p>
      <w:pPr>
        <w:ind w:left="2020"/>
        <w:spacing w:after="0"/>
        <w:rPr>
          <w:sz w:val="20"/>
          <w:szCs w:val="20"/>
          <w:color w:val="auto"/>
        </w:rPr>
      </w:pPr>
      <w:r>
        <w:rPr>
          <w:rFonts w:ascii="Arial" w:cs="Arial" w:eastAsia="Arial" w:hAnsi="Arial"/>
          <w:sz w:val="18"/>
          <w:szCs w:val="18"/>
          <w:color w:val="auto"/>
        </w:rPr>
        <w:t>Principal amortization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89648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Cash receipts from notes receivable</w:t>
      </w:r>
      <w:r>
        <w:rPr>
          <w:rFonts w:ascii="Arial" w:cs="Arial" w:eastAsia="Arial" w:hAnsi="Arial"/>
          <w:sz w:val="25"/>
          <w:szCs w:val="25"/>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-18415</wp:posOffset>
            </wp:positionV>
            <wp:extent cx="4047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b w:val="1"/>
          <w:bCs w:val="1"/>
          <w:color w:val="auto"/>
        </w:rPr>
        <w:t>Cash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047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47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1646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00"/>
        <w:spacing w:after="0"/>
        <w:rPr>
          <w:sz w:val="20"/>
          <w:szCs w:val="20"/>
          <w:color w:val="auto"/>
        </w:rPr>
      </w:pPr>
      <w:r>
        <w:rPr>
          <w:rFonts w:ascii="Arial" w:cs="Arial" w:eastAsia="Arial" w:hAnsi="Arial"/>
          <w:sz w:val="16"/>
          <w:szCs w:val="16"/>
          <w:b w:val="1"/>
          <w:bCs w:val="1"/>
          <w:color w:val="auto"/>
        </w:rPr>
        <w:t>Twelve Months</w:t>
      </w:r>
    </w:p>
    <w:p>
      <w:pPr>
        <w:spacing w:after="0" w:line="50"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Ended</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12/31/17</w:t>
      </w:r>
    </w:p>
    <w:p>
      <w:pPr>
        <w:spacing w:after="0" w:line="369"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516</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55</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41</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47</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34</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(332)</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(250)</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(202)</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(73)</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(31)</w:t>
      </w:r>
    </w:p>
    <w:p>
      <w:pPr>
        <w:spacing w:after="0" w:line="393"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52070</wp:posOffset>
            </wp:positionV>
            <wp:extent cx="7804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804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00"/>
        <w:spacing w:after="0"/>
        <w:rPr>
          <w:sz w:val="20"/>
          <w:szCs w:val="20"/>
          <w:color w:val="auto"/>
        </w:rPr>
      </w:pPr>
      <w:r>
        <w:rPr>
          <w:rFonts w:ascii="Arial" w:cs="Arial" w:eastAsia="Arial" w:hAnsi="Arial"/>
          <w:sz w:val="17"/>
          <w:szCs w:val="17"/>
          <w:b w:val="1"/>
          <w:bCs w:val="1"/>
          <w:color w:val="auto"/>
        </w:rPr>
        <w:t>2018 Full Year</w:t>
      </w:r>
    </w:p>
    <w:p>
      <w:pPr>
        <w:spacing w:after="0" w:line="39"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Guidance</w:t>
      </w:r>
    </w:p>
    <w:p>
      <w:pPr>
        <w:spacing w:after="0" w:line="76"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37465</wp:posOffset>
            </wp:positionV>
            <wp:extent cx="7804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4"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25</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310</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405</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7804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6"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950</w:t>
      </w:r>
    </w:p>
    <w:p>
      <w:pPr>
        <w:spacing w:after="0" w:line="104"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(286)</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(2)</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(188)</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125</w:t>
      </w:r>
    </w:p>
    <w:p>
      <w:pPr>
        <w:spacing w:after="0" w:line="96"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37465</wp:posOffset>
            </wp:positionV>
            <wp:extent cx="7804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4"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6</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(32)</w:t>
      </w:r>
    </w:p>
    <w:p>
      <w:pPr>
        <w:spacing w:after="0" w:line="86"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(306)</w:t>
      </w:r>
    </w:p>
    <w:p>
      <w:pPr>
        <w:spacing w:after="0" w:line="86"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7804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6" w:lineRule="exact"/>
        <w:rPr>
          <w:sz w:val="20"/>
          <w:szCs w:val="20"/>
          <w:color w:val="auto"/>
        </w:rPr>
      </w:pPr>
    </w:p>
    <w:p>
      <w:pPr>
        <w:jc w:val="right"/>
        <w:ind w:right="1360"/>
        <w:spacing w:after="0"/>
        <w:rPr>
          <w:sz w:val="20"/>
          <w:szCs w:val="20"/>
          <w:color w:val="auto"/>
        </w:rPr>
      </w:pPr>
      <w:r>
        <w:rPr>
          <w:rFonts w:ascii="Arial" w:cs="Arial" w:eastAsia="Arial" w:hAnsi="Arial"/>
          <w:sz w:val="16"/>
          <w:szCs w:val="16"/>
          <w:b w:val="1"/>
          <w:bCs w:val="1"/>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37465</wp:posOffset>
            </wp:positionV>
            <wp:extent cx="7804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980" w:space="380"/>
            <w:col w:w="2480"/>
          </w:cols>
          <w:pgMar w:left="240" w:top="58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3"/>
          <w:szCs w:val="23"/>
          <w:color w:val="auto"/>
          <w:vertAlign w:val="superscript"/>
        </w:rPr>
      </w:pPr>
      <w:r>
        <w:rPr>
          <w:rFonts w:ascii="Arial" w:cs="Arial" w:eastAsia="Arial" w:hAnsi="Arial"/>
          <w:sz w:val="13"/>
          <w:szCs w:val="13"/>
          <w:color w:val="auto"/>
        </w:rPr>
        <w:t>Net Income guidance assumes $0 impact for mark-to-market accounting for derivatives and Hypothetical Liquidation at Book Value (HLBV) adjustments for equity method investments</w:t>
      </w:r>
    </w:p>
    <w:p>
      <w:pPr>
        <w:spacing w:after="0" w:line="59"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1"/>
        </w:numPr>
        <w:rPr>
          <w:rFonts w:ascii="Arial" w:cs="Arial" w:eastAsia="Arial" w:hAnsi="Arial"/>
          <w:sz w:val="19"/>
          <w:szCs w:val="19"/>
          <w:color w:val="auto"/>
          <w:vertAlign w:val="superscript"/>
        </w:rPr>
      </w:pPr>
      <w:r>
        <w:rPr>
          <w:rFonts w:ascii="Arial" w:cs="Arial" w:eastAsia="Arial" w:hAnsi="Arial"/>
          <w:sz w:val="11"/>
          <w:szCs w:val="11"/>
          <w:color w:val="auto"/>
        </w:rPr>
        <w:t>Net of property damage insurance proceeds to replace equipment</w:t>
      </w:r>
    </w:p>
    <w:p>
      <w:pPr>
        <w:spacing w:after="0" w:line="59" w:lineRule="exact"/>
        <w:rPr>
          <w:rFonts w:ascii="Arial" w:cs="Arial" w:eastAsia="Arial" w:hAnsi="Arial"/>
          <w:sz w:val="19"/>
          <w:szCs w:val="19"/>
          <w:color w:val="auto"/>
          <w:vertAlign w:val="superscript"/>
        </w:rPr>
      </w:pPr>
    </w:p>
    <w:p>
      <w:pPr>
        <w:ind w:left="180" w:hanging="172"/>
        <w:spacing w:after="0" w:line="187" w:lineRule="auto"/>
        <w:tabs>
          <w:tab w:leader="none" w:pos="180" w:val="left"/>
        </w:tabs>
        <w:numPr>
          <w:ilvl w:val="0"/>
          <w:numId w:val="11"/>
        </w:numPr>
        <w:rPr>
          <w:rFonts w:ascii="Arial" w:cs="Arial" w:eastAsia="Arial" w:hAnsi="Arial"/>
          <w:sz w:val="19"/>
          <w:szCs w:val="19"/>
          <w:color w:val="auto"/>
          <w:vertAlign w:val="superscript"/>
        </w:rPr>
      </w:pPr>
      <w:r>
        <w:rPr>
          <w:rFonts w:ascii="Arial" w:cs="Arial" w:eastAsia="Arial" w:hAnsi="Arial"/>
          <w:sz w:val="11"/>
          <w:szCs w:val="11"/>
          <w:color w:val="auto"/>
        </w:rPr>
        <w:t>Reimbursement of network upgrades</w:t>
      </w:r>
    </w:p>
    <w:p>
      <w:pPr>
        <w:sectPr>
          <w:pgSz w:w="11900" w:h="16838" w:orient="portrait"/>
          <w:cols w:equalWidth="0" w:num="1">
            <w:col w:w="10840"/>
          </w:cols>
          <w:pgMar w:left="240" w:top="589" w:right="819" w:bottom="1440" w:gutter="0" w:footer="0" w:header="0"/>
          <w:type w:val="continuous"/>
        </w:sect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840"/>
          </w:cols>
          <w:pgMar w:left="240" w:top="589" w:right="8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A-8: Adjusted EBITDA and Cash Available for Distribution Drop Downs</w:t>
      </w:r>
    </w:p>
    <w:p>
      <w:pPr>
        <w:spacing w:after="0" w:line="16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180" w:type="dxa"/>
            <w:vAlign w:val="bottom"/>
          </w:tcPr>
          <w:p>
            <w:pPr>
              <w:jc w:val="center"/>
              <w:ind w:left="416"/>
              <w:spacing w:after="0"/>
              <w:rPr>
                <w:sz w:val="20"/>
                <w:szCs w:val="20"/>
                <w:color w:val="auto"/>
              </w:rPr>
            </w:pPr>
            <w:r>
              <w:rPr>
                <w:rFonts w:ascii="Arial" w:cs="Arial" w:eastAsia="Arial" w:hAnsi="Arial"/>
                <w:sz w:val="18"/>
                <w:szCs w:val="18"/>
                <w:b w:val="1"/>
                <w:bCs w:val="1"/>
                <w:color w:val="auto"/>
                <w:w w:val="91"/>
              </w:rPr>
              <w:t>Buckthorn Solar</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Carlsbad Drop</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UPMC - 5 Year</w:t>
            </w: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2180" w:type="dxa"/>
            <w:vAlign w:val="bottom"/>
            <w:vMerge w:val="restart"/>
          </w:tcPr>
          <w:p>
            <w:pPr>
              <w:jc w:val="center"/>
              <w:ind w:left="396"/>
              <w:spacing w:after="0"/>
              <w:rPr>
                <w:sz w:val="20"/>
                <w:szCs w:val="20"/>
                <w:color w:val="auto"/>
              </w:rPr>
            </w:pPr>
            <w:r>
              <w:rPr>
                <w:rFonts w:ascii="Arial" w:cs="Arial" w:eastAsia="Arial" w:hAnsi="Arial"/>
                <w:sz w:val="18"/>
                <w:szCs w:val="18"/>
                <w:b w:val="1"/>
                <w:bCs w:val="1"/>
                <w:color w:val="auto"/>
                <w:w w:val="92"/>
              </w:rPr>
              <w:t>Drop Down - 5 Year</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Down - 5 Year</w:t>
            </w: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from 2019-</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2180" w:type="dxa"/>
            <w:vAlign w:val="bottom"/>
          </w:tcPr>
          <w:p>
            <w:pPr>
              <w:jc w:val="center"/>
              <w:ind w:left="416"/>
              <w:spacing w:after="0" w:line="181" w:lineRule="exact"/>
              <w:rPr>
                <w:sz w:val="20"/>
                <w:szCs w:val="20"/>
                <w:color w:val="auto"/>
              </w:rPr>
            </w:pPr>
            <w:r>
              <w:rPr>
                <w:rFonts w:ascii="Arial" w:cs="Arial" w:eastAsia="Arial" w:hAnsi="Arial"/>
                <w:sz w:val="18"/>
                <w:szCs w:val="18"/>
                <w:b w:val="1"/>
                <w:bCs w:val="1"/>
                <w:color w:val="auto"/>
                <w:w w:val="90"/>
              </w:rPr>
              <w:t>Average from 2019-</w:t>
            </w:r>
          </w:p>
        </w:tc>
        <w:tc>
          <w:tcPr>
            <w:tcW w:w="16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Average from 2019-</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180" w:type="dxa"/>
            <w:vAlign w:val="bottom"/>
            <w:vMerge w:val="restart"/>
          </w:tcPr>
          <w:p>
            <w:pPr>
              <w:jc w:val="center"/>
              <w:ind w:left="416"/>
              <w:spacing w:after="0"/>
              <w:rPr>
                <w:sz w:val="20"/>
                <w:szCs w:val="20"/>
                <w:color w:val="auto"/>
              </w:rPr>
            </w:pPr>
            <w:r>
              <w:rPr>
                <w:rFonts w:ascii="Arial" w:cs="Arial" w:eastAsia="Arial" w:hAnsi="Arial"/>
                <w:sz w:val="18"/>
                <w:szCs w:val="18"/>
                <w:b w:val="1"/>
                <w:bCs w:val="1"/>
                <w:color w:val="auto"/>
                <w:w w:val="89"/>
              </w:rPr>
              <w:t>2022</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2023</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0" w:type="dxa"/>
            <w:vAlign w:val="bottom"/>
          </w:tcPr>
          <w:p>
            <w:pPr>
              <w:spacing w:after="0"/>
              <w:rPr>
                <w:sz w:val="1"/>
                <w:szCs w:val="1"/>
                <w:color w:val="auto"/>
              </w:rPr>
            </w:pPr>
          </w:p>
        </w:tc>
      </w:tr>
      <w:tr>
        <w:trPr>
          <w:trHeight w:val="54"/>
        </w:trPr>
        <w:tc>
          <w:tcPr>
            <w:tcW w:w="3800" w:type="dxa"/>
            <w:vAlign w:val="bottom"/>
            <w:vMerge w:val="continue"/>
          </w:tcPr>
          <w:p>
            <w:pPr>
              <w:spacing w:after="0"/>
              <w:rPr>
                <w:sz w:val="4"/>
                <w:szCs w:val="4"/>
                <w:color w:val="auto"/>
              </w:rPr>
            </w:pPr>
          </w:p>
        </w:tc>
        <w:tc>
          <w:tcPr>
            <w:tcW w:w="218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1</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38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Interest Expense, net</w:t>
            </w:r>
          </w:p>
        </w:tc>
        <w:tc>
          <w:tcPr>
            <w:tcW w:w="21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6</w:t>
            </w:r>
          </w:p>
        </w:tc>
        <w:tc>
          <w:tcPr>
            <w:tcW w:w="16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color w:val="auto"/>
              </w:rPr>
              <w:t>24</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Amortization, and ARO</w:t>
            </w:r>
          </w:p>
        </w:tc>
        <w:tc>
          <w:tcPr>
            <w:tcW w:w="2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8</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28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1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15</w:t>
            </w:r>
          </w:p>
        </w:tc>
        <w:tc>
          <w:tcPr>
            <w:tcW w:w="16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90</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interest paid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21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9</w:t>
            </w:r>
          </w:p>
        </w:tc>
        <w:tc>
          <w:tcPr>
            <w:tcW w:w="1680" w:type="dxa"/>
            <w:vAlign w:val="bottom"/>
            <w:tcBorders>
              <w:top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60</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Principal amortization of indebtedness</w:t>
            </w:r>
          </w:p>
        </w:tc>
        <w:tc>
          <w:tcPr>
            <w:tcW w:w="2180" w:type="dxa"/>
            <w:vAlign w:val="bottom"/>
          </w:tcPr>
          <w:p>
            <w:pPr>
              <w:jc w:val="right"/>
              <w:spacing w:after="0"/>
              <w:rPr>
                <w:sz w:val="20"/>
                <w:szCs w:val="20"/>
                <w:color w:val="auto"/>
              </w:rPr>
            </w:pPr>
            <w:r>
              <w:rPr>
                <w:rFonts w:ascii="Arial" w:cs="Arial" w:eastAsia="Arial" w:hAnsi="Arial"/>
                <w:sz w:val="16"/>
                <w:szCs w:val="16"/>
                <w:color w:val="auto"/>
              </w:rPr>
              <w:t>(3)</w:t>
            </w:r>
          </w:p>
        </w:tc>
        <w:tc>
          <w:tcPr>
            <w:tcW w:w="1680" w:type="dxa"/>
            <w:vAlign w:val="bottom"/>
          </w:tcPr>
          <w:p>
            <w:pPr>
              <w:jc w:val="right"/>
              <w:spacing w:after="0"/>
              <w:rPr>
                <w:sz w:val="20"/>
                <w:szCs w:val="20"/>
                <w:color w:val="auto"/>
              </w:rPr>
            </w:pPr>
            <w:r>
              <w:rPr>
                <w:rFonts w:ascii="Arial" w:cs="Arial" w:eastAsia="Arial" w:hAnsi="Arial"/>
                <w:sz w:val="16"/>
                <w:szCs w:val="16"/>
                <w:color w:val="auto"/>
              </w:rPr>
              <w:t>(20)</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2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4</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b w:val="1"/>
                <w:bCs w:val="1"/>
                <w:color w:val="auto"/>
              </w:rPr>
              <w:t>40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0"/>
        </w:trPr>
        <w:tc>
          <w:tcPr>
            <w:tcW w:w="38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NRG Yield’s future results will be unaffected by unusual or non-recurring items.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represents net income before interest (including loss on debt extinguishment), taxes, depreciation and amortization. EBITDA is presented because NRG Yield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 this industry may calculate EBITDA differently than NRG Yield does, limiting its usefulness as a comparative measure.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limitations, EBITDA should not be considered as a measure of discretionary cash available to use to invest in the growth of NRG Yield’s business. NRG Yield compensates for these limitations by relying primarily on our GAAP results and using EBITDA and Adjusted EBITDA only supplementally. See the statements of cash flow included in the financial statements that are a part of this news release.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asset write offs and impairments; and factors which we do not consider indicative of future operating performance. The reader is encouraged to evaluate each adjustment and the reasons NRG Yield considers it appropriate for supplemental analysis. As an analytical tool, Adjusted EBITDA is subject to all of the limitations applicable to EBITDA. In addition, in evaluating Adjusted EBITDA, the reader should be aware that in the future NRG Yield may incur expenses similar to the adjustments in this news release.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dispositions or retirements of assets, any mark-to-market gains or losses from accounting for derivatives, adjustments to exclude the Adjusted EBITDA related to the non-controlling interest, gains or losses on the repurchase, modification or extinguishment of debt, and any extraordinary, unusual or non-recurring items plus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19"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Available for Distribution (CAFD) is Adjusted EBITDA plus cash distributions from unconsolidated affiliates, cash receipts from notes receivable,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 Management believes cash available for distribution is a relevant supplemental measure of the Company’s ability to earn and distribute cash returns to investors.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Cash Available for Distribution is useful to investors in evaluating our operating performance because securities analysts and other interested parties use such calculations as a measure of our ability to make quarterly distributions. In addition, cash available for distribution is used by our management team for determining future acquisitions and managing our growth. The GAAP measure most directly comparable to cash available for distribution is cash from operating activities.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However, cash available for distribution has limitations as an analytical tool because it does not include changes in operating assets and liabilities and excludes the effect of certain other cash flow items, all of which could have a material effect on our financial condition and results from operations. Cash available for distribution is a non GAAP measure and should not be considered an alternative to cash from operating activities or any other performance or liquidity measure determined in accordance with GAAP, nor is it indicative of funds available to fund our cash needs. In addition, our calculations of cash available for distribution are not necessarily comparable to cash available for distribution as calculated by other companies. Investors should not rely on these measures as a substitute for any GAAP measure, including cash from operating activities.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7"/>
      <w:numFmt w:val="bullet"/>
      <w:start w:val="1"/>
    </w:lvl>
  </w:abstractNum>
  <w:abstractNum w:abstractNumId="8">
    <w:nsid w:val="216231B"/>
    <w:multiLevelType w:val="hybridMultilevel"/>
    <w:lvl w:ilvl="0">
      <w:lvlJc w:val="left"/>
      <w:lvlText w:val="9"/>
      <w:numFmt w:val="bullet"/>
      <w:start w:val="1"/>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decimal"/>
      <w:start w:val="13"/>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2019-12-29T00:06:30Z</dcterms:created>
  <dcterms:modified xsi:type="dcterms:W3CDTF">2019-12-29T00:06:30Z</dcterms:modified>
</cp:coreProperties>
</file>