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-613410</wp:posOffset>
            </wp:positionV>
            <wp:extent cx="57785" cy="626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13335</wp:posOffset>
            </wp:positionV>
            <wp:extent cx="7047865" cy="5335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5335905"/>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Sotos Christopher S</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CLEARWAY ENERGY,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Clearway Energy,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CWEN</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0000FF"/>
        </w:rPr>
        <w:t>04/15/2021</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8" w:right="680" w:hanging="8"/>
        <w:spacing w:after="0" w:line="233" w:lineRule="auto"/>
        <w:tabs>
          <w:tab w:leader="none" w:pos="14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8" w:type="dxa"/>
        <w:tblCellMar>
          <w:top w:w="0" w:type="dxa"/>
          <w:left w:w="0" w:type="dxa"/>
          <w:bottom w:w="0" w:type="dxa"/>
          <w:right w:w="0" w:type="dxa"/>
        </w:tblCellMar>
      </w:tblPr>
      <w:tr>
        <w:trPr>
          <w:trHeight w:val="208"/>
        </w:trPr>
        <w:tc>
          <w:tcPr>
            <w:tcW w:w="220" w:type="dxa"/>
            <w:vAlign w:val="bottom"/>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1"/>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948"/>
        <w:spacing w:after="0"/>
        <w:rPr>
          <w:sz w:val="20"/>
          <w:szCs w:val="20"/>
          <w:color w:val="auto"/>
        </w:rPr>
      </w:pPr>
      <w:r>
        <w:rPr>
          <w:rFonts w:ascii="Arial" w:cs="Arial" w:eastAsia="Arial" w:hAnsi="Arial"/>
          <w:sz w:val="16"/>
          <w:szCs w:val="16"/>
          <w:color w:val="0000FF"/>
        </w:rPr>
        <w:t>President and CEO</w:t>
      </w:r>
    </w:p>
    <w:p>
      <w:pPr>
        <w:spacing w:after="0" w:line="394" w:lineRule="exact"/>
        <w:rPr>
          <w:sz w:val="24"/>
          <w:szCs w:val="24"/>
          <w:color w:val="auto"/>
        </w:rPr>
      </w:pPr>
    </w:p>
    <w:p>
      <w:pPr>
        <w:sectPr>
          <w:pgSz w:w="11900" w:h="16838" w:orient="portrait"/>
          <w:cols w:equalWidth="0" w:num="3">
            <w:col w:w="3180" w:space="720"/>
            <w:col w:w="3112" w:space="720"/>
            <w:col w:w="3348"/>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6"/>
                <w:szCs w:val="16"/>
                <w:color w:val="0000FF"/>
              </w:rPr>
              <w:t>PRINCETON</w:t>
            </w:r>
          </w:p>
        </w:tc>
        <w:tc>
          <w:tcPr>
            <w:tcW w:w="960" w:type="dxa"/>
            <w:vAlign w:val="bottom"/>
          </w:tcPr>
          <w:p>
            <w:pPr>
              <w:ind w:left="160"/>
              <w:spacing w:after="0"/>
              <w:rPr>
                <w:sz w:val="20"/>
                <w:szCs w:val="20"/>
                <w:color w:val="auto"/>
              </w:rPr>
            </w:pPr>
            <w:r>
              <w:rPr>
                <w:rFonts w:ascii="Arial" w:cs="Arial" w:eastAsia="Arial" w:hAnsi="Arial"/>
                <w:sz w:val="16"/>
                <w:szCs w:val="16"/>
                <w:color w:val="0000FF"/>
              </w:rPr>
              <w:t>NJ</w:t>
            </w:r>
          </w:p>
        </w:tc>
        <w:tc>
          <w:tcPr>
            <w:tcW w:w="1620" w:type="dxa"/>
            <w:vAlign w:val="bottom"/>
          </w:tcPr>
          <w:p>
            <w:pPr>
              <w:ind w:left="420"/>
              <w:spacing w:after="0"/>
              <w:rPr>
                <w:sz w:val="20"/>
                <w:szCs w:val="20"/>
                <w:color w:val="auto"/>
              </w:rPr>
            </w:pPr>
            <w:r>
              <w:rPr>
                <w:rFonts w:ascii="Arial" w:cs="Arial" w:eastAsia="Arial" w:hAnsi="Arial"/>
                <w:sz w:val="16"/>
                <w:szCs w:val="16"/>
                <w:color w:val="0000FF"/>
              </w:rPr>
              <w:t>08540</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3"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39" w:lineRule="exact"/>
        <w:rPr>
          <w:sz w:val="24"/>
          <w:szCs w:val="24"/>
          <w:color w:val="auto"/>
        </w:rPr>
      </w:pPr>
    </w:p>
    <w:p>
      <w:pPr>
        <w:sectPr>
          <w:pgSz w:w="11900" w:h="16838" w:orient="portrait"/>
          <w:cols w:equalWidth="0" w:num="2">
            <w:col w:w="3760" w:space="140"/>
            <w:col w:w="718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260" w:type="dxa"/>
            <w:vAlign w:val="bottom"/>
            <w:gridSpan w:val="2"/>
          </w:tcPr>
          <w:p>
            <w:pPr>
              <w:ind w:left="22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ind w:left="220"/>
              <w:spacing w:after="0" w:line="123"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10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60" w:type="dxa"/>
            <w:vAlign w:val="bottom"/>
            <w:gridSpan w:val="2"/>
          </w:tcPr>
          <w:p>
            <w:pPr>
              <w:ind w:left="2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restart"/>
          </w:tcPr>
          <w:p>
            <w:pPr>
              <w:jc w:val="center"/>
              <w:ind w:right="59"/>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Arial" w:cs="Arial" w:eastAsia="Arial" w:hAnsi="Arial"/>
                <w:sz w:val="16"/>
                <w:szCs w:val="16"/>
                <w:color w:val="0000FF"/>
                <w:w w:val="98"/>
              </w:rPr>
              <w:t>Class C Common Stock, par value $.01 per</w:t>
            </w:r>
          </w:p>
        </w:tc>
        <w:tc>
          <w:tcPr>
            <w:tcW w:w="1260" w:type="dxa"/>
            <w:vAlign w:val="bottom"/>
            <w:gridSpan w:val="2"/>
            <w:vMerge w:val="restart"/>
          </w:tcPr>
          <w:p>
            <w:pPr>
              <w:jc w:val="right"/>
              <w:ind w:right="142"/>
              <w:spacing w:after="0"/>
              <w:rPr>
                <w:sz w:val="20"/>
                <w:szCs w:val="20"/>
                <w:color w:val="auto"/>
              </w:rPr>
            </w:pPr>
            <w:r>
              <w:rPr>
                <w:rFonts w:ascii="Arial" w:cs="Arial" w:eastAsia="Arial" w:hAnsi="Arial"/>
                <w:sz w:val="16"/>
                <w:szCs w:val="16"/>
                <w:color w:val="0000FF"/>
              </w:rPr>
              <w:t>04/15/2021</w:t>
            </w: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F</w:t>
            </w:r>
          </w:p>
        </w:tc>
        <w:tc>
          <w:tcPr>
            <w:tcW w:w="720" w:type="dxa"/>
            <w:vAlign w:val="bottom"/>
            <w:vMerge w:val="restart"/>
          </w:tcPr>
          <w:p>
            <w:pPr>
              <w:jc w:val="right"/>
              <w:ind w:right="56"/>
              <w:spacing w:after="0"/>
              <w:rPr>
                <w:sz w:val="20"/>
                <w:szCs w:val="20"/>
                <w:color w:val="auto"/>
              </w:rPr>
            </w:pPr>
            <w:r>
              <w:rPr>
                <w:rFonts w:ascii="Arial" w:cs="Arial" w:eastAsia="Arial" w:hAnsi="Arial"/>
                <w:sz w:val="16"/>
                <w:szCs w:val="16"/>
                <w:color w:val="0000FF"/>
              </w:rPr>
              <w:t>4,134</w:t>
            </w:r>
          </w:p>
        </w:tc>
        <w:tc>
          <w:tcPr>
            <w:tcW w:w="640" w:type="dxa"/>
            <w:vAlign w:val="bottom"/>
            <w:vMerge w:val="restart"/>
          </w:tcPr>
          <w:p>
            <w:pPr>
              <w:ind w:left="300"/>
              <w:spacing w:after="0"/>
              <w:rPr>
                <w:sz w:val="20"/>
                <w:szCs w:val="20"/>
                <w:color w:val="auto"/>
              </w:rPr>
            </w:pPr>
            <w:r>
              <w:rPr>
                <w:rFonts w:ascii="Arial" w:cs="Arial" w:eastAsia="Arial" w:hAnsi="Arial"/>
                <w:sz w:val="16"/>
                <w:szCs w:val="16"/>
                <w:color w:val="0000FF"/>
              </w:rPr>
              <w:t>D</w:t>
            </w:r>
          </w:p>
        </w:tc>
        <w:tc>
          <w:tcPr>
            <w:tcW w:w="520" w:type="dxa"/>
            <w:vAlign w:val="bottom"/>
            <w:vMerge w:val="restart"/>
          </w:tcPr>
          <w:p>
            <w:pPr>
              <w:ind w:left="220"/>
              <w:spacing w:after="0"/>
              <w:rPr>
                <w:sz w:val="20"/>
                <w:szCs w:val="20"/>
                <w:color w:val="auto"/>
              </w:rPr>
            </w:pPr>
            <w:r>
              <w:rPr>
                <w:rFonts w:ascii="Arial" w:cs="Arial" w:eastAsia="Arial" w:hAnsi="Arial"/>
                <w:sz w:val="11"/>
                <w:szCs w:val="11"/>
                <w:color w:val="008000"/>
              </w:rPr>
              <w:t>(1)</w:t>
            </w:r>
          </w:p>
        </w:tc>
        <w:tc>
          <w:tcPr>
            <w:tcW w:w="1280" w:type="dxa"/>
            <w:vAlign w:val="bottom"/>
            <w:gridSpan w:val="3"/>
            <w:vMerge w:val="restart"/>
          </w:tcPr>
          <w:p>
            <w:pPr>
              <w:ind w:left="320"/>
              <w:spacing w:after="0"/>
              <w:rPr>
                <w:sz w:val="20"/>
                <w:szCs w:val="20"/>
                <w:color w:val="auto"/>
              </w:rPr>
            </w:pPr>
            <w:r>
              <w:rPr>
                <w:rFonts w:ascii="Arial" w:cs="Arial" w:eastAsia="Arial" w:hAnsi="Arial"/>
                <w:sz w:val="16"/>
                <w:szCs w:val="16"/>
                <w:color w:val="0000FF"/>
              </w:rPr>
              <w:t>210,206</w:t>
            </w:r>
            <w:r>
              <w:rPr>
                <w:rFonts w:ascii="Arial" w:cs="Arial" w:eastAsia="Arial" w:hAnsi="Arial"/>
                <w:sz w:val="21"/>
                <w:szCs w:val="21"/>
                <w:color w:val="008000"/>
                <w:vertAlign w:val="superscript"/>
              </w:rPr>
              <w:t>(2)</w:t>
            </w:r>
          </w:p>
        </w:tc>
        <w:tc>
          <w:tcPr>
            <w:tcW w:w="300" w:type="dxa"/>
            <w:vAlign w:val="bottom"/>
          </w:tcPr>
          <w:p>
            <w:pPr>
              <w:spacing w:after="0"/>
              <w:rPr>
                <w:sz w:val="21"/>
                <w:szCs w:val="21"/>
                <w:color w:val="auto"/>
              </w:rPr>
            </w:pPr>
          </w:p>
        </w:tc>
        <w:tc>
          <w:tcPr>
            <w:tcW w:w="640" w:type="dxa"/>
            <w:vAlign w:val="bottom"/>
            <w:vMerge w:val="restart"/>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vMerge w:val="restart"/>
          </w:tcPr>
          <w:p>
            <w:pPr>
              <w:ind w:left="60"/>
              <w:spacing w:after="0"/>
              <w:rPr>
                <w:sz w:val="20"/>
                <w:szCs w:val="20"/>
                <w:color w:val="auto"/>
              </w:rPr>
            </w:pPr>
            <w:r>
              <w:rPr>
                <w:rFonts w:ascii="Arial" w:cs="Arial" w:eastAsia="Arial" w:hAnsi="Arial"/>
                <w:sz w:val="16"/>
                <w:szCs w:val="16"/>
                <w:color w:val="0000FF"/>
              </w:rPr>
              <w:t>share</w:t>
            </w: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3100" w:type="dxa"/>
            <w:vAlign w:val="bottom"/>
            <w:tcBorders>
              <w:bottom w:val="single" w:sz="8" w:color="2C2C2C"/>
            </w:tcBorders>
            <w:gridSpan w:val="4"/>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Arial" w:cs="Arial" w:eastAsia="Arial" w:hAnsi="Arial"/>
                <w:sz w:val="16"/>
                <w:szCs w:val="16"/>
                <w:color w:val="0000FF"/>
                <w:w w:val="98"/>
              </w:rPr>
              <w:t>Class C Common Stock, par value $.01 per</w:t>
            </w:r>
          </w:p>
        </w:tc>
        <w:tc>
          <w:tcPr>
            <w:tcW w:w="1260" w:type="dxa"/>
            <w:vAlign w:val="bottom"/>
            <w:gridSpan w:val="2"/>
            <w:vMerge w:val="restart"/>
          </w:tcPr>
          <w:p>
            <w:pPr>
              <w:jc w:val="right"/>
              <w:ind w:right="142"/>
              <w:spacing w:after="0"/>
              <w:rPr>
                <w:sz w:val="20"/>
                <w:szCs w:val="20"/>
                <w:color w:val="auto"/>
              </w:rPr>
            </w:pPr>
            <w:r>
              <w:rPr>
                <w:rFonts w:ascii="Arial" w:cs="Arial" w:eastAsia="Arial" w:hAnsi="Arial"/>
                <w:sz w:val="16"/>
                <w:szCs w:val="16"/>
                <w:color w:val="0000FF"/>
              </w:rPr>
              <w:t>04/15/2021</w:t>
            </w: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rPr>
              <w:t>20,233</w:t>
            </w:r>
            <w:r>
              <w:rPr>
                <w:rFonts w:ascii="Arial" w:cs="Arial" w:eastAsia="Arial" w:hAnsi="Arial"/>
                <w:sz w:val="21"/>
                <w:szCs w:val="21"/>
                <w:color w:val="008000"/>
                <w:vertAlign w:val="superscript"/>
              </w:rPr>
              <w:t>(3)</w:t>
            </w:r>
          </w:p>
        </w:tc>
        <w:tc>
          <w:tcPr>
            <w:tcW w:w="640" w:type="dxa"/>
            <w:vAlign w:val="bottom"/>
            <w:vMerge w:val="restart"/>
          </w:tcPr>
          <w:p>
            <w:pPr>
              <w:ind w:left="300"/>
              <w:spacing w:after="0"/>
              <w:rPr>
                <w:sz w:val="20"/>
                <w:szCs w:val="20"/>
                <w:color w:val="auto"/>
              </w:rPr>
            </w:pPr>
            <w:r>
              <w:rPr>
                <w:rFonts w:ascii="Arial" w:cs="Arial" w:eastAsia="Arial" w:hAnsi="Arial"/>
                <w:sz w:val="16"/>
                <w:szCs w:val="16"/>
                <w:color w:val="0000FF"/>
              </w:rPr>
              <w:t>A</w:t>
            </w:r>
          </w:p>
        </w:tc>
        <w:tc>
          <w:tcPr>
            <w:tcW w:w="520" w:type="dxa"/>
            <w:vAlign w:val="bottom"/>
            <w:vMerge w:val="restart"/>
          </w:tcPr>
          <w:p>
            <w:pPr>
              <w:ind w:left="220"/>
              <w:spacing w:after="0"/>
              <w:rPr>
                <w:sz w:val="20"/>
                <w:szCs w:val="20"/>
                <w:color w:val="auto"/>
              </w:rPr>
            </w:pPr>
            <w:r>
              <w:rPr>
                <w:rFonts w:ascii="Arial" w:cs="Arial" w:eastAsia="Arial" w:hAnsi="Arial"/>
                <w:sz w:val="11"/>
                <w:szCs w:val="11"/>
                <w:color w:val="008000"/>
              </w:rPr>
              <w:t>(4)</w:t>
            </w:r>
          </w:p>
        </w:tc>
        <w:tc>
          <w:tcPr>
            <w:tcW w:w="1280" w:type="dxa"/>
            <w:vAlign w:val="bottom"/>
            <w:gridSpan w:val="3"/>
            <w:vMerge w:val="restart"/>
          </w:tcPr>
          <w:p>
            <w:pPr>
              <w:ind w:left="320"/>
              <w:spacing w:after="0"/>
              <w:rPr>
                <w:sz w:val="20"/>
                <w:szCs w:val="20"/>
                <w:color w:val="auto"/>
              </w:rPr>
            </w:pPr>
            <w:r>
              <w:rPr>
                <w:rFonts w:ascii="Arial" w:cs="Arial" w:eastAsia="Arial" w:hAnsi="Arial"/>
                <w:sz w:val="16"/>
                <w:szCs w:val="16"/>
                <w:color w:val="0000FF"/>
              </w:rPr>
              <w:t>230,439</w:t>
            </w:r>
            <w:r>
              <w:rPr>
                <w:rFonts w:ascii="Arial" w:cs="Arial" w:eastAsia="Arial" w:hAnsi="Arial"/>
                <w:sz w:val="21"/>
                <w:szCs w:val="21"/>
                <w:color w:val="008000"/>
                <w:vertAlign w:val="superscript"/>
              </w:rPr>
              <w:t>(5)</w:t>
            </w:r>
          </w:p>
        </w:tc>
        <w:tc>
          <w:tcPr>
            <w:tcW w:w="300" w:type="dxa"/>
            <w:vAlign w:val="bottom"/>
          </w:tcPr>
          <w:p>
            <w:pPr>
              <w:spacing w:after="0"/>
              <w:rPr>
                <w:sz w:val="21"/>
                <w:szCs w:val="21"/>
                <w:color w:val="auto"/>
              </w:rPr>
            </w:pPr>
          </w:p>
        </w:tc>
        <w:tc>
          <w:tcPr>
            <w:tcW w:w="640" w:type="dxa"/>
            <w:vAlign w:val="bottom"/>
            <w:vMerge w:val="restart"/>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vMerge w:val="restart"/>
          </w:tcPr>
          <w:p>
            <w:pPr>
              <w:ind w:left="60"/>
              <w:spacing w:after="0"/>
              <w:rPr>
                <w:sz w:val="20"/>
                <w:szCs w:val="20"/>
                <w:color w:val="auto"/>
              </w:rPr>
            </w:pPr>
            <w:r>
              <w:rPr>
                <w:rFonts w:ascii="Arial" w:cs="Arial" w:eastAsia="Arial" w:hAnsi="Arial"/>
                <w:sz w:val="16"/>
                <w:szCs w:val="16"/>
                <w:color w:val="0000FF"/>
              </w:rPr>
              <w:t>share</w:t>
            </w: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5560" w:type="dxa"/>
            <w:vAlign w:val="bottom"/>
            <w:tcBorders>
              <w:bottom w:val="single" w:sz="8" w:color="2C2C2C"/>
            </w:tcBorders>
            <w:gridSpan w:val="10"/>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1"/>
          </w:tcPr>
          <w:p>
            <w:pPr>
              <w:jc w:val="center"/>
              <w:ind w:right="16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20" w:type="dxa"/>
            <w:vAlign w:val="bottom"/>
            <w:gridSpan w:val="8"/>
          </w:tcPr>
          <w:p>
            <w:pPr>
              <w:jc w:val="center"/>
              <w:ind w:right="21"/>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740" w:type="dxa"/>
            <w:vAlign w:val="bottom"/>
          </w:tcPr>
          <w:p>
            <w:pPr>
              <w:ind w:left="16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5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ind w:left="16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16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jc w:val="center"/>
              <w:ind w:right="39"/>
              <w:spacing w:after="0"/>
              <w:rPr>
                <w:sz w:val="20"/>
                <w:szCs w:val="20"/>
                <w:color w:val="auto"/>
              </w:rPr>
            </w:pPr>
            <w:r>
              <w:rPr>
                <w:rFonts w:ascii="Arial" w:cs="Arial" w:eastAsia="Arial" w:hAnsi="Arial"/>
                <w:sz w:val="13"/>
                <w:szCs w:val="13"/>
                <w:color w:val="0000FF"/>
                <w:w w:val="83"/>
              </w:rPr>
              <w:t>Class C</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Relative</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ind w:left="40"/>
              <w:spacing w:after="0" w:line="139" w:lineRule="exact"/>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vMerge w:val="restart"/>
          </w:tcPr>
          <w:p>
            <w:pPr>
              <w:ind w:left="160"/>
              <w:spacing w:after="0" w:line="212" w:lineRule="exact"/>
              <w:rPr>
                <w:sz w:val="20"/>
                <w:szCs w:val="20"/>
                <w:color w:val="auto"/>
              </w:rPr>
            </w:pPr>
            <w:r>
              <w:rPr>
                <w:rFonts w:ascii="Arial" w:cs="Arial" w:eastAsia="Arial" w:hAnsi="Arial"/>
                <w:sz w:val="13"/>
                <w:szCs w:val="13"/>
                <w:color w:val="0000FF"/>
                <w:w w:val="98"/>
              </w:rPr>
              <w:t>41,319</w:t>
            </w:r>
            <w:r>
              <w:rPr>
                <w:rFonts w:ascii="Arial" w:cs="Arial" w:eastAsia="Arial" w:hAnsi="Arial"/>
                <w:sz w:val="21"/>
                <w:szCs w:val="21"/>
                <w:color w:val="008000"/>
                <w:w w:val="98"/>
                <w:vertAlign w:val="superscript"/>
              </w:rPr>
              <w:t>(6)</w:t>
            </w: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restart"/>
          </w:tcPr>
          <w:p>
            <w:pPr>
              <w:jc w:val="center"/>
              <w:ind w:right="19"/>
              <w:spacing w:after="0" w:line="139" w:lineRule="exact"/>
              <w:rPr>
                <w:sz w:val="20"/>
                <w:szCs w:val="20"/>
                <w:color w:val="auto"/>
              </w:rPr>
            </w:pPr>
            <w:r>
              <w:rPr>
                <w:rFonts w:ascii="Arial" w:cs="Arial" w:eastAsia="Arial" w:hAnsi="Arial"/>
                <w:sz w:val="13"/>
                <w:szCs w:val="13"/>
                <w:color w:val="0000FF"/>
                <w:w w:val="88"/>
              </w:rPr>
              <w:t>Stock,</w:t>
            </w:r>
          </w:p>
        </w:tc>
        <w:tc>
          <w:tcPr>
            <w:tcW w:w="520" w:type="dxa"/>
            <w:vAlign w:val="bottom"/>
            <w:vMerge w:val="restart"/>
          </w:tcPr>
          <w:p>
            <w:pPr>
              <w:spacing w:after="0"/>
              <w:rPr>
                <w:sz w:val="20"/>
                <w:szCs w:val="20"/>
                <w:color w:val="auto"/>
              </w:rPr>
            </w:pPr>
            <w:r>
              <w:rPr>
                <w:rFonts w:ascii="Arial" w:cs="Arial" w:eastAsia="Arial" w:hAnsi="Arial"/>
                <w:sz w:val="16"/>
                <w:szCs w:val="16"/>
                <w:color w:val="0000FF"/>
              </w:rPr>
              <w:t>61,978</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gridSpan w:val="2"/>
            <w:vMerge w:val="restart"/>
          </w:tcPr>
          <w:p>
            <w:pPr>
              <w:ind w:left="200"/>
              <w:spacing w:after="0" w:line="212" w:lineRule="exact"/>
              <w:rPr>
                <w:sz w:val="20"/>
                <w:szCs w:val="20"/>
                <w:color w:val="auto"/>
              </w:rPr>
            </w:pPr>
            <w:r>
              <w:rPr>
                <w:rFonts w:ascii="Arial" w:cs="Arial" w:eastAsia="Arial" w:hAnsi="Arial"/>
                <w:sz w:val="13"/>
                <w:szCs w:val="13"/>
                <w:color w:val="0000FF"/>
              </w:rPr>
              <w:t>41,319</w:t>
            </w:r>
            <w:r>
              <w:rPr>
                <w:rFonts w:ascii="Arial" w:cs="Arial" w:eastAsia="Arial" w:hAnsi="Arial"/>
                <w:sz w:val="21"/>
                <w:szCs w:val="21"/>
                <w:color w:val="008000"/>
                <w:vertAlign w:val="superscript"/>
              </w:rPr>
              <w:t>(7)</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w w:val="94"/>
              </w:rPr>
              <w:t>Performance</w:t>
            </w:r>
          </w:p>
        </w:tc>
        <w:tc>
          <w:tcPr>
            <w:tcW w:w="760" w:type="dxa"/>
            <w:vAlign w:val="bottom"/>
            <w:vMerge w:val="continue"/>
          </w:tcPr>
          <w:p>
            <w:pPr>
              <w:spacing w:after="0"/>
              <w:rPr>
                <w:sz w:val="6"/>
                <w:szCs w:val="6"/>
                <w:color w:val="auto"/>
              </w:rPr>
            </w:pPr>
          </w:p>
        </w:tc>
        <w:tc>
          <w:tcPr>
            <w:tcW w:w="1000" w:type="dxa"/>
            <w:vAlign w:val="bottom"/>
            <w:vMerge w:val="restart"/>
          </w:tcPr>
          <w:p>
            <w:pPr>
              <w:jc w:val="right"/>
              <w:ind w:right="122"/>
              <w:spacing w:after="0"/>
              <w:rPr>
                <w:sz w:val="20"/>
                <w:szCs w:val="20"/>
                <w:color w:val="auto"/>
              </w:rPr>
            </w:pPr>
            <w:r>
              <w:rPr>
                <w:rFonts w:ascii="Arial" w:cs="Arial" w:eastAsia="Arial" w:hAnsi="Arial"/>
                <w:sz w:val="13"/>
                <w:szCs w:val="13"/>
                <w:color w:val="0000FF"/>
              </w:rPr>
              <w:t>04/15/2021</w:t>
            </w: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7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04/15/2024</w:t>
            </w:r>
          </w:p>
        </w:tc>
        <w:tc>
          <w:tcPr>
            <w:tcW w:w="720" w:type="dxa"/>
            <w:vAlign w:val="bottom"/>
            <w:vMerge w:val="restart"/>
          </w:tcPr>
          <w:p>
            <w:pPr>
              <w:ind w:left="40"/>
              <w:spacing w:after="0"/>
              <w:rPr>
                <w:sz w:val="20"/>
                <w:szCs w:val="20"/>
                <w:color w:val="auto"/>
              </w:rPr>
            </w:pPr>
            <w:r>
              <w:rPr>
                <w:rFonts w:ascii="Arial" w:cs="Arial" w:eastAsia="Arial" w:hAnsi="Arial"/>
                <w:sz w:val="13"/>
                <w:szCs w:val="13"/>
                <w:color w:val="0000FF"/>
              </w:rPr>
              <w:t>04/15/2024</w:t>
            </w: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gridSpan w:val="2"/>
            <w:vMerge w:val="continue"/>
          </w:tcPr>
          <w:p>
            <w:pPr>
              <w:spacing w:after="0"/>
              <w:rPr>
                <w:sz w:val="6"/>
                <w:szCs w:val="6"/>
                <w:color w:val="auto"/>
              </w:rPr>
            </w:pP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40" w:type="dxa"/>
            <w:vAlign w:val="bottom"/>
          </w:tcPr>
          <w:p>
            <w:pPr>
              <w:ind w:left="40"/>
              <w:spacing w:after="0" w:line="73" w:lineRule="exact"/>
              <w:rPr>
                <w:sz w:val="20"/>
                <w:szCs w:val="20"/>
                <w:color w:val="auto"/>
              </w:rPr>
            </w:pPr>
            <w:r>
              <w:rPr>
                <w:rFonts w:ascii="Arial" w:cs="Arial" w:eastAsia="Arial" w:hAnsi="Arial"/>
                <w:sz w:val="8"/>
                <w:szCs w:val="8"/>
                <w:color w:val="0000FF"/>
              </w:rPr>
              <w:t>par value</w:t>
            </w:r>
          </w:p>
        </w:tc>
        <w:tc>
          <w:tcPr>
            <w:tcW w:w="520" w:type="dxa"/>
            <w:vAlign w:val="bottom"/>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vMerge w:val="restart"/>
          </w:tcPr>
          <w:p>
            <w:pPr>
              <w:jc w:val="center"/>
              <w:ind w:right="39"/>
              <w:spacing w:after="0"/>
              <w:rPr>
                <w:sz w:val="20"/>
                <w:szCs w:val="20"/>
                <w:color w:val="auto"/>
              </w:rPr>
            </w:pPr>
            <w:r>
              <w:rPr>
                <w:rFonts w:ascii="Arial" w:cs="Arial" w:eastAsia="Arial" w:hAnsi="Arial"/>
                <w:sz w:val="13"/>
                <w:szCs w:val="13"/>
                <w:color w:val="0000FF"/>
                <w:w w:val="87"/>
              </w:rPr>
              <w:t>$.01 per</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7020"/>
        <w:spacing w:after="0"/>
        <w:rPr>
          <w:sz w:val="20"/>
          <w:szCs w:val="20"/>
          <w:color w:val="auto"/>
        </w:rPr>
      </w:pPr>
      <w:r>
        <w:rPr>
          <w:rFonts w:ascii="Arial" w:cs="Arial" w:eastAsia="Arial" w:hAnsi="Arial"/>
          <w:sz w:val="13"/>
          <w:szCs w:val="13"/>
          <w:color w:val="0000FF"/>
        </w:rPr>
        <w:t>share</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320" w:hanging="1"/>
        <w:spacing w:after="0" w:line="285" w:lineRule="auto"/>
        <w:tabs>
          <w:tab w:leader="none" w:pos="166"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April 15, 2020, Mr. Sotos was issued 28,016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April 15, 2021, 9,329.00 shares vested. Mr. Sotos elected to satisfy his tax obligation upon the exchange of common stock for RSUs having a value on the date of the exchange equal to the withholding obligation. This form reflects the surrender of 4,134 shares of Class C Common Stock to satisfy the grantee's tax withholding obligation.</w:t>
      </w:r>
    </w:p>
    <w:p>
      <w:pPr>
        <w:spacing w:after="0" w:line="5" w:lineRule="exact"/>
        <w:rPr>
          <w:rFonts w:ascii="Arial" w:cs="Arial" w:eastAsia="Arial" w:hAnsi="Arial"/>
          <w:sz w:val="11"/>
          <w:szCs w:val="11"/>
          <w:color w:val="008000"/>
        </w:rPr>
      </w:pPr>
    </w:p>
    <w:p>
      <w:pPr>
        <w:ind w:left="40" w:right="200" w:hanging="1"/>
        <w:spacing w:after="0" w:line="261" w:lineRule="auto"/>
        <w:tabs>
          <w:tab w:leader="none" w:pos="16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vesting of the RSUs described above, 417 DERs converted to Class C Common Stock, resulting in the reporting person holding 10,269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17" w:lineRule="exact"/>
        <w:rPr>
          <w:rFonts w:ascii="Arial" w:cs="Arial" w:eastAsia="Arial" w:hAnsi="Arial"/>
          <w:sz w:val="12"/>
          <w:szCs w:val="12"/>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RSUs issued to Mr. Sotos under the LTIP.</w:t>
      </w:r>
    </w:p>
    <w:p>
      <w:pPr>
        <w:spacing w:after="0" w:line="39"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is equivalent in value to one share of Clearway Energy, Inc.'s Class C Common Stock, par value $.01 per share.</w:t>
      </w:r>
    </w:p>
    <w:p>
      <w:pPr>
        <w:spacing w:after="0" w:line="39" w:lineRule="exact"/>
        <w:rPr>
          <w:rFonts w:ascii="Arial" w:cs="Arial" w:eastAsia="Arial" w:hAnsi="Arial"/>
          <w:sz w:val="13"/>
          <w:szCs w:val="13"/>
          <w:color w:val="008000"/>
        </w:rPr>
      </w:pPr>
    </w:p>
    <w:p>
      <w:pPr>
        <w:ind w:left="40" w:right="260" w:hanging="1"/>
        <w:spacing w:after="0"/>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will receive from Clearway Energy, Inc. one such share of Class C Common Stock for each RSU that will vest ratably over a three-year period beginning on the first anniversary of the date of the grant.</w:t>
      </w:r>
    </w:p>
    <w:p>
      <w:pPr>
        <w:spacing w:after="0" w:line="29" w:lineRule="exact"/>
        <w:rPr>
          <w:rFonts w:ascii="Arial" w:cs="Arial" w:eastAsia="Arial" w:hAnsi="Arial"/>
          <w:sz w:val="13"/>
          <w:szCs w:val="13"/>
          <w:color w:val="008000"/>
        </w:rPr>
      </w:pPr>
    </w:p>
    <w:p>
      <w:pPr>
        <w:ind w:left="40" w:right="360" w:hanging="1"/>
        <w:spacing w:after="0" w:line="295" w:lineRule="auto"/>
        <w:tabs>
          <w:tab w:leader="none" w:pos="166"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Reporting Person was issued 41,319 Relative Performance Stock Units ("RPSUs") by Clearway Energy, Inc. under the LTIP on April 15, 2021. The RPSUs will convert to shares of Clearway Energy, Inc. Class C Common Stock on April 15, 2024 only in the event the Company has achieved a certain level of total shareholder return ("TSR") relative to the Peer Group (defined below) over a three-year performance period. The number of shares of Common Stock that the Reporting Person may receive is interpolated for TSR falling between Threshold, Target, and Maximum levels as described below.</w:t>
      </w:r>
    </w:p>
    <w:p>
      <w:pPr>
        <w:spacing w:after="0" w:line="1" w:lineRule="exact"/>
        <w:rPr>
          <w:rFonts w:ascii="Arial" w:cs="Arial" w:eastAsia="Arial" w:hAnsi="Arial"/>
          <w:sz w:val="11"/>
          <w:szCs w:val="11"/>
          <w:color w:val="008000"/>
        </w:rPr>
      </w:pPr>
    </w:p>
    <w:p>
      <w:pPr>
        <w:ind w:left="40" w:right="140" w:hanging="1"/>
        <w:spacing w:after="0" w:line="251" w:lineRule="auto"/>
        <w:tabs>
          <w:tab w:leader="none" w:pos="16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Reporting Person will receive (i) a maximum of 61,978 shares of Class C Common Stock if Company's TSR is ranked at or above the 75th percentile relative to a peer group of companies approved by the Company's Compensation Committee (the "Peer Group") for the performance period ("Maximum"); (ii) 41,319 shares of Class C Common Stock if Company's TSR is ranked at the 50th percentile relative to the Peer Group for the performance period (the "Target"); provided, however, if TSR is less than negative twenty percent (-20%), the Company's TSR must be ranked at the 60th percentile relative to the Peer Group for the performance period to receive the Target award; or (iii) 10,329 shares of Common Stock if Company's TSR is ranked at the 25th percentile relative to the Peer Group for the performance period (the "Threshold"). The Reporting Person will not receive any shares of Common Stock if Company's TSR is below the 25th percentile.</w:t>
      </w:r>
    </w:p>
    <w:p>
      <w:pPr>
        <w:sectPr>
          <w:pgSz w:w="11900" w:h="16838" w:orient="portrait"/>
          <w:cols w:equalWidth="0" w:num="1">
            <w:col w:w="11080"/>
          </w:cols>
          <w:pgMar w:left="460" w:top="219" w:right="359" w:bottom="1440" w:gutter="0" w:footer="0" w:header="0"/>
          <w:type w:val="continuous"/>
        </w:sectPr>
      </w:pPr>
    </w:p>
    <w:p>
      <w:pPr>
        <w:spacing w:after="0" w:line="49"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Michael A. Brown,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0</wp:posOffset>
            </wp:positionV>
            <wp:extent cx="13525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2550" cy="8255"/>
                    </a:xfrm>
                    <a:prstGeom prst="rect">
                      <a:avLst/>
                    </a:prstGeom>
                    <a:noFill/>
                  </pic:spPr>
                </pic:pic>
              </a:graphicData>
            </a:graphic>
          </wp:anchor>
        </w:drawing>
      </w:r>
    </w:p>
    <w:p>
      <w:pPr>
        <w:spacing w:after="0" w:line="16" w:lineRule="exact"/>
        <w:rPr>
          <w:sz w:val="24"/>
          <w:szCs w:val="24"/>
          <w:color w:val="auto"/>
        </w:rPr>
      </w:pPr>
    </w:p>
    <w:p>
      <w:pPr>
        <w:ind w:left="6600"/>
        <w:spacing w:after="0"/>
        <w:rPr>
          <w:sz w:val="20"/>
          <w:szCs w:val="20"/>
          <w:color w:val="auto"/>
        </w:rPr>
      </w:pPr>
      <w:r>
        <w:rPr>
          <w:rFonts w:ascii="Arial" w:cs="Arial" w:eastAsia="Arial" w:hAnsi="Arial"/>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-10160</wp:posOffset>
            </wp:positionV>
            <wp:extent cx="4838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51"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1400" w:hanging="1"/>
        <w:spacing w:after="0" w:line="326"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Arial" w:cs="Arial" w:eastAsia="Arial" w:hAnsi="Arial"/>
          <w:sz w:val="14"/>
          <w:szCs w:val="14"/>
          <w:color w:val="0000FF"/>
        </w:rPr>
        <w:t>04/19/2021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474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4980" cy="8255"/>
                    </a:xfrm>
                    <a:prstGeom prst="rect">
                      <a:avLst/>
                    </a:prstGeom>
                    <a:noFill/>
                  </pic:spPr>
                </pic:pic>
              </a:graphicData>
            </a:graphic>
          </wp:anchor>
        </w:drawing>
      </w:r>
    </w:p>
    <w:p>
      <w:pPr>
        <w:spacing w:after="0" w:line="181"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82" w:lineRule="exact"/>
        <w:rPr>
          <w:sz w:val="24"/>
          <w:szCs w:val="24"/>
          <w:color w:val="auto"/>
        </w:rPr>
      </w:pPr>
    </w:p>
    <w:p>
      <w:pPr>
        <w:sectPr>
          <w:pgSz w:w="11900" w:h="16838" w:orient="portrait"/>
          <w:cols w:equalWidth="0" w:num="2">
            <w:col w:w="8720" w:space="80"/>
            <w:col w:w="228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7899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2021-04-19T16:17:51Z</dcterms:created>
  <dcterms:modified xsi:type="dcterms:W3CDTF">2021-04-19T16:17:51Z</dcterms:modified>
</cp:coreProperties>
</file>