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39"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Global Infrastructure Investors III, LLC</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980"/>
        <w:spacing w:after="0" w:line="357" w:lineRule="auto"/>
        <w:rPr>
          <w:sz w:val="20"/>
          <w:szCs w:val="20"/>
          <w:color w:val="auto"/>
        </w:rPr>
      </w:pPr>
      <w:r>
        <w:rPr>
          <w:rFonts w:ascii="Arial" w:cs="Arial" w:eastAsia="Arial" w:hAnsi="Arial"/>
          <w:sz w:val="17"/>
          <w:szCs w:val="17"/>
          <w:color w:val="0000FF"/>
        </w:rPr>
        <w:t>1345 AVENUE OF THE AMERICAS 30TH FLOOR</w:t>
      </w:r>
    </w:p>
    <w:p>
      <w:pPr>
        <w:spacing w:after="0" w:line="18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10105</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Clearway Energy,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CWEN</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80" w:type="dxa"/>
            <w:vAlign w:val="bottom"/>
            <w:tcBorders>
              <w:bottom w:val="single" w:sz="8" w:color="0000EE"/>
            </w:tcBorders>
          </w:tcPr>
          <w:p>
            <w:pPr>
              <w:spacing w:after="0"/>
              <w:rPr>
                <w:sz w:val="3"/>
                <w:szCs w:val="3"/>
                <w:color w:val="auto"/>
              </w:rPr>
            </w:pPr>
          </w:p>
        </w:tc>
        <w:tc>
          <w:tcPr>
            <w:tcW w:w="1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80"/>
              <w:spacing w:after="0" w:line="167"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600" w:type="dxa"/>
            <w:vAlign w:val="bottom"/>
            <w:vMerge w:val="restart"/>
          </w:tcPr>
          <w:p>
            <w:pPr>
              <w:ind w:left="140"/>
              <w:spacing w:after="0" w:line="167"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78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0"/>
        </w:trPr>
        <w:tc>
          <w:tcPr>
            <w:tcW w:w="1980" w:type="dxa"/>
            <w:vAlign w:val="bottom"/>
            <w:gridSpan w:val="3"/>
          </w:tcPr>
          <w:p>
            <w:pPr>
              <w:ind w:left="80"/>
              <w:spacing w:after="0"/>
              <w:rPr>
                <w:sz w:val="20"/>
                <w:szCs w:val="20"/>
                <w:color w:val="auto"/>
              </w:rPr>
            </w:pPr>
            <w:r>
              <w:rPr>
                <w:rFonts w:ascii="Arial" w:cs="Arial" w:eastAsia="Arial" w:hAnsi="Arial"/>
                <w:sz w:val="17"/>
                <w:szCs w:val="17"/>
                <w:color w:val="0000FF"/>
              </w:rPr>
              <w:t>04/21/2023</w:t>
            </w: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6"/>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780" w:type="dxa"/>
            <w:vAlign w:val="bottom"/>
            <w:tcBorders>
              <w:bottom w:val="single" w:sz="8" w:color="2C2C2C"/>
            </w:tcBorders>
          </w:tcPr>
          <w:p>
            <w:pPr>
              <w:spacing w:after="0"/>
              <w:rPr>
                <w:sz w:val="9"/>
                <w:szCs w:val="9"/>
                <w:color w:val="auto"/>
              </w:rPr>
            </w:pPr>
          </w:p>
        </w:tc>
        <w:tc>
          <w:tcPr>
            <w:tcW w:w="18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10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37" w:lineRule="exact"/>
        <w:rPr>
          <w:sz w:val="24"/>
          <w:szCs w:val="24"/>
          <w:color w:val="auto"/>
        </w:rPr>
      </w:pPr>
    </w:p>
    <w:tbl>
      <w:tblPr>
        <w:tblLayout w:type="fixed"/>
        <w:tblInd w:w="410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53"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6" w:lineRule="exact"/>
        <w:rPr>
          <w:sz w:val="24"/>
          <w:szCs w:val="24"/>
          <w:color w:val="auto"/>
        </w:rPr>
      </w:pPr>
    </w:p>
    <w:p>
      <w:pPr>
        <w:ind w:left="340" w:right="420"/>
        <w:spacing w:after="0" w:line="24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7" w:lineRule="exact"/>
        <w:rPr>
          <w:sz w:val="24"/>
          <w:szCs w:val="24"/>
          <w:color w:val="auto"/>
        </w:rPr>
      </w:pPr>
    </w:p>
    <w:p>
      <w:pPr>
        <w:sectPr>
          <w:pgSz w:w="11900" w:h="16839" w:orient="portrait"/>
          <w:cols w:equalWidth="0" w:num="2">
            <w:col w:w="3760" w:space="80"/>
            <w:col w:w="724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80" w:type="dxa"/>
            <w:vAlign w:val="bottom"/>
          </w:tcPr>
          <w:p>
            <w:pPr>
              <w:spacing w:after="0"/>
              <w:rPr>
                <w:sz w:val="13"/>
                <w:szCs w:val="13"/>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6"/>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186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1160" w:type="dxa"/>
            <w:vAlign w:val="bottom"/>
            <w:gridSpan w:val="2"/>
          </w:tcPr>
          <w:p>
            <w:pPr>
              <w:ind w:left="280"/>
              <w:spacing w:after="0"/>
              <w:rPr>
                <w:sz w:val="20"/>
                <w:szCs w:val="20"/>
                <w:color w:val="auto"/>
              </w:rPr>
            </w:pPr>
            <w:r>
              <w:rPr>
                <w:rFonts w:ascii="Arial" w:cs="Arial" w:eastAsia="Arial" w:hAnsi="Arial"/>
                <w:sz w:val="12"/>
                <w:szCs w:val="12"/>
                <w:b w:val="1"/>
                <w:bCs w:val="1"/>
                <w:color w:val="auto"/>
              </w:rPr>
              <w:t>6. Ownership</w:t>
            </w:r>
          </w:p>
        </w:tc>
        <w:tc>
          <w:tcPr>
            <w:tcW w:w="12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6"/>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w:t>
            </w:r>
          </w:p>
        </w:tc>
        <w:tc>
          <w:tcPr>
            <w:tcW w:w="8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Securities</w:t>
            </w:r>
          </w:p>
        </w:tc>
        <w:tc>
          <w:tcPr>
            <w:tcW w:w="1160" w:type="dxa"/>
            <w:vAlign w:val="bottom"/>
            <w:gridSpan w:val="2"/>
          </w:tcPr>
          <w:p>
            <w:pPr>
              <w:ind w:left="280"/>
              <w:spacing w:after="0" w:line="131" w:lineRule="exact"/>
              <w:rPr>
                <w:sz w:val="20"/>
                <w:szCs w:val="20"/>
                <w:color w:val="auto"/>
              </w:rPr>
            </w:pPr>
            <w:r>
              <w:rPr>
                <w:rFonts w:ascii="Arial" w:cs="Arial" w:eastAsia="Arial" w:hAnsi="Arial"/>
                <w:sz w:val="12"/>
                <w:szCs w:val="12"/>
                <w:b w:val="1"/>
                <w:bCs w:val="1"/>
                <w:color w:val="auto"/>
              </w:rPr>
              <w:t>Form: Direct</w:t>
            </w:r>
          </w:p>
        </w:tc>
        <w:tc>
          <w:tcPr>
            <w:tcW w:w="126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4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 or</w:t>
            </w:r>
          </w:p>
        </w:tc>
        <w:tc>
          <w:tcPr>
            <w:tcW w:w="240" w:type="dxa"/>
            <w:vAlign w:val="bottom"/>
          </w:tcPr>
          <w:p>
            <w:pPr>
              <w:spacing w:after="0"/>
              <w:rPr>
                <w:sz w:val="11"/>
                <w:szCs w:val="11"/>
                <w:color w:val="auto"/>
              </w:rPr>
            </w:pP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Indirect (I)</w:t>
            </w:r>
          </w:p>
        </w:tc>
        <w:tc>
          <w:tcPr>
            <w:tcW w:w="240" w:type="dxa"/>
            <w:vAlign w:val="bottom"/>
          </w:tcPr>
          <w:p>
            <w:pPr>
              <w:spacing w:after="0"/>
              <w:rPr>
                <w:sz w:val="11"/>
                <w:szCs w:val="11"/>
                <w:color w:val="auto"/>
              </w:rPr>
            </w:pP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8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160" w:type="dxa"/>
            <w:vAlign w:val="bottom"/>
            <w:tcBorders>
              <w:top w:val="single" w:sz="8" w:color="2C2C2C"/>
            </w:tcBorders>
          </w:tcPr>
          <w:p>
            <w:pPr>
              <w:spacing w:after="0"/>
              <w:rPr>
                <w:sz w:val="7"/>
                <w:szCs w:val="7"/>
                <w:color w:val="auto"/>
              </w:rPr>
            </w:pPr>
          </w:p>
        </w:tc>
        <w:tc>
          <w:tcPr>
            <w:tcW w:w="580" w:type="dxa"/>
            <w:vAlign w:val="bottom"/>
            <w:tcBorders>
              <w:top w:val="single" w:sz="8" w:color="2C2C2C"/>
            </w:tcBorders>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54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860" w:type="dxa"/>
            <w:vAlign w:val="bottom"/>
            <w:gridSpan w:val="2"/>
          </w:tcPr>
          <w:p>
            <w:pPr>
              <w:ind w:left="20"/>
              <w:spacing w:after="0" w:line="84" w:lineRule="exact"/>
              <w:rPr>
                <w:sz w:val="20"/>
                <w:szCs w:val="20"/>
                <w:color w:val="auto"/>
              </w:rPr>
            </w:pPr>
            <w:r>
              <w:rPr>
                <w:rFonts w:ascii="Arial" w:cs="Arial" w:eastAsia="Arial" w:hAnsi="Arial"/>
                <w:sz w:val="8"/>
                <w:szCs w:val="8"/>
                <w:b w:val="1"/>
                <w:bCs w:val="1"/>
                <w:color w:val="auto"/>
              </w:rPr>
              <w:t>Reported</w:t>
            </w:r>
          </w:p>
        </w:tc>
        <w:tc>
          <w:tcPr>
            <w:tcW w:w="9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gridSpan w:val="2"/>
            <w:vMerge w:val="continue"/>
          </w:tcPr>
          <w:p>
            <w:pPr>
              <w:spacing w:after="0"/>
              <w:rPr>
                <w:sz w:val="10"/>
                <w:szCs w:val="10"/>
                <w:color w:val="auto"/>
              </w:rPr>
            </w:pPr>
          </w:p>
        </w:tc>
        <w:tc>
          <w:tcPr>
            <w:tcW w:w="580" w:type="dxa"/>
            <w:vAlign w:val="bottom"/>
            <w:gridSpan w:val="2"/>
            <w:vMerge w:val="restart"/>
          </w:tcPr>
          <w:p>
            <w:pPr>
              <w:jc w:val="right"/>
              <w:ind w:right="260"/>
              <w:spacing w:after="0"/>
              <w:rPr>
                <w:sz w:val="20"/>
                <w:szCs w:val="20"/>
                <w:color w:val="auto"/>
              </w:rPr>
            </w:pPr>
            <w:r>
              <w:rPr>
                <w:rFonts w:ascii="Arial" w:cs="Arial" w:eastAsia="Arial" w:hAnsi="Arial"/>
                <w:sz w:val="12"/>
                <w:szCs w:val="12"/>
                <w:b w:val="1"/>
                <w:bCs w:val="1"/>
                <w:color w:val="auto"/>
              </w:rPr>
              <w:t>Price</w:t>
            </w:r>
          </w:p>
        </w:tc>
        <w:tc>
          <w:tcPr>
            <w:tcW w:w="860" w:type="dxa"/>
            <w:vAlign w:val="bottom"/>
            <w:gridSpan w:val="2"/>
          </w:tcPr>
          <w:p>
            <w:pPr>
              <w:ind w:left="20"/>
              <w:spacing w:after="0" w:line="123" w:lineRule="exact"/>
              <w:rPr>
                <w:sz w:val="20"/>
                <w:szCs w:val="20"/>
                <w:color w:val="auto"/>
              </w:rPr>
            </w:pPr>
            <w:r>
              <w:rPr>
                <w:rFonts w:ascii="Arial" w:cs="Arial" w:eastAsia="Arial" w:hAnsi="Arial"/>
                <w:sz w:val="12"/>
                <w:szCs w:val="12"/>
                <w:b w:val="1"/>
                <w:bCs w:val="1"/>
                <w:color w:val="auto"/>
                <w:w w:val="99"/>
              </w:rPr>
              <w:t>Transaction(s)</w:t>
            </w: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2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4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w w:val="99"/>
              </w:rPr>
              <w:t>(Instr. 3 and 4)</w:t>
            </w:r>
          </w:p>
        </w:tc>
        <w:tc>
          <w:tcPr>
            <w:tcW w:w="9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9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4"/>
            <w:vMerge w:val="restart"/>
          </w:tcPr>
          <w:p>
            <w:pPr>
              <w:ind w:left="60"/>
              <w:spacing w:after="0"/>
              <w:rPr>
                <w:sz w:val="20"/>
                <w:szCs w:val="20"/>
                <w:color w:val="auto"/>
              </w:rPr>
            </w:pPr>
            <w:r>
              <w:rPr>
                <w:rFonts w:ascii="Arial" w:cs="Arial" w:eastAsia="Arial" w:hAnsi="Arial"/>
                <w:sz w:val="17"/>
                <w:szCs w:val="17"/>
                <w:color w:val="0000FF"/>
              </w:rPr>
              <w:t>Class C Common Stock</w:t>
            </w:r>
          </w:p>
        </w:tc>
        <w:tc>
          <w:tcPr>
            <w:tcW w:w="1600" w:type="dxa"/>
            <w:vAlign w:val="bottom"/>
            <w:gridSpan w:val="4"/>
            <w:vMerge w:val="restart"/>
          </w:tcPr>
          <w:p>
            <w:pPr>
              <w:ind w:left="380"/>
              <w:spacing w:after="0"/>
              <w:rPr>
                <w:sz w:val="20"/>
                <w:szCs w:val="20"/>
                <w:color w:val="auto"/>
              </w:rPr>
            </w:pPr>
            <w:r>
              <w:rPr>
                <w:rFonts w:ascii="Arial" w:cs="Arial" w:eastAsia="Arial" w:hAnsi="Arial"/>
                <w:sz w:val="17"/>
                <w:szCs w:val="17"/>
                <w:color w:val="0000FF"/>
              </w:rPr>
              <w:t>04/21/2023</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gridSpan w:val="2"/>
            <w:vMerge w:val="restart"/>
          </w:tcPr>
          <w:p>
            <w:pPr>
              <w:ind w:left="80"/>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(1)</w:t>
            </w:r>
          </w:p>
        </w:tc>
        <w:tc>
          <w:tcPr>
            <w:tcW w:w="820" w:type="dxa"/>
            <w:vAlign w:val="bottom"/>
            <w:vMerge w:val="restart"/>
          </w:tcPr>
          <w:p>
            <w:pPr>
              <w:ind w:left="180"/>
              <w:spacing w:after="0"/>
              <w:rPr>
                <w:sz w:val="20"/>
                <w:szCs w:val="20"/>
                <w:color w:val="auto"/>
              </w:rPr>
            </w:pPr>
            <w:r>
              <w:rPr>
                <w:rFonts w:ascii="Arial" w:cs="Arial" w:eastAsia="Arial" w:hAnsi="Arial"/>
                <w:sz w:val="17"/>
                <w:szCs w:val="17"/>
                <w:color w:val="0000FF"/>
              </w:rPr>
              <w:t>4,150</w:t>
            </w:r>
          </w:p>
        </w:tc>
        <w:tc>
          <w:tcPr>
            <w:tcW w:w="80" w:type="dxa"/>
            <w:vAlign w:val="bottom"/>
          </w:tcPr>
          <w:p>
            <w:pPr>
              <w:spacing w:after="0"/>
              <w:rPr>
                <w:sz w:val="22"/>
                <w:szCs w:val="22"/>
                <w:color w:val="auto"/>
              </w:rPr>
            </w:pPr>
          </w:p>
        </w:tc>
        <w:tc>
          <w:tcPr>
            <w:tcW w:w="380" w:type="dxa"/>
            <w:vAlign w:val="bottom"/>
            <w:vMerge w:val="restart"/>
          </w:tcPr>
          <w:p>
            <w:pPr>
              <w:ind w:left="40"/>
              <w:spacing w:after="0"/>
              <w:rPr>
                <w:sz w:val="20"/>
                <w:szCs w:val="20"/>
                <w:color w:val="auto"/>
              </w:rPr>
            </w:pPr>
            <w:r>
              <w:rPr>
                <w:rFonts w:ascii="Arial" w:cs="Arial" w:eastAsia="Arial" w:hAnsi="Arial"/>
                <w:sz w:val="17"/>
                <w:szCs w:val="17"/>
                <w:color w:val="0000FF"/>
              </w:rPr>
              <w:t>A</w:t>
            </w:r>
          </w:p>
        </w:tc>
        <w:tc>
          <w:tcPr>
            <w:tcW w:w="540" w:type="dxa"/>
            <w:vAlign w:val="bottom"/>
            <w:vMerge w:val="restart"/>
          </w:tcPr>
          <w:p>
            <w:pPr>
              <w:jc w:val="right"/>
              <w:ind w:right="161"/>
              <w:spacing w:after="0"/>
              <w:rPr>
                <w:sz w:val="20"/>
                <w:szCs w:val="20"/>
                <w:color w:val="auto"/>
              </w:rPr>
            </w:pPr>
            <w:r>
              <w:rPr>
                <w:rFonts w:ascii="Arial" w:cs="Arial" w:eastAsia="Arial" w:hAnsi="Arial"/>
                <w:sz w:val="11"/>
                <w:szCs w:val="11"/>
                <w:color w:val="008000"/>
              </w:rPr>
              <w:t>(1)</w:t>
            </w:r>
          </w:p>
        </w:tc>
        <w:tc>
          <w:tcPr>
            <w:tcW w:w="40" w:type="dxa"/>
            <w:vAlign w:val="bottom"/>
          </w:tcPr>
          <w:p>
            <w:pPr>
              <w:spacing w:after="0"/>
              <w:rPr>
                <w:sz w:val="22"/>
                <w:szCs w:val="22"/>
                <w:color w:val="auto"/>
              </w:rPr>
            </w:pPr>
          </w:p>
        </w:tc>
        <w:tc>
          <w:tcPr>
            <w:tcW w:w="860" w:type="dxa"/>
            <w:vAlign w:val="bottom"/>
            <w:gridSpan w:val="2"/>
            <w:vMerge w:val="restart"/>
          </w:tcPr>
          <w:p>
            <w:pPr>
              <w:ind w:left="280"/>
              <w:spacing w:after="0"/>
              <w:rPr>
                <w:sz w:val="20"/>
                <w:szCs w:val="20"/>
                <w:color w:val="auto"/>
              </w:rPr>
            </w:pPr>
            <w:r>
              <w:rPr>
                <w:rFonts w:ascii="Arial" w:cs="Arial" w:eastAsia="Arial" w:hAnsi="Arial"/>
                <w:sz w:val="17"/>
                <w:szCs w:val="17"/>
                <w:color w:val="0000FF"/>
              </w:rPr>
              <w:t>64,873</w:t>
            </w:r>
          </w:p>
        </w:tc>
        <w:tc>
          <w:tcPr>
            <w:tcW w:w="920" w:type="dxa"/>
            <w:vAlign w:val="bottom"/>
            <w:vMerge w:val="restart"/>
          </w:tcPr>
          <w:p>
            <w:pPr>
              <w:ind w:left="640"/>
              <w:spacing w:after="0"/>
              <w:rPr>
                <w:sz w:val="20"/>
                <w:szCs w:val="20"/>
                <w:color w:val="auto"/>
              </w:rPr>
            </w:pPr>
            <w:r>
              <w:rPr>
                <w:rFonts w:ascii="Arial" w:cs="Arial" w:eastAsia="Arial" w:hAnsi="Arial"/>
                <w:sz w:val="17"/>
                <w:szCs w:val="17"/>
                <w:color w:val="0000FF"/>
              </w:rPr>
              <w:t>I</w:t>
            </w:r>
          </w:p>
        </w:tc>
        <w:tc>
          <w:tcPr>
            <w:tcW w:w="240" w:type="dxa"/>
            <w:vAlign w:val="bottom"/>
          </w:tcPr>
          <w:p>
            <w:pPr>
              <w:spacing w:after="0"/>
              <w:rPr>
                <w:sz w:val="22"/>
                <w:szCs w:val="22"/>
                <w:color w:val="auto"/>
              </w:rPr>
            </w:pPr>
          </w:p>
        </w:tc>
        <w:tc>
          <w:tcPr>
            <w:tcW w:w="480" w:type="dxa"/>
            <w:vAlign w:val="bottom"/>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60" w:type="dxa"/>
            <w:vAlign w:val="bottom"/>
            <w:gridSpan w:val="4"/>
            <w:vMerge w:val="continue"/>
          </w:tcPr>
          <w:p>
            <w:pPr>
              <w:spacing w:after="0"/>
              <w:rPr>
                <w:sz w:val="9"/>
                <w:szCs w:val="9"/>
                <w:color w:val="auto"/>
              </w:rPr>
            </w:pPr>
          </w:p>
        </w:tc>
        <w:tc>
          <w:tcPr>
            <w:tcW w:w="160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restart"/>
          </w:tcPr>
          <w:p>
            <w:pPr>
              <w:ind w:left="40"/>
              <w:spacing w:after="0"/>
              <w:rPr>
                <w:sz w:val="20"/>
                <w:szCs w:val="20"/>
                <w:color w:val="auto"/>
              </w:rPr>
            </w:pPr>
            <w:r>
              <w:rPr>
                <w:rFonts w:ascii="Arial" w:cs="Arial" w:eastAsia="Arial" w:hAnsi="Arial"/>
                <w:sz w:val="17"/>
                <w:szCs w:val="17"/>
                <w:color w:val="0000FF"/>
                <w:w w:val="95"/>
              </w:rPr>
              <w:t>footnotes</w:t>
            </w:r>
            <w:r>
              <w:rPr>
                <w:rFonts w:ascii="Arial" w:cs="Arial" w:eastAsia="Arial" w:hAnsi="Arial"/>
                <w:sz w:val="22"/>
                <w:szCs w:val="22"/>
                <w:color w:val="008000"/>
                <w:w w:val="95"/>
                <w:vertAlign w:val="superscript"/>
              </w:rPr>
              <w:t>(2)(3)(4)</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118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126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80" w:type="dxa"/>
            <w:vAlign w:val="bottom"/>
            <w:gridSpan w:val="20"/>
          </w:tcPr>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700" w:type="dxa"/>
            <w:vAlign w:val="bottom"/>
            <w:gridSpan w:val="17"/>
          </w:tcPr>
          <w:p>
            <w:pPr>
              <w:jc w:val="center"/>
              <w:ind w:right="4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w w:val="99"/>
              </w:rPr>
              <w:t>6. Date Exercisable and</w:t>
            </w:r>
          </w:p>
        </w:tc>
        <w:tc>
          <w:tcPr>
            <w:tcW w:w="80" w:type="dxa"/>
            <w:vAlign w:val="bottom"/>
          </w:tcPr>
          <w:p>
            <w:pPr>
              <w:spacing w:after="0"/>
              <w:rPr>
                <w:sz w:val="14"/>
                <w:szCs w:val="14"/>
                <w:color w:val="auto"/>
              </w:rPr>
            </w:pPr>
          </w:p>
        </w:tc>
        <w:tc>
          <w:tcPr>
            <w:tcW w:w="96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80" w:type="dxa"/>
            <w:vAlign w:val="bottom"/>
          </w:tcPr>
          <w:p>
            <w:pPr>
              <w:spacing w:after="0"/>
              <w:rPr>
                <w:sz w:val="11"/>
                <w:szCs w:val="11"/>
                <w:color w:val="auto"/>
              </w:rPr>
            </w:pPr>
          </w:p>
        </w:tc>
        <w:tc>
          <w:tcPr>
            <w:tcW w:w="9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0" w:type="dxa"/>
            <w:vAlign w:val="bottom"/>
          </w:tcPr>
          <w:p>
            <w:pPr>
              <w:spacing w:after="0"/>
              <w:rPr>
                <w:sz w:val="11"/>
                <w:szCs w:val="11"/>
                <w:color w:val="auto"/>
              </w:rPr>
            </w:pPr>
          </w:p>
        </w:tc>
        <w:tc>
          <w:tcPr>
            <w:tcW w:w="9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w w:val="99"/>
              </w:rPr>
              <w:t>Security (Instr.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Pr>
          <w:p>
            <w:pPr>
              <w:spacing w:after="0"/>
              <w:rPr>
                <w:sz w:val="4"/>
                <w:szCs w:val="4"/>
                <w:color w:val="auto"/>
              </w:rPr>
            </w:pPr>
          </w:p>
        </w:tc>
        <w:tc>
          <w:tcPr>
            <w:tcW w:w="9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gridSpan w:val="2"/>
          </w:tcPr>
          <w:p>
            <w:pPr>
              <w:ind w:left="120"/>
              <w:spacing w:after="0"/>
              <w:rPr>
                <w:sz w:val="20"/>
                <w:szCs w:val="20"/>
                <w:color w:val="auto"/>
              </w:rPr>
            </w:pPr>
            <w:r>
              <w:rPr>
                <w:rFonts w:ascii="Arial" w:cs="Arial" w:eastAsia="Arial" w:hAnsi="Arial"/>
                <w:sz w:val="12"/>
                <w:szCs w:val="12"/>
                <w:b w:val="1"/>
                <w:bCs w:val="1"/>
                <w:color w:val="auto"/>
                <w:w w:val="96"/>
              </w:rPr>
              <w:t>Amount</w:t>
            </w: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w w:val="96"/>
              </w:rPr>
              <w:t>Number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90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80" w:type="dxa"/>
            <w:vAlign w:val="bottom"/>
          </w:tcPr>
          <w:p>
            <w:pPr>
              <w:spacing w:after="0"/>
              <w:rPr>
                <w:sz w:val="13"/>
                <w:szCs w:val="13"/>
                <w:color w:val="auto"/>
              </w:rPr>
            </w:pPr>
          </w:p>
        </w:tc>
        <w:tc>
          <w:tcPr>
            <w:tcW w:w="3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60" w:type="dxa"/>
            <w:vAlign w:val="bottom"/>
            <w:tcBorders>
              <w:top w:val="single" w:sz="8" w:color="2C2C2C"/>
            </w:tcBorders>
            <w:gridSpan w:val="4"/>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6"/>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Global Infrastructure Investors III, LLC</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Arial" w:cs="Arial" w:eastAsia="Arial" w:hAnsi="Arial"/>
                <w:sz w:val="17"/>
                <w:szCs w:val="17"/>
                <w:color w:val="0000FF"/>
              </w:rPr>
              <w:t>1345 AVENUE OF THE AMERICAS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30TH FLOOR</w:t>
            </w:r>
          </w:p>
        </w:tc>
        <w:tc>
          <w:tcPr>
            <w:tcW w:w="1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80" w:type="dxa"/>
            <w:vAlign w:val="bottom"/>
          </w:tcPr>
          <w:p>
            <w:pPr>
              <w:ind w:left="20"/>
              <w:spacing w:after="0"/>
              <w:rPr>
                <w:sz w:val="20"/>
                <w:szCs w:val="20"/>
                <w:color w:val="auto"/>
              </w:rPr>
            </w:pPr>
            <w:r>
              <w:rPr>
                <w:rFonts w:ascii="Arial" w:cs="Arial" w:eastAsia="Arial" w:hAnsi="Arial"/>
                <w:sz w:val="17"/>
                <w:szCs w:val="17"/>
                <w:color w:val="0000FF"/>
              </w:rPr>
              <w:t>NY</w:t>
            </w:r>
          </w:p>
        </w:tc>
        <w:tc>
          <w:tcPr>
            <w:tcW w:w="860" w:type="dxa"/>
            <w:vAlign w:val="bottom"/>
            <w:gridSpan w:val="2"/>
          </w:tcPr>
          <w:p>
            <w:pPr>
              <w:ind w:left="240"/>
              <w:spacing w:after="0"/>
              <w:rPr>
                <w:sz w:val="20"/>
                <w:szCs w:val="20"/>
                <w:color w:val="auto"/>
              </w:rPr>
            </w:pPr>
            <w:r>
              <w:rPr>
                <w:rFonts w:ascii="Arial" w:cs="Arial" w:eastAsia="Arial" w:hAnsi="Arial"/>
                <w:sz w:val="17"/>
                <w:szCs w:val="17"/>
                <w:color w:val="0000FF"/>
              </w:rPr>
              <w:t>10105</w:t>
            </w: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9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6"/>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Global Infrastructure GP III, L.P.</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Arial" w:cs="Arial" w:eastAsia="Arial" w:hAnsi="Arial"/>
                <w:sz w:val="17"/>
                <w:szCs w:val="17"/>
                <w:color w:val="0000FF"/>
              </w:rPr>
              <w:t>1345 AVENUE OF THE AMERICAS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30TH FLOOR</w:t>
            </w:r>
          </w:p>
        </w:tc>
        <w:tc>
          <w:tcPr>
            <w:tcW w:w="1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80" w:type="dxa"/>
            <w:vAlign w:val="bottom"/>
          </w:tcPr>
          <w:p>
            <w:pPr>
              <w:ind w:left="20"/>
              <w:spacing w:after="0"/>
              <w:rPr>
                <w:sz w:val="20"/>
                <w:szCs w:val="20"/>
                <w:color w:val="auto"/>
              </w:rPr>
            </w:pPr>
            <w:r>
              <w:rPr>
                <w:rFonts w:ascii="Arial" w:cs="Arial" w:eastAsia="Arial" w:hAnsi="Arial"/>
                <w:sz w:val="17"/>
                <w:szCs w:val="17"/>
                <w:color w:val="0000FF"/>
              </w:rPr>
              <w:t>NY</w:t>
            </w:r>
          </w:p>
        </w:tc>
        <w:tc>
          <w:tcPr>
            <w:tcW w:w="860" w:type="dxa"/>
            <w:vAlign w:val="bottom"/>
            <w:gridSpan w:val="2"/>
          </w:tcPr>
          <w:p>
            <w:pPr>
              <w:ind w:left="240"/>
              <w:spacing w:after="0"/>
              <w:rPr>
                <w:sz w:val="20"/>
                <w:szCs w:val="20"/>
                <w:color w:val="auto"/>
              </w:rPr>
            </w:pPr>
            <w:r>
              <w:rPr>
                <w:rFonts w:ascii="Arial" w:cs="Arial" w:eastAsia="Arial" w:hAnsi="Arial"/>
                <w:sz w:val="17"/>
                <w:szCs w:val="17"/>
                <w:color w:val="0000FF"/>
              </w:rPr>
              <w:t>10105</w:t>
            </w: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-5317490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6">
        <w:r>
          <w:rPr>
            <w:rFonts w:ascii="Arial" w:cs="Arial" w:eastAsia="Arial" w:hAnsi="Arial"/>
            <w:sz w:val="21"/>
            <w:szCs w:val="21"/>
            <w:u w:val="single" w:color="auto"/>
            <w:color w:val="0000EE"/>
          </w:rPr>
          <w:t>Zephyr Holdings GP, LLC</w:t>
        </w:r>
      </w:hyperlink>
    </w:p>
    <w:p>
      <w:pPr>
        <w:sectPr>
          <w:pgSz w:w="11900" w:h="16839" w:orient="portrait"/>
          <w:cols w:equalWidth="0" w:num="1">
            <w:col w:w="11080"/>
          </w:cols>
          <w:pgMar w:left="460" w:top="225" w:right="359" w:bottom="0" w:gutter="0" w:footer="0" w:header="0"/>
          <w:type w:val="continuous"/>
        </w:sectPr>
      </w:pPr>
    </w:p>
    <w:p>
      <w:pPr>
        <w:spacing w:after="0" w:line="321"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839" w:orient="portrait"/>
          <w:cols w:equalWidth="0" w:num="1">
            <w:col w:w="11080"/>
          </w:cols>
          <w:pgMar w:left="460" w:top="225" w:right="359" w:bottom="0" w:gutter="0" w:footer="0" w:header="0"/>
          <w:type w:val="continuous"/>
        </w:sectPr>
      </w:pPr>
    </w:p>
    <w:bookmarkStart w:id="1" w:name="page2"/>
    <w:bookmarkEnd w:id="1"/>
    <w:p>
      <w:pPr>
        <w:spacing w:after="0" w:line="4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1345 AVENUE OF THE AMERICAS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-118110</wp:posOffset>
            </wp:positionV>
            <wp:extent cx="2809240" cy="64776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6477635"/>
                    </a:xfrm>
                    <a:prstGeom prst="rect">
                      <a:avLst/>
                    </a:prstGeom>
                    <a:noFill/>
                  </pic:spPr>
                </pic:pic>
              </a:graphicData>
            </a:graphic>
          </wp:anchor>
        </w:drawing>
      </w:r>
    </w:p>
    <w:p>
      <w:pPr>
        <w:spacing w:after="0" w:line="5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30TH FLOOR</w:t>
      </w:r>
    </w:p>
    <w:p>
      <w:pPr>
        <w:spacing w:after="0" w:line="305"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120" w:type="dxa"/>
            <w:vAlign w:val="bottom"/>
          </w:tcPr>
          <w:p>
            <w:pPr>
              <w:ind w:left="220"/>
              <w:spacing w:after="0"/>
              <w:rPr>
                <w:sz w:val="20"/>
                <w:szCs w:val="20"/>
                <w:color w:val="auto"/>
              </w:rPr>
            </w:pPr>
            <w:r>
              <w:rPr>
                <w:rFonts w:ascii="Arial" w:cs="Arial" w:eastAsia="Arial" w:hAnsi="Arial"/>
                <w:sz w:val="17"/>
                <w:szCs w:val="17"/>
                <w:color w:val="0000FF"/>
              </w:rPr>
              <w:t>NY</w:t>
            </w:r>
          </w:p>
        </w:tc>
        <w:tc>
          <w:tcPr>
            <w:tcW w:w="1860" w:type="dxa"/>
            <w:vAlign w:val="bottom"/>
          </w:tcPr>
          <w:p>
            <w:pPr>
              <w:ind w:left="500"/>
              <w:spacing w:after="0"/>
              <w:rPr>
                <w:sz w:val="20"/>
                <w:szCs w:val="20"/>
                <w:color w:val="auto"/>
              </w:rPr>
            </w:pPr>
            <w:r>
              <w:rPr>
                <w:rFonts w:ascii="Arial" w:cs="Arial" w:eastAsia="Arial" w:hAnsi="Arial"/>
                <w:sz w:val="17"/>
                <w:szCs w:val="17"/>
                <w:color w:val="0000FF"/>
              </w:rPr>
              <w:t>10105</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1"/>
          <w:szCs w:val="21"/>
          <w:u w:val="single" w:color="auto"/>
          <w:color w:val="0000EE"/>
        </w:rPr>
      </w:pPr>
      <w:hyperlink r:id="rId18">
        <w:r>
          <w:rPr>
            <w:rFonts w:ascii="Arial" w:cs="Arial" w:eastAsia="Arial" w:hAnsi="Arial"/>
            <w:sz w:val="21"/>
            <w:szCs w:val="21"/>
            <w:u w:val="single" w:color="auto"/>
            <w:color w:val="0000EE"/>
          </w:rPr>
          <w:t>GIP III Zephyr Midco Holdings, L.P.</w:t>
        </w:r>
      </w:hyperlink>
    </w:p>
    <w:p>
      <w:pPr>
        <w:spacing w:after="0" w:line="32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tcPr>
          <w:p>
            <w:pPr>
              <w:ind w:left="180"/>
              <w:spacing w:after="0"/>
              <w:rPr>
                <w:sz w:val="20"/>
                <w:szCs w:val="20"/>
                <w:color w:val="auto"/>
              </w:rPr>
            </w:pPr>
            <w:r>
              <w:rPr>
                <w:rFonts w:ascii="Arial" w:cs="Arial" w:eastAsia="Arial" w:hAnsi="Arial"/>
                <w:sz w:val="13"/>
                <w:szCs w:val="13"/>
                <w:color w:val="auto"/>
              </w:rPr>
              <w:t>(First)</w:t>
            </w:r>
          </w:p>
        </w:tc>
        <w:tc>
          <w:tcPr>
            <w:tcW w:w="1420" w:type="dxa"/>
            <w:vAlign w:val="bottom"/>
          </w:tcPr>
          <w:p>
            <w:pPr>
              <w:ind w:left="6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740" w:type="dxa"/>
            <w:vAlign w:val="bottom"/>
            <w:gridSpan w:val="2"/>
          </w:tcPr>
          <w:p>
            <w:pPr>
              <w:spacing w:after="0"/>
              <w:rPr>
                <w:sz w:val="20"/>
                <w:szCs w:val="20"/>
                <w:color w:val="auto"/>
              </w:rPr>
            </w:pPr>
            <w:r>
              <w:rPr>
                <w:rFonts w:ascii="Arial" w:cs="Arial" w:eastAsia="Arial" w:hAnsi="Arial"/>
                <w:sz w:val="17"/>
                <w:szCs w:val="17"/>
                <w:color w:val="0000FF"/>
                <w:w w:val="99"/>
              </w:rPr>
              <w:t>1345 AVENUE OF THE AMERICAS</w:t>
            </w:r>
          </w:p>
        </w:tc>
        <w:tc>
          <w:tcPr>
            <w:tcW w:w="142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30TH FLOOR</w:t>
            </w:r>
          </w:p>
        </w:tc>
        <w:tc>
          <w:tcPr>
            <w:tcW w:w="152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67"/>
        </w:trPr>
        <w:tc>
          <w:tcPr>
            <w:tcW w:w="12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2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NEW YORK</w:t>
            </w:r>
          </w:p>
        </w:tc>
        <w:tc>
          <w:tcPr>
            <w:tcW w:w="1520" w:type="dxa"/>
            <w:vAlign w:val="bottom"/>
          </w:tcPr>
          <w:p>
            <w:pPr>
              <w:ind w:left="180"/>
              <w:spacing w:after="0"/>
              <w:rPr>
                <w:sz w:val="20"/>
                <w:szCs w:val="20"/>
                <w:color w:val="auto"/>
              </w:rPr>
            </w:pPr>
            <w:r>
              <w:rPr>
                <w:rFonts w:ascii="Arial" w:cs="Arial" w:eastAsia="Arial" w:hAnsi="Arial"/>
                <w:sz w:val="17"/>
                <w:szCs w:val="17"/>
                <w:color w:val="0000FF"/>
              </w:rPr>
              <w:t>NY</w:t>
            </w:r>
          </w:p>
        </w:tc>
        <w:tc>
          <w:tcPr>
            <w:tcW w:w="1420" w:type="dxa"/>
            <w:vAlign w:val="bottom"/>
          </w:tcPr>
          <w:p>
            <w:pPr>
              <w:ind w:left="60"/>
              <w:spacing w:after="0"/>
              <w:rPr>
                <w:sz w:val="20"/>
                <w:szCs w:val="20"/>
                <w:color w:val="auto"/>
              </w:rPr>
            </w:pPr>
            <w:r>
              <w:rPr>
                <w:rFonts w:ascii="Arial" w:cs="Arial" w:eastAsia="Arial" w:hAnsi="Arial"/>
                <w:sz w:val="17"/>
                <w:szCs w:val="17"/>
                <w:color w:val="0000FF"/>
              </w:rPr>
              <w:t>10105</w:t>
            </w:r>
          </w:p>
        </w:tc>
      </w:tr>
      <w:tr>
        <w:trPr>
          <w:trHeight w:val="155"/>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tcPr>
          <w:p>
            <w:pPr>
              <w:ind w:left="180"/>
              <w:spacing w:after="0"/>
              <w:rPr>
                <w:sz w:val="20"/>
                <w:szCs w:val="20"/>
                <w:color w:val="auto"/>
              </w:rPr>
            </w:pPr>
            <w:r>
              <w:rPr>
                <w:rFonts w:ascii="Arial" w:cs="Arial" w:eastAsia="Arial" w:hAnsi="Arial"/>
                <w:sz w:val="13"/>
                <w:szCs w:val="13"/>
                <w:color w:val="auto"/>
              </w:rPr>
              <w:t>(State)</w:t>
            </w:r>
          </w:p>
        </w:tc>
        <w:tc>
          <w:tcPr>
            <w:tcW w:w="1420" w:type="dxa"/>
            <w:vAlign w:val="bottom"/>
          </w:tcPr>
          <w:p>
            <w:pPr>
              <w:ind w:left="6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1"/>
          <w:szCs w:val="21"/>
          <w:u w:val="single" w:color="auto"/>
          <w:color w:val="0000EE"/>
        </w:rPr>
      </w:pPr>
      <w:hyperlink r:id="rId19">
        <w:r>
          <w:rPr>
            <w:rFonts w:ascii="Arial" w:cs="Arial" w:eastAsia="Arial" w:hAnsi="Arial"/>
            <w:sz w:val="21"/>
            <w:szCs w:val="21"/>
            <w:u w:val="single" w:color="auto"/>
            <w:color w:val="0000EE"/>
          </w:rPr>
          <w:t>GIP III Zephyr Acquisition Partners L.P.</w:t>
        </w:r>
      </w:hyperlink>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tcPr>
          <w:p>
            <w:pPr>
              <w:ind w:left="18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Arial" w:cs="Arial" w:eastAsia="Arial" w:hAnsi="Arial"/>
                <w:sz w:val="17"/>
                <w:szCs w:val="17"/>
                <w:color w:val="0000FF"/>
                <w:w w:val="99"/>
              </w:rPr>
              <w:t>1345 AVENUE OF THE AMERICAS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30TH FLOOR</w:t>
            </w:r>
          </w:p>
        </w:tc>
        <w:tc>
          <w:tcPr>
            <w:tcW w:w="1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NEW YORK</w:t>
            </w:r>
          </w:p>
        </w:tc>
        <w:tc>
          <w:tcPr>
            <w:tcW w:w="1520" w:type="dxa"/>
            <w:vAlign w:val="bottom"/>
            <w:gridSpan w:val="2"/>
          </w:tcPr>
          <w:p>
            <w:pPr>
              <w:ind w:left="180"/>
              <w:spacing w:after="0"/>
              <w:rPr>
                <w:sz w:val="20"/>
                <w:szCs w:val="20"/>
                <w:color w:val="auto"/>
              </w:rPr>
            </w:pPr>
            <w:r>
              <w:rPr>
                <w:rFonts w:ascii="Arial" w:cs="Arial" w:eastAsia="Arial" w:hAnsi="Arial"/>
                <w:sz w:val="17"/>
                <w:szCs w:val="17"/>
                <w:color w:val="0000FF"/>
              </w:rPr>
              <w:t>NY</w:t>
            </w:r>
          </w:p>
        </w:tc>
        <w:tc>
          <w:tcPr>
            <w:tcW w:w="1420" w:type="dxa"/>
            <w:vAlign w:val="bottom"/>
          </w:tcPr>
          <w:p>
            <w:pPr>
              <w:ind w:left="60"/>
              <w:spacing w:after="0"/>
              <w:rPr>
                <w:sz w:val="20"/>
                <w:szCs w:val="20"/>
                <w:color w:val="auto"/>
              </w:rPr>
            </w:pPr>
            <w:r>
              <w:rPr>
                <w:rFonts w:ascii="Arial" w:cs="Arial" w:eastAsia="Arial" w:hAnsi="Arial"/>
                <w:sz w:val="17"/>
                <w:szCs w:val="17"/>
                <w:color w:val="0000FF"/>
              </w:rPr>
              <w:t>10105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2"/>
          </w:tcPr>
          <w:p>
            <w:pPr>
              <w:ind w:left="18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gridSpan w:val="2"/>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84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740" w:type="dxa"/>
            <w:vAlign w:val="bottom"/>
            <w:gridSpan w:val="3"/>
          </w:tcPr>
          <w:p>
            <w:pPr>
              <w:spacing w:after="0" w:line="221" w:lineRule="exact"/>
              <w:rPr>
                <w:rFonts w:ascii="Arial" w:cs="Arial" w:eastAsia="Arial" w:hAnsi="Arial"/>
                <w:sz w:val="21"/>
                <w:szCs w:val="21"/>
                <w:color w:val="0000EE"/>
              </w:rPr>
            </w:pPr>
            <w:hyperlink r:id="rId20">
              <w:r>
                <w:rPr>
                  <w:rFonts w:ascii="Arial" w:cs="Arial" w:eastAsia="Arial" w:hAnsi="Arial"/>
                  <w:sz w:val="21"/>
                  <w:szCs w:val="21"/>
                  <w:color w:val="0000EE"/>
                </w:rPr>
                <w:t>Clearway Energy Group LLC</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132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tcPr>
          <w:p>
            <w:pPr>
              <w:ind w:left="18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Arial" w:cs="Arial" w:eastAsia="Arial" w:hAnsi="Arial"/>
                <w:sz w:val="17"/>
                <w:szCs w:val="17"/>
                <w:color w:val="0000FF"/>
                <w:w w:val="99"/>
              </w:rPr>
              <w:t>1345 AVENUE OF THE AMERICAS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30TH FLOOR</w:t>
            </w:r>
          </w:p>
        </w:tc>
        <w:tc>
          <w:tcPr>
            <w:tcW w:w="1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NEW YORK</w:t>
            </w:r>
          </w:p>
        </w:tc>
        <w:tc>
          <w:tcPr>
            <w:tcW w:w="1520" w:type="dxa"/>
            <w:vAlign w:val="bottom"/>
            <w:gridSpan w:val="2"/>
          </w:tcPr>
          <w:p>
            <w:pPr>
              <w:ind w:left="180"/>
              <w:spacing w:after="0"/>
              <w:rPr>
                <w:sz w:val="20"/>
                <w:szCs w:val="20"/>
                <w:color w:val="auto"/>
              </w:rPr>
            </w:pPr>
            <w:r>
              <w:rPr>
                <w:rFonts w:ascii="Arial" w:cs="Arial" w:eastAsia="Arial" w:hAnsi="Arial"/>
                <w:sz w:val="17"/>
                <w:szCs w:val="17"/>
                <w:color w:val="0000FF"/>
              </w:rPr>
              <w:t>NY</w:t>
            </w:r>
          </w:p>
        </w:tc>
        <w:tc>
          <w:tcPr>
            <w:tcW w:w="1420" w:type="dxa"/>
            <w:vAlign w:val="bottom"/>
          </w:tcPr>
          <w:p>
            <w:pPr>
              <w:ind w:left="60"/>
              <w:spacing w:after="0"/>
              <w:rPr>
                <w:sz w:val="20"/>
                <w:szCs w:val="20"/>
                <w:color w:val="auto"/>
              </w:rPr>
            </w:pPr>
            <w:r>
              <w:rPr>
                <w:rFonts w:ascii="Arial" w:cs="Arial" w:eastAsia="Arial" w:hAnsi="Arial"/>
                <w:sz w:val="17"/>
                <w:szCs w:val="17"/>
                <w:color w:val="0000FF"/>
              </w:rPr>
              <w:t>10105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2"/>
          </w:tcPr>
          <w:p>
            <w:pPr>
              <w:ind w:left="18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firstLine="7"/>
        <w:spacing w:after="0" w:line="266"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the forfeiture of shares of restricted stock of the Issuer previously granted by Clearway Energy Group LLC ("Clearway Energy Group") under its Long Term Equity Incentive Program to one or more of its employees.</w:t>
      </w:r>
    </w:p>
    <w:p>
      <w:pPr>
        <w:spacing w:after="0" w:line="15" w:lineRule="exact"/>
        <w:rPr>
          <w:rFonts w:ascii="Arial" w:cs="Arial" w:eastAsia="Arial" w:hAnsi="Arial"/>
          <w:sz w:val="13"/>
          <w:szCs w:val="13"/>
          <w:color w:val="008000"/>
        </w:rPr>
      </w:pPr>
    </w:p>
    <w:p>
      <w:pPr>
        <w:ind w:left="20" w:right="60" w:firstLine="7"/>
        <w:spacing w:after="0" w:line="245"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securities held directly by Clearway Energy Group. Zephyr Holdings GP, LLC ("Zephyr GP") is the general partner of GIP III Zephyr Acquisition Partners, L.P. ("Zephyr") which is the sole member of Clearway Energy Group. Zephyr GP is owned by GIP III Zephyr Midco Holdings, L.P. ("Midco") and TotalEnergies Renewables USA, LLC. Global Infrastructure Investors III, LLC ("Global Investors") is the sole general partner of Global Infrastructure GP III, L.P. ("Global GP"), which is the general partner of Midco. As a result, each of Zephyr GP, Zephyr, Midco, Global GP and Global Investors, may be deemed to share beneficial ownership of the securities owned by Clearway Energy Group.</w:t>
      </w:r>
    </w:p>
    <w:p>
      <w:pPr>
        <w:spacing w:after="0" w:line="29" w:lineRule="exact"/>
        <w:rPr>
          <w:rFonts w:ascii="Arial" w:cs="Arial" w:eastAsia="Arial" w:hAnsi="Arial"/>
          <w:sz w:val="13"/>
          <w:szCs w:val="13"/>
          <w:color w:val="008000"/>
        </w:rPr>
      </w:pPr>
    </w:p>
    <w:p>
      <w:pPr>
        <w:ind w:left="20" w:firstLine="7"/>
        <w:spacing w:after="0" w:line="250"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Adebayo Ogunlesi, Jonathan Bram, William Brilliant, Matthew Harris, Michael McGhee, Rajaram Rao, William Woodburn, Salim Samaha and Robert O'Brien, as the voting members of the Investment Committee of Global Investors, may be deemed to share beneficial ownership of the Issuer securities beneficially owned by Global Investors. Such individuals expressly disclaim any such beneficial ownership.</w:t>
      </w:r>
    </w:p>
    <w:p>
      <w:pPr>
        <w:spacing w:after="0" w:line="25" w:lineRule="exact"/>
        <w:rPr>
          <w:rFonts w:ascii="Arial" w:cs="Arial" w:eastAsia="Arial" w:hAnsi="Arial"/>
          <w:sz w:val="13"/>
          <w:szCs w:val="13"/>
          <w:color w:val="008000"/>
        </w:rPr>
      </w:pPr>
    </w:p>
    <w:p>
      <w:pPr>
        <w:ind w:left="160" w:hanging="133"/>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of the Reporting Persons disclaims beneficial ownership of the securities reported herein, except to the extent of such Reporting Person's pecuniary interest therein, and, pursuant to Rule 16a-1(a)</w:t>
      </w:r>
    </w:p>
    <w:p>
      <w:pPr>
        <w:spacing w:after="0" w:line="18" w:lineRule="exact"/>
        <w:rPr>
          <w:rFonts w:ascii="Arial" w:cs="Arial" w:eastAsia="Arial" w:hAnsi="Arial"/>
          <w:sz w:val="12"/>
          <w:szCs w:val="12"/>
          <w:color w:val="008000"/>
        </w:rPr>
      </w:pPr>
    </w:p>
    <w:p>
      <w:pPr>
        <w:ind w:left="20" w:right="280"/>
        <w:spacing w:after="0" w:line="250" w:lineRule="auto"/>
        <w:rPr>
          <w:rFonts w:ascii="Arial" w:cs="Arial" w:eastAsia="Arial" w:hAnsi="Arial"/>
          <w:sz w:val="12"/>
          <w:szCs w:val="12"/>
          <w:color w:val="008000"/>
        </w:rPr>
      </w:pPr>
      <w:r>
        <w:rPr>
          <w:rFonts w:ascii="Arial" w:cs="Arial" w:eastAsia="Arial" w:hAnsi="Arial"/>
          <w:sz w:val="13"/>
          <w:szCs w:val="13"/>
          <w:color w:val="008000"/>
        </w:rPr>
        <w:t>(4) under the Securities Exchange Act of 1934, each of the Reporting Persons states that the inclusion of these securities in this report shall not be deemed an admission of beneficial ownership of the securities reported herein for purposes of Section 16 or for any other purpose.</w:t>
      </w:r>
    </w:p>
    <w:p>
      <w:pPr>
        <w:sectPr>
          <w:pgSz w:w="11900" w:h="16886" w:orient="portrait"/>
          <w:cols w:equalWidth="0" w:num="1">
            <w:col w:w="10900"/>
          </w:cols>
          <w:pgMar w:left="480" w:top="131" w:right="519" w:bottom="0" w:gutter="0" w:footer="0" w:header="0"/>
        </w:sectPr>
      </w:pPr>
    </w:p>
    <w:p>
      <w:pPr>
        <w:spacing w:after="0" w:line="52"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4457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15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INVESTORS III,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208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132080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Jonathan Bram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836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98361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5"/>
          <w:szCs w:val="15"/>
          <w:color w:val="0000FF"/>
        </w:rPr>
        <w:t>Jonathan Bram 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wp:posOffset>
            </wp:positionV>
            <wp:extent cx="13614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1361440" cy="8255"/>
                    </a:xfrm>
                    <a:prstGeom prst="rect">
                      <a:avLst/>
                    </a:prstGeom>
                    <a:noFill/>
                  </pic:spPr>
                </pic:pic>
              </a:graphicData>
            </a:graphic>
          </wp:anchor>
        </w:drawing>
      </w:r>
    </w:p>
    <w:p>
      <w:pPr>
        <w:spacing w:after="0" w:line="67"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4457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INFRASTRUCTURE GP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49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L.P. 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06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Investors III,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31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partner By: /s/ Gregg Myers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01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124015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Name: Gregg Myers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658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242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1024255"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GIP III ZEPHYR MIDCO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1639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116395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HOLDINGS, L.P. By: 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175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130175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Infrastructure GP III,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8905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128905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general partner By: 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760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117602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Infrastructure Investors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44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119443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333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/s/ Gregg Myers Name: Gregg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3794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5"/>
          <w:szCs w:val="15"/>
          <w:color w:val="0000FF"/>
        </w:rPr>
        <w:t>04/25/2023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0000FF"/>
        </w:rPr>
        <w:t>04/25/2023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5"/>
          <w:szCs w:val="15"/>
          <w:color w:val="0000FF"/>
        </w:rPr>
        <w:t>04/25/2023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ectPr>
          <w:pgSz w:w="11900" w:h="16886" w:orient="portrait"/>
          <w:cols w:equalWidth="0" w:num="2">
            <w:col w:w="8720" w:space="40"/>
            <w:col w:w="2140"/>
          </w:cols>
          <w:pgMar w:left="480" w:top="131" w:right="519" w:bottom="0" w:gutter="0" w:footer="0" w:header="0"/>
          <w:type w:val="continuous"/>
        </w:sectPr>
      </w:pPr>
    </w:p>
    <w:bookmarkStart w:id="2" w:name="page3"/>
    <w:bookmarkEnd w:id="2"/>
    <w:p>
      <w:pPr>
        <w:ind w:left="6540"/>
        <w:spacing w:after="0"/>
        <w:rPr>
          <w:sz w:val="20"/>
          <w:szCs w:val="20"/>
          <w:color w:val="auto"/>
        </w:rPr>
      </w:pPr>
      <w:r>
        <w:rPr>
          <w:rFonts w:ascii="Arial" w:cs="Arial" w:eastAsia="Arial" w:hAnsi="Arial"/>
          <w:sz w:val="17"/>
          <w:szCs w:val="17"/>
          <w:color w:val="0000FF"/>
        </w:rPr>
        <w:t>Myers Title: Chief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5158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ZEPHYR HOLDINGS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0078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120078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LLC By: /s/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60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121602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Name: Jonathan Bram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52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124523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GIP III ZEPHYR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7696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76962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ACQUISITION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093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130937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L.P. By: Zephyr Holdings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169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131699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333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5"/>
          <w:szCs w:val="15"/>
          <w:color w:val="0000FF"/>
        </w:rPr>
        <w:t>/s/ Gregg Myers Name: Gregg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wp:posOffset>
            </wp:positionV>
            <wp:extent cx="133794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Myers Title: Chief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158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CLEARWAY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6870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GROUP LLC By: /s/ Alicia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2237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12223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Stevenson Name: Alicia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934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106934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5"/>
          <w:szCs w:val="15"/>
          <w:color w:val="0000FF"/>
        </w:rPr>
        <w:t>Stevenson Title: VP,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wp:posOffset>
            </wp:positionV>
            <wp:extent cx="131635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1316355" cy="825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Operations &amp;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8996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989965" cy="8255"/>
                    </a:xfrm>
                    <a:prstGeom prst="rect">
                      <a:avLst/>
                    </a:prstGeom>
                    <a:noFill/>
                  </pic:spPr>
                </pic:pic>
              </a:graphicData>
            </a:graphic>
          </wp:anchor>
        </w:drawing>
      </w:r>
    </w:p>
    <w:p>
      <w:pPr>
        <w:spacing w:after="0" w:line="52"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5"/>
          <w:szCs w:val="15"/>
          <w:color w:val="0000FF"/>
        </w:rPr>
        <w:t>04/25/2023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0000FF"/>
        </w:rPr>
        <w:t>04/25/2023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0000FF"/>
        </w:rPr>
        <w:t>04/25/2023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60" w:space="80"/>
            <w:col w:w="1440"/>
          </w:cols>
          <w:pgMar w:left="500" w:top="131" w:right="1219" w:bottom="1440" w:gutter="0" w:footer="0" w:header="0"/>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31"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12" Type="http://schemas.openxmlformats.org/officeDocument/2006/relationships/hyperlink" Target="http://www.sec.gov/cgi-bin/browse-edgar?action=getcompany&amp;CIK=0001747194" TargetMode="External"/><Relationship Id="rId13" Type="http://schemas.openxmlformats.org/officeDocument/2006/relationships/hyperlink" Target="http://www.sec.gov/cgi-bin/browse-edgar?action=getcompany&amp;CIK=0001567683" TargetMode="External"/><Relationship Id="rId14" Type="http://schemas.openxmlformats.org/officeDocument/2006/relationships/hyperlink" Target="http://www.sec.gov/cgi-bin/browse-edgar?action=getcompany&amp;CIK=0001747185" TargetMode="External"/><Relationship Id="rId16" Type="http://schemas.openxmlformats.org/officeDocument/2006/relationships/hyperlink" Target="http://www.sec.gov/cgi-bin/browse-edgar?action=getcompany&amp;CIK=0001942977" TargetMode="External"/><Relationship Id="rId18" Type="http://schemas.openxmlformats.org/officeDocument/2006/relationships/hyperlink" Target="http://www.sec.gov/cgi-bin/browse-edgar?action=getcompany&amp;CIK=0001945888" TargetMode="External"/><Relationship Id="rId19" Type="http://schemas.openxmlformats.org/officeDocument/2006/relationships/hyperlink" Target="http://www.sec.gov/cgi-bin/browse-edgar?action=getcompany&amp;CIK=0001752556" TargetMode="External"/><Relationship Id="rId20" Type="http://schemas.openxmlformats.org/officeDocument/2006/relationships/hyperlink" Target="http://www.sec.gov/cgi-bin/browse-edgar?action=getcompany&amp;CIK=00017509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2023-04-25T15:38:37Z</dcterms:created>
  <dcterms:modified xsi:type="dcterms:W3CDTF">2023-04-25T15:38:37Z</dcterms:modified>
</cp:coreProperties>
</file>