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294640</wp:posOffset>
            </wp:positionH>
            <wp:positionV relativeFrom="page">
              <wp:posOffset>607695</wp:posOffset>
            </wp:positionV>
            <wp:extent cx="69596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9600" cy="6985"/>
                    </a:xfrm>
                    <a:prstGeom prst="rect">
                      <a:avLst/>
                    </a:prstGeom>
                    <a:noFill/>
                  </pic:spPr>
                </pic:pic>
              </a:graphicData>
            </a:graphic>
          </wp:anchor>
        </w:drawing>
        <w:drawing>
          <wp:anchor simplePos="0" relativeHeight="251657728" behindDoc="1" locked="0" layoutInCell="0" allowOverlap="1">
            <wp:simplePos x="0" y="0"/>
            <wp:positionH relativeFrom="page">
              <wp:posOffset>294640</wp:posOffset>
            </wp:positionH>
            <wp:positionV relativeFrom="page">
              <wp:posOffset>574040</wp:posOffset>
            </wp:positionV>
            <wp:extent cx="695960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9600" cy="13335"/>
                    </a:xfrm>
                    <a:prstGeom prst="rect">
                      <a:avLst/>
                    </a:prstGeom>
                    <a:noFill/>
                  </pic:spPr>
                </pic:pic>
              </a:graphicData>
            </a:graphic>
          </wp:anchor>
        </w:drawing>
        <w:t>UNITED STATES SECURITIES AND EXCHANGE COMMISSION</w:t>
      </w:r>
    </w:p>
    <w:p>
      <w:pPr>
        <w:spacing w:after="0" w:line="15"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Washington, D.C. 20549</w:t>
      </w:r>
    </w:p>
    <w:p>
      <w:pPr>
        <w:jc w:val="center"/>
        <w:ind w:right="-199"/>
        <w:spacing w:after="0"/>
        <w:rPr>
          <w:sz w:val="20"/>
          <w:szCs w:val="20"/>
          <w:color w:val="auto"/>
        </w:rPr>
      </w:pPr>
      <w:r>
        <w:rPr>
          <w:rFonts w:ascii="Arial" w:cs="Arial" w:eastAsia="Arial" w:hAnsi="Arial"/>
          <w:sz w:val="23"/>
          <w:szCs w:val="23"/>
          <w:b w:val="1"/>
          <w:bCs w:val="1"/>
          <w:color w:val="auto"/>
        </w:rPr>
        <w:t>Form 10-K</w:t>
      </w:r>
    </w:p>
    <w:p>
      <w:pPr>
        <w:spacing w:after="0" w:line="49" w:lineRule="exact"/>
        <w:rPr>
          <w:sz w:val="24"/>
          <w:szCs w:val="24"/>
          <w:color w:val="auto"/>
        </w:rPr>
      </w:pPr>
    </w:p>
    <w:p>
      <w:pPr>
        <w:ind w:left="520" w:hanging="276"/>
        <w:spacing w:after="0"/>
        <w:tabs>
          <w:tab w:leader="none" w:pos="520" w:val="left"/>
        </w:tabs>
        <w:numPr>
          <w:ilvl w:val="0"/>
          <w:numId w:val="1"/>
        </w:numPr>
        <w:rPr>
          <w:rFonts w:ascii="MS PGothic" w:cs="MS PGothic" w:eastAsia="MS PGothic" w:hAnsi="MS PGothic"/>
          <w:sz w:val="14"/>
          <w:szCs w:val="14"/>
          <w:color w:val="auto"/>
        </w:rPr>
      </w:pPr>
      <w:r>
        <w:rPr>
          <w:rFonts w:ascii="Arial" w:cs="Arial" w:eastAsia="Arial" w:hAnsi="Arial"/>
          <w:sz w:val="12"/>
          <w:szCs w:val="12"/>
          <w:b w:val="1"/>
          <w:bCs w:val="1"/>
          <w:color w:val="auto"/>
        </w:rPr>
        <w:t>ANNUAL REPORT PURSUANT TO SECTION 13 OR 15(d) OF THE SECURITIES EXCHANGE ACT OF 1934</w:t>
      </w:r>
    </w:p>
    <w:p>
      <w:pPr>
        <w:spacing w:after="0" w:line="27" w:lineRule="exact"/>
        <w:rPr>
          <w:sz w:val="24"/>
          <w:szCs w:val="24"/>
          <w:color w:val="auto"/>
        </w:rPr>
      </w:pPr>
    </w:p>
    <w:p>
      <w:pPr>
        <w:ind w:left="520"/>
        <w:spacing w:after="0"/>
        <w:tabs>
          <w:tab w:leader="none" w:pos="3080" w:val="left"/>
        </w:tabs>
        <w:rPr>
          <w:sz w:val="20"/>
          <w:szCs w:val="20"/>
          <w:color w:val="auto"/>
        </w:rPr>
      </w:pPr>
      <w:r>
        <w:rPr>
          <w:rFonts w:ascii="Arial" w:cs="Arial" w:eastAsia="Arial" w:hAnsi="Arial"/>
          <w:sz w:val="12"/>
          <w:szCs w:val="12"/>
          <w:b w:val="1"/>
          <w:bCs w:val="1"/>
          <w:color w:val="auto"/>
        </w:rPr>
        <w:t>For the Fiscal Year ended</w:t>
      </w:r>
      <w:r>
        <w:rPr>
          <w:sz w:val="20"/>
          <w:szCs w:val="20"/>
          <w:color w:val="auto"/>
        </w:rPr>
        <w:tab/>
      </w:r>
      <w:r>
        <w:rPr>
          <w:rFonts w:ascii="Arial" w:cs="Arial" w:eastAsia="Arial" w:hAnsi="Arial"/>
          <w:sz w:val="10"/>
          <w:szCs w:val="10"/>
          <w:b w:val="1"/>
          <w:bCs w:val="1"/>
          <w:color w:val="auto"/>
        </w:rPr>
        <w:t>December 31, 2022</w:t>
      </w:r>
    </w:p>
    <w:p>
      <w:pPr>
        <w:spacing w:after="0" w:line="7" w:lineRule="exact"/>
        <w:rPr>
          <w:sz w:val="24"/>
          <w:szCs w:val="24"/>
          <w:color w:val="auto"/>
        </w:rPr>
      </w:pPr>
    </w:p>
    <w:p>
      <w:pPr>
        <w:ind w:left="520" w:hanging="276"/>
        <w:spacing w:after="0"/>
        <w:tabs>
          <w:tab w:leader="none" w:pos="520" w:val="left"/>
        </w:tabs>
        <w:numPr>
          <w:ilvl w:val="0"/>
          <w:numId w:val="2"/>
        </w:numPr>
        <w:rPr>
          <w:rFonts w:ascii="MS PGothic" w:cs="MS PGothic" w:eastAsia="MS PGothic" w:hAnsi="MS PGothic"/>
          <w:sz w:val="14"/>
          <w:szCs w:val="14"/>
          <w:color w:val="auto"/>
        </w:rPr>
      </w:pPr>
      <w:r>
        <w:rPr>
          <w:rFonts w:ascii="Arial" w:cs="Arial" w:eastAsia="Arial" w:hAnsi="Arial"/>
          <w:sz w:val="12"/>
          <w:szCs w:val="12"/>
          <w:b w:val="1"/>
          <w:bCs w:val="1"/>
          <w:color w:val="auto"/>
        </w:rPr>
        <w:t>TRANSITION REPORT PURSUANT TO SECTION 13 OR 15(d) OF THE SECURITIES EXCHANGE ACT OF 1934</w:t>
      </w:r>
    </w:p>
    <w:p>
      <w:pPr>
        <w:sectPr>
          <w:pgSz w:w="11900" w:h="16838" w:orient="portrait"/>
          <w:cols w:equalWidth="0" w:num="1">
            <w:col w:w="11280"/>
          </w:cols>
          <w:pgMar w:left="300" w:top="1116" w:right="319" w:bottom="1440" w:gutter="0" w:footer="0" w:header="0"/>
        </w:sectPr>
      </w:pPr>
    </w:p>
    <w:p>
      <w:pPr>
        <w:ind w:left="520"/>
        <w:spacing w:after="0" w:line="231" w:lineRule="auto"/>
        <w:tabs>
          <w:tab w:leader="none" w:pos="2760" w:val="left"/>
          <w:tab w:leader="none" w:pos="3600" w:val="left"/>
        </w:tabs>
        <w:rPr>
          <w:sz w:val="20"/>
          <w:szCs w:val="20"/>
          <w:color w:val="auto"/>
        </w:rPr>
      </w:pPr>
      <w:r>
        <w:rPr>
          <w:rFonts w:ascii="Arial" w:cs="Arial" w:eastAsia="Arial" w:hAnsi="Arial"/>
          <w:sz w:val="12"/>
          <w:szCs w:val="12"/>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r>
        <w:rPr>
          <w:sz w:val="20"/>
          <w:szCs w:val="20"/>
          <w:color w:val="auto"/>
        </w:rPr>
        <w:tab/>
      </w:r>
      <w:r>
        <w:rPr>
          <w:rFonts w:ascii="Arial" w:cs="Arial" w:eastAsia="Arial" w:hAnsi="Arial"/>
          <w:sz w:val="14"/>
          <w:szCs w:val="14"/>
          <w:b w:val="1"/>
          <w:bCs w:val="1"/>
          <w:color w:val="auto"/>
        </w:rPr>
        <w:t>.</w:t>
      </w:r>
    </w:p>
    <w:p>
      <w:pPr>
        <w:sectPr>
          <w:pgSz w:w="11900" w:h="16838" w:orient="portrait"/>
          <w:cols w:equalWidth="0" w:num="1">
            <w:col w:w="11280"/>
          </w:cols>
          <w:pgMar w:left="300" w:top="1116" w:right="319" w:bottom="1440" w:gutter="0" w:footer="0" w:header="0"/>
          <w:type w:val="continuous"/>
        </w:sectPr>
      </w:pPr>
    </w:p>
    <w:p>
      <w:pPr>
        <w:spacing w:after="0" w:line="82"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Commission File Number: 333-203369</w:t>
      </w:r>
    </w:p>
    <w:p>
      <w:pPr>
        <w:spacing w:after="0" w:line="39"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Clearway Energy LLC</w:t>
      </w:r>
    </w:p>
    <w:p>
      <w:pPr>
        <w:spacing w:after="0" w:line="100" w:lineRule="exact"/>
        <w:rPr>
          <w:sz w:val="24"/>
          <w:szCs w:val="24"/>
          <w:color w:val="auto"/>
        </w:rPr>
      </w:pPr>
    </w:p>
    <w:p>
      <w:pPr>
        <w:jc w:val="center"/>
        <w:ind w:right="-199"/>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280"/>
          </w:cols>
          <w:pgMar w:left="300" w:top="1116" w:right="319" w:bottom="1440" w:gutter="0" w:footer="0" w:header="0"/>
          <w:type w:val="continuous"/>
        </w:sectPr>
      </w:pP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3"/>
          <w:szCs w:val="13"/>
          <w:b w:val="1"/>
          <w:bCs w:val="1"/>
          <w:color w:val="auto"/>
        </w:rPr>
        <w:t>Delaware</w:t>
      </w:r>
    </w:p>
    <w:p>
      <w:pPr>
        <w:spacing w:after="0" w:line="24" w:lineRule="exact"/>
        <w:rPr>
          <w:sz w:val="24"/>
          <w:szCs w:val="24"/>
          <w:color w:val="auto"/>
        </w:rPr>
      </w:pPr>
    </w:p>
    <w:p>
      <w:pPr>
        <w:jc w:val="center"/>
        <w:ind w:left="320"/>
        <w:spacing w:after="0"/>
        <w:rPr>
          <w:sz w:val="20"/>
          <w:szCs w:val="20"/>
          <w:color w:val="auto"/>
        </w:rPr>
      </w:pPr>
      <w:r>
        <w:rPr>
          <w:rFonts w:ascii="Arial" w:cs="Arial" w:eastAsia="Arial" w:hAnsi="Arial"/>
          <w:sz w:val="12"/>
          <w:szCs w:val="12"/>
          <w:i w:val="1"/>
          <w:iCs w:val="1"/>
          <w:color w:val="auto"/>
        </w:rPr>
        <w:t>(State or other jurisdiction of incorporation or organization)</w:t>
      </w:r>
    </w:p>
    <w:p>
      <w:pPr>
        <w:spacing w:after="0" w:line="155" w:lineRule="exact"/>
        <w:rPr>
          <w:sz w:val="24"/>
          <w:szCs w:val="24"/>
          <w:color w:val="auto"/>
        </w:rPr>
      </w:pPr>
    </w:p>
    <w:p>
      <w:pPr>
        <w:jc w:val="center"/>
        <w:ind w:left="320"/>
        <w:spacing w:after="0"/>
        <w:rPr>
          <w:sz w:val="20"/>
          <w:szCs w:val="20"/>
          <w:color w:val="auto"/>
        </w:rPr>
      </w:pPr>
      <w:r>
        <w:rPr>
          <w:rFonts w:ascii="Arial" w:cs="Arial" w:eastAsia="Arial" w:hAnsi="Arial"/>
          <w:sz w:val="13"/>
          <w:szCs w:val="13"/>
          <w:b w:val="1"/>
          <w:bCs w:val="1"/>
          <w:color w:val="auto"/>
        </w:rPr>
        <w:t>300 Carnegie Center, Suite 300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Princeton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4" w:lineRule="exact"/>
        <w:rPr>
          <w:sz w:val="24"/>
          <w:szCs w:val="24"/>
          <w:color w:val="auto"/>
        </w:rPr>
      </w:pPr>
    </w:p>
    <w:p>
      <w:pPr>
        <w:jc w:val="center"/>
        <w:ind w:right="1020"/>
        <w:spacing w:after="0"/>
        <w:rPr>
          <w:sz w:val="20"/>
          <w:szCs w:val="20"/>
          <w:color w:val="auto"/>
        </w:rPr>
      </w:pPr>
      <w:r>
        <w:rPr>
          <w:rFonts w:ascii="Arial" w:cs="Arial" w:eastAsia="Arial" w:hAnsi="Arial"/>
          <w:sz w:val="11"/>
          <w:szCs w:val="11"/>
          <w:b w:val="1"/>
          <w:bCs w:val="1"/>
          <w:color w:val="auto"/>
        </w:rPr>
        <w:t>New Jersey</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ind w:right="1400"/>
        <w:spacing w:after="0"/>
        <w:rPr>
          <w:sz w:val="20"/>
          <w:szCs w:val="20"/>
          <w:color w:val="auto"/>
        </w:rPr>
      </w:pPr>
      <w:r>
        <w:rPr>
          <w:rFonts w:ascii="Arial" w:cs="Arial" w:eastAsia="Arial" w:hAnsi="Arial"/>
          <w:sz w:val="13"/>
          <w:szCs w:val="13"/>
          <w:b w:val="1"/>
          <w:bCs w:val="1"/>
          <w:color w:val="auto"/>
        </w:rPr>
        <w:t>32-0407370</w:t>
      </w:r>
    </w:p>
    <w:p>
      <w:pPr>
        <w:spacing w:after="0" w:line="24" w:lineRule="exact"/>
        <w:rPr>
          <w:sz w:val="24"/>
          <w:szCs w:val="24"/>
          <w:color w:val="auto"/>
        </w:rPr>
      </w:pPr>
    </w:p>
    <w:p>
      <w:pPr>
        <w:jc w:val="center"/>
        <w:ind w:right="1400"/>
        <w:spacing w:after="0"/>
        <w:rPr>
          <w:sz w:val="20"/>
          <w:szCs w:val="20"/>
          <w:color w:val="auto"/>
        </w:rPr>
      </w:pPr>
      <w:r>
        <w:rPr>
          <w:rFonts w:ascii="Arial" w:cs="Arial" w:eastAsia="Arial" w:hAnsi="Arial"/>
          <w:sz w:val="12"/>
          <w:szCs w:val="12"/>
          <w:i w:val="1"/>
          <w:iCs w:val="1"/>
          <w:color w:val="auto"/>
        </w:rPr>
        <w:t>(I.R.S. Employer</w:t>
      </w:r>
    </w:p>
    <w:p>
      <w:pPr>
        <w:jc w:val="center"/>
        <w:ind w:right="1400"/>
        <w:spacing w:after="0"/>
        <w:rPr>
          <w:sz w:val="20"/>
          <w:szCs w:val="20"/>
          <w:color w:val="auto"/>
        </w:rPr>
      </w:pPr>
      <w:r>
        <w:rPr>
          <w:rFonts w:ascii="Arial" w:cs="Arial" w:eastAsia="Arial" w:hAnsi="Arial"/>
          <w:sz w:val="12"/>
          <w:szCs w:val="12"/>
          <w:i w:val="1"/>
          <w:iCs w:val="1"/>
          <w:color w:val="auto"/>
        </w:rPr>
        <w:t>Identification No.)</w:t>
      </w:r>
    </w:p>
    <w:p>
      <w:pPr>
        <w:spacing w:after="0" w:line="18" w:lineRule="exact"/>
        <w:rPr>
          <w:sz w:val="24"/>
          <w:szCs w:val="24"/>
          <w:color w:val="auto"/>
        </w:rPr>
      </w:pPr>
    </w:p>
    <w:p>
      <w:pPr>
        <w:jc w:val="center"/>
        <w:ind w:right="1400"/>
        <w:spacing w:after="0"/>
        <w:rPr>
          <w:sz w:val="20"/>
          <w:szCs w:val="20"/>
          <w:color w:val="auto"/>
        </w:rPr>
      </w:pPr>
      <w:r>
        <w:rPr>
          <w:rFonts w:ascii="Arial" w:cs="Arial" w:eastAsia="Arial" w:hAnsi="Arial"/>
          <w:sz w:val="13"/>
          <w:szCs w:val="13"/>
          <w:b w:val="1"/>
          <w:bCs w:val="1"/>
          <w:color w:val="auto"/>
        </w:rPr>
        <w:t>08540</w:t>
      </w:r>
    </w:p>
    <w:p>
      <w:pPr>
        <w:spacing w:after="0" w:line="24" w:lineRule="exact"/>
        <w:rPr>
          <w:sz w:val="24"/>
          <w:szCs w:val="24"/>
          <w:color w:val="auto"/>
        </w:rPr>
      </w:pPr>
    </w:p>
    <w:p>
      <w:pPr>
        <w:sectPr>
          <w:pgSz w:w="11900" w:h="16838" w:orient="portrait"/>
          <w:cols w:equalWidth="0" w:num="4">
            <w:col w:w="3740" w:space="720"/>
            <w:col w:w="1400" w:space="720"/>
            <w:col w:w="1640" w:space="720"/>
            <w:col w:w="2340"/>
          </w:cols>
          <w:pgMar w:left="300" w:top="1116" w:right="319" w:bottom="1440" w:gutter="0" w:footer="0" w:header="0"/>
          <w:type w:val="continuous"/>
        </w:sectPr>
      </w:pPr>
    </w:p>
    <w:p>
      <w:pPr>
        <w:ind w:left="3220"/>
        <w:spacing w:after="0"/>
        <w:rPr>
          <w:sz w:val="20"/>
          <w:szCs w:val="20"/>
          <w:color w:val="auto"/>
        </w:rPr>
      </w:pPr>
      <w:r>
        <w:rPr>
          <w:rFonts w:ascii="Arial" w:cs="Arial" w:eastAsia="Arial" w:hAnsi="Arial"/>
          <w:sz w:val="11"/>
          <w:szCs w:val="11"/>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i w:val="1"/>
          <w:iCs w:val="1"/>
          <w:color w:val="auto"/>
        </w:rPr>
        <w:t>(Zip Code)</w:t>
      </w:r>
    </w:p>
    <w:p>
      <w:pPr>
        <w:spacing w:after="0" w:line="103" w:lineRule="exact"/>
        <w:rPr>
          <w:sz w:val="24"/>
          <w:szCs w:val="24"/>
          <w:color w:val="auto"/>
        </w:rPr>
      </w:pPr>
    </w:p>
    <w:p>
      <w:pPr>
        <w:sectPr>
          <w:pgSz w:w="11900" w:h="16838" w:orient="portrait"/>
          <w:cols w:equalWidth="0" w:num="2">
            <w:col w:w="8400" w:space="720"/>
            <w:col w:w="2160"/>
          </w:cols>
          <w:pgMar w:left="300" w:top="1116" w:right="319" w:bottom="1440" w:gutter="0" w:footer="0" w:header="0"/>
          <w:type w:val="continuous"/>
        </w:sectPr>
      </w:pPr>
    </w:p>
    <w:p>
      <w:pPr>
        <w:jc w:val="center"/>
        <w:ind w:right="-199"/>
        <w:spacing w:after="0"/>
        <w:rPr>
          <w:sz w:val="20"/>
          <w:szCs w:val="20"/>
          <w:color w:val="auto"/>
        </w:rPr>
      </w:pPr>
      <w:r>
        <w:rPr>
          <w:rFonts w:ascii="Arial" w:cs="Arial" w:eastAsia="Arial" w:hAnsi="Arial"/>
          <w:sz w:val="13"/>
          <w:szCs w:val="13"/>
          <w:b w:val="1"/>
          <w:bCs w:val="1"/>
          <w:color w:val="auto"/>
        </w:rPr>
        <w:t>(609) 608-1525</w:t>
      </w:r>
    </w:p>
    <w:p>
      <w:pPr>
        <w:spacing w:after="0" w:line="13" w:lineRule="exact"/>
        <w:rPr>
          <w:sz w:val="24"/>
          <w:szCs w:val="24"/>
          <w:color w:val="auto"/>
        </w:rPr>
      </w:pPr>
    </w:p>
    <w:p>
      <w:pPr>
        <w:jc w:val="center"/>
        <w:ind w:right="-199"/>
        <w:spacing w:after="0"/>
        <w:rPr>
          <w:sz w:val="20"/>
          <w:szCs w:val="20"/>
          <w:color w:val="auto"/>
        </w:rPr>
      </w:pPr>
      <w:r>
        <w:rPr>
          <w:rFonts w:ascii="Arial" w:cs="Arial" w:eastAsia="Arial" w:hAnsi="Arial"/>
          <w:sz w:val="12"/>
          <w:szCs w:val="12"/>
          <w:i w:val="1"/>
          <w:iCs w:val="1"/>
          <w:color w:val="auto"/>
        </w:rPr>
        <w:t>(Registrant’s telephone number, including area code)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Securities registered pursuant to Section 12(b) of the Act:</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None</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Securities registered pursuant to Section 12(g) of the Act:</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None</w:t>
      </w:r>
    </w:p>
    <w:p>
      <w:pPr>
        <w:sectPr>
          <w:pgSz w:w="11900" w:h="16838" w:orient="portrait"/>
          <w:cols w:equalWidth="0" w:num="1">
            <w:col w:w="11280"/>
          </w:cols>
          <w:pgMar w:left="300" w:top="1116" w:right="319" w:bottom="1440" w:gutter="0" w:footer="0" w:header="0"/>
          <w:type w:val="continuous"/>
        </w:sectPr>
      </w:pPr>
    </w:p>
    <w:p>
      <w:pPr>
        <w:spacing w:after="0" w:line="2" w:lineRule="exact"/>
        <w:rPr>
          <w:sz w:val="24"/>
          <w:szCs w:val="24"/>
          <w:color w:val="auto"/>
        </w:rPr>
      </w:pPr>
    </w:p>
    <w:p>
      <w:pPr>
        <w:ind w:left="200"/>
        <w:spacing w:after="0"/>
        <w:rPr>
          <w:sz w:val="20"/>
          <w:szCs w:val="20"/>
          <w:color w:val="auto"/>
        </w:rPr>
      </w:pPr>
      <w:r>
        <w:rPr>
          <w:rFonts w:ascii="Arial" w:cs="Arial" w:eastAsia="Arial" w:hAnsi="Arial"/>
          <w:sz w:val="10"/>
          <w:szCs w:val="10"/>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9"/>
          <w:szCs w:val="9"/>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No x</w:t>
      </w:r>
    </w:p>
    <w:p>
      <w:pPr>
        <w:spacing w:after="0" w:line="108" w:lineRule="exact"/>
        <w:rPr>
          <w:sz w:val="24"/>
          <w:szCs w:val="24"/>
          <w:color w:val="auto"/>
        </w:rPr>
      </w:pPr>
    </w:p>
    <w:p>
      <w:pPr>
        <w:sectPr>
          <w:pgSz w:w="11900" w:h="16838" w:orient="portrait"/>
          <w:cols w:equalWidth="0" w:num="3">
            <w:col w:w="5500" w:space="120"/>
            <w:col w:w="240" w:space="120"/>
            <w:col w:w="5300"/>
          </w:cols>
          <w:pgMar w:left="300" w:top="1116" w:right="319" w:bottom="1440" w:gutter="0" w:footer="0" w:header="0"/>
          <w:type w:val="continuous"/>
        </w:sectPr>
      </w:pPr>
    </w:p>
    <w:p>
      <w:pPr>
        <w:ind w:left="200"/>
        <w:spacing w:after="0"/>
        <w:rPr>
          <w:sz w:val="20"/>
          <w:szCs w:val="20"/>
          <w:color w:val="auto"/>
        </w:rPr>
      </w:pPr>
      <w:r>
        <w:rPr>
          <w:rFonts w:ascii="Arial" w:cs="Arial" w:eastAsia="Arial" w:hAnsi="Arial"/>
          <w:sz w:val="10"/>
          <w:szCs w:val="10"/>
          <w:color w:val="auto"/>
        </w:rPr>
        <w:t>Indicate by check mark if the registrant is not required to file reports pursuant to Section 13 or Section 15(d) of the Exchange Act.  Yes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No o</w:t>
      </w:r>
    </w:p>
    <w:p>
      <w:pPr>
        <w:spacing w:after="0" w:line="96" w:lineRule="exact"/>
        <w:rPr>
          <w:sz w:val="24"/>
          <w:szCs w:val="24"/>
          <w:color w:val="auto"/>
        </w:rPr>
      </w:pPr>
    </w:p>
    <w:p>
      <w:pPr>
        <w:sectPr>
          <w:pgSz w:w="11900" w:h="16838" w:orient="portrait"/>
          <w:cols w:equalWidth="0" w:num="2">
            <w:col w:w="6420" w:space="100"/>
            <w:col w:w="4760"/>
          </w:cols>
          <w:pgMar w:left="300" w:top="1116" w:right="319" w:bottom="1440" w:gutter="0" w:footer="0" w:header="0"/>
          <w:type w:val="continuous"/>
        </w:sectPr>
      </w:pPr>
    </w:p>
    <w:p>
      <w:pPr>
        <w:ind w:firstLine="191"/>
        <w:spacing w:after="0" w:line="316"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4" w:lineRule="exact"/>
        <w:rPr>
          <w:sz w:val="24"/>
          <w:szCs w:val="24"/>
          <w:color w:val="auto"/>
        </w:rPr>
      </w:pPr>
    </w:p>
    <w:p>
      <w:pPr>
        <w:ind w:firstLine="191"/>
        <w:spacing w:after="0" w:line="296"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55" w:lineRule="exact"/>
        <w:rPr>
          <w:sz w:val="24"/>
          <w:szCs w:val="24"/>
          <w:color w:val="auto"/>
        </w:rPr>
      </w:pPr>
    </w:p>
    <w:p>
      <w:pPr>
        <w:ind w:firstLine="191"/>
        <w:spacing w:after="0" w:line="274"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2"/>
          <w:szCs w:val="12"/>
          <w:color w:val="auto"/>
        </w:rPr>
        <w:t>.</w:t>
      </w:r>
    </w:p>
    <w:tbl>
      <w:tblPr>
        <w:tblLayout w:type="fixed"/>
        <w:tblInd w:w="1200" w:type="dxa"/>
        <w:tblCellMar>
          <w:top w:w="0" w:type="dxa"/>
          <w:left w:w="0" w:type="dxa"/>
          <w:bottom w:w="0" w:type="dxa"/>
          <w:right w:w="0" w:type="dxa"/>
        </w:tblCellMar>
      </w:tblPr>
      <w:tr>
        <w:trPr>
          <w:trHeight w:val="180"/>
        </w:trPr>
        <w:tc>
          <w:tcPr>
            <w:tcW w:w="2060" w:type="dxa"/>
            <w:vAlign w:val="bottom"/>
          </w:tcPr>
          <w:p>
            <w:pPr>
              <w:jc w:val="center"/>
              <w:ind w:right="856"/>
              <w:spacing w:after="0"/>
              <w:rPr>
                <w:sz w:val="20"/>
                <w:szCs w:val="20"/>
                <w:color w:val="auto"/>
              </w:rPr>
            </w:pPr>
            <w:r>
              <w:rPr>
                <w:rFonts w:ascii="Arial" w:cs="Arial" w:eastAsia="Arial" w:hAnsi="Arial"/>
                <w:sz w:val="13"/>
                <w:szCs w:val="13"/>
                <w:color w:val="auto"/>
                <w:w w:val="88"/>
              </w:rPr>
              <w:t>Large accelerated filer</w:t>
            </w:r>
          </w:p>
        </w:tc>
        <w:tc>
          <w:tcPr>
            <w:tcW w:w="166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c>
          <w:tcPr>
            <w:tcW w:w="3060" w:type="dxa"/>
            <w:vAlign w:val="bottom"/>
          </w:tcPr>
          <w:p>
            <w:pPr>
              <w:ind w:left="620"/>
              <w:spacing w:after="0"/>
              <w:rPr>
                <w:sz w:val="20"/>
                <w:szCs w:val="20"/>
                <w:color w:val="auto"/>
              </w:rPr>
            </w:pPr>
            <w:r>
              <w:rPr>
                <w:rFonts w:ascii="Arial" w:cs="Arial" w:eastAsia="Arial" w:hAnsi="Arial"/>
                <w:sz w:val="13"/>
                <w:szCs w:val="13"/>
                <w:color w:val="auto"/>
              </w:rPr>
              <w:t>Accelerated filer</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0"/>
        </w:trPr>
        <w:tc>
          <w:tcPr>
            <w:tcW w:w="2060" w:type="dxa"/>
            <w:vAlign w:val="bottom"/>
          </w:tcPr>
          <w:p>
            <w:pPr>
              <w:jc w:val="center"/>
              <w:ind w:right="876"/>
              <w:spacing w:after="0"/>
              <w:rPr>
                <w:sz w:val="20"/>
                <w:szCs w:val="20"/>
                <w:color w:val="auto"/>
              </w:rPr>
            </w:pPr>
            <w:r>
              <w:rPr>
                <w:rFonts w:ascii="Arial" w:cs="Arial" w:eastAsia="Arial" w:hAnsi="Arial"/>
                <w:sz w:val="13"/>
                <w:szCs w:val="13"/>
                <w:color w:val="auto"/>
                <w:w w:val="90"/>
              </w:rPr>
              <w:t>Non-accelerated filer</w:t>
            </w:r>
          </w:p>
        </w:tc>
        <w:tc>
          <w:tcPr>
            <w:tcW w:w="166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c>
          <w:tcPr>
            <w:tcW w:w="3060" w:type="dxa"/>
            <w:vAlign w:val="bottom"/>
          </w:tcPr>
          <w:p>
            <w:pPr>
              <w:ind w:left="620"/>
              <w:spacing w:after="0"/>
              <w:rPr>
                <w:sz w:val="20"/>
                <w:szCs w:val="20"/>
                <w:color w:val="auto"/>
              </w:rPr>
            </w:pPr>
            <w:r>
              <w:rPr>
                <w:rFonts w:ascii="Arial" w:cs="Arial" w:eastAsia="Arial" w:hAnsi="Arial"/>
                <w:sz w:val="13"/>
                <w:szCs w:val="13"/>
                <w:color w:val="auto"/>
              </w:rPr>
              <w:t>Smaller reporting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2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60" w:type="dxa"/>
            <w:vAlign w:val="bottom"/>
          </w:tcPr>
          <w:p>
            <w:pPr>
              <w:ind w:left="620"/>
              <w:spacing w:after="0"/>
              <w:rPr>
                <w:sz w:val="20"/>
                <w:szCs w:val="20"/>
                <w:color w:val="auto"/>
              </w:rPr>
            </w:pPr>
            <w:r>
              <w:rPr>
                <w:rFonts w:ascii="Arial" w:cs="Arial" w:eastAsia="Arial" w:hAnsi="Arial"/>
                <w:sz w:val="13"/>
                <w:szCs w:val="13"/>
                <w:color w:val="auto"/>
              </w:rPr>
              <w:t>Emerging growth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49" w:lineRule="exact"/>
        <w:rPr>
          <w:sz w:val="24"/>
          <w:szCs w:val="24"/>
          <w:color w:val="auto"/>
        </w:rPr>
      </w:pPr>
    </w:p>
    <w:p>
      <w:pPr>
        <w:ind w:firstLine="191"/>
        <w:spacing w:after="0" w:line="278"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left="200"/>
        <w:spacing w:after="0" w:line="127" w:lineRule="exact"/>
        <w:tabs>
          <w:tab w:leader="none" w:pos="4940" w:val="left"/>
          <w:tab w:leader="none" w:pos="5360" w:val="left"/>
        </w:tabs>
        <w:rPr>
          <w:sz w:val="20"/>
          <w:szCs w:val="20"/>
          <w:color w:val="auto"/>
        </w:rPr>
      </w:pPr>
      <w:r>
        <w:rPr>
          <w:rFonts w:ascii="Arial" w:cs="Arial" w:eastAsia="Arial" w:hAnsi="Arial"/>
          <w:sz w:val="11"/>
          <w:szCs w:val="11"/>
          <w:color w:val="auto"/>
        </w:rPr>
        <w:t>Indicate by check mark whether the registrant is a shell company (as defined in Rule 12b-2 of the Act).</w:t>
        <w:tab/>
        <w:t xml:space="preserve">Yes </w:t>
      </w:r>
      <w:r>
        <w:rPr>
          <w:rFonts w:ascii="MS PGothic" w:cs="MS PGothic" w:eastAsia="MS PGothic" w:hAnsi="MS PGothic"/>
          <w:sz w:val="11"/>
          <w:szCs w:val="11"/>
          <w:color w:val="auto"/>
        </w:rPr>
        <w:t>☐</w:t>
      </w:r>
      <w:r>
        <w:rPr>
          <w:sz w:val="20"/>
          <w:szCs w:val="20"/>
          <w:color w:val="auto"/>
        </w:rPr>
        <w:tab/>
      </w:r>
      <w:r>
        <w:rPr>
          <w:rFonts w:ascii="Arial" w:cs="Arial" w:eastAsia="Arial" w:hAnsi="Arial"/>
          <w:sz w:val="10"/>
          <w:szCs w:val="10"/>
          <w:color w:val="auto"/>
        </w:rPr>
        <w:t>No x</w:t>
      </w:r>
    </w:p>
    <w:p>
      <w:pPr>
        <w:spacing w:after="0" w:line="58" w:lineRule="exact"/>
        <w:rPr>
          <w:sz w:val="24"/>
          <w:szCs w:val="24"/>
          <w:color w:val="auto"/>
        </w:rPr>
      </w:pPr>
    </w:p>
    <w:p>
      <w:pPr>
        <w:ind w:firstLine="191"/>
        <w:spacing w:after="0" w:line="153"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4" w:lineRule="exact"/>
        <w:rPr>
          <w:sz w:val="24"/>
          <w:szCs w:val="24"/>
          <w:color w:val="auto"/>
        </w:rPr>
      </w:pPr>
    </w:p>
    <w:p>
      <w:pPr>
        <w:ind w:left="200"/>
        <w:spacing w:after="0"/>
        <w:rPr>
          <w:sz w:val="20"/>
          <w:szCs w:val="20"/>
          <w:color w:val="auto"/>
        </w:rPr>
      </w:pPr>
      <w:r>
        <w:rPr>
          <w:rFonts w:ascii="Arial" w:cs="Arial" w:eastAsia="Arial" w:hAnsi="Arial"/>
          <w:sz w:val="11"/>
          <w:szCs w:val="11"/>
          <w:color w:val="auto"/>
        </w:rPr>
        <w:t>Clearway Energy LLC’s outstanding equity interests are held by Clearway Energy, Inc. and Clearway Energy Group LLC and there are no equity interests held by non-affiliates.</w:t>
      </w:r>
    </w:p>
    <w:p>
      <w:pPr>
        <w:spacing w:after="0" w:line="54" w:lineRule="exact"/>
        <w:rPr>
          <w:sz w:val="24"/>
          <w:szCs w:val="24"/>
          <w:color w:val="auto"/>
        </w:rPr>
      </w:pPr>
    </w:p>
    <w:p>
      <w:pPr>
        <w:ind w:left="200"/>
        <w:spacing w:after="0"/>
        <w:rPr>
          <w:sz w:val="20"/>
          <w:szCs w:val="20"/>
          <w:color w:val="auto"/>
        </w:rPr>
      </w:pPr>
      <w:r>
        <w:rPr>
          <w:rFonts w:ascii="Arial" w:cs="Arial" w:eastAsia="Arial" w:hAnsi="Arial"/>
          <w:sz w:val="11"/>
          <w:szCs w:val="11"/>
          <w:color w:val="auto"/>
        </w:rPr>
        <w:t>Indicate the number of shares outstanding of each of the registrant’s classes of common stock as of the latest practicable date. There is no public market for the registrant’s outstanding units.</w:t>
      </w:r>
    </w:p>
    <w:p>
      <w:pPr>
        <w:spacing w:after="0" w:line="37" w:lineRule="exact"/>
        <w:rPr>
          <w:sz w:val="24"/>
          <w:szCs w:val="24"/>
          <w:color w:val="auto"/>
        </w:rPr>
      </w:pPr>
    </w:p>
    <w:tbl>
      <w:tblPr>
        <w:tblLayout w:type="fixed"/>
        <w:tblInd w:w="3380" w:type="dxa"/>
        <w:tblCellMar>
          <w:top w:w="0" w:type="dxa"/>
          <w:left w:w="0" w:type="dxa"/>
          <w:bottom w:w="0" w:type="dxa"/>
          <w:right w:w="0" w:type="dxa"/>
        </w:tblCellMar>
      </w:tblPr>
      <w:tr>
        <w:trPr>
          <w:trHeight w:val="138"/>
        </w:trPr>
        <w:tc>
          <w:tcPr>
            <w:tcW w:w="200" w:type="dxa"/>
            <w:vAlign w:val="bottom"/>
          </w:tcPr>
          <w:p>
            <w:pPr>
              <w:spacing w:after="0"/>
              <w:rPr>
                <w:sz w:val="12"/>
                <w:szCs w:val="12"/>
                <w:color w:val="auto"/>
              </w:rPr>
            </w:pPr>
          </w:p>
        </w:tc>
        <w:tc>
          <w:tcPr>
            <w:tcW w:w="3380" w:type="dxa"/>
            <w:vAlign w:val="bottom"/>
            <w:gridSpan w:val="2"/>
          </w:tcPr>
          <w:p>
            <w:pPr>
              <w:jc w:val="center"/>
              <w:ind w:right="3100"/>
              <w:spacing w:after="0"/>
              <w:rPr>
                <w:sz w:val="20"/>
                <w:szCs w:val="20"/>
                <w:color w:val="auto"/>
              </w:rPr>
            </w:pPr>
            <w:r>
              <w:rPr>
                <w:rFonts w:ascii="Arial" w:cs="Arial" w:eastAsia="Arial" w:hAnsi="Arial"/>
                <w:sz w:val="12"/>
                <w:szCs w:val="12"/>
                <w:b w:val="1"/>
                <w:bCs w:val="1"/>
                <w:color w:val="auto"/>
                <w:w w:val="87"/>
              </w:rPr>
              <w:t>Class</w:t>
            </w:r>
          </w:p>
        </w:tc>
        <w:tc>
          <w:tcPr>
            <w:tcW w:w="1680" w:type="dxa"/>
            <w:vAlign w:val="bottom"/>
          </w:tcPr>
          <w:p>
            <w:pPr>
              <w:jc w:val="center"/>
              <w:spacing w:after="0"/>
              <w:rPr>
                <w:sz w:val="20"/>
                <w:szCs w:val="20"/>
                <w:color w:val="auto"/>
              </w:rPr>
            </w:pPr>
            <w:r>
              <w:rPr>
                <w:rFonts w:ascii="Arial" w:cs="Arial" w:eastAsia="Arial" w:hAnsi="Arial"/>
                <w:sz w:val="12"/>
                <w:szCs w:val="12"/>
                <w:b w:val="1"/>
                <w:bCs w:val="1"/>
                <w:color w:val="auto"/>
                <w:w w:val="91"/>
              </w:rPr>
              <w:t>Outstanding at January 31, 2023</w:t>
            </w: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165"/>
        </w:trPr>
        <w:tc>
          <w:tcPr>
            <w:tcW w:w="3580" w:type="dxa"/>
            <w:vAlign w:val="bottom"/>
            <w:gridSpan w:val="3"/>
          </w:tcPr>
          <w:p>
            <w:pPr>
              <w:jc w:val="center"/>
              <w:ind w:right="2900"/>
              <w:spacing w:after="0"/>
              <w:rPr>
                <w:sz w:val="20"/>
                <w:szCs w:val="20"/>
                <w:color w:val="auto"/>
              </w:rPr>
            </w:pPr>
            <w:r>
              <w:rPr>
                <w:rFonts w:ascii="Arial" w:cs="Arial" w:eastAsia="Arial" w:hAnsi="Arial"/>
                <w:sz w:val="12"/>
                <w:szCs w:val="12"/>
                <w:color w:val="auto"/>
                <w:w w:val="94"/>
              </w:rPr>
              <w:t>Class A Units</w:t>
            </w:r>
          </w:p>
        </w:tc>
        <w:tc>
          <w:tcPr>
            <w:tcW w:w="1680" w:type="dxa"/>
            <w:vAlign w:val="bottom"/>
          </w:tcPr>
          <w:p>
            <w:pPr>
              <w:jc w:val="center"/>
              <w:spacing w:after="0"/>
              <w:rPr>
                <w:sz w:val="20"/>
                <w:szCs w:val="20"/>
                <w:color w:val="auto"/>
              </w:rPr>
            </w:pPr>
            <w:r>
              <w:rPr>
                <w:rFonts w:ascii="Arial" w:cs="Arial" w:eastAsia="Arial" w:hAnsi="Arial"/>
                <w:sz w:val="12"/>
                <w:szCs w:val="12"/>
                <w:color w:val="auto"/>
                <w:w w:val="89"/>
              </w:rPr>
              <w:t>34,613,853</w:t>
            </w:r>
          </w:p>
        </w:tc>
      </w:tr>
      <w:tr>
        <w:trPr>
          <w:trHeight w:val="159"/>
        </w:trPr>
        <w:tc>
          <w:tcPr>
            <w:tcW w:w="3580" w:type="dxa"/>
            <w:vAlign w:val="bottom"/>
            <w:gridSpan w:val="3"/>
          </w:tcPr>
          <w:p>
            <w:pPr>
              <w:jc w:val="center"/>
              <w:ind w:right="2880"/>
              <w:spacing w:after="0"/>
              <w:rPr>
                <w:sz w:val="20"/>
                <w:szCs w:val="20"/>
                <w:color w:val="auto"/>
              </w:rPr>
            </w:pPr>
            <w:r>
              <w:rPr>
                <w:rFonts w:ascii="Arial" w:cs="Arial" w:eastAsia="Arial" w:hAnsi="Arial"/>
                <w:sz w:val="12"/>
                <w:szCs w:val="12"/>
                <w:color w:val="auto"/>
                <w:w w:val="91"/>
              </w:rPr>
              <w:t>Class B Units</w:t>
            </w:r>
          </w:p>
        </w:tc>
        <w:tc>
          <w:tcPr>
            <w:tcW w:w="1680" w:type="dxa"/>
            <w:vAlign w:val="bottom"/>
          </w:tcPr>
          <w:p>
            <w:pPr>
              <w:jc w:val="center"/>
              <w:spacing w:after="0"/>
              <w:rPr>
                <w:sz w:val="20"/>
                <w:szCs w:val="20"/>
                <w:color w:val="auto"/>
              </w:rPr>
            </w:pPr>
            <w:r>
              <w:rPr>
                <w:rFonts w:ascii="Arial" w:cs="Arial" w:eastAsia="Arial" w:hAnsi="Arial"/>
                <w:sz w:val="12"/>
                <w:szCs w:val="12"/>
                <w:color w:val="auto"/>
                <w:w w:val="89"/>
              </w:rPr>
              <w:t>42,738,750</w:t>
            </w:r>
          </w:p>
        </w:tc>
      </w:tr>
      <w:tr>
        <w:trPr>
          <w:trHeight w:val="159"/>
        </w:trPr>
        <w:tc>
          <w:tcPr>
            <w:tcW w:w="3580" w:type="dxa"/>
            <w:vAlign w:val="bottom"/>
            <w:gridSpan w:val="3"/>
          </w:tcPr>
          <w:p>
            <w:pPr>
              <w:jc w:val="center"/>
              <w:ind w:right="2880"/>
              <w:spacing w:after="0"/>
              <w:rPr>
                <w:sz w:val="20"/>
                <w:szCs w:val="20"/>
                <w:color w:val="auto"/>
              </w:rPr>
            </w:pPr>
            <w:r>
              <w:rPr>
                <w:rFonts w:ascii="Arial" w:cs="Arial" w:eastAsia="Arial" w:hAnsi="Arial"/>
                <w:sz w:val="12"/>
                <w:szCs w:val="12"/>
                <w:color w:val="auto"/>
                <w:w w:val="90"/>
              </w:rPr>
              <w:t>Class C Units</w:t>
            </w:r>
          </w:p>
        </w:tc>
        <w:tc>
          <w:tcPr>
            <w:tcW w:w="1680" w:type="dxa"/>
            <w:vAlign w:val="bottom"/>
          </w:tcPr>
          <w:p>
            <w:pPr>
              <w:jc w:val="center"/>
              <w:spacing w:after="0"/>
              <w:rPr>
                <w:sz w:val="20"/>
                <w:szCs w:val="20"/>
                <w:color w:val="auto"/>
              </w:rPr>
            </w:pPr>
            <w:r>
              <w:rPr>
                <w:rFonts w:ascii="Arial" w:cs="Arial" w:eastAsia="Arial" w:hAnsi="Arial"/>
                <w:sz w:val="12"/>
                <w:szCs w:val="12"/>
                <w:color w:val="auto"/>
                <w:w w:val="89"/>
              </w:rPr>
              <w:t>82,283,460</w:t>
            </w:r>
          </w:p>
        </w:tc>
      </w:tr>
      <w:tr>
        <w:trPr>
          <w:trHeight w:val="159"/>
        </w:trPr>
        <w:tc>
          <w:tcPr>
            <w:tcW w:w="3580" w:type="dxa"/>
            <w:vAlign w:val="bottom"/>
            <w:gridSpan w:val="3"/>
          </w:tcPr>
          <w:p>
            <w:pPr>
              <w:jc w:val="center"/>
              <w:ind w:right="2900"/>
              <w:spacing w:after="0"/>
              <w:rPr>
                <w:sz w:val="20"/>
                <w:szCs w:val="20"/>
                <w:color w:val="auto"/>
              </w:rPr>
            </w:pPr>
            <w:r>
              <w:rPr>
                <w:rFonts w:ascii="Arial" w:cs="Arial" w:eastAsia="Arial" w:hAnsi="Arial"/>
                <w:sz w:val="12"/>
                <w:szCs w:val="12"/>
                <w:color w:val="auto"/>
                <w:w w:val="93"/>
              </w:rPr>
              <w:t>Class D Units</w:t>
            </w:r>
          </w:p>
        </w:tc>
        <w:tc>
          <w:tcPr>
            <w:tcW w:w="1680" w:type="dxa"/>
            <w:vAlign w:val="bottom"/>
          </w:tcPr>
          <w:p>
            <w:pPr>
              <w:jc w:val="center"/>
              <w:spacing w:after="0"/>
              <w:rPr>
                <w:sz w:val="20"/>
                <w:szCs w:val="20"/>
                <w:color w:val="auto"/>
              </w:rPr>
            </w:pPr>
            <w:r>
              <w:rPr>
                <w:rFonts w:ascii="Arial" w:cs="Arial" w:eastAsia="Arial" w:hAnsi="Arial"/>
                <w:sz w:val="12"/>
                <w:szCs w:val="12"/>
                <w:color w:val="auto"/>
                <w:w w:val="89"/>
              </w:rPr>
              <w:t>42,336,750</w:t>
            </w:r>
          </w:p>
        </w:tc>
      </w:tr>
    </w:tbl>
    <w:p>
      <w:pPr>
        <w:spacing w:after="0" w:line="6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Documents Incorporated by Reference:</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12"/>
          <w:szCs w:val="12"/>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547370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41275</wp:posOffset>
            </wp:positionV>
            <wp:extent cx="695960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9600" cy="1333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20955</wp:posOffset>
            </wp:positionV>
            <wp:extent cx="69596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9600" cy="6985"/>
                    </a:xfrm>
                    <a:prstGeom prst="rect">
                      <a:avLst/>
                    </a:prstGeom>
                    <a:noFill/>
                  </pic:spPr>
                </pic:pic>
              </a:graphicData>
            </a:graphic>
          </wp:anchor>
        </w:drawing>
      </w:r>
    </w:p>
    <w:p>
      <w:pPr>
        <w:sectPr>
          <w:pgSz w:w="11900" w:h="16838" w:orient="portrait"/>
          <w:cols w:equalWidth="0" w:num="1">
            <w:col w:w="11280"/>
          </w:cols>
          <w:pgMar w:left="300" w:top="1116"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11040" w:type="dxa"/>
            <w:vAlign w:val="bottom"/>
          </w:tcPr>
          <w:p>
            <w:pPr>
              <w:jc w:val="center"/>
              <w:ind w:left="169"/>
              <w:spacing w:after="0"/>
              <w:rPr>
                <w:sz w:val="20"/>
                <w:szCs w:val="20"/>
                <w:color w:val="auto"/>
              </w:rPr>
            </w:pPr>
            <w:r>
              <w:rPr>
                <w:rFonts w:ascii="Arial" w:cs="Arial" w:eastAsia="Arial" w:hAnsi="Arial"/>
                <w:sz w:val="14"/>
                <w:szCs w:val="14"/>
                <w:b w:val="1"/>
                <w:bCs w:val="1"/>
                <w:color w:val="auto"/>
              </w:rPr>
              <w:t>TABLE OF CONTENTS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11040" w:type="dxa"/>
            <w:vAlign w:val="bottom"/>
          </w:tcPr>
          <w:p>
            <w:pPr>
              <w:jc w:val="center"/>
              <w:ind w:left="189"/>
              <w:spacing w:after="0"/>
              <w:rPr>
                <w:sz w:val="20"/>
                <w:szCs w:val="20"/>
                <w:color w:val="auto"/>
              </w:rPr>
            </w:pPr>
            <w:r>
              <w:rPr>
                <w:rFonts w:ascii="Arial" w:cs="Arial" w:eastAsia="Arial" w:hAnsi="Arial"/>
                <w:sz w:val="14"/>
                <w:szCs w:val="14"/>
                <w:b w:val="1"/>
                <w:bCs w:val="1"/>
                <w:color w:val="auto"/>
                <w:w w:val="92"/>
              </w:rPr>
              <w:t>Index</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0"/>
        </w:trPr>
        <w:tc>
          <w:tcPr>
            <w:tcW w:w="11040" w:type="dxa"/>
            <w:vAlign w:val="bottom"/>
          </w:tcPr>
          <w:p>
            <w:pPr>
              <w:ind w:left="20"/>
              <w:spacing w:after="0"/>
              <w:rPr>
                <w:sz w:val="20"/>
                <w:szCs w:val="20"/>
                <w:color w:val="auto"/>
              </w:rPr>
            </w:pPr>
            <w:r>
              <w:rPr>
                <w:rFonts w:ascii="Arial" w:cs="Arial" w:eastAsia="Arial" w:hAnsi="Arial"/>
                <w:sz w:val="14"/>
                <w:szCs w:val="14"/>
                <w:color w:val="auto"/>
              </w:rPr>
              <w:t>GLOSSARY OF TERMS</w:t>
            </w:r>
          </w:p>
        </w:tc>
        <w:tc>
          <w:tcPr>
            <w:tcW w:w="140" w:type="dxa"/>
            <w:vAlign w:val="bottom"/>
            <w:gridSpan w:val="2"/>
          </w:tcPr>
          <w:p>
            <w:pPr>
              <w:spacing w:after="0"/>
              <w:rPr>
                <w:sz w:val="14"/>
                <w:szCs w:val="1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b w:val="1"/>
                <w:bCs w:val="1"/>
                <w:color w:val="0000FF"/>
                <w:w w:val="76"/>
              </w:rPr>
              <w:t>3</w:t>
            </w:r>
          </w:p>
        </w:tc>
        <w:tc>
          <w:tcPr>
            <w:tcW w:w="20" w:type="dxa"/>
            <w:vAlign w:val="bottom"/>
          </w:tcPr>
          <w:p>
            <w:pPr>
              <w:spacing w:after="0"/>
              <w:rPr>
                <w:sz w:val="14"/>
                <w:szCs w:val="14"/>
                <w:color w:val="auto"/>
              </w:rPr>
            </w:pPr>
          </w:p>
        </w:tc>
      </w:tr>
      <w:tr>
        <w:trPr>
          <w:trHeight w:val="160"/>
        </w:trPr>
        <w:tc>
          <w:tcPr>
            <w:tcW w:w="11040" w:type="dxa"/>
            <w:vAlign w:val="bottom"/>
          </w:tcPr>
          <w:p>
            <w:pPr>
              <w:ind w:left="20"/>
              <w:spacing w:after="0"/>
              <w:rPr>
                <w:sz w:val="20"/>
                <w:szCs w:val="20"/>
                <w:color w:val="auto"/>
              </w:rPr>
            </w:pPr>
            <w:r>
              <w:rPr>
                <w:rFonts w:ascii="Arial" w:cs="Arial" w:eastAsia="Arial" w:hAnsi="Arial"/>
                <w:sz w:val="14"/>
                <w:szCs w:val="14"/>
                <w:b w:val="1"/>
                <w:bCs w:val="1"/>
                <w:color w:val="auto"/>
              </w:rPr>
              <w:t>PART I</w:t>
            </w:r>
          </w:p>
        </w:tc>
        <w:tc>
          <w:tcPr>
            <w:tcW w:w="14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b w:val="1"/>
                <w:bCs w:val="1"/>
                <w:color w:val="0000FF"/>
                <w:w w:val="76"/>
              </w:rPr>
              <w:t>6</w:t>
            </w:r>
          </w:p>
        </w:tc>
        <w:tc>
          <w:tcPr>
            <w:tcW w:w="20" w:type="dxa"/>
            <w:vAlign w:val="bottom"/>
          </w:tcPr>
          <w:p>
            <w:pPr>
              <w:spacing w:after="0"/>
              <w:rPr>
                <w:sz w:val="13"/>
                <w:szCs w:val="13"/>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1 — Business</w:t>
            </w:r>
          </w:p>
        </w:tc>
        <w:tc>
          <w:tcPr>
            <w:tcW w:w="14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b w:val="1"/>
                <w:bCs w:val="1"/>
                <w:color w:val="0000FF"/>
                <w:w w:val="76"/>
              </w:rPr>
              <w:t>6</w:t>
            </w:r>
          </w:p>
        </w:tc>
        <w:tc>
          <w:tcPr>
            <w:tcW w:w="20" w:type="dxa"/>
            <w:vAlign w:val="bottom"/>
          </w:tcPr>
          <w:p>
            <w:pPr>
              <w:spacing w:after="0"/>
              <w:rPr>
                <w:sz w:val="13"/>
                <w:szCs w:val="13"/>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1A — Risk Factors</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14</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1B — Unresolved Staff Comments</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32</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2 — Properties</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33</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3 — Legal Proceedings</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35</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4 — Mine Safety Disclosures</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35</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20"/>
              <w:spacing w:after="0"/>
              <w:rPr>
                <w:sz w:val="20"/>
                <w:szCs w:val="20"/>
                <w:color w:val="auto"/>
              </w:rPr>
            </w:pPr>
            <w:r>
              <w:rPr>
                <w:rFonts w:ascii="Arial" w:cs="Arial" w:eastAsia="Arial" w:hAnsi="Arial"/>
                <w:sz w:val="14"/>
                <w:szCs w:val="14"/>
                <w:b w:val="1"/>
                <w:bCs w:val="1"/>
                <w:color w:val="auto"/>
              </w:rPr>
              <w:t>PART II</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36</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5 — Market for Registrant’s Common Equity, Related Stockholder Matters and Issuer Purchases of Equity Securities</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36</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6 — Reserved</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36</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7 — Management’s Discussion and Analysis of Financial Condition and Results of Operations</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37</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7A — Quantitative and Qualitative Disclosures About Market Risk</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53</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8 — Financial Statements and Supplementary Data</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53</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9 — Changes in and Disagreements with Accountants on Accounting and Financial Disclosure</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54</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9A — Controls and Procedures</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54</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9B — Other Information</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55</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20"/>
              <w:spacing w:after="0"/>
              <w:rPr>
                <w:sz w:val="20"/>
                <w:szCs w:val="20"/>
                <w:color w:val="auto"/>
              </w:rPr>
            </w:pPr>
            <w:r>
              <w:rPr>
                <w:rFonts w:ascii="Arial" w:cs="Arial" w:eastAsia="Arial" w:hAnsi="Arial"/>
                <w:sz w:val="14"/>
                <w:szCs w:val="14"/>
                <w:b w:val="1"/>
                <w:bCs w:val="1"/>
                <w:color w:val="auto"/>
              </w:rPr>
              <w:t>PART III</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56</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10 — Information about Directors, Executive Officers and Corporate Governance</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56</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11 — Executive Compensation</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57</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12 — Security Ownership of Certain Beneficial Owners and Management and Related Stockholder Matters</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74</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13 — Certain Relationships and Related Transactions, and Director Independence</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75</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14 — Principal Accounting Fees and Services</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76</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20"/>
              <w:spacing w:after="0"/>
              <w:rPr>
                <w:sz w:val="20"/>
                <w:szCs w:val="20"/>
                <w:color w:val="auto"/>
              </w:rPr>
            </w:pPr>
            <w:r>
              <w:rPr>
                <w:rFonts w:ascii="Arial" w:cs="Arial" w:eastAsia="Arial" w:hAnsi="Arial"/>
                <w:sz w:val="14"/>
                <w:szCs w:val="14"/>
                <w:b w:val="1"/>
                <w:bCs w:val="1"/>
                <w:color w:val="auto"/>
              </w:rPr>
              <w:t>PART IV</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77</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15 — Exhibits, Financial Statement Schedules</w:t>
            </w:r>
          </w:p>
        </w:tc>
        <w:tc>
          <w:tcPr>
            <w:tcW w:w="220" w:type="dxa"/>
            <w:vAlign w:val="bottom"/>
            <w:gridSpan w:val="3"/>
          </w:tcPr>
          <w:p>
            <w:pPr>
              <w:jc w:val="right"/>
              <w:spacing w:after="0"/>
              <w:rPr>
                <w:sz w:val="20"/>
                <w:szCs w:val="20"/>
                <w:color w:val="auto"/>
              </w:rPr>
            </w:pPr>
            <w:r>
              <w:rPr>
                <w:rFonts w:ascii="Arial" w:cs="Arial" w:eastAsia="Arial" w:hAnsi="Arial"/>
                <w:sz w:val="14"/>
                <w:szCs w:val="14"/>
                <w:b w:val="1"/>
                <w:bCs w:val="1"/>
                <w:color w:val="0000FF"/>
              </w:rPr>
              <w:t>77</w:t>
            </w:r>
          </w:p>
        </w:tc>
        <w:tc>
          <w:tcPr>
            <w:tcW w:w="20" w:type="dxa"/>
            <w:vAlign w:val="bottom"/>
          </w:tcPr>
          <w:p>
            <w:pPr>
              <w:spacing w:after="0"/>
              <w:rPr>
                <w:sz w:val="13"/>
                <w:szCs w:val="13"/>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40" w:type="dxa"/>
            <w:vAlign w:val="bottom"/>
          </w:tcPr>
          <w:p>
            <w:pPr>
              <w:ind w:left="20"/>
              <w:spacing w:after="0"/>
              <w:rPr>
                <w:sz w:val="20"/>
                <w:szCs w:val="20"/>
                <w:color w:val="auto"/>
              </w:rPr>
            </w:pPr>
            <w:r>
              <w:rPr>
                <w:rFonts w:ascii="Arial" w:cs="Arial" w:eastAsia="Arial" w:hAnsi="Arial"/>
                <w:sz w:val="14"/>
                <w:szCs w:val="14"/>
                <w:b w:val="1"/>
                <w:bCs w:val="1"/>
                <w:color w:val="auto"/>
              </w:rPr>
              <w:t>EXHIBIT INDEX</w:t>
            </w:r>
          </w:p>
        </w:tc>
        <w:tc>
          <w:tcPr>
            <w:tcW w:w="22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b w:val="1"/>
                <w:bCs w:val="1"/>
                <w:color w:val="0000FF"/>
                <w:w w:val="85"/>
              </w:rPr>
              <w:t>129</w:t>
            </w:r>
          </w:p>
        </w:tc>
        <w:tc>
          <w:tcPr>
            <w:tcW w:w="20" w:type="dxa"/>
            <w:vAlign w:val="bottom"/>
          </w:tcPr>
          <w:p>
            <w:pPr>
              <w:spacing w:after="0"/>
              <w:rPr>
                <w:sz w:val="13"/>
                <w:szCs w:val="13"/>
                <w:color w:val="auto"/>
              </w:rPr>
            </w:pPr>
          </w:p>
        </w:tc>
      </w:tr>
      <w:tr>
        <w:trPr>
          <w:trHeight w:val="160"/>
        </w:trPr>
        <w:tc>
          <w:tcPr>
            <w:tcW w:w="11040" w:type="dxa"/>
            <w:vAlign w:val="bottom"/>
          </w:tcPr>
          <w:p>
            <w:pPr>
              <w:ind w:left="180"/>
              <w:spacing w:after="0"/>
              <w:rPr>
                <w:sz w:val="20"/>
                <w:szCs w:val="20"/>
                <w:color w:val="auto"/>
              </w:rPr>
            </w:pPr>
            <w:r>
              <w:rPr>
                <w:rFonts w:ascii="Arial" w:cs="Arial" w:eastAsia="Arial" w:hAnsi="Arial"/>
                <w:sz w:val="14"/>
                <w:szCs w:val="14"/>
                <w:color w:val="auto"/>
              </w:rPr>
              <w:t>Item 16 — Form 10-K Summary</w:t>
            </w:r>
          </w:p>
        </w:tc>
        <w:tc>
          <w:tcPr>
            <w:tcW w:w="22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b w:val="1"/>
                <w:bCs w:val="1"/>
                <w:color w:val="0000FF"/>
                <w:w w:val="85"/>
              </w:rPr>
              <w:t>134</w:t>
            </w:r>
          </w:p>
        </w:tc>
        <w:tc>
          <w:tcPr>
            <w:tcW w:w="20" w:type="dxa"/>
            <w:vAlign w:val="bottom"/>
          </w:tcPr>
          <w:p>
            <w:pPr>
              <w:spacing w:after="0"/>
              <w:rPr>
                <w:sz w:val="13"/>
                <w:szCs w:val="13"/>
                <w:color w:val="auto"/>
              </w:rPr>
            </w:pPr>
          </w:p>
        </w:tc>
      </w:tr>
      <w:tr>
        <w:trPr>
          <w:trHeight w:val="881"/>
        </w:trPr>
        <w:tc>
          <w:tcPr>
            <w:tcW w:w="11040" w:type="dxa"/>
            <w:vAlign w:val="bottom"/>
          </w:tcPr>
          <w:p>
            <w:pPr>
              <w:jc w:val="center"/>
              <w:ind w:left="16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84"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8880" w:type="dxa"/>
            <w:vAlign w:val="bottom"/>
          </w:tcPr>
          <w:p>
            <w:pPr>
              <w:ind w:left="2480"/>
              <w:spacing w:after="0"/>
              <w:rPr>
                <w:sz w:val="20"/>
                <w:szCs w:val="20"/>
                <w:color w:val="auto"/>
              </w:rPr>
            </w:pPr>
            <w:r>
              <w:rPr>
                <w:rFonts w:ascii="Arial" w:cs="Arial" w:eastAsia="Arial" w:hAnsi="Arial"/>
                <w:sz w:val="14"/>
                <w:szCs w:val="14"/>
                <w:b w:val="1"/>
                <w:bCs w:val="1"/>
                <w:color w:val="auto"/>
              </w:rPr>
              <w:t>GLOSSARY OF TERMS</w:t>
            </w:r>
          </w:p>
        </w:tc>
      </w:tr>
      <w:tr>
        <w:trPr>
          <w:trHeight w:val="297"/>
        </w:trPr>
        <w:tc>
          <w:tcPr>
            <w:tcW w:w="11280" w:type="dxa"/>
            <w:vAlign w:val="bottom"/>
            <w:gridSpan w:val="2"/>
          </w:tcPr>
          <w:p>
            <w:pPr>
              <w:ind w:left="220"/>
              <w:spacing w:after="0"/>
              <w:rPr>
                <w:sz w:val="20"/>
                <w:szCs w:val="20"/>
                <w:color w:val="auto"/>
              </w:rPr>
            </w:pPr>
            <w:r>
              <w:rPr>
                <w:rFonts w:ascii="Arial" w:cs="Arial" w:eastAsia="Arial" w:hAnsi="Arial"/>
                <w:sz w:val="14"/>
                <w:szCs w:val="14"/>
                <w:color w:val="auto"/>
              </w:rPr>
              <w:t>When the following terms and abbreviations appear in the text of this report, they have the meanings indicated below:</w:t>
            </w:r>
          </w:p>
        </w:tc>
      </w:tr>
      <w:tr>
        <w:trPr>
          <w:trHeight w:val="160"/>
        </w:trPr>
        <w:tc>
          <w:tcPr>
            <w:tcW w:w="2400" w:type="dxa"/>
            <w:vAlign w:val="bottom"/>
          </w:tcPr>
          <w:p>
            <w:pPr>
              <w:ind w:left="20"/>
              <w:spacing w:after="0" w:line="159" w:lineRule="exact"/>
              <w:rPr>
                <w:sz w:val="20"/>
                <w:szCs w:val="20"/>
                <w:color w:val="auto"/>
              </w:rPr>
            </w:pPr>
            <w:r>
              <w:rPr>
                <w:rFonts w:ascii="Arial" w:cs="Arial" w:eastAsia="Arial" w:hAnsi="Arial"/>
                <w:sz w:val="14"/>
                <w:szCs w:val="14"/>
                <w:color w:val="auto"/>
              </w:rPr>
              <w:t>2025 Senior Notes</w:t>
            </w:r>
          </w:p>
        </w:tc>
        <w:tc>
          <w:tcPr>
            <w:tcW w:w="8880" w:type="dxa"/>
            <w:vAlign w:val="bottom"/>
          </w:tcPr>
          <w:p>
            <w:pPr>
              <w:ind w:left="500"/>
              <w:spacing w:after="0" w:line="159" w:lineRule="exact"/>
              <w:rPr>
                <w:sz w:val="20"/>
                <w:szCs w:val="20"/>
                <w:color w:val="auto"/>
              </w:rPr>
            </w:pPr>
            <w:r>
              <w:rPr>
                <w:rFonts w:ascii="Arial" w:cs="Arial" w:eastAsia="Arial" w:hAnsi="Arial"/>
                <w:sz w:val="14"/>
                <w:szCs w:val="14"/>
                <w:color w:val="auto"/>
                <w:w w:val="96"/>
              </w:rPr>
              <w:t>$600 million aggregate principal amount of 5.75% unsecured senior notes due 2025, issued by Clearway Energy Operating LLC, which were</w:t>
            </w:r>
          </w:p>
        </w:tc>
      </w:tr>
      <w:tr>
        <w:trPr>
          <w:trHeight w:val="180"/>
        </w:trPr>
        <w:tc>
          <w:tcPr>
            <w:tcW w:w="2400" w:type="dxa"/>
            <w:vAlign w:val="bottom"/>
          </w:tcPr>
          <w:p>
            <w:pPr>
              <w:spacing w:after="0"/>
              <w:rPr>
                <w:sz w:val="15"/>
                <w:szCs w:val="15"/>
                <w:color w:val="auto"/>
              </w:rPr>
            </w:pPr>
          </w:p>
        </w:tc>
        <w:tc>
          <w:tcPr>
            <w:tcW w:w="8880" w:type="dxa"/>
            <w:vAlign w:val="bottom"/>
          </w:tcPr>
          <w:p>
            <w:pPr>
              <w:ind w:left="500"/>
              <w:spacing w:after="0"/>
              <w:rPr>
                <w:sz w:val="20"/>
                <w:szCs w:val="20"/>
                <w:color w:val="auto"/>
              </w:rPr>
            </w:pPr>
            <w:r>
              <w:rPr>
                <w:rFonts w:ascii="Arial" w:cs="Arial" w:eastAsia="Arial" w:hAnsi="Arial"/>
                <w:sz w:val="14"/>
                <w:szCs w:val="14"/>
                <w:color w:val="auto"/>
              </w:rPr>
              <w:t>repaid in March 2021</w:t>
            </w:r>
          </w:p>
        </w:tc>
      </w:tr>
      <w:tr>
        <w:trPr>
          <w:trHeight w:val="149"/>
        </w:trPr>
        <w:tc>
          <w:tcPr>
            <w:tcW w:w="2400" w:type="dxa"/>
            <w:vAlign w:val="bottom"/>
          </w:tcPr>
          <w:p>
            <w:pPr>
              <w:ind w:left="20"/>
              <w:spacing w:after="0" w:line="149" w:lineRule="exact"/>
              <w:rPr>
                <w:sz w:val="20"/>
                <w:szCs w:val="20"/>
                <w:color w:val="auto"/>
              </w:rPr>
            </w:pPr>
            <w:r>
              <w:rPr>
                <w:rFonts w:ascii="Arial" w:cs="Arial" w:eastAsia="Arial" w:hAnsi="Arial"/>
                <w:sz w:val="14"/>
                <w:szCs w:val="14"/>
                <w:color w:val="auto"/>
              </w:rPr>
              <w:t>2026 Senior Notes</w:t>
            </w:r>
          </w:p>
        </w:tc>
        <w:tc>
          <w:tcPr>
            <w:tcW w:w="8880" w:type="dxa"/>
            <w:vAlign w:val="bottom"/>
          </w:tcPr>
          <w:p>
            <w:pPr>
              <w:ind w:left="500"/>
              <w:spacing w:after="0" w:line="149" w:lineRule="exact"/>
              <w:rPr>
                <w:sz w:val="20"/>
                <w:szCs w:val="20"/>
                <w:color w:val="auto"/>
              </w:rPr>
            </w:pPr>
            <w:r>
              <w:rPr>
                <w:rFonts w:ascii="Arial" w:cs="Arial" w:eastAsia="Arial" w:hAnsi="Arial"/>
                <w:sz w:val="14"/>
                <w:szCs w:val="14"/>
                <w:color w:val="auto"/>
                <w:w w:val="96"/>
              </w:rPr>
              <w:t>$350 million aggregate principal amount of 5.00% unsecured senior notes due 2026, issued by Clearway Energy Operating LLC, which were</w:t>
            </w:r>
          </w:p>
        </w:tc>
      </w:tr>
      <w:tr>
        <w:trPr>
          <w:trHeight w:val="180"/>
        </w:trPr>
        <w:tc>
          <w:tcPr>
            <w:tcW w:w="2400" w:type="dxa"/>
            <w:vAlign w:val="bottom"/>
          </w:tcPr>
          <w:p>
            <w:pPr>
              <w:spacing w:after="0"/>
              <w:rPr>
                <w:sz w:val="15"/>
                <w:szCs w:val="15"/>
                <w:color w:val="auto"/>
              </w:rPr>
            </w:pPr>
          </w:p>
        </w:tc>
        <w:tc>
          <w:tcPr>
            <w:tcW w:w="8880" w:type="dxa"/>
            <w:vAlign w:val="bottom"/>
          </w:tcPr>
          <w:p>
            <w:pPr>
              <w:ind w:left="500"/>
              <w:spacing w:after="0"/>
              <w:rPr>
                <w:sz w:val="20"/>
                <w:szCs w:val="20"/>
                <w:color w:val="auto"/>
              </w:rPr>
            </w:pPr>
            <w:r>
              <w:rPr>
                <w:rFonts w:ascii="Arial" w:cs="Arial" w:eastAsia="Arial" w:hAnsi="Arial"/>
                <w:sz w:val="14"/>
                <w:szCs w:val="14"/>
                <w:color w:val="auto"/>
              </w:rPr>
              <w:t>repaid in October 2021</w:t>
            </w:r>
          </w:p>
        </w:tc>
      </w:tr>
      <w:tr>
        <w:trPr>
          <w:trHeight w:val="191"/>
        </w:trPr>
        <w:tc>
          <w:tcPr>
            <w:tcW w:w="2400" w:type="dxa"/>
            <w:vAlign w:val="bottom"/>
          </w:tcPr>
          <w:p>
            <w:pPr>
              <w:ind w:left="20"/>
              <w:spacing w:after="0"/>
              <w:rPr>
                <w:sz w:val="20"/>
                <w:szCs w:val="20"/>
                <w:color w:val="auto"/>
              </w:rPr>
            </w:pPr>
            <w:r>
              <w:rPr>
                <w:rFonts w:ascii="Arial" w:cs="Arial" w:eastAsia="Arial" w:hAnsi="Arial"/>
                <w:sz w:val="14"/>
                <w:szCs w:val="14"/>
                <w:color w:val="auto"/>
              </w:rPr>
              <w:t>2028 Senior Notes</w:t>
            </w:r>
          </w:p>
        </w:tc>
        <w:tc>
          <w:tcPr>
            <w:tcW w:w="8880" w:type="dxa"/>
            <w:vAlign w:val="bottom"/>
          </w:tcPr>
          <w:p>
            <w:pPr>
              <w:ind w:left="500"/>
              <w:spacing w:after="0"/>
              <w:rPr>
                <w:sz w:val="20"/>
                <w:szCs w:val="20"/>
                <w:color w:val="auto"/>
              </w:rPr>
            </w:pPr>
            <w:r>
              <w:rPr>
                <w:rFonts w:ascii="Arial" w:cs="Arial" w:eastAsia="Arial" w:hAnsi="Arial"/>
                <w:sz w:val="14"/>
                <w:szCs w:val="14"/>
                <w:color w:val="auto"/>
              </w:rPr>
              <w:t>$850 million aggregate principal amount of 4.75% unsecured senior notes due 2028, issued by Clearway Energy Operating LLC</w:t>
            </w: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2031 Senior Notes</w:t>
            </w:r>
          </w:p>
        </w:tc>
        <w:tc>
          <w:tcPr>
            <w:tcW w:w="8880" w:type="dxa"/>
            <w:vAlign w:val="bottom"/>
          </w:tcPr>
          <w:p>
            <w:pPr>
              <w:ind w:left="500"/>
              <w:spacing w:after="0"/>
              <w:rPr>
                <w:sz w:val="20"/>
                <w:szCs w:val="20"/>
                <w:color w:val="auto"/>
              </w:rPr>
            </w:pPr>
            <w:r>
              <w:rPr>
                <w:rFonts w:ascii="Arial" w:cs="Arial" w:eastAsia="Arial" w:hAnsi="Arial"/>
                <w:sz w:val="14"/>
                <w:szCs w:val="14"/>
                <w:color w:val="auto"/>
              </w:rPr>
              <w:t>$925 million aggregate principal amount of 3.75% unsecured senior notes due 2031, issued by Clearway Energy Operating LLC</w:t>
            </w: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2032 Senior Notes</w:t>
            </w:r>
          </w:p>
        </w:tc>
        <w:tc>
          <w:tcPr>
            <w:tcW w:w="8880" w:type="dxa"/>
            <w:vAlign w:val="bottom"/>
          </w:tcPr>
          <w:p>
            <w:pPr>
              <w:ind w:left="500"/>
              <w:spacing w:after="0"/>
              <w:rPr>
                <w:sz w:val="20"/>
                <w:szCs w:val="20"/>
                <w:color w:val="auto"/>
              </w:rPr>
            </w:pPr>
            <w:r>
              <w:rPr>
                <w:rFonts w:ascii="Arial" w:cs="Arial" w:eastAsia="Arial" w:hAnsi="Arial"/>
                <w:sz w:val="14"/>
                <w:szCs w:val="14"/>
                <w:color w:val="auto"/>
              </w:rPr>
              <w:t>$350 million aggregate principal amount of 3.75% unsecured senior notes due 2032, issued by Clearway Energy Operating LLC</w:t>
            </w:r>
          </w:p>
        </w:tc>
      </w:tr>
      <w:tr>
        <w:trPr>
          <w:trHeight w:val="138"/>
        </w:trPr>
        <w:tc>
          <w:tcPr>
            <w:tcW w:w="2400" w:type="dxa"/>
            <w:vAlign w:val="bottom"/>
          </w:tcPr>
          <w:p>
            <w:pPr>
              <w:ind w:left="20"/>
              <w:spacing w:after="0" w:line="139" w:lineRule="exact"/>
              <w:rPr>
                <w:sz w:val="20"/>
                <w:szCs w:val="20"/>
                <w:color w:val="auto"/>
              </w:rPr>
            </w:pPr>
            <w:r>
              <w:rPr>
                <w:rFonts w:ascii="Arial" w:cs="Arial" w:eastAsia="Arial" w:hAnsi="Arial"/>
                <w:sz w:val="14"/>
                <w:szCs w:val="14"/>
                <w:color w:val="auto"/>
              </w:rPr>
              <w:t>Adjusted EBITDA</w:t>
            </w:r>
          </w:p>
        </w:tc>
        <w:tc>
          <w:tcPr>
            <w:tcW w:w="8880" w:type="dxa"/>
            <w:vAlign w:val="bottom"/>
          </w:tcPr>
          <w:p>
            <w:pPr>
              <w:ind w:left="500"/>
              <w:spacing w:after="0" w:line="139" w:lineRule="exact"/>
              <w:rPr>
                <w:sz w:val="20"/>
                <w:szCs w:val="20"/>
                <w:color w:val="auto"/>
              </w:rPr>
            </w:pPr>
            <w:r>
              <w:rPr>
                <w:rFonts w:ascii="Arial" w:cs="Arial" w:eastAsia="Arial" w:hAnsi="Arial"/>
                <w:sz w:val="14"/>
                <w:szCs w:val="14"/>
                <w:color w:val="auto"/>
                <w:w w:val="92"/>
              </w:rPr>
              <w:t>A non-GAAP measure, represents earnings before interest (including loss on debt extinguishment), tax, depreciation and amortization adjusted for</w:t>
            </w:r>
          </w:p>
        </w:tc>
      </w:tr>
      <w:tr>
        <w:trPr>
          <w:trHeight w:val="148"/>
        </w:trPr>
        <w:tc>
          <w:tcPr>
            <w:tcW w:w="2400" w:type="dxa"/>
            <w:vAlign w:val="bottom"/>
          </w:tcPr>
          <w:p>
            <w:pPr>
              <w:spacing w:after="0"/>
              <w:rPr>
                <w:sz w:val="12"/>
                <w:szCs w:val="12"/>
                <w:color w:val="auto"/>
              </w:rPr>
            </w:pPr>
          </w:p>
        </w:tc>
        <w:tc>
          <w:tcPr>
            <w:tcW w:w="8880" w:type="dxa"/>
            <w:vAlign w:val="bottom"/>
          </w:tcPr>
          <w:p>
            <w:pPr>
              <w:ind w:left="500"/>
              <w:spacing w:after="0" w:line="149" w:lineRule="exact"/>
              <w:rPr>
                <w:sz w:val="20"/>
                <w:szCs w:val="20"/>
                <w:color w:val="auto"/>
              </w:rPr>
            </w:pPr>
            <w:r>
              <w:rPr>
                <w:rFonts w:ascii="Arial" w:cs="Arial" w:eastAsia="Arial" w:hAnsi="Arial"/>
                <w:sz w:val="14"/>
                <w:szCs w:val="14"/>
                <w:color w:val="auto"/>
                <w:w w:val="93"/>
              </w:rPr>
              <w:t>mark-to-market gains or losses, asset write offs and impairments; and factors which the Company does not consider indicative of future operating</w:t>
            </w:r>
          </w:p>
        </w:tc>
      </w:tr>
      <w:tr>
        <w:trPr>
          <w:trHeight w:val="180"/>
        </w:trPr>
        <w:tc>
          <w:tcPr>
            <w:tcW w:w="2400" w:type="dxa"/>
            <w:vAlign w:val="bottom"/>
          </w:tcPr>
          <w:p>
            <w:pPr>
              <w:spacing w:after="0"/>
              <w:rPr>
                <w:sz w:val="15"/>
                <w:szCs w:val="15"/>
                <w:color w:val="auto"/>
              </w:rPr>
            </w:pPr>
          </w:p>
        </w:tc>
        <w:tc>
          <w:tcPr>
            <w:tcW w:w="8880" w:type="dxa"/>
            <w:vAlign w:val="bottom"/>
          </w:tcPr>
          <w:p>
            <w:pPr>
              <w:ind w:left="500"/>
              <w:spacing w:after="0"/>
              <w:rPr>
                <w:sz w:val="20"/>
                <w:szCs w:val="20"/>
                <w:color w:val="auto"/>
              </w:rPr>
            </w:pPr>
            <w:r>
              <w:rPr>
                <w:rFonts w:ascii="Arial" w:cs="Arial" w:eastAsia="Arial" w:hAnsi="Arial"/>
                <w:sz w:val="14"/>
                <w:szCs w:val="14"/>
                <w:color w:val="auto"/>
              </w:rPr>
              <w:t>performance</w:t>
            </w: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ARO</w:t>
            </w:r>
          </w:p>
        </w:tc>
        <w:tc>
          <w:tcPr>
            <w:tcW w:w="8880" w:type="dxa"/>
            <w:vAlign w:val="bottom"/>
          </w:tcPr>
          <w:p>
            <w:pPr>
              <w:ind w:left="500"/>
              <w:spacing w:after="0"/>
              <w:rPr>
                <w:sz w:val="20"/>
                <w:szCs w:val="20"/>
                <w:color w:val="auto"/>
              </w:rPr>
            </w:pPr>
            <w:r>
              <w:rPr>
                <w:rFonts w:ascii="Arial" w:cs="Arial" w:eastAsia="Arial" w:hAnsi="Arial"/>
                <w:sz w:val="14"/>
                <w:szCs w:val="14"/>
                <w:color w:val="auto"/>
              </w:rPr>
              <w:t>Asset Retirement Obligation</w:t>
            </w: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ASC</w:t>
            </w:r>
          </w:p>
        </w:tc>
        <w:tc>
          <w:tcPr>
            <w:tcW w:w="8880" w:type="dxa"/>
            <w:vAlign w:val="bottom"/>
          </w:tcPr>
          <w:p>
            <w:pPr>
              <w:ind w:left="500"/>
              <w:spacing w:after="0"/>
              <w:rPr>
                <w:sz w:val="20"/>
                <w:szCs w:val="20"/>
                <w:color w:val="auto"/>
              </w:rPr>
            </w:pPr>
            <w:r>
              <w:rPr>
                <w:rFonts w:ascii="Arial" w:cs="Arial" w:eastAsia="Arial" w:hAnsi="Arial"/>
                <w:sz w:val="14"/>
                <w:szCs w:val="14"/>
                <w:color w:val="auto"/>
              </w:rPr>
              <w:t>The FASB Accounting Standards Codification, which the FASB established as the source of authoritative GAAP</w:t>
            </w: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ASU</w:t>
            </w:r>
          </w:p>
        </w:tc>
        <w:tc>
          <w:tcPr>
            <w:tcW w:w="8880" w:type="dxa"/>
            <w:vAlign w:val="bottom"/>
          </w:tcPr>
          <w:p>
            <w:pPr>
              <w:ind w:left="500"/>
              <w:spacing w:after="0"/>
              <w:rPr>
                <w:sz w:val="20"/>
                <w:szCs w:val="20"/>
                <w:color w:val="auto"/>
              </w:rPr>
            </w:pPr>
            <w:r>
              <w:rPr>
                <w:rFonts w:ascii="Arial" w:cs="Arial" w:eastAsia="Arial" w:hAnsi="Arial"/>
                <w:sz w:val="14"/>
                <w:szCs w:val="14"/>
                <w:color w:val="auto"/>
              </w:rPr>
              <w:t>Accounting Standards Updates – updates to the ASC</w:t>
            </w: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ATM Program</w:t>
            </w:r>
          </w:p>
        </w:tc>
        <w:tc>
          <w:tcPr>
            <w:tcW w:w="8880" w:type="dxa"/>
            <w:vAlign w:val="bottom"/>
          </w:tcPr>
          <w:p>
            <w:pPr>
              <w:ind w:left="500"/>
              <w:spacing w:after="0"/>
              <w:rPr>
                <w:sz w:val="20"/>
                <w:szCs w:val="20"/>
                <w:color w:val="auto"/>
              </w:rPr>
            </w:pPr>
            <w:r>
              <w:rPr>
                <w:rFonts w:ascii="Arial" w:cs="Arial" w:eastAsia="Arial" w:hAnsi="Arial"/>
                <w:sz w:val="14"/>
                <w:szCs w:val="14"/>
                <w:color w:val="auto"/>
              </w:rPr>
              <w:t>At-The-Market Equity Offering Program</w:t>
            </w:r>
          </w:p>
        </w:tc>
      </w:tr>
      <w:tr>
        <w:trPr>
          <w:trHeight w:val="138"/>
        </w:trPr>
        <w:tc>
          <w:tcPr>
            <w:tcW w:w="2400" w:type="dxa"/>
            <w:vAlign w:val="bottom"/>
          </w:tcPr>
          <w:p>
            <w:pPr>
              <w:ind w:left="20"/>
              <w:spacing w:after="0" w:line="139" w:lineRule="exact"/>
              <w:rPr>
                <w:sz w:val="20"/>
                <w:szCs w:val="20"/>
                <w:color w:val="auto"/>
              </w:rPr>
            </w:pPr>
            <w:r>
              <w:rPr>
                <w:rFonts w:ascii="Arial" w:cs="Arial" w:eastAsia="Arial" w:hAnsi="Arial"/>
                <w:sz w:val="14"/>
                <w:szCs w:val="14"/>
                <w:color w:val="auto"/>
              </w:rPr>
              <w:t>Bridge Loan Agreement</w:t>
            </w:r>
          </w:p>
        </w:tc>
        <w:tc>
          <w:tcPr>
            <w:tcW w:w="8880" w:type="dxa"/>
            <w:vAlign w:val="bottom"/>
          </w:tcPr>
          <w:p>
            <w:pPr>
              <w:ind w:left="500"/>
              <w:spacing w:after="0" w:line="139" w:lineRule="exact"/>
              <w:rPr>
                <w:sz w:val="20"/>
                <w:szCs w:val="20"/>
                <w:color w:val="auto"/>
              </w:rPr>
            </w:pPr>
            <w:r>
              <w:rPr>
                <w:rFonts w:ascii="Arial" w:cs="Arial" w:eastAsia="Arial" w:hAnsi="Arial"/>
                <w:sz w:val="14"/>
                <w:szCs w:val="14"/>
                <w:color w:val="auto"/>
                <w:w w:val="92"/>
              </w:rPr>
              <w:t>Senior secured bridge credit agreement entered into by Clearway Energy Operating LLC that provides a term loan facility in an aggregate principal</w:t>
            </w:r>
          </w:p>
        </w:tc>
      </w:tr>
      <w:tr>
        <w:trPr>
          <w:trHeight w:val="180"/>
        </w:trPr>
        <w:tc>
          <w:tcPr>
            <w:tcW w:w="2400" w:type="dxa"/>
            <w:vAlign w:val="bottom"/>
          </w:tcPr>
          <w:p>
            <w:pPr>
              <w:spacing w:after="0"/>
              <w:rPr>
                <w:sz w:val="15"/>
                <w:szCs w:val="15"/>
                <w:color w:val="auto"/>
              </w:rPr>
            </w:pPr>
          </w:p>
        </w:tc>
        <w:tc>
          <w:tcPr>
            <w:tcW w:w="8880" w:type="dxa"/>
            <w:vAlign w:val="bottom"/>
          </w:tcPr>
          <w:p>
            <w:pPr>
              <w:ind w:left="500"/>
              <w:spacing w:after="0"/>
              <w:rPr>
                <w:sz w:val="20"/>
                <w:szCs w:val="20"/>
                <w:color w:val="auto"/>
              </w:rPr>
            </w:pPr>
            <w:r>
              <w:rPr>
                <w:rFonts w:ascii="Arial" w:cs="Arial" w:eastAsia="Arial" w:hAnsi="Arial"/>
                <w:sz w:val="14"/>
                <w:szCs w:val="14"/>
                <w:color w:val="auto"/>
              </w:rPr>
              <w:t>amount of $335 million that was repaid on May 3, 2022</w:t>
            </w:r>
          </w:p>
        </w:tc>
      </w:tr>
      <w:tr>
        <w:trPr>
          <w:trHeight w:val="149"/>
        </w:trPr>
        <w:tc>
          <w:tcPr>
            <w:tcW w:w="2400" w:type="dxa"/>
            <w:vAlign w:val="bottom"/>
          </w:tcPr>
          <w:p>
            <w:pPr>
              <w:ind w:left="20"/>
              <w:spacing w:after="0" w:line="149" w:lineRule="exact"/>
              <w:rPr>
                <w:sz w:val="20"/>
                <w:szCs w:val="20"/>
                <w:color w:val="auto"/>
              </w:rPr>
            </w:pPr>
            <w:r>
              <w:rPr>
                <w:rFonts w:ascii="Arial" w:cs="Arial" w:eastAsia="Arial" w:hAnsi="Arial"/>
                <w:sz w:val="14"/>
                <w:szCs w:val="14"/>
                <w:color w:val="auto"/>
              </w:rPr>
              <w:t>CAFD</w:t>
            </w:r>
          </w:p>
        </w:tc>
        <w:tc>
          <w:tcPr>
            <w:tcW w:w="8880" w:type="dxa"/>
            <w:vAlign w:val="bottom"/>
          </w:tcPr>
          <w:p>
            <w:pPr>
              <w:ind w:left="500"/>
              <w:spacing w:after="0" w:line="149" w:lineRule="exact"/>
              <w:rPr>
                <w:sz w:val="20"/>
                <w:szCs w:val="20"/>
                <w:color w:val="auto"/>
              </w:rPr>
            </w:pPr>
            <w:r>
              <w:rPr>
                <w:rFonts w:ascii="Arial" w:cs="Arial" w:eastAsia="Arial" w:hAnsi="Arial"/>
                <w:sz w:val="14"/>
                <w:szCs w:val="14"/>
                <w:color w:val="auto"/>
                <w:w w:val="94"/>
              </w:rPr>
              <w:t>A non-GAAP measure, Cash Available for Distribution is defined as of December 31, 2022 as Adjusted EBITDA plus cash distributions/return of</w:t>
            </w:r>
          </w:p>
        </w:tc>
      </w:tr>
      <w:tr>
        <w:trPr>
          <w:trHeight w:val="148"/>
        </w:trPr>
        <w:tc>
          <w:tcPr>
            <w:tcW w:w="2400" w:type="dxa"/>
            <w:vAlign w:val="bottom"/>
          </w:tcPr>
          <w:p>
            <w:pPr>
              <w:spacing w:after="0"/>
              <w:rPr>
                <w:sz w:val="12"/>
                <w:szCs w:val="12"/>
                <w:color w:val="auto"/>
              </w:rPr>
            </w:pPr>
          </w:p>
        </w:tc>
        <w:tc>
          <w:tcPr>
            <w:tcW w:w="8880" w:type="dxa"/>
            <w:vAlign w:val="bottom"/>
          </w:tcPr>
          <w:p>
            <w:pPr>
              <w:ind w:left="500"/>
              <w:spacing w:after="0" w:line="149" w:lineRule="exact"/>
              <w:rPr>
                <w:sz w:val="20"/>
                <w:szCs w:val="20"/>
                <w:color w:val="auto"/>
              </w:rPr>
            </w:pPr>
            <w:r>
              <w:rPr>
                <w:rFonts w:ascii="Arial" w:cs="Arial" w:eastAsia="Arial" w:hAnsi="Arial"/>
                <w:sz w:val="14"/>
                <w:szCs w:val="14"/>
                <w:color w:val="auto"/>
                <w:w w:val="94"/>
              </w:rPr>
              <w:t>investment from unconsolidated affiliates, cash receipts from notes receivable, cash contributions from noncontrolling interests, adjustments to</w:t>
            </w:r>
          </w:p>
        </w:tc>
      </w:tr>
      <w:tr>
        <w:trPr>
          <w:trHeight w:val="138"/>
        </w:trPr>
        <w:tc>
          <w:tcPr>
            <w:tcW w:w="2400" w:type="dxa"/>
            <w:vAlign w:val="bottom"/>
          </w:tcPr>
          <w:p>
            <w:pPr>
              <w:spacing w:after="0"/>
              <w:rPr>
                <w:sz w:val="12"/>
                <w:szCs w:val="12"/>
                <w:color w:val="auto"/>
              </w:rPr>
            </w:pPr>
          </w:p>
        </w:tc>
        <w:tc>
          <w:tcPr>
            <w:tcW w:w="8880" w:type="dxa"/>
            <w:vAlign w:val="bottom"/>
          </w:tcPr>
          <w:p>
            <w:pPr>
              <w:ind w:left="500"/>
              <w:spacing w:after="0" w:line="138" w:lineRule="exact"/>
              <w:rPr>
                <w:sz w:val="20"/>
                <w:szCs w:val="20"/>
                <w:color w:val="auto"/>
              </w:rPr>
            </w:pPr>
            <w:r>
              <w:rPr>
                <w:rFonts w:ascii="Arial" w:cs="Arial" w:eastAsia="Arial" w:hAnsi="Arial"/>
                <w:sz w:val="14"/>
                <w:szCs w:val="14"/>
                <w:color w:val="auto"/>
                <w:w w:val="93"/>
              </w:rPr>
              <w:t>reflect sales-type lease cash payments and payments for lease expenses, less cash distributions to noncontrolling interests, maintenance capital</w:t>
            </w:r>
          </w:p>
        </w:tc>
      </w:tr>
      <w:tr>
        <w:trPr>
          <w:trHeight w:val="138"/>
        </w:trPr>
        <w:tc>
          <w:tcPr>
            <w:tcW w:w="2400" w:type="dxa"/>
            <w:vAlign w:val="bottom"/>
          </w:tcPr>
          <w:p>
            <w:pPr>
              <w:spacing w:after="0"/>
              <w:rPr>
                <w:sz w:val="11"/>
                <w:szCs w:val="11"/>
                <w:color w:val="auto"/>
              </w:rPr>
            </w:pPr>
          </w:p>
        </w:tc>
        <w:tc>
          <w:tcPr>
            <w:tcW w:w="8880" w:type="dxa"/>
            <w:vAlign w:val="bottom"/>
          </w:tcPr>
          <w:p>
            <w:pPr>
              <w:ind w:left="500"/>
              <w:spacing w:after="0" w:line="138" w:lineRule="exact"/>
              <w:rPr>
                <w:sz w:val="20"/>
                <w:szCs w:val="20"/>
                <w:color w:val="auto"/>
              </w:rPr>
            </w:pPr>
            <w:r>
              <w:rPr>
                <w:rFonts w:ascii="Arial" w:cs="Arial" w:eastAsia="Arial" w:hAnsi="Arial"/>
                <w:sz w:val="14"/>
                <w:szCs w:val="14"/>
                <w:color w:val="auto"/>
              </w:rPr>
              <w:t>expenditures, pro-rata Adjusted EBITDA from unconsolidated affiliates, cash interest paid, income taxes paid, principal amortization of</w:t>
            </w:r>
          </w:p>
        </w:tc>
      </w:tr>
      <w:tr>
        <w:trPr>
          <w:trHeight w:val="180"/>
        </w:trPr>
        <w:tc>
          <w:tcPr>
            <w:tcW w:w="2400" w:type="dxa"/>
            <w:vAlign w:val="bottom"/>
          </w:tcPr>
          <w:p>
            <w:pPr>
              <w:spacing w:after="0"/>
              <w:rPr>
                <w:sz w:val="15"/>
                <w:szCs w:val="15"/>
                <w:color w:val="auto"/>
              </w:rPr>
            </w:pPr>
          </w:p>
        </w:tc>
        <w:tc>
          <w:tcPr>
            <w:tcW w:w="8880" w:type="dxa"/>
            <w:vAlign w:val="bottom"/>
          </w:tcPr>
          <w:p>
            <w:pPr>
              <w:ind w:left="500"/>
              <w:spacing w:after="0"/>
              <w:rPr>
                <w:sz w:val="20"/>
                <w:szCs w:val="20"/>
                <w:color w:val="auto"/>
              </w:rPr>
            </w:pPr>
            <w:r>
              <w:rPr>
                <w:rFonts w:ascii="Arial" w:cs="Arial" w:eastAsia="Arial" w:hAnsi="Arial"/>
                <w:sz w:val="14"/>
                <w:szCs w:val="14"/>
                <w:color w:val="auto"/>
              </w:rPr>
              <w:t>indebtedness, changes in prepaid and accrued capacity payments, and adjusted for development expenses</w:t>
            </w:r>
          </w:p>
        </w:tc>
      </w:tr>
      <w:tr>
        <w:trPr>
          <w:trHeight w:val="149"/>
        </w:trPr>
        <w:tc>
          <w:tcPr>
            <w:tcW w:w="2400" w:type="dxa"/>
            <w:vAlign w:val="bottom"/>
          </w:tcPr>
          <w:p>
            <w:pPr>
              <w:ind w:left="20"/>
              <w:spacing w:after="0" w:line="149" w:lineRule="exact"/>
              <w:rPr>
                <w:sz w:val="20"/>
                <w:szCs w:val="20"/>
                <w:color w:val="auto"/>
              </w:rPr>
            </w:pPr>
            <w:r>
              <w:rPr>
                <w:rFonts w:ascii="Arial" w:cs="Arial" w:eastAsia="Arial" w:hAnsi="Arial"/>
                <w:sz w:val="14"/>
                <w:szCs w:val="14"/>
                <w:color w:val="auto"/>
              </w:rPr>
              <w:t>Capistrano Wind Portfolio</w:t>
            </w:r>
          </w:p>
        </w:tc>
        <w:tc>
          <w:tcPr>
            <w:tcW w:w="8880" w:type="dxa"/>
            <w:vAlign w:val="bottom"/>
          </w:tcPr>
          <w:p>
            <w:pPr>
              <w:ind w:left="500"/>
              <w:spacing w:after="0" w:line="149" w:lineRule="exact"/>
              <w:rPr>
                <w:sz w:val="20"/>
                <w:szCs w:val="20"/>
                <w:color w:val="auto"/>
              </w:rPr>
            </w:pPr>
            <w:r>
              <w:rPr>
                <w:rFonts w:ascii="Arial" w:cs="Arial" w:eastAsia="Arial" w:hAnsi="Arial"/>
                <w:sz w:val="14"/>
                <w:szCs w:val="14"/>
                <w:color w:val="auto"/>
                <w:w w:val="95"/>
              </w:rPr>
              <w:t>Five wind projects representing 413 MW of capacity, which includes Broken Bow and Crofton Bluffs located in Nebraska, Cedro Hill located in</w:t>
            </w:r>
          </w:p>
        </w:tc>
      </w:tr>
      <w:tr>
        <w:trPr>
          <w:trHeight w:val="180"/>
        </w:trPr>
        <w:tc>
          <w:tcPr>
            <w:tcW w:w="2400" w:type="dxa"/>
            <w:vAlign w:val="bottom"/>
          </w:tcPr>
          <w:p>
            <w:pPr>
              <w:spacing w:after="0"/>
              <w:rPr>
                <w:sz w:val="15"/>
                <w:szCs w:val="15"/>
                <w:color w:val="auto"/>
              </w:rPr>
            </w:pPr>
          </w:p>
        </w:tc>
        <w:tc>
          <w:tcPr>
            <w:tcW w:w="8880" w:type="dxa"/>
            <w:vAlign w:val="bottom"/>
          </w:tcPr>
          <w:p>
            <w:pPr>
              <w:ind w:left="500"/>
              <w:spacing w:after="0"/>
              <w:rPr>
                <w:sz w:val="20"/>
                <w:szCs w:val="20"/>
                <w:color w:val="auto"/>
              </w:rPr>
            </w:pPr>
            <w:r>
              <w:rPr>
                <w:rFonts w:ascii="Arial" w:cs="Arial" w:eastAsia="Arial" w:hAnsi="Arial"/>
                <w:sz w:val="14"/>
                <w:szCs w:val="14"/>
                <w:color w:val="auto"/>
              </w:rPr>
              <w:t>Texas and Mountain Wind Power I and II located in Wyoming</w:t>
            </w:r>
          </w:p>
        </w:tc>
      </w:tr>
      <w:tr>
        <w:trPr>
          <w:trHeight w:val="191"/>
        </w:trPr>
        <w:tc>
          <w:tcPr>
            <w:tcW w:w="2400" w:type="dxa"/>
            <w:vAlign w:val="bottom"/>
          </w:tcPr>
          <w:p>
            <w:pPr>
              <w:ind w:left="20"/>
              <w:spacing w:after="0"/>
              <w:rPr>
                <w:sz w:val="20"/>
                <w:szCs w:val="20"/>
                <w:color w:val="auto"/>
              </w:rPr>
            </w:pPr>
            <w:r>
              <w:rPr>
                <w:rFonts w:ascii="Arial" w:cs="Arial" w:eastAsia="Arial" w:hAnsi="Arial"/>
                <w:sz w:val="14"/>
                <w:szCs w:val="14"/>
                <w:color w:val="auto"/>
              </w:rPr>
              <w:t>CARES Act</w:t>
            </w:r>
          </w:p>
        </w:tc>
        <w:tc>
          <w:tcPr>
            <w:tcW w:w="8880" w:type="dxa"/>
            <w:vAlign w:val="bottom"/>
          </w:tcPr>
          <w:p>
            <w:pPr>
              <w:ind w:left="500"/>
              <w:spacing w:after="0"/>
              <w:rPr>
                <w:sz w:val="20"/>
                <w:szCs w:val="20"/>
                <w:color w:val="auto"/>
              </w:rPr>
            </w:pPr>
            <w:r>
              <w:rPr>
                <w:rFonts w:ascii="Arial" w:cs="Arial" w:eastAsia="Arial" w:hAnsi="Arial"/>
                <w:sz w:val="14"/>
                <w:szCs w:val="14"/>
                <w:color w:val="auto"/>
              </w:rPr>
              <w:t>The Coronavirus Aid, Relief, and Economic Security Act</w:t>
            </w: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CEG</w:t>
            </w:r>
          </w:p>
        </w:tc>
        <w:tc>
          <w:tcPr>
            <w:tcW w:w="8880" w:type="dxa"/>
            <w:vAlign w:val="bottom"/>
          </w:tcPr>
          <w:p>
            <w:pPr>
              <w:ind w:left="500"/>
              <w:spacing w:after="0"/>
              <w:rPr>
                <w:sz w:val="20"/>
                <w:szCs w:val="20"/>
                <w:color w:val="auto"/>
              </w:rPr>
            </w:pPr>
            <w:r>
              <w:rPr>
                <w:rFonts w:ascii="Arial" w:cs="Arial" w:eastAsia="Arial" w:hAnsi="Arial"/>
                <w:sz w:val="14"/>
                <w:szCs w:val="14"/>
                <w:color w:val="auto"/>
              </w:rPr>
              <w:t>Clearway Energy Group LLC (formerly Zephyr Renewables LLC)</w:t>
            </w:r>
          </w:p>
        </w:tc>
      </w:tr>
      <w:tr>
        <w:trPr>
          <w:trHeight w:val="138"/>
        </w:trPr>
        <w:tc>
          <w:tcPr>
            <w:tcW w:w="2400" w:type="dxa"/>
            <w:vAlign w:val="bottom"/>
          </w:tcPr>
          <w:p>
            <w:pPr>
              <w:ind w:left="20"/>
              <w:spacing w:after="0" w:line="139" w:lineRule="exact"/>
              <w:rPr>
                <w:sz w:val="20"/>
                <w:szCs w:val="20"/>
                <w:color w:val="auto"/>
              </w:rPr>
            </w:pPr>
            <w:r>
              <w:rPr>
                <w:rFonts w:ascii="Arial" w:cs="Arial" w:eastAsia="Arial" w:hAnsi="Arial"/>
                <w:sz w:val="14"/>
                <w:szCs w:val="14"/>
                <w:color w:val="auto"/>
              </w:rPr>
              <w:t>CEG Master Services Agreement</w:t>
            </w:r>
          </w:p>
        </w:tc>
        <w:tc>
          <w:tcPr>
            <w:tcW w:w="8880" w:type="dxa"/>
            <w:vAlign w:val="bottom"/>
          </w:tcPr>
          <w:p>
            <w:pPr>
              <w:ind w:left="500"/>
              <w:spacing w:after="0" w:line="139" w:lineRule="exact"/>
              <w:rPr>
                <w:sz w:val="20"/>
                <w:szCs w:val="20"/>
                <w:color w:val="auto"/>
              </w:rPr>
            </w:pPr>
            <w:r>
              <w:rPr>
                <w:rFonts w:ascii="Arial" w:cs="Arial" w:eastAsia="Arial" w:hAnsi="Arial"/>
                <w:sz w:val="14"/>
                <w:szCs w:val="14"/>
                <w:color w:val="auto"/>
                <w:w w:val="92"/>
              </w:rPr>
              <w:t>Master Services Agreements entered into as of August 31, 2018 and amended on February 2, 2023 between the Company, Clearway Energy LLC</w:t>
            </w:r>
          </w:p>
        </w:tc>
      </w:tr>
      <w:tr>
        <w:trPr>
          <w:trHeight w:val="180"/>
        </w:trPr>
        <w:tc>
          <w:tcPr>
            <w:tcW w:w="2400" w:type="dxa"/>
            <w:vAlign w:val="bottom"/>
          </w:tcPr>
          <w:p>
            <w:pPr>
              <w:spacing w:after="0"/>
              <w:rPr>
                <w:sz w:val="15"/>
                <w:szCs w:val="15"/>
                <w:color w:val="auto"/>
              </w:rPr>
            </w:pPr>
          </w:p>
        </w:tc>
        <w:tc>
          <w:tcPr>
            <w:tcW w:w="8880" w:type="dxa"/>
            <w:vAlign w:val="bottom"/>
          </w:tcPr>
          <w:p>
            <w:pPr>
              <w:ind w:left="500"/>
              <w:spacing w:after="0"/>
              <w:rPr>
                <w:sz w:val="20"/>
                <w:szCs w:val="20"/>
                <w:color w:val="auto"/>
              </w:rPr>
            </w:pPr>
            <w:r>
              <w:rPr>
                <w:rFonts w:ascii="Arial" w:cs="Arial" w:eastAsia="Arial" w:hAnsi="Arial"/>
                <w:sz w:val="14"/>
                <w:szCs w:val="14"/>
                <w:color w:val="auto"/>
              </w:rPr>
              <w:t>and Clearway Energy Operating LLC, and CEG</w:t>
            </w:r>
          </w:p>
        </w:tc>
      </w:tr>
      <w:tr>
        <w:trPr>
          <w:trHeight w:val="149"/>
        </w:trPr>
        <w:tc>
          <w:tcPr>
            <w:tcW w:w="2400" w:type="dxa"/>
            <w:vAlign w:val="bottom"/>
          </w:tcPr>
          <w:p>
            <w:pPr>
              <w:ind w:left="20"/>
              <w:spacing w:after="0" w:line="149" w:lineRule="exact"/>
              <w:rPr>
                <w:sz w:val="20"/>
                <w:szCs w:val="20"/>
                <w:color w:val="auto"/>
              </w:rPr>
            </w:pPr>
            <w:r>
              <w:rPr>
                <w:rFonts w:ascii="Arial" w:cs="Arial" w:eastAsia="Arial" w:hAnsi="Arial"/>
                <w:sz w:val="14"/>
                <w:szCs w:val="14"/>
                <w:color w:val="auto"/>
              </w:rPr>
              <w:t>CEG ROFO Agreement</w:t>
            </w:r>
          </w:p>
        </w:tc>
        <w:tc>
          <w:tcPr>
            <w:tcW w:w="8880" w:type="dxa"/>
            <w:vAlign w:val="bottom"/>
          </w:tcPr>
          <w:p>
            <w:pPr>
              <w:ind w:left="500"/>
              <w:spacing w:after="0" w:line="149" w:lineRule="exact"/>
              <w:rPr>
                <w:sz w:val="20"/>
                <w:szCs w:val="20"/>
                <w:color w:val="auto"/>
              </w:rPr>
            </w:pPr>
            <w:r>
              <w:rPr>
                <w:rFonts w:ascii="Arial" w:cs="Arial" w:eastAsia="Arial" w:hAnsi="Arial"/>
                <w:sz w:val="14"/>
                <w:szCs w:val="14"/>
                <w:color w:val="auto"/>
                <w:w w:val="93"/>
              </w:rPr>
              <w:t>Right of First Offer Agreement, entered into as of August 31, 2018, by and between Clearway Energy Group LLC and Clearway Energy, Inc., and</w:t>
            </w:r>
          </w:p>
        </w:tc>
      </w:tr>
      <w:tr>
        <w:trPr>
          <w:trHeight w:val="148"/>
        </w:trPr>
        <w:tc>
          <w:tcPr>
            <w:tcW w:w="2400" w:type="dxa"/>
            <w:vAlign w:val="bottom"/>
          </w:tcPr>
          <w:p>
            <w:pPr>
              <w:spacing w:after="0"/>
              <w:rPr>
                <w:sz w:val="12"/>
                <w:szCs w:val="12"/>
                <w:color w:val="auto"/>
              </w:rPr>
            </w:pPr>
          </w:p>
        </w:tc>
        <w:tc>
          <w:tcPr>
            <w:tcW w:w="8880" w:type="dxa"/>
            <w:vAlign w:val="bottom"/>
          </w:tcPr>
          <w:p>
            <w:pPr>
              <w:ind w:left="500"/>
              <w:spacing w:after="0" w:line="149" w:lineRule="exact"/>
              <w:rPr>
                <w:sz w:val="20"/>
                <w:szCs w:val="20"/>
                <w:color w:val="auto"/>
              </w:rPr>
            </w:pPr>
            <w:r>
              <w:rPr>
                <w:rFonts w:ascii="Arial" w:cs="Arial" w:eastAsia="Arial" w:hAnsi="Arial"/>
                <w:sz w:val="14"/>
                <w:szCs w:val="14"/>
                <w:color w:val="auto"/>
                <w:w w:val="94"/>
              </w:rPr>
              <w:t>solely for purposes of Section 2.4, GIP III Zephyr Acquisition Partners, L.P., as amended by the First Amendment dated February 14, 2019, the</w:t>
            </w:r>
          </w:p>
        </w:tc>
      </w:tr>
      <w:tr>
        <w:trPr>
          <w:trHeight w:val="138"/>
        </w:trPr>
        <w:tc>
          <w:tcPr>
            <w:tcW w:w="2400" w:type="dxa"/>
            <w:vAlign w:val="bottom"/>
          </w:tcPr>
          <w:p>
            <w:pPr>
              <w:spacing w:after="0"/>
              <w:rPr>
                <w:sz w:val="12"/>
                <w:szCs w:val="12"/>
                <w:color w:val="auto"/>
              </w:rPr>
            </w:pPr>
          </w:p>
        </w:tc>
        <w:tc>
          <w:tcPr>
            <w:tcW w:w="8880" w:type="dxa"/>
            <w:vAlign w:val="bottom"/>
          </w:tcPr>
          <w:p>
            <w:pPr>
              <w:ind w:left="500"/>
              <w:spacing w:after="0" w:line="138" w:lineRule="exact"/>
              <w:rPr>
                <w:sz w:val="20"/>
                <w:szCs w:val="20"/>
                <w:color w:val="auto"/>
              </w:rPr>
            </w:pPr>
            <w:r>
              <w:rPr>
                <w:rFonts w:ascii="Arial" w:cs="Arial" w:eastAsia="Arial" w:hAnsi="Arial"/>
                <w:sz w:val="14"/>
                <w:szCs w:val="14"/>
                <w:color w:val="auto"/>
                <w:w w:val="92"/>
              </w:rPr>
              <w:t>Second Amendment dated August 1, 2019, the Third Amendment dated December 6, 2019, the Fourth Amendment dated November 2, 2020 and</w:t>
            </w:r>
          </w:p>
        </w:tc>
      </w:tr>
      <w:tr>
        <w:trPr>
          <w:trHeight w:val="180"/>
        </w:trPr>
        <w:tc>
          <w:tcPr>
            <w:tcW w:w="2400" w:type="dxa"/>
            <w:vAlign w:val="bottom"/>
          </w:tcPr>
          <w:p>
            <w:pPr>
              <w:spacing w:after="0"/>
              <w:rPr>
                <w:sz w:val="15"/>
                <w:szCs w:val="15"/>
                <w:color w:val="auto"/>
              </w:rPr>
            </w:pPr>
          </w:p>
        </w:tc>
        <w:tc>
          <w:tcPr>
            <w:tcW w:w="8880" w:type="dxa"/>
            <w:vAlign w:val="bottom"/>
          </w:tcPr>
          <w:p>
            <w:pPr>
              <w:ind w:left="500"/>
              <w:spacing w:after="0"/>
              <w:rPr>
                <w:sz w:val="20"/>
                <w:szCs w:val="20"/>
                <w:color w:val="auto"/>
              </w:rPr>
            </w:pPr>
            <w:r>
              <w:rPr>
                <w:rFonts w:ascii="Arial" w:cs="Arial" w:eastAsia="Arial" w:hAnsi="Arial"/>
                <w:sz w:val="14"/>
                <w:szCs w:val="14"/>
                <w:color w:val="auto"/>
              </w:rPr>
              <w:t>the Fifth Amendment dated August 2, 2021</w:t>
            </w: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Clearway, Inc.</w:t>
            </w:r>
          </w:p>
        </w:tc>
        <w:tc>
          <w:tcPr>
            <w:tcW w:w="8880" w:type="dxa"/>
            <w:vAlign w:val="bottom"/>
          </w:tcPr>
          <w:p>
            <w:pPr>
              <w:ind w:left="500"/>
              <w:spacing w:after="0"/>
              <w:rPr>
                <w:sz w:val="20"/>
                <w:szCs w:val="20"/>
                <w:color w:val="auto"/>
              </w:rPr>
            </w:pPr>
            <w:r>
              <w:rPr>
                <w:rFonts w:ascii="Arial" w:cs="Arial" w:eastAsia="Arial" w:hAnsi="Arial"/>
                <w:sz w:val="14"/>
                <w:szCs w:val="14"/>
                <w:color w:val="auto"/>
              </w:rPr>
              <w:t>Clearway Energy, Inc., the holder of the Company’s Class A and Class C units</w:t>
            </w:r>
          </w:p>
        </w:tc>
      </w:tr>
      <w:tr>
        <w:trPr>
          <w:trHeight w:val="138"/>
        </w:trPr>
        <w:tc>
          <w:tcPr>
            <w:tcW w:w="2400" w:type="dxa"/>
            <w:vAlign w:val="bottom"/>
          </w:tcPr>
          <w:p>
            <w:pPr>
              <w:ind w:left="20"/>
              <w:spacing w:after="0" w:line="139" w:lineRule="exact"/>
              <w:rPr>
                <w:sz w:val="20"/>
                <w:szCs w:val="20"/>
                <w:color w:val="auto"/>
              </w:rPr>
            </w:pPr>
            <w:r>
              <w:rPr>
                <w:rFonts w:ascii="Arial" w:cs="Arial" w:eastAsia="Arial" w:hAnsi="Arial"/>
                <w:sz w:val="14"/>
                <w:szCs w:val="14"/>
                <w:color w:val="auto"/>
              </w:rPr>
              <w:t>Clearway Energy Group LLC</w:t>
            </w:r>
          </w:p>
        </w:tc>
        <w:tc>
          <w:tcPr>
            <w:tcW w:w="8880" w:type="dxa"/>
            <w:vAlign w:val="bottom"/>
          </w:tcPr>
          <w:p>
            <w:pPr>
              <w:ind w:left="500"/>
              <w:spacing w:after="0" w:line="139" w:lineRule="exact"/>
              <w:rPr>
                <w:sz w:val="20"/>
                <w:szCs w:val="20"/>
                <w:color w:val="auto"/>
              </w:rPr>
            </w:pPr>
            <w:r>
              <w:rPr>
                <w:rFonts w:ascii="Arial" w:cs="Arial" w:eastAsia="Arial" w:hAnsi="Arial"/>
                <w:sz w:val="14"/>
                <w:szCs w:val="14"/>
                <w:color w:val="auto"/>
                <w:w w:val="94"/>
              </w:rPr>
              <w:t>The holder of all of Clearway, Inc.’s Class B and Class D common shares and the Company’s Class B and Class D units and, from time to time,</w:t>
            </w:r>
          </w:p>
        </w:tc>
      </w:tr>
      <w:tr>
        <w:trPr>
          <w:trHeight w:val="180"/>
        </w:trPr>
        <w:tc>
          <w:tcPr>
            <w:tcW w:w="2400" w:type="dxa"/>
            <w:vAlign w:val="bottom"/>
          </w:tcPr>
          <w:p>
            <w:pPr>
              <w:spacing w:after="0"/>
              <w:rPr>
                <w:sz w:val="15"/>
                <w:szCs w:val="15"/>
                <w:color w:val="auto"/>
              </w:rPr>
            </w:pPr>
          </w:p>
        </w:tc>
        <w:tc>
          <w:tcPr>
            <w:tcW w:w="8880" w:type="dxa"/>
            <w:vAlign w:val="bottom"/>
          </w:tcPr>
          <w:p>
            <w:pPr>
              <w:ind w:left="500"/>
              <w:spacing w:after="0"/>
              <w:rPr>
                <w:sz w:val="20"/>
                <w:szCs w:val="20"/>
                <w:color w:val="auto"/>
              </w:rPr>
            </w:pPr>
            <w:r>
              <w:rPr>
                <w:rFonts w:ascii="Arial" w:cs="Arial" w:eastAsia="Arial" w:hAnsi="Arial"/>
                <w:sz w:val="14"/>
                <w:szCs w:val="14"/>
                <w:color w:val="auto"/>
              </w:rPr>
              <w:t>possibly shares of Clearway, Inc.’s Class A and/or Class C common stock</w:t>
            </w:r>
          </w:p>
        </w:tc>
      </w:tr>
      <w:tr>
        <w:trPr>
          <w:trHeight w:val="191"/>
        </w:trPr>
        <w:tc>
          <w:tcPr>
            <w:tcW w:w="2400" w:type="dxa"/>
            <w:vAlign w:val="bottom"/>
          </w:tcPr>
          <w:p>
            <w:pPr>
              <w:ind w:left="20"/>
              <w:spacing w:after="0"/>
              <w:rPr>
                <w:sz w:val="20"/>
                <w:szCs w:val="20"/>
                <w:color w:val="auto"/>
              </w:rPr>
            </w:pPr>
            <w:r>
              <w:rPr>
                <w:rFonts w:ascii="Arial" w:cs="Arial" w:eastAsia="Arial" w:hAnsi="Arial"/>
                <w:sz w:val="14"/>
                <w:szCs w:val="14"/>
                <w:color w:val="auto"/>
              </w:rPr>
              <w:t>Clearway Energy Operating LLC</w:t>
            </w:r>
          </w:p>
        </w:tc>
        <w:tc>
          <w:tcPr>
            <w:tcW w:w="8880" w:type="dxa"/>
            <w:vAlign w:val="bottom"/>
          </w:tcPr>
          <w:p>
            <w:pPr>
              <w:ind w:left="500"/>
              <w:spacing w:after="0"/>
              <w:rPr>
                <w:sz w:val="20"/>
                <w:szCs w:val="20"/>
                <w:color w:val="auto"/>
              </w:rPr>
            </w:pPr>
            <w:r>
              <w:rPr>
                <w:rFonts w:ascii="Arial" w:cs="Arial" w:eastAsia="Arial" w:hAnsi="Arial"/>
                <w:sz w:val="14"/>
                <w:szCs w:val="14"/>
                <w:color w:val="auto"/>
              </w:rPr>
              <w:t>The holder of the project assets that are owned by the Company</w:t>
            </w: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COD</w:t>
            </w:r>
          </w:p>
        </w:tc>
        <w:tc>
          <w:tcPr>
            <w:tcW w:w="8880" w:type="dxa"/>
            <w:vAlign w:val="bottom"/>
          </w:tcPr>
          <w:p>
            <w:pPr>
              <w:ind w:left="500"/>
              <w:spacing w:after="0"/>
              <w:rPr>
                <w:sz w:val="20"/>
                <w:szCs w:val="20"/>
                <w:color w:val="auto"/>
              </w:rPr>
            </w:pPr>
            <w:r>
              <w:rPr>
                <w:rFonts w:ascii="Arial" w:cs="Arial" w:eastAsia="Arial" w:hAnsi="Arial"/>
                <w:sz w:val="14"/>
                <w:szCs w:val="14"/>
                <w:color w:val="auto"/>
              </w:rPr>
              <w:t>Commercial Operation Date</w:t>
            </w: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Code</w:t>
            </w:r>
          </w:p>
        </w:tc>
        <w:tc>
          <w:tcPr>
            <w:tcW w:w="8880" w:type="dxa"/>
            <w:vAlign w:val="bottom"/>
          </w:tcPr>
          <w:p>
            <w:pPr>
              <w:ind w:left="500"/>
              <w:spacing w:after="0"/>
              <w:rPr>
                <w:sz w:val="20"/>
                <w:szCs w:val="20"/>
                <w:color w:val="auto"/>
              </w:rPr>
            </w:pPr>
            <w:r>
              <w:rPr>
                <w:rFonts w:ascii="Arial" w:cs="Arial" w:eastAsia="Arial" w:hAnsi="Arial"/>
                <w:sz w:val="14"/>
                <w:szCs w:val="14"/>
                <w:color w:val="auto"/>
              </w:rPr>
              <w:t>Internal Revenue Code of 1986, as amended</w:t>
            </w: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Company</w:t>
            </w:r>
          </w:p>
        </w:tc>
        <w:tc>
          <w:tcPr>
            <w:tcW w:w="8880" w:type="dxa"/>
            <w:vAlign w:val="bottom"/>
          </w:tcPr>
          <w:p>
            <w:pPr>
              <w:ind w:left="500"/>
              <w:spacing w:after="0"/>
              <w:rPr>
                <w:sz w:val="20"/>
                <w:szCs w:val="20"/>
                <w:color w:val="auto"/>
              </w:rPr>
            </w:pPr>
            <w:r>
              <w:rPr>
                <w:rFonts w:ascii="Arial" w:cs="Arial" w:eastAsia="Arial" w:hAnsi="Arial"/>
                <w:sz w:val="14"/>
                <w:szCs w:val="14"/>
                <w:color w:val="auto"/>
              </w:rPr>
              <w:t>Clearway Energy LLC, together with its consolidated subsidiaries</w:t>
            </w:r>
          </w:p>
        </w:tc>
      </w:tr>
      <w:tr>
        <w:trPr>
          <w:trHeight w:val="180"/>
        </w:trPr>
        <w:tc>
          <w:tcPr>
            <w:tcW w:w="2400" w:type="dxa"/>
            <w:vAlign w:val="bottom"/>
          </w:tcPr>
          <w:p>
            <w:pPr>
              <w:ind w:left="20"/>
              <w:spacing w:after="0"/>
              <w:rPr>
                <w:sz w:val="20"/>
                <w:szCs w:val="20"/>
                <w:color w:val="auto"/>
              </w:rPr>
            </w:pPr>
            <w:r>
              <w:rPr>
                <w:rFonts w:ascii="Arial" w:cs="Arial" w:eastAsia="Arial" w:hAnsi="Arial"/>
                <w:sz w:val="14"/>
                <w:szCs w:val="14"/>
                <w:color w:val="auto"/>
              </w:rPr>
              <w:t>CVSR</w:t>
            </w:r>
          </w:p>
        </w:tc>
        <w:tc>
          <w:tcPr>
            <w:tcW w:w="8880" w:type="dxa"/>
            <w:vAlign w:val="bottom"/>
          </w:tcPr>
          <w:p>
            <w:pPr>
              <w:ind w:left="500"/>
              <w:spacing w:after="0"/>
              <w:rPr>
                <w:sz w:val="20"/>
                <w:szCs w:val="20"/>
                <w:color w:val="auto"/>
              </w:rPr>
            </w:pPr>
            <w:r>
              <w:rPr>
                <w:rFonts w:ascii="Arial" w:cs="Arial" w:eastAsia="Arial" w:hAnsi="Arial"/>
                <w:sz w:val="14"/>
                <w:szCs w:val="14"/>
                <w:color w:val="auto"/>
              </w:rPr>
              <w:t>California Valley Solar Ranch</w:t>
            </w:r>
          </w:p>
        </w:tc>
      </w:tr>
      <w:tr>
        <w:trPr>
          <w:trHeight w:val="679"/>
        </w:trPr>
        <w:tc>
          <w:tcPr>
            <w:tcW w:w="2400" w:type="dxa"/>
            <w:vAlign w:val="bottom"/>
          </w:tcPr>
          <w:p>
            <w:pPr>
              <w:spacing w:after="0"/>
              <w:rPr>
                <w:sz w:val="24"/>
                <w:szCs w:val="24"/>
                <w:color w:val="auto"/>
              </w:rPr>
            </w:pPr>
          </w:p>
        </w:tc>
        <w:tc>
          <w:tcPr>
            <w:tcW w:w="8880" w:type="dxa"/>
            <w:vAlign w:val="bottom"/>
          </w:tcPr>
          <w:p>
            <w:pPr>
              <w:ind w:left="3200"/>
              <w:spacing w:after="0"/>
              <w:rPr>
                <w:sz w:val="20"/>
                <w:szCs w:val="20"/>
                <w:color w:val="auto"/>
              </w:rPr>
            </w:pPr>
            <w:r>
              <w:rPr>
                <w:rFonts w:ascii="Arial" w:cs="Arial" w:eastAsia="Arial" w:hAnsi="Arial"/>
                <w:sz w:val="14"/>
                <w:szCs w:val="14"/>
                <w:color w:val="auto"/>
              </w:rPr>
              <w:t>3</w:t>
            </w:r>
          </w:p>
        </w:tc>
      </w:tr>
      <w:tr>
        <w:trPr>
          <w:trHeight w:val="87"/>
        </w:trPr>
        <w:tc>
          <w:tcPr>
            <w:tcW w:w="2400" w:type="dxa"/>
            <w:vAlign w:val="bottom"/>
            <w:tcBorders>
              <w:bottom w:val="single" w:sz="8" w:color="9A9A9A"/>
            </w:tcBorders>
          </w:tcPr>
          <w:p>
            <w:pPr>
              <w:spacing w:after="0"/>
              <w:rPr>
                <w:sz w:val="7"/>
                <w:szCs w:val="7"/>
                <w:color w:val="auto"/>
              </w:rPr>
            </w:pPr>
          </w:p>
        </w:tc>
        <w:tc>
          <w:tcPr>
            <w:tcW w:w="8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CVSR Holdco</w:t>
            </w:r>
          </w:p>
        </w:tc>
        <w:tc>
          <w:tcPr>
            <w:tcW w:w="9280" w:type="dxa"/>
            <w:vAlign w:val="bottom"/>
          </w:tcPr>
          <w:p>
            <w:pPr>
              <w:ind w:left="900"/>
              <w:spacing w:after="0"/>
              <w:rPr>
                <w:sz w:val="20"/>
                <w:szCs w:val="20"/>
                <w:color w:val="auto"/>
              </w:rPr>
            </w:pPr>
            <w:r>
              <w:rPr>
                <w:rFonts w:ascii="Arial" w:cs="Arial" w:eastAsia="Arial" w:hAnsi="Arial"/>
                <w:sz w:val="14"/>
                <w:szCs w:val="14"/>
                <w:color w:val="auto"/>
              </w:rPr>
              <w:t>CVSR Holdco LLC, the indirect owner of CVSR</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DGPV Holdco 1</w:t>
            </w:r>
          </w:p>
        </w:tc>
        <w:tc>
          <w:tcPr>
            <w:tcW w:w="9280" w:type="dxa"/>
            <w:vAlign w:val="bottom"/>
          </w:tcPr>
          <w:p>
            <w:pPr>
              <w:ind w:left="900"/>
              <w:spacing w:after="0"/>
              <w:rPr>
                <w:sz w:val="20"/>
                <w:szCs w:val="20"/>
                <w:color w:val="auto"/>
              </w:rPr>
            </w:pPr>
            <w:r>
              <w:rPr>
                <w:rFonts w:ascii="Arial" w:cs="Arial" w:eastAsia="Arial" w:hAnsi="Arial"/>
                <w:sz w:val="14"/>
                <w:szCs w:val="14"/>
                <w:color w:val="auto"/>
              </w:rPr>
              <w:t>DGPV Holdco 1 LLC</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DGPV Holdco 2</w:t>
            </w:r>
          </w:p>
        </w:tc>
        <w:tc>
          <w:tcPr>
            <w:tcW w:w="9280" w:type="dxa"/>
            <w:vAlign w:val="bottom"/>
          </w:tcPr>
          <w:p>
            <w:pPr>
              <w:ind w:left="900"/>
              <w:spacing w:after="0"/>
              <w:rPr>
                <w:sz w:val="20"/>
                <w:szCs w:val="20"/>
                <w:color w:val="auto"/>
              </w:rPr>
            </w:pPr>
            <w:r>
              <w:rPr>
                <w:rFonts w:ascii="Arial" w:cs="Arial" w:eastAsia="Arial" w:hAnsi="Arial"/>
                <w:sz w:val="14"/>
                <w:szCs w:val="14"/>
                <w:color w:val="auto"/>
              </w:rPr>
              <w:t>DGPV Holdco 2 LLC</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DGPV Holdco 3</w:t>
            </w:r>
          </w:p>
        </w:tc>
        <w:tc>
          <w:tcPr>
            <w:tcW w:w="9280" w:type="dxa"/>
            <w:vAlign w:val="bottom"/>
          </w:tcPr>
          <w:p>
            <w:pPr>
              <w:ind w:left="900"/>
              <w:spacing w:after="0"/>
              <w:rPr>
                <w:sz w:val="20"/>
                <w:szCs w:val="20"/>
                <w:color w:val="auto"/>
              </w:rPr>
            </w:pPr>
            <w:r>
              <w:rPr>
                <w:rFonts w:ascii="Arial" w:cs="Arial" w:eastAsia="Arial" w:hAnsi="Arial"/>
                <w:sz w:val="14"/>
                <w:szCs w:val="14"/>
                <w:color w:val="auto"/>
              </w:rPr>
              <w:t>DGPV Holdco 3 LLC</w:t>
            </w:r>
          </w:p>
        </w:tc>
      </w:tr>
      <w:tr>
        <w:trPr>
          <w:trHeight w:val="138"/>
        </w:trPr>
        <w:tc>
          <w:tcPr>
            <w:tcW w:w="2000" w:type="dxa"/>
            <w:vAlign w:val="bottom"/>
          </w:tcPr>
          <w:p>
            <w:pPr>
              <w:ind w:left="20"/>
              <w:spacing w:after="0" w:line="139" w:lineRule="exact"/>
              <w:rPr>
                <w:sz w:val="20"/>
                <w:szCs w:val="20"/>
                <w:color w:val="auto"/>
              </w:rPr>
            </w:pPr>
            <w:r>
              <w:rPr>
                <w:rFonts w:ascii="Arial" w:cs="Arial" w:eastAsia="Arial" w:hAnsi="Arial"/>
                <w:sz w:val="14"/>
                <w:szCs w:val="14"/>
                <w:color w:val="auto"/>
              </w:rPr>
              <w:t>Distributed Solar</w:t>
            </w:r>
          </w:p>
        </w:tc>
        <w:tc>
          <w:tcPr>
            <w:tcW w:w="9280" w:type="dxa"/>
            <w:vAlign w:val="bottom"/>
          </w:tcPr>
          <w:p>
            <w:pPr>
              <w:ind w:left="900"/>
              <w:spacing w:after="0" w:line="139" w:lineRule="exact"/>
              <w:rPr>
                <w:sz w:val="20"/>
                <w:szCs w:val="20"/>
                <w:color w:val="auto"/>
              </w:rPr>
            </w:pPr>
            <w:r>
              <w:rPr>
                <w:rFonts w:ascii="Arial" w:cs="Arial" w:eastAsia="Arial" w:hAnsi="Arial"/>
                <w:sz w:val="14"/>
                <w:szCs w:val="14"/>
                <w:color w:val="auto"/>
                <w:w w:val="94"/>
              </w:rPr>
              <w:t>Solar power projects, typically less than 20 MW in size (on an alternating current, or AC, basis), that primarily sell power produced to customers</w:t>
            </w:r>
          </w:p>
        </w:tc>
      </w:tr>
      <w:tr>
        <w:trPr>
          <w:trHeight w:val="180"/>
        </w:trPr>
        <w:tc>
          <w:tcPr>
            <w:tcW w:w="2000" w:type="dxa"/>
            <w:vAlign w:val="bottom"/>
          </w:tcPr>
          <w:p>
            <w:pPr>
              <w:spacing w:after="0"/>
              <w:rPr>
                <w:sz w:val="15"/>
                <w:szCs w:val="15"/>
                <w:color w:val="auto"/>
              </w:rPr>
            </w:pPr>
          </w:p>
        </w:tc>
        <w:tc>
          <w:tcPr>
            <w:tcW w:w="9280" w:type="dxa"/>
            <w:vAlign w:val="bottom"/>
          </w:tcPr>
          <w:p>
            <w:pPr>
              <w:ind w:left="900"/>
              <w:spacing w:after="0"/>
              <w:rPr>
                <w:sz w:val="20"/>
                <w:szCs w:val="20"/>
                <w:color w:val="auto"/>
              </w:rPr>
            </w:pPr>
            <w:r>
              <w:rPr>
                <w:rFonts w:ascii="Arial" w:cs="Arial" w:eastAsia="Arial" w:hAnsi="Arial"/>
                <w:sz w:val="14"/>
                <w:szCs w:val="14"/>
                <w:color w:val="auto"/>
              </w:rPr>
              <w:t>for usage on site, or are interconnected to sell power into the local distribution grid</w:t>
            </w:r>
          </w:p>
        </w:tc>
      </w:tr>
      <w:tr>
        <w:trPr>
          <w:trHeight w:val="191"/>
        </w:trPr>
        <w:tc>
          <w:tcPr>
            <w:tcW w:w="2000" w:type="dxa"/>
            <w:vAlign w:val="bottom"/>
          </w:tcPr>
          <w:p>
            <w:pPr>
              <w:ind w:left="20"/>
              <w:spacing w:after="0"/>
              <w:rPr>
                <w:sz w:val="20"/>
                <w:szCs w:val="20"/>
                <w:color w:val="auto"/>
              </w:rPr>
            </w:pPr>
            <w:r>
              <w:rPr>
                <w:rFonts w:ascii="Arial" w:cs="Arial" w:eastAsia="Arial" w:hAnsi="Arial"/>
                <w:sz w:val="14"/>
                <w:szCs w:val="14"/>
                <w:color w:val="auto"/>
              </w:rPr>
              <w:t>Drop Down Assets</w:t>
            </w:r>
          </w:p>
        </w:tc>
        <w:tc>
          <w:tcPr>
            <w:tcW w:w="9280" w:type="dxa"/>
            <w:vAlign w:val="bottom"/>
          </w:tcPr>
          <w:p>
            <w:pPr>
              <w:ind w:left="900"/>
              <w:spacing w:after="0"/>
              <w:rPr>
                <w:sz w:val="20"/>
                <w:szCs w:val="20"/>
                <w:color w:val="auto"/>
              </w:rPr>
            </w:pPr>
            <w:r>
              <w:rPr>
                <w:rFonts w:ascii="Arial" w:cs="Arial" w:eastAsia="Arial" w:hAnsi="Arial"/>
                <w:sz w:val="14"/>
                <w:szCs w:val="14"/>
                <w:color w:val="auto"/>
              </w:rPr>
              <w:t>Assets under common control acquired by the Company from CEG</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EPA</w:t>
            </w:r>
          </w:p>
        </w:tc>
        <w:tc>
          <w:tcPr>
            <w:tcW w:w="9280" w:type="dxa"/>
            <w:vAlign w:val="bottom"/>
          </w:tcPr>
          <w:p>
            <w:pPr>
              <w:ind w:left="900"/>
              <w:spacing w:after="0"/>
              <w:rPr>
                <w:sz w:val="20"/>
                <w:szCs w:val="20"/>
                <w:color w:val="auto"/>
              </w:rPr>
            </w:pPr>
            <w:r>
              <w:rPr>
                <w:rFonts w:ascii="Arial" w:cs="Arial" w:eastAsia="Arial" w:hAnsi="Arial"/>
                <w:sz w:val="14"/>
                <w:szCs w:val="14"/>
                <w:color w:val="auto"/>
              </w:rPr>
              <w:t>United States Environmental Protection Agency</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ERCOT</w:t>
            </w:r>
          </w:p>
        </w:tc>
        <w:tc>
          <w:tcPr>
            <w:tcW w:w="9280" w:type="dxa"/>
            <w:vAlign w:val="bottom"/>
          </w:tcPr>
          <w:p>
            <w:pPr>
              <w:ind w:left="900"/>
              <w:spacing w:after="0"/>
              <w:rPr>
                <w:sz w:val="20"/>
                <w:szCs w:val="20"/>
                <w:color w:val="auto"/>
              </w:rPr>
            </w:pPr>
            <w:r>
              <w:rPr>
                <w:rFonts w:ascii="Arial" w:cs="Arial" w:eastAsia="Arial" w:hAnsi="Arial"/>
                <w:sz w:val="14"/>
                <w:szCs w:val="14"/>
                <w:color w:val="auto"/>
              </w:rPr>
              <w:t>Electric Reliability Council of Texas, the ISO and the regional reliability coordinator of the various electricity systems within Texas</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EWG</w:t>
            </w:r>
          </w:p>
        </w:tc>
        <w:tc>
          <w:tcPr>
            <w:tcW w:w="9280" w:type="dxa"/>
            <w:vAlign w:val="bottom"/>
          </w:tcPr>
          <w:p>
            <w:pPr>
              <w:ind w:left="900"/>
              <w:spacing w:after="0"/>
              <w:rPr>
                <w:sz w:val="20"/>
                <w:szCs w:val="20"/>
                <w:color w:val="auto"/>
              </w:rPr>
            </w:pPr>
            <w:r>
              <w:rPr>
                <w:rFonts w:ascii="Arial" w:cs="Arial" w:eastAsia="Arial" w:hAnsi="Arial"/>
                <w:sz w:val="14"/>
                <w:szCs w:val="14"/>
                <w:color w:val="auto"/>
              </w:rPr>
              <w:t>Exempt Wholesale Generator</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Exchange Act</w:t>
            </w:r>
          </w:p>
        </w:tc>
        <w:tc>
          <w:tcPr>
            <w:tcW w:w="9280" w:type="dxa"/>
            <w:vAlign w:val="bottom"/>
          </w:tcPr>
          <w:p>
            <w:pPr>
              <w:ind w:left="900"/>
              <w:spacing w:after="0"/>
              <w:rPr>
                <w:sz w:val="20"/>
                <w:szCs w:val="20"/>
                <w:color w:val="auto"/>
              </w:rPr>
            </w:pPr>
            <w:r>
              <w:rPr>
                <w:rFonts w:ascii="Arial" w:cs="Arial" w:eastAsia="Arial" w:hAnsi="Arial"/>
                <w:sz w:val="14"/>
                <w:szCs w:val="14"/>
                <w:color w:val="auto"/>
              </w:rPr>
              <w:t>The Securities Exchange Act of 1934, as amended</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FASB</w:t>
            </w:r>
          </w:p>
        </w:tc>
        <w:tc>
          <w:tcPr>
            <w:tcW w:w="9280" w:type="dxa"/>
            <w:vAlign w:val="bottom"/>
          </w:tcPr>
          <w:p>
            <w:pPr>
              <w:ind w:left="900"/>
              <w:spacing w:after="0"/>
              <w:rPr>
                <w:sz w:val="20"/>
                <w:szCs w:val="20"/>
                <w:color w:val="auto"/>
              </w:rPr>
            </w:pPr>
            <w:r>
              <w:rPr>
                <w:rFonts w:ascii="Arial" w:cs="Arial" w:eastAsia="Arial" w:hAnsi="Arial"/>
                <w:sz w:val="14"/>
                <w:szCs w:val="14"/>
                <w:color w:val="auto"/>
              </w:rPr>
              <w:t>Financial Accounting Standards Board</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FERC</w:t>
            </w:r>
          </w:p>
        </w:tc>
        <w:tc>
          <w:tcPr>
            <w:tcW w:w="9280" w:type="dxa"/>
            <w:vAlign w:val="bottom"/>
          </w:tcPr>
          <w:p>
            <w:pPr>
              <w:ind w:left="900"/>
              <w:spacing w:after="0"/>
              <w:rPr>
                <w:sz w:val="20"/>
                <w:szCs w:val="20"/>
                <w:color w:val="auto"/>
              </w:rPr>
            </w:pPr>
            <w:r>
              <w:rPr>
                <w:rFonts w:ascii="Arial" w:cs="Arial" w:eastAsia="Arial" w:hAnsi="Arial"/>
                <w:sz w:val="14"/>
                <w:szCs w:val="14"/>
                <w:color w:val="auto"/>
              </w:rPr>
              <w:t>Federal Energy Regulatory Commission</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FPA</w:t>
            </w:r>
          </w:p>
        </w:tc>
        <w:tc>
          <w:tcPr>
            <w:tcW w:w="9280" w:type="dxa"/>
            <w:vAlign w:val="bottom"/>
          </w:tcPr>
          <w:p>
            <w:pPr>
              <w:ind w:left="900"/>
              <w:spacing w:after="0"/>
              <w:rPr>
                <w:sz w:val="20"/>
                <w:szCs w:val="20"/>
                <w:color w:val="auto"/>
              </w:rPr>
            </w:pPr>
            <w:r>
              <w:rPr>
                <w:rFonts w:ascii="Arial" w:cs="Arial" w:eastAsia="Arial" w:hAnsi="Arial"/>
                <w:sz w:val="14"/>
                <w:szCs w:val="14"/>
                <w:color w:val="auto"/>
              </w:rPr>
              <w:t>Federal Power Act</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FWS</w:t>
            </w:r>
          </w:p>
        </w:tc>
        <w:tc>
          <w:tcPr>
            <w:tcW w:w="9280" w:type="dxa"/>
            <w:vAlign w:val="bottom"/>
          </w:tcPr>
          <w:p>
            <w:pPr>
              <w:ind w:left="900"/>
              <w:spacing w:after="0"/>
              <w:rPr>
                <w:sz w:val="20"/>
                <w:szCs w:val="20"/>
                <w:color w:val="auto"/>
              </w:rPr>
            </w:pPr>
            <w:r>
              <w:rPr>
                <w:rFonts w:ascii="Arial" w:cs="Arial" w:eastAsia="Arial" w:hAnsi="Arial"/>
                <w:sz w:val="14"/>
                <w:szCs w:val="14"/>
                <w:color w:val="auto"/>
              </w:rPr>
              <w:t>U.S. Fish &amp; Wildlife Service</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GAAP</w:t>
            </w:r>
          </w:p>
        </w:tc>
        <w:tc>
          <w:tcPr>
            <w:tcW w:w="9280" w:type="dxa"/>
            <w:vAlign w:val="bottom"/>
          </w:tcPr>
          <w:p>
            <w:pPr>
              <w:ind w:left="900"/>
              <w:spacing w:after="0"/>
              <w:rPr>
                <w:sz w:val="20"/>
                <w:szCs w:val="20"/>
                <w:color w:val="auto"/>
              </w:rPr>
            </w:pPr>
            <w:r>
              <w:rPr>
                <w:rFonts w:ascii="Arial" w:cs="Arial" w:eastAsia="Arial" w:hAnsi="Arial"/>
                <w:sz w:val="14"/>
                <w:szCs w:val="14"/>
                <w:color w:val="auto"/>
              </w:rPr>
              <w:t>Accounting principles generally accepted in the U.S.</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GenConn</w:t>
            </w:r>
          </w:p>
        </w:tc>
        <w:tc>
          <w:tcPr>
            <w:tcW w:w="9280" w:type="dxa"/>
            <w:vAlign w:val="bottom"/>
          </w:tcPr>
          <w:p>
            <w:pPr>
              <w:ind w:left="900"/>
              <w:spacing w:after="0"/>
              <w:rPr>
                <w:sz w:val="20"/>
                <w:szCs w:val="20"/>
                <w:color w:val="auto"/>
              </w:rPr>
            </w:pPr>
            <w:r>
              <w:rPr>
                <w:rFonts w:ascii="Arial" w:cs="Arial" w:eastAsia="Arial" w:hAnsi="Arial"/>
                <w:sz w:val="14"/>
                <w:szCs w:val="14"/>
                <w:color w:val="auto"/>
              </w:rPr>
              <w:t>GenConn Energy LLC</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GHG</w:t>
            </w:r>
          </w:p>
        </w:tc>
        <w:tc>
          <w:tcPr>
            <w:tcW w:w="9280" w:type="dxa"/>
            <w:vAlign w:val="bottom"/>
          </w:tcPr>
          <w:p>
            <w:pPr>
              <w:ind w:left="900"/>
              <w:spacing w:after="0"/>
              <w:rPr>
                <w:sz w:val="20"/>
                <w:szCs w:val="20"/>
                <w:color w:val="auto"/>
              </w:rPr>
            </w:pPr>
            <w:r>
              <w:rPr>
                <w:rFonts w:ascii="Arial" w:cs="Arial" w:eastAsia="Arial" w:hAnsi="Arial"/>
                <w:sz w:val="14"/>
                <w:szCs w:val="14"/>
                <w:color w:val="auto"/>
              </w:rPr>
              <w:t>Greenhouse gas</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GIM</w:t>
            </w:r>
          </w:p>
        </w:tc>
        <w:tc>
          <w:tcPr>
            <w:tcW w:w="9280" w:type="dxa"/>
            <w:vAlign w:val="bottom"/>
          </w:tcPr>
          <w:p>
            <w:pPr>
              <w:ind w:left="900"/>
              <w:spacing w:after="0"/>
              <w:rPr>
                <w:sz w:val="20"/>
                <w:szCs w:val="20"/>
                <w:color w:val="auto"/>
              </w:rPr>
            </w:pPr>
            <w:r>
              <w:rPr>
                <w:rFonts w:ascii="Arial" w:cs="Arial" w:eastAsia="Arial" w:hAnsi="Arial"/>
                <w:sz w:val="14"/>
                <w:szCs w:val="14"/>
                <w:color w:val="auto"/>
              </w:rPr>
              <w:t>Global Infrastructure Management, LLC</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GIP</w:t>
            </w:r>
          </w:p>
        </w:tc>
        <w:tc>
          <w:tcPr>
            <w:tcW w:w="9280" w:type="dxa"/>
            <w:vAlign w:val="bottom"/>
          </w:tcPr>
          <w:p>
            <w:pPr>
              <w:ind w:left="900"/>
              <w:spacing w:after="0"/>
              <w:rPr>
                <w:sz w:val="20"/>
                <w:szCs w:val="20"/>
                <w:color w:val="auto"/>
              </w:rPr>
            </w:pPr>
            <w:r>
              <w:rPr>
                <w:rFonts w:ascii="Arial" w:cs="Arial" w:eastAsia="Arial" w:hAnsi="Arial"/>
                <w:sz w:val="14"/>
                <w:szCs w:val="14"/>
                <w:color w:val="auto"/>
              </w:rPr>
              <w:t>Global Infrastructure Partners</w:t>
            </w:r>
          </w:p>
        </w:tc>
      </w:tr>
      <w:tr>
        <w:trPr>
          <w:trHeight w:val="138"/>
        </w:trPr>
        <w:tc>
          <w:tcPr>
            <w:tcW w:w="2000" w:type="dxa"/>
            <w:vAlign w:val="bottom"/>
          </w:tcPr>
          <w:p>
            <w:pPr>
              <w:ind w:left="20"/>
              <w:spacing w:after="0" w:line="139" w:lineRule="exact"/>
              <w:rPr>
                <w:sz w:val="20"/>
                <w:szCs w:val="20"/>
                <w:color w:val="auto"/>
              </w:rPr>
            </w:pPr>
            <w:r>
              <w:rPr>
                <w:rFonts w:ascii="Arial" w:cs="Arial" w:eastAsia="Arial" w:hAnsi="Arial"/>
                <w:sz w:val="14"/>
                <w:szCs w:val="14"/>
                <w:color w:val="auto"/>
              </w:rPr>
              <w:t>GIP Transaction</w:t>
            </w:r>
          </w:p>
        </w:tc>
        <w:tc>
          <w:tcPr>
            <w:tcW w:w="9280" w:type="dxa"/>
            <w:vAlign w:val="bottom"/>
          </w:tcPr>
          <w:p>
            <w:pPr>
              <w:ind w:left="900"/>
              <w:spacing w:after="0" w:line="139" w:lineRule="exact"/>
              <w:rPr>
                <w:sz w:val="20"/>
                <w:szCs w:val="20"/>
                <w:color w:val="auto"/>
              </w:rPr>
            </w:pPr>
            <w:r>
              <w:rPr>
                <w:rFonts w:ascii="Arial" w:cs="Arial" w:eastAsia="Arial" w:hAnsi="Arial"/>
                <w:sz w:val="14"/>
                <w:szCs w:val="14"/>
                <w:color w:val="auto"/>
                <w:w w:val="93"/>
              </w:rPr>
              <w:t>On August 31, 2018, NRG transferred its full ownership interest in the Company to Clearway Energy Group LLC and subsequently sold 100% of</w:t>
            </w:r>
          </w:p>
        </w:tc>
      </w:tr>
      <w:tr>
        <w:trPr>
          <w:trHeight w:val="148"/>
        </w:trPr>
        <w:tc>
          <w:tcPr>
            <w:tcW w:w="2000" w:type="dxa"/>
            <w:vAlign w:val="bottom"/>
          </w:tcPr>
          <w:p>
            <w:pPr>
              <w:spacing w:after="0"/>
              <w:rPr>
                <w:sz w:val="12"/>
                <w:szCs w:val="12"/>
                <w:color w:val="auto"/>
              </w:rPr>
            </w:pPr>
          </w:p>
        </w:tc>
        <w:tc>
          <w:tcPr>
            <w:tcW w:w="9280" w:type="dxa"/>
            <w:vAlign w:val="bottom"/>
          </w:tcPr>
          <w:p>
            <w:pPr>
              <w:ind w:left="900"/>
              <w:spacing w:after="0" w:line="149" w:lineRule="exact"/>
              <w:rPr>
                <w:sz w:val="20"/>
                <w:szCs w:val="20"/>
                <w:color w:val="auto"/>
              </w:rPr>
            </w:pPr>
            <w:r>
              <w:rPr>
                <w:rFonts w:ascii="Arial" w:cs="Arial" w:eastAsia="Arial" w:hAnsi="Arial"/>
                <w:sz w:val="14"/>
                <w:szCs w:val="14"/>
                <w:color w:val="auto"/>
                <w:w w:val="93"/>
              </w:rPr>
              <w:t>its interests in Clearway Energy Group LLC, which includes NRG's renewable energy development and operations platform, to an affiliate of GIP.</w:t>
            </w:r>
          </w:p>
        </w:tc>
      </w:tr>
      <w:tr>
        <w:trPr>
          <w:trHeight w:val="138"/>
        </w:trPr>
        <w:tc>
          <w:tcPr>
            <w:tcW w:w="2000" w:type="dxa"/>
            <w:vAlign w:val="bottom"/>
          </w:tcPr>
          <w:p>
            <w:pPr>
              <w:spacing w:after="0"/>
              <w:rPr>
                <w:sz w:val="12"/>
                <w:szCs w:val="12"/>
                <w:color w:val="auto"/>
              </w:rPr>
            </w:pPr>
          </w:p>
        </w:tc>
        <w:tc>
          <w:tcPr>
            <w:tcW w:w="9280" w:type="dxa"/>
            <w:vAlign w:val="bottom"/>
          </w:tcPr>
          <w:p>
            <w:pPr>
              <w:ind w:left="900"/>
              <w:spacing w:after="0" w:line="138" w:lineRule="exact"/>
              <w:rPr>
                <w:sz w:val="20"/>
                <w:szCs w:val="20"/>
                <w:color w:val="auto"/>
              </w:rPr>
            </w:pPr>
            <w:r>
              <w:rPr>
                <w:rFonts w:ascii="Arial" w:cs="Arial" w:eastAsia="Arial" w:hAnsi="Arial"/>
                <w:sz w:val="14"/>
                <w:szCs w:val="14"/>
                <w:color w:val="auto"/>
                <w:w w:val="91"/>
              </w:rPr>
              <w:t>GIP, NRG and the Company also entered into a consent and indemnity agreement in connection with the purchase and sale agreement, which was</w:t>
            </w:r>
          </w:p>
        </w:tc>
      </w:tr>
      <w:tr>
        <w:trPr>
          <w:trHeight w:val="180"/>
        </w:trPr>
        <w:tc>
          <w:tcPr>
            <w:tcW w:w="2000" w:type="dxa"/>
            <w:vAlign w:val="bottom"/>
          </w:tcPr>
          <w:p>
            <w:pPr>
              <w:spacing w:after="0"/>
              <w:rPr>
                <w:sz w:val="15"/>
                <w:szCs w:val="15"/>
                <w:color w:val="auto"/>
              </w:rPr>
            </w:pPr>
          </w:p>
        </w:tc>
        <w:tc>
          <w:tcPr>
            <w:tcW w:w="9280" w:type="dxa"/>
            <w:vAlign w:val="bottom"/>
          </w:tcPr>
          <w:p>
            <w:pPr>
              <w:ind w:left="900"/>
              <w:spacing w:after="0"/>
              <w:rPr>
                <w:sz w:val="20"/>
                <w:szCs w:val="20"/>
                <w:color w:val="auto"/>
              </w:rPr>
            </w:pPr>
            <w:r>
              <w:rPr>
                <w:rFonts w:ascii="Arial" w:cs="Arial" w:eastAsia="Arial" w:hAnsi="Arial"/>
                <w:sz w:val="14"/>
                <w:szCs w:val="14"/>
                <w:color w:val="auto"/>
              </w:rPr>
              <w:t>signed on February 6, 2018</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HLBV</w:t>
            </w:r>
          </w:p>
        </w:tc>
        <w:tc>
          <w:tcPr>
            <w:tcW w:w="9280" w:type="dxa"/>
            <w:vAlign w:val="bottom"/>
          </w:tcPr>
          <w:p>
            <w:pPr>
              <w:ind w:left="900"/>
              <w:spacing w:after="0"/>
              <w:rPr>
                <w:sz w:val="20"/>
                <w:szCs w:val="20"/>
                <w:color w:val="auto"/>
              </w:rPr>
            </w:pPr>
            <w:r>
              <w:rPr>
                <w:rFonts w:ascii="Arial" w:cs="Arial" w:eastAsia="Arial" w:hAnsi="Arial"/>
                <w:sz w:val="14"/>
                <w:szCs w:val="14"/>
                <w:color w:val="auto"/>
              </w:rPr>
              <w:t>Hypothetical Liquidation at Book Value</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IRA</w:t>
            </w:r>
          </w:p>
        </w:tc>
        <w:tc>
          <w:tcPr>
            <w:tcW w:w="9280" w:type="dxa"/>
            <w:vAlign w:val="bottom"/>
          </w:tcPr>
          <w:p>
            <w:pPr>
              <w:ind w:left="900"/>
              <w:spacing w:after="0"/>
              <w:rPr>
                <w:sz w:val="20"/>
                <w:szCs w:val="20"/>
                <w:color w:val="auto"/>
              </w:rPr>
            </w:pPr>
            <w:r>
              <w:rPr>
                <w:rFonts w:ascii="Arial" w:cs="Arial" w:eastAsia="Arial" w:hAnsi="Arial"/>
                <w:sz w:val="14"/>
                <w:szCs w:val="14"/>
                <w:color w:val="auto"/>
              </w:rPr>
              <w:t>Inflation Reduction Act of 2022</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IRS</w:t>
            </w:r>
          </w:p>
        </w:tc>
        <w:tc>
          <w:tcPr>
            <w:tcW w:w="9280" w:type="dxa"/>
            <w:vAlign w:val="bottom"/>
          </w:tcPr>
          <w:p>
            <w:pPr>
              <w:ind w:left="900"/>
              <w:spacing w:after="0"/>
              <w:rPr>
                <w:sz w:val="20"/>
                <w:szCs w:val="20"/>
                <w:color w:val="auto"/>
              </w:rPr>
            </w:pPr>
            <w:r>
              <w:rPr>
                <w:rFonts w:ascii="Arial" w:cs="Arial" w:eastAsia="Arial" w:hAnsi="Arial"/>
                <w:sz w:val="14"/>
                <w:szCs w:val="14"/>
                <w:color w:val="auto"/>
              </w:rPr>
              <w:t>Internal Revenue Service</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ISO</w:t>
            </w:r>
          </w:p>
        </w:tc>
        <w:tc>
          <w:tcPr>
            <w:tcW w:w="9280" w:type="dxa"/>
            <w:vAlign w:val="bottom"/>
          </w:tcPr>
          <w:p>
            <w:pPr>
              <w:ind w:left="900"/>
              <w:spacing w:after="0"/>
              <w:rPr>
                <w:sz w:val="20"/>
                <w:szCs w:val="20"/>
                <w:color w:val="auto"/>
              </w:rPr>
            </w:pPr>
            <w:r>
              <w:rPr>
                <w:rFonts w:ascii="Arial" w:cs="Arial" w:eastAsia="Arial" w:hAnsi="Arial"/>
                <w:sz w:val="14"/>
                <w:szCs w:val="14"/>
                <w:color w:val="auto"/>
              </w:rPr>
              <w:t>Independent System Operator, also referred to as an RTO</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ITC</w:t>
            </w:r>
          </w:p>
        </w:tc>
        <w:tc>
          <w:tcPr>
            <w:tcW w:w="9280" w:type="dxa"/>
            <w:vAlign w:val="bottom"/>
          </w:tcPr>
          <w:p>
            <w:pPr>
              <w:ind w:left="900"/>
              <w:spacing w:after="0"/>
              <w:rPr>
                <w:sz w:val="20"/>
                <w:szCs w:val="20"/>
                <w:color w:val="auto"/>
              </w:rPr>
            </w:pPr>
            <w:r>
              <w:rPr>
                <w:rFonts w:ascii="Arial" w:cs="Arial" w:eastAsia="Arial" w:hAnsi="Arial"/>
                <w:sz w:val="14"/>
                <w:szCs w:val="14"/>
                <w:color w:val="auto"/>
              </w:rPr>
              <w:t>Investment Tax Credit</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KKR</w:t>
            </w:r>
          </w:p>
        </w:tc>
        <w:tc>
          <w:tcPr>
            <w:tcW w:w="9280" w:type="dxa"/>
            <w:vAlign w:val="bottom"/>
          </w:tcPr>
          <w:p>
            <w:pPr>
              <w:ind w:left="900"/>
              <w:spacing w:after="0"/>
              <w:rPr>
                <w:sz w:val="20"/>
                <w:szCs w:val="20"/>
                <w:color w:val="auto"/>
              </w:rPr>
            </w:pPr>
            <w:r>
              <w:rPr>
                <w:rFonts w:ascii="Arial" w:cs="Arial" w:eastAsia="Arial" w:hAnsi="Arial"/>
                <w:sz w:val="14"/>
                <w:szCs w:val="14"/>
                <w:color w:val="auto"/>
              </w:rPr>
              <w:t>KKR Thor Bidco, LLC, an affiliate of Kohlberg Kravis Roberts &amp; Co. L.P.</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kWh</w:t>
            </w:r>
          </w:p>
        </w:tc>
        <w:tc>
          <w:tcPr>
            <w:tcW w:w="9280" w:type="dxa"/>
            <w:vAlign w:val="bottom"/>
          </w:tcPr>
          <w:p>
            <w:pPr>
              <w:ind w:left="900"/>
              <w:spacing w:after="0"/>
              <w:rPr>
                <w:sz w:val="20"/>
                <w:szCs w:val="20"/>
                <w:color w:val="auto"/>
              </w:rPr>
            </w:pPr>
            <w:r>
              <w:rPr>
                <w:rFonts w:ascii="Arial" w:cs="Arial" w:eastAsia="Arial" w:hAnsi="Arial"/>
                <w:sz w:val="14"/>
                <w:szCs w:val="14"/>
                <w:color w:val="auto"/>
              </w:rPr>
              <w:t>Kilowatt Hour</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LIBOR</w:t>
            </w:r>
          </w:p>
        </w:tc>
        <w:tc>
          <w:tcPr>
            <w:tcW w:w="9280" w:type="dxa"/>
            <w:vAlign w:val="bottom"/>
          </w:tcPr>
          <w:p>
            <w:pPr>
              <w:ind w:left="900"/>
              <w:spacing w:after="0"/>
              <w:rPr>
                <w:sz w:val="20"/>
                <w:szCs w:val="20"/>
                <w:color w:val="auto"/>
              </w:rPr>
            </w:pPr>
            <w:r>
              <w:rPr>
                <w:rFonts w:ascii="Arial" w:cs="Arial" w:eastAsia="Arial" w:hAnsi="Arial"/>
                <w:sz w:val="14"/>
                <w:szCs w:val="14"/>
                <w:color w:val="auto"/>
              </w:rPr>
              <w:t>London Inter-Bank Offered Rate</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MBTA</w:t>
            </w:r>
          </w:p>
        </w:tc>
        <w:tc>
          <w:tcPr>
            <w:tcW w:w="9280" w:type="dxa"/>
            <w:vAlign w:val="bottom"/>
          </w:tcPr>
          <w:p>
            <w:pPr>
              <w:ind w:left="900"/>
              <w:spacing w:after="0"/>
              <w:rPr>
                <w:sz w:val="20"/>
                <w:szCs w:val="20"/>
                <w:color w:val="auto"/>
              </w:rPr>
            </w:pPr>
            <w:r>
              <w:rPr>
                <w:rFonts w:ascii="Arial" w:cs="Arial" w:eastAsia="Arial" w:hAnsi="Arial"/>
                <w:sz w:val="14"/>
                <w:szCs w:val="14"/>
                <w:color w:val="auto"/>
              </w:rPr>
              <w:t>Migratory Bird Treaty Act</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Mesquite Star</w:t>
            </w:r>
          </w:p>
        </w:tc>
        <w:tc>
          <w:tcPr>
            <w:tcW w:w="9280" w:type="dxa"/>
            <w:vAlign w:val="bottom"/>
          </w:tcPr>
          <w:p>
            <w:pPr>
              <w:ind w:left="900"/>
              <w:spacing w:after="0"/>
              <w:rPr>
                <w:sz w:val="20"/>
                <w:szCs w:val="20"/>
                <w:color w:val="auto"/>
              </w:rPr>
            </w:pPr>
            <w:r>
              <w:rPr>
                <w:rFonts w:ascii="Arial" w:cs="Arial" w:eastAsia="Arial" w:hAnsi="Arial"/>
                <w:sz w:val="14"/>
                <w:szCs w:val="14"/>
                <w:color w:val="auto"/>
              </w:rPr>
              <w:t>Mesquite Star Special, LLC</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MMBtu</w:t>
            </w:r>
          </w:p>
        </w:tc>
        <w:tc>
          <w:tcPr>
            <w:tcW w:w="9280" w:type="dxa"/>
            <w:vAlign w:val="bottom"/>
          </w:tcPr>
          <w:p>
            <w:pPr>
              <w:ind w:left="900"/>
              <w:spacing w:after="0"/>
              <w:rPr>
                <w:sz w:val="20"/>
                <w:szCs w:val="20"/>
                <w:color w:val="auto"/>
              </w:rPr>
            </w:pPr>
            <w:r>
              <w:rPr>
                <w:rFonts w:ascii="Arial" w:cs="Arial" w:eastAsia="Arial" w:hAnsi="Arial"/>
                <w:sz w:val="14"/>
                <w:szCs w:val="14"/>
                <w:color w:val="auto"/>
              </w:rPr>
              <w:t>Million British Thermal Units</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Mt. Storm</w:t>
            </w:r>
          </w:p>
        </w:tc>
        <w:tc>
          <w:tcPr>
            <w:tcW w:w="9280" w:type="dxa"/>
            <w:vAlign w:val="bottom"/>
          </w:tcPr>
          <w:p>
            <w:pPr>
              <w:ind w:left="900"/>
              <w:spacing w:after="0"/>
              <w:rPr>
                <w:sz w:val="20"/>
                <w:szCs w:val="20"/>
                <w:color w:val="auto"/>
              </w:rPr>
            </w:pPr>
            <w:r>
              <w:rPr>
                <w:rFonts w:ascii="Arial" w:cs="Arial" w:eastAsia="Arial" w:hAnsi="Arial"/>
                <w:sz w:val="14"/>
                <w:szCs w:val="14"/>
                <w:color w:val="auto"/>
              </w:rPr>
              <w:t>NedPower Mount Storm LLC</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MW</w:t>
            </w:r>
          </w:p>
        </w:tc>
        <w:tc>
          <w:tcPr>
            <w:tcW w:w="9280" w:type="dxa"/>
            <w:vAlign w:val="bottom"/>
          </w:tcPr>
          <w:p>
            <w:pPr>
              <w:ind w:left="900"/>
              <w:spacing w:after="0"/>
              <w:rPr>
                <w:sz w:val="20"/>
                <w:szCs w:val="20"/>
                <w:color w:val="auto"/>
              </w:rPr>
            </w:pPr>
            <w:r>
              <w:rPr>
                <w:rFonts w:ascii="Arial" w:cs="Arial" w:eastAsia="Arial" w:hAnsi="Arial"/>
                <w:sz w:val="14"/>
                <w:szCs w:val="14"/>
                <w:color w:val="auto"/>
              </w:rPr>
              <w:t>Megawatt</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MWh</w:t>
            </w:r>
          </w:p>
        </w:tc>
        <w:tc>
          <w:tcPr>
            <w:tcW w:w="9280" w:type="dxa"/>
            <w:vAlign w:val="bottom"/>
          </w:tcPr>
          <w:p>
            <w:pPr>
              <w:ind w:left="900"/>
              <w:spacing w:after="0"/>
              <w:rPr>
                <w:sz w:val="20"/>
                <w:szCs w:val="20"/>
                <w:color w:val="auto"/>
              </w:rPr>
            </w:pPr>
            <w:r>
              <w:rPr>
                <w:rFonts w:ascii="Arial" w:cs="Arial" w:eastAsia="Arial" w:hAnsi="Arial"/>
                <w:sz w:val="14"/>
                <w:szCs w:val="14"/>
                <w:color w:val="auto"/>
              </w:rPr>
              <w:t>Saleable megawatt hours, net of internal/parasitic load megawatt-hours</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MWt</w:t>
            </w:r>
          </w:p>
        </w:tc>
        <w:tc>
          <w:tcPr>
            <w:tcW w:w="9280" w:type="dxa"/>
            <w:vAlign w:val="bottom"/>
          </w:tcPr>
          <w:p>
            <w:pPr>
              <w:ind w:left="900"/>
              <w:spacing w:after="0"/>
              <w:rPr>
                <w:sz w:val="20"/>
                <w:szCs w:val="20"/>
                <w:color w:val="auto"/>
              </w:rPr>
            </w:pPr>
            <w:r>
              <w:rPr>
                <w:rFonts w:ascii="Arial" w:cs="Arial" w:eastAsia="Arial" w:hAnsi="Arial"/>
                <w:sz w:val="14"/>
                <w:szCs w:val="14"/>
                <w:color w:val="auto"/>
              </w:rPr>
              <w:t>Megawatts Thermal Equivalent</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NEPA</w:t>
            </w:r>
          </w:p>
        </w:tc>
        <w:tc>
          <w:tcPr>
            <w:tcW w:w="9280" w:type="dxa"/>
            <w:vAlign w:val="bottom"/>
          </w:tcPr>
          <w:p>
            <w:pPr>
              <w:ind w:left="900"/>
              <w:spacing w:after="0"/>
              <w:rPr>
                <w:sz w:val="20"/>
                <w:szCs w:val="20"/>
                <w:color w:val="auto"/>
              </w:rPr>
            </w:pPr>
            <w:r>
              <w:rPr>
                <w:rFonts w:ascii="Arial" w:cs="Arial" w:eastAsia="Arial" w:hAnsi="Arial"/>
                <w:sz w:val="14"/>
                <w:szCs w:val="14"/>
                <w:color w:val="auto"/>
              </w:rPr>
              <w:t>National Environmental Policy Act</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NERC</w:t>
            </w:r>
          </w:p>
        </w:tc>
        <w:tc>
          <w:tcPr>
            <w:tcW w:w="9280" w:type="dxa"/>
            <w:vAlign w:val="bottom"/>
          </w:tcPr>
          <w:p>
            <w:pPr>
              <w:ind w:left="900"/>
              <w:spacing w:after="0"/>
              <w:rPr>
                <w:sz w:val="20"/>
                <w:szCs w:val="20"/>
                <w:color w:val="auto"/>
              </w:rPr>
            </w:pPr>
            <w:r>
              <w:rPr>
                <w:rFonts w:ascii="Arial" w:cs="Arial" w:eastAsia="Arial" w:hAnsi="Arial"/>
                <w:sz w:val="14"/>
                <w:szCs w:val="14"/>
                <w:color w:val="auto"/>
              </w:rPr>
              <w:t>North American Electric Reliability Corporation</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Net Exposure</w:t>
            </w:r>
          </w:p>
        </w:tc>
        <w:tc>
          <w:tcPr>
            <w:tcW w:w="9280" w:type="dxa"/>
            <w:vAlign w:val="bottom"/>
          </w:tcPr>
          <w:p>
            <w:pPr>
              <w:ind w:left="900"/>
              <w:spacing w:after="0"/>
              <w:rPr>
                <w:sz w:val="20"/>
                <w:szCs w:val="20"/>
                <w:color w:val="auto"/>
              </w:rPr>
            </w:pPr>
            <w:r>
              <w:rPr>
                <w:rFonts w:ascii="Arial" w:cs="Arial" w:eastAsia="Arial" w:hAnsi="Arial"/>
                <w:sz w:val="14"/>
                <w:szCs w:val="14"/>
                <w:color w:val="auto"/>
              </w:rPr>
              <w:t>Counterparty credit exposure to Clearway Energy LLC, net of collateral</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NOLs</w:t>
            </w:r>
          </w:p>
        </w:tc>
        <w:tc>
          <w:tcPr>
            <w:tcW w:w="9280" w:type="dxa"/>
            <w:vAlign w:val="bottom"/>
          </w:tcPr>
          <w:p>
            <w:pPr>
              <w:ind w:left="900"/>
              <w:spacing w:after="0"/>
              <w:rPr>
                <w:sz w:val="20"/>
                <w:szCs w:val="20"/>
                <w:color w:val="auto"/>
              </w:rPr>
            </w:pPr>
            <w:r>
              <w:rPr>
                <w:rFonts w:ascii="Arial" w:cs="Arial" w:eastAsia="Arial" w:hAnsi="Arial"/>
                <w:sz w:val="14"/>
                <w:szCs w:val="14"/>
                <w:color w:val="auto"/>
              </w:rPr>
              <w:t>Net Operating Losses</w:t>
            </w:r>
          </w:p>
        </w:tc>
      </w:tr>
      <w:tr>
        <w:trPr>
          <w:trHeight w:val="181"/>
        </w:trPr>
        <w:tc>
          <w:tcPr>
            <w:tcW w:w="2000" w:type="dxa"/>
            <w:vAlign w:val="bottom"/>
          </w:tcPr>
          <w:p>
            <w:pPr>
              <w:ind w:left="20"/>
              <w:spacing w:after="0" w:line="181" w:lineRule="exact"/>
              <w:rPr>
                <w:sz w:val="20"/>
                <w:szCs w:val="20"/>
                <w:color w:val="auto"/>
              </w:rPr>
            </w:pPr>
            <w:r>
              <w:rPr>
                <w:rFonts w:ascii="Arial" w:cs="Arial" w:eastAsia="Arial" w:hAnsi="Arial"/>
                <w:sz w:val="14"/>
                <w:szCs w:val="14"/>
                <w:color w:val="auto"/>
              </w:rPr>
              <w:t>NO</w:t>
            </w:r>
            <w:r>
              <w:rPr>
                <w:rFonts w:ascii="Arial" w:cs="Arial" w:eastAsia="Arial" w:hAnsi="Arial"/>
                <w:sz w:val="18"/>
                <w:szCs w:val="18"/>
                <w:color w:val="auto"/>
                <w:vertAlign w:val="subscript"/>
              </w:rPr>
              <w:t>x</w:t>
            </w:r>
          </w:p>
        </w:tc>
        <w:tc>
          <w:tcPr>
            <w:tcW w:w="9280" w:type="dxa"/>
            <w:vAlign w:val="bottom"/>
          </w:tcPr>
          <w:p>
            <w:pPr>
              <w:ind w:left="900"/>
              <w:spacing w:after="0"/>
              <w:rPr>
                <w:sz w:val="20"/>
                <w:szCs w:val="20"/>
                <w:color w:val="auto"/>
              </w:rPr>
            </w:pPr>
            <w:r>
              <w:rPr>
                <w:rFonts w:ascii="Arial" w:cs="Arial" w:eastAsia="Arial" w:hAnsi="Arial"/>
                <w:sz w:val="14"/>
                <w:szCs w:val="14"/>
                <w:color w:val="auto"/>
              </w:rPr>
              <w:t>Nitrogen Oxides</w:t>
            </w:r>
          </w:p>
        </w:tc>
      </w:tr>
      <w:tr>
        <w:trPr>
          <w:trHeight w:val="180"/>
        </w:trPr>
        <w:tc>
          <w:tcPr>
            <w:tcW w:w="2000" w:type="dxa"/>
            <w:vAlign w:val="bottom"/>
          </w:tcPr>
          <w:p>
            <w:pPr>
              <w:ind w:left="20"/>
              <w:spacing w:after="0"/>
              <w:rPr>
                <w:sz w:val="20"/>
                <w:szCs w:val="20"/>
                <w:color w:val="auto"/>
              </w:rPr>
            </w:pPr>
            <w:r>
              <w:rPr>
                <w:rFonts w:ascii="Arial" w:cs="Arial" w:eastAsia="Arial" w:hAnsi="Arial"/>
                <w:sz w:val="14"/>
                <w:szCs w:val="14"/>
                <w:color w:val="auto"/>
              </w:rPr>
              <w:t>NPNS</w:t>
            </w:r>
          </w:p>
        </w:tc>
        <w:tc>
          <w:tcPr>
            <w:tcW w:w="9280" w:type="dxa"/>
            <w:vAlign w:val="bottom"/>
          </w:tcPr>
          <w:p>
            <w:pPr>
              <w:ind w:left="900"/>
              <w:spacing w:after="0"/>
              <w:rPr>
                <w:sz w:val="20"/>
                <w:szCs w:val="20"/>
                <w:color w:val="auto"/>
              </w:rPr>
            </w:pPr>
            <w:r>
              <w:rPr>
                <w:rFonts w:ascii="Arial" w:cs="Arial" w:eastAsia="Arial" w:hAnsi="Arial"/>
                <w:sz w:val="14"/>
                <w:szCs w:val="14"/>
                <w:color w:val="auto"/>
              </w:rPr>
              <w:t>Normal Purchases and Normal Sales</w:t>
            </w:r>
          </w:p>
        </w:tc>
      </w:tr>
      <w:tr>
        <w:trPr>
          <w:trHeight w:val="679"/>
        </w:trPr>
        <w:tc>
          <w:tcPr>
            <w:tcW w:w="2000" w:type="dxa"/>
            <w:vAlign w:val="bottom"/>
          </w:tcPr>
          <w:p>
            <w:pPr>
              <w:spacing w:after="0"/>
              <w:rPr>
                <w:sz w:val="24"/>
                <w:szCs w:val="24"/>
                <w:color w:val="auto"/>
              </w:rPr>
            </w:pPr>
          </w:p>
        </w:tc>
        <w:tc>
          <w:tcPr>
            <w:tcW w:w="9280" w:type="dxa"/>
            <w:vAlign w:val="bottom"/>
          </w:tcPr>
          <w:p>
            <w:pPr>
              <w:ind w:left="3600"/>
              <w:spacing w:after="0"/>
              <w:rPr>
                <w:sz w:val="20"/>
                <w:szCs w:val="20"/>
                <w:color w:val="auto"/>
              </w:rPr>
            </w:pPr>
            <w:r>
              <w:rPr>
                <w:rFonts w:ascii="Arial" w:cs="Arial" w:eastAsia="Arial" w:hAnsi="Arial"/>
                <w:sz w:val="14"/>
                <w:szCs w:val="14"/>
                <w:color w:val="auto"/>
              </w:rPr>
              <w:t>4</w:t>
            </w:r>
          </w:p>
        </w:tc>
      </w:tr>
      <w:tr>
        <w:trPr>
          <w:trHeight w:val="87"/>
        </w:trPr>
        <w:tc>
          <w:tcPr>
            <w:tcW w:w="2000" w:type="dxa"/>
            <w:vAlign w:val="bottom"/>
            <w:tcBorders>
              <w:bottom w:val="single" w:sz="8" w:color="9A9A9A"/>
            </w:tcBorders>
          </w:tcPr>
          <w:p>
            <w:pPr>
              <w:spacing w:after="0"/>
              <w:rPr>
                <w:sz w:val="7"/>
                <w:szCs w:val="7"/>
                <w:color w:val="auto"/>
              </w:rPr>
            </w:pPr>
          </w:p>
        </w:tc>
        <w:tc>
          <w:tcPr>
            <w:tcW w:w="9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NPPD</w:t>
            </w:r>
          </w:p>
        </w:tc>
        <w:tc>
          <w:tcPr>
            <w:tcW w:w="9240" w:type="dxa"/>
            <w:vAlign w:val="bottom"/>
          </w:tcPr>
          <w:p>
            <w:pPr>
              <w:ind w:left="860"/>
              <w:spacing w:after="0"/>
              <w:rPr>
                <w:sz w:val="20"/>
                <w:szCs w:val="20"/>
                <w:color w:val="auto"/>
              </w:rPr>
            </w:pPr>
            <w:r>
              <w:rPr>
                <w:rFonts w:ascii="Arial" w:cs="Arial" w:eastAsia="Arial" w:hAnsi="Arial"/>
                <w:sz w:val="14"/>
                <w:szCs w:val="14"/>
                <w:color w:val="auto"/>
              </w:rPr>
              <w:t>Nebraska Public Power District</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NRG</w:t>
            </w:r>
          </w:p>
        </w:tc>
        <w:tc>
          <w:tcPr>
            <w:tcW w:w="9240" w:type="dxa"/>
            <w:vAlign w:val="bottom"/>
          </w:tcPr>
          <w:p>
            <w:pPr>
              <w:ind w:left="860"/>
              <w:spacing w:after="0"/>
              <w:rPr>
                <w:sz w:val="20"/>
                <w:szCs w:val="20"/>
                <w:color w:val="auto"/>
              </w:rPr>
            </w:pPr>
            <w:r>
              <w:rPr>
                <w:rFonts w:ascii="Arial" w:cs="Arial" w:eastAsia="Arial" w:hAnsi="Arial"/>
                <w:sz w:val="14"/>
                <w:szCs w:val="14"/>
                <w:color w:val="auto"/>
              </w:rPr>
              <w:t>NRG Energy, Inc.</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OCI/OCL</w:t>
            </w:r>
          </w:p>
        </w:tc>
        <w:tc>
          <w:tcPr>
            <w:tcW w:w="9240" w:type="dxa"/>
            <w:vAlign w:val="bottom"/>
          </w:tcPr>
          <w:p>
            <w:pPr>
              <w:ind w:left="860"/>
              <w:spacing w:after="0"/>
              <w:rPr>
                <w:sz w:val="20"/>
                <w:szCs w:val="20"/>
                <w:color w:val="auto"/>
              </w:rPr>
            </w:pPr>
            <w:r>
              <w:rPr>
                <w:rFonts w:ascii="Arial" w:cs="Arial" w:eastAsia="Arial" w:hAnsi="Arial"/>
                <w:sz w:val="14"/>
                <w:szCs w:val="14"/>
                <w:color w:val="auto"/>
              </w:rPr>
              <w:t>Other comprehensive income/loss</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O&amp;M</w:t>
            </w:r>
          </w:p>
        </w:tc>
        <w:tc>
          <w:tcPr>
            <w:tcW w:w="9240" w:type="dxa"/>
            <w:vAlign w:val="bottom"/>
          </w:tcPr>
          <w:p>
            <w:pPr>
              <w:ind w:left="860"/>
              <w:spacing w:after="0"/>
              <w:rPr>
                <w:sz w:val="20"/>
                <w:szCs w:val="20"/>
                <w:color w:val="auto"/>
              </w:rPr>
            </w:pPr>
            <w:r>
              <w:rPr>
                <w:rFonts w:ascii="Arial" w:cs="Arial" w:eastAsia="Arial" w:hAnsi="Arial"/>
                <w:sz w:val="14"/>
                <w:szCs w:val="14"/>
                <w:color w:val="auto"/>
              </w:rPr>
              <w:t>Operations and Maintenance</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PG&amp;E</w:t>
            </w:r>
          </w:p>
        </w:tc>
        <w:tc>
          <w:tcPr>
            <w:tcW w:w="9240" w:type="dxa"/>
            <w:vAlign w:val="bottom"/>
          </w:tcPr>
          <w:p>
            <w:pPr>
              <w:ind w:left="860"/>
              <w:spacing w:after="0"/>
              <w:rPr>
                <w:sz w:val="20"/>
                <w:szCs w:val="20"/>
                <w:color w:val="auto"/>
              </w:rPr>
            </w:pPr>
            <w:r>
              <w:rPr>
                <w:rFonts w:ascii="Arial" w:cs="Arial" w:eastAsia="Arial" w:hAnsi="Arial"/>
                <w:sz w:val="14"/>
                <w:szCs w:val="14"/>
                <w:color w:val="auto"/>
              </w:rPr>
              <w:t>Pacific Gas and Electric Company</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PJM</w:t>
            </w:r>
          </w:p>
        </w:tc>
        <w:tc>
          <w:tcPr>
            <w:tcW w:w="9240" w:type="dxa"/>
            <w:vAlign w:val="bottom"/>
          </w:tcPr>
          <w:p>
            <w:pPr>
              <w:ind w:left="860"/>
              <w:spacing w:after="0"/>
              <w:rPr>
                <w:sz w:val="20"/>
                <w:szCs w:val="20"/>
                <w:color w:val="auto"/>
              </w:rPr>
            </w:pPr>
            <w:r>
              <w:rPr>
                <w:rFonts w:ascii="Arial" w:cs="Arial" w:eastAsia="Arial" w:hAnsi="Arial"/>
                <w:sz w:val="14"/>
                <w:szCs w:val="14"/>
                <w:color w:val="auto"/>
              </w:rPr>
              <w:t>PJM Interconnection, LLC</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PPA</w:t>
            </w:r>
          </w:p>
        </w:tc>
        <w:tc>
          <w:tcPr>
            <w:tcW w:w="9240" w:type="dxa"/>
            <w:vAlign w:val="bottom"/>
          </w:tcPr>
          <w:p>
            <w:pPr>
              <w:ind w:left="860"/>
              <w:spacing w:after="0"/>
              <w:rPr>
                <w:sz w:val="20"/>
                <w:szCs w:val="20"/>
                <w:color w:val="auto"/>
              </w:rPr>
            </w:pPr>
            <w:r>
              <w:rPr>
                <w:rFonts w:ascii="Arial" w:cs="Arial" w:eastAsia="Arial" w:hAnsi="Arial"/>
                <w:sz w:val="14"/>
                <w:szCs w:val="14"/>
                <w:color w:val="auto"/>
              </w:rPr>
              <w:t>Power Purchase Agreement</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PTC</w:t>
            </w:r>
          </w:p>
        </w:tc>
        <w:tc>
          <w:tcPr>
            <w:tcW w:w="9240" w:type="dxa"/>
            <w:vAlign w:val="bottom"/>
          </w:tcPr>
          <w:p>
            <w:pPr>
              <w:ind w:left="860"/>
              <w:spacing w:after="0"/>
              <w:rPr>
                <w:sz w:val="20"/>
                <w:szCs w:val="20"/>
                <w:color w:val="auto"/>
              </w:rPr>
            </w:pPr>
            <w:r>
              <w:rPr>
                <w:rFonts w:ascii="Arial" w:cs="Arial" w:eastAsia="Arial" w:hAnsi="Arial"/>
                <w:sz w:val="14"/>
                <w:szCs w:val="14"/>
                <w:color w:val="auto"/>
              </w:rPr>
              <w:t>Production Tax Credit</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PUCT</w:t>
            </w:r>
          </w:p>
        </w:tc>
        <w:tc>
          <w:tcPr>
            <w:tcW w:w="9240" w:type="dxa"/>
            <w:vAlign w:val="bottom"/>
          </w:tcPr>
          <w:p>
            <w:pPr>
              <w:ind w:left="860"/>
              <w:spacing w:after="0"/>
              <w:rPr>
                <w:sz w:val="20"/>
                <w:szCs w:val="20"/>
                <w:color w:val="auto"/>
              </w:rPr>
            </w:pPr>
            <w:r>
              <w:rPr>
                <w:rFonts w:ascii="Arial" w:cs="Arial" w:eastAsia="Arial" w:hAnsi="Arial"/>
                <w:sz w:val="14"/>
                <w:szCs w:val="14"/>
                <w:color w:val="auto"/>
              </w:rPr>
              <w:t>Public Utility Commission of Texas</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PUHCA</w:t>
            </w:r>
          </w:p>
        </w:tc>
        <w:tc>
          <w:tcPr>
            <w:tcW w:w="9240" w:type="dxa"/>
            <w:vAlign w:val="bottom"/>
          </w:tcPr>
          <w:p>
            <w:pPr>
              <w:ind w:left="860"/>
              <w:spacing w:after="0"/>
              <w:rPr>
                <w:sz w:val="20"/>
                <w:szCs w:val="20"/>
                <w:color w:val="auto"/>
              </w:rPr>
            </w:pPr>
            <w:r>
              <w:rPr>
                <w:rFonts w:ascii="Arial" w:cs="Arial" w:eastAsia="Arial" w:hAnsi="Arial"/>
                <w:sz w:val="14"/>
                <w:szCs w:val="14"/>
                <w:color w:val="auto"/>
              </w:rPr>
              <w:t>Public Utility Holding Company Act of 2005</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PURPA</w:t>
            </w:r>
          </w:p>
        </w:tc>
        <w:tc>
          <w:tcPr>
            <w:tcW w:w="9240" w:type="dxa"/>
            <w:vAlign w:val="bottom"/>
          </w:tcPr>
          <w:p>
            <w:pPr>
              <w:ind w:left="860"/>
              <w:spacing w:after="0"/>
              <w:rPr>
                <w:sz w:val="20"/>
                <w:szCs w:val="20"/>
                <w:color w:val="auto"/>
              </w:rPr>
            </w:pPr>
            <w:r>
              <w:rPr>
                <w:rFonts w:ascii="Arial" w:cs="Arial" w:eastAsia="Arial" w:hAnsi="Arial"/>
                <w:sz w:val="14"/>
                <w:szCs w:val="14"/>
                <w:color w:val="auto"/>
              </w:rPr>
              <w:t>Public Utility Regulatory Policies Act of 1978</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QF</w:t>
            </w:r>
          </w:p>
        </w:tc>
        <w:tc>
          <w:tcPr>
            <w:tcW w:w="9240" w:type="dxa"/>
            <w:vAlign w:val="bottom"/>
          </w:tcPr>
          <w:p>
            <w:pPr>
              <w:ind w:left="860"/>
              <w:spacing w:after="0"/>
              <w:rPr>
                <w:sz w:val="20"/>
                <w:szCs w:val="20"/>
                <w:color w:val="auto"/>
              </w:rPr>
            </w:pPr>
            <w:r>
              <w:rPr>
                <w:rFonts w:ascii="Arial" w:cs="Arial" w:eastAsia="Arial" w:hAnsi="Arial"/>
                <w:sz w:val="14"/>
                <w:szCs w:val="14"/>
                <w:color w:val="auto"/>
              </w:rPr>
              <w:t>Qualifying Facility under PURPA</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RENOM</w:t>
            </w:r>
          </w:p>
        </w:tc>
        <w:tc>
          <w:tcPr>
            <w:tcW w:w="9240" w:type="dxa"/>
            <w:vAlign w:val="bottom"/>
          </w:tcPr>
          <w:p>
            <w:pPr>
              <w:ind w:left="860"/>
              <w:spacing w:after="0"/>
              <w:rPr>
                <w:sz w:val="20"/>
                <w:szCs w:val="20"/>
                <w:color w:val="auto"/>
              </w:rPr>
            </w:pPr>
            <w:r>
              <w:rPr>
                <w:rFonts w:ascii="Arial" w:cs="Arial" w:eastAsia="Arial" w:hAnsi="Arial"/>
                <w:sz w:val="14"/>
                <w:szCs w:val="14"/>
                <w:color w:val="auto"/>
              </w:rPr>
              <w:t>Clearway Renewable Operation &amp; Maintenance LLC</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ROFO</w:t>
            </w:r>
          </w:p>
        </w:tc>
        <w:tc>
          <w:tcPr>
            <w:tcW w:w="9240" w:type="dxa"/>
            <w:vAlign w:val="bottom"/>
          </w:tcPr>
          <w:p>
            <w:pPr>
              <w:ind w:left="860"/>
              <w:spacing w:after="0"/>
              <w:rPr>
                <w:sz w:val="20"/>
                <w:szCs w:val="20"/>
                <w:color w:val="auto"/>
              </w:rPr>
            </w:pPr>
            <w:r>
              <w:rPr>
                <w:rFonts w:ascii="Arial" w:cs="Arial" w:eastAsia="Arial" w:hAnsi="Arial"/>
                <w:sz w:val="14"/>
                <w:szCs w:val="14"/>
                <w:color w:val="auto"/>
              </w:rPr>
              <w:t>Right of First Offer</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RPS</w:t>
            </w:r>
          </w:p>
        </w:tc>
        <w:tc>
          <w:tcPr>
            <w:tcW w:w="9240" w:type="dxa"/>
            <w:vAlign w:val="bottom"/>
          </w:tcPr>
          <w:p>
            <w:pPr>
              <w:ind w:left="860"/>
              <w:spacing w:after="0"/>
              <w:rPr>
                <w:sz w:val="20"/>
                <w:szCs w:val="20"/>
                <w:color w:val="auto"/>
              </w:rPr>
            </w:pPr>
            <w:r>
              <w:rPr>
                <w:rFonts w:ascii="Arial" w:cs="Arial" w:eastAsia="Arial" w:hAnsi="Arial"/>
                <w:sz w:val="14"/>
                <w:szCs w:val="14"/>
                <w:color w:val="auto"/>
              </w:rPr>
              <w:t>Renewable Portfolio Standards</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RPV Holdco</w:t>
            </w:r>
          </w:p>
        </w:tc>
        <w:tc>
          <w:tcPr>
            <w:tcW w:w="9240" w:type="dxa"/>
            <w:vAlign w:val="bottom"/>
          </w:tcPr>
          <w:p>
            <w:pPr>
              <w:ind w:left="860"/>
              <w:spacing w:after="0"/>
              <w:rPr>
                <w:sz w:val="20"/>
                <w:szCs w:val="20"/>
                <w:color w:val="auto"/>
              </w:rPr>
            </w:pPr>
            <w:r>
              <w:rPr>
                <w:rFonts w:ascii="Arial" w:cs="Arial" w:eastAsia="Arial" w:hAnsi="Arial"/>
                <w:sz w:val="14"/>
                <w:szCs w:val="14"/>
                <w:color w:val="auto"/>
              </w:rPr>
              <w:t>RPV Holdco 1 LLC</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RTO</w:t>
            </w:r>
          </w:p>
        </w:tc>
        <w:tc>
          <w:tcPr>
            <w:tcW w:w="9240" w:type="dxa"/>
            <w:vAlign w:val="bottom"/>
          </w:tcPr>
          <w:p>
            <w:pPr>
              <w:ind w:left="860"/>
              <w:spacing w:after="0"/>
              <w:rPr>
                <w:sz w:val="20"/>
                <w:szCs w:val="20"/>
                <w:color w:val="auto"/>
              </w:rPr>
            </w:pPr>
            <w:r>
              <w:rPr>
                <w:rFonts w:ascii="Arial" w:cs="Arial" w:eastAsia="Arial" w:hAnsi="Arial"/>
                <w:sz w:val="14"/>
                <w:szCs w:val="14"/>
                <w:color w:val="auto"/>
              </w:rPr>
              <w:t>Regional Transmission Organization</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SCE</w:t>
            </w:r>
          </w:p>
        </w:tc>
        <w:tc>
          <w:tcPr>
            <w:tcW w:w="9240" w:type="dxa"/>
            <w:vAlign w:val="bottom"/>
          </w:tcPr>
          <w:p>
            <w:pPr>
              <w:ind w:left="860"/>
              <w:spacing w:after="0"/>
              <w:rPr>
                <w:sz w:val="20"/>
                <w:szCs w:val="20"/>
                <w:color w:val="auto"/>
              </w:rPr>
            </w:pPr>
            <w:r>
              <w:rPr>
                <w:rFonts w:ascii="Arial" w:cs="Arial" w:eastAsia="Arial" w:hAnsi="Arial"/>
                <w:sz w:val="14"/>
                <w:szCs w:val="14"/>
                <w:color w:val="auto"/>
              </w:rPr>
              <w:t>Southern California Edison</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SEC</w:t>
            </w:r>
          </w:p>
        </w:tc>
        <w:tc>
          <w:tcPr>
            <w:tcW w:w="9240" w:type="dxa"/>
            <w:vAlign w:val="bottom"/>
          </w:tcPr>
          <w:p>
            <w:pPr>
              <w:ind w:left="860"/>
              <w:spacing w:after="0"/>
              <w:rPr>
                <w:sz w:val="20"/>
                <w:szCs w:val="20"/>
                <w:color w:val="auto"/>
              </w:rPr>
            </w:pPr>
            <w:r>
              <w:rPr>
                <w:rFonts w:ascii="Arial" w:cs="Arial" w:eastAsia="Arial" w:hAnsi="Arial"/>
                <w:sz w:val="14"/>
                <w:szCs w:val="14"/>
                <w:color w:val="auto"/>
              </w:rPr>
              <w:t>U.S. Securities and Exchange Commission</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Senior Notes</w:t>
            </w:r>
          </w:p>
        </w:tc>
        <w:tc>
          <w:tcPr>
            <w:tcW w:w="9240" w:type="dxa"/>
            <w:vAlign w:val="bottom"/>
          </w:tcPr>
          <w:p>
            <w:pPr>
              <w:ind w:left="860"/>
              <w:spacing w:after="0"/>
              <w:rPr>
                <w:sz w:val="20"/>
                <w:szCs w:val="20"/>
                <w:color w:val="auto"/>
              </w:rPr>
            </w:pPr>
            <w:r>
              <w:rPr>
                <w:rFonts w:ascii="Arial" w:cs="Arial" w:eastAsia="Arial" w:hAnsi="Arial"/>
                <w:sz w:val="14"/>
                <w:szCs w:val="14"/>
                <w:color w:val="auto"/>
              </w:rPr>
              <w:t>Collectively, the 2028 Senior Notes, the 2031 Senior Notes and the 2032 Senior Notes</w:t>
            </w:r>
          </w:p>
        </w:tc>
      </w:tr>
      <w:tr>
        <w:trPr>
          <w:trHeight w:val="181"/>
        </w:trPr>
        <w:tc>
          <w:tcPr>
            <w:tcW w:w="2040" w:type="dxa"/>
            <w:vAlign w:val="bottom"/>
          </w:tcPr>
          <w:p>
            <w:pPr>
              <w:ind w:left="20"/>
              <w:spacing w:after="0" w:line="181" w:lineRule="exact"/>
              <w:rPr>
                <w:sz w:val="20"/>
                <w:szCs w:val="20"/>
                <w:color w:val="auto"/>
              </w:rPr>
            </w:pPr>
            <w:r>
              <w:rPr>
                <w:rFonts w:ascii="Arial" w:cs="Arial" w:eastAsia="Arial" w:hAnsi="Arial"/>
                <w:sz w:val="14"/>
                <w:szCs w:val="14"/>
                <w:color w:val="auto"/>
              </w:rPr>
              <w:t>SO</w:t>
            </w:r>
            <w:r>
              <w:rPr>
                <w:rFonts w:ascii="Arial" w:cs="Arial" w:eastAsia="Arial" w:hAnsi="Arial"/>
                <w:sz w:val="18"/>
                <w:szCs w:val="18"/>
                <w:color w:val="auto"/>
                <w:vertAlign w:val="subscript"/>
              </w:rPr>
              <w:t>2</w:t>
            </w:r>
          </w:p>
        </w:tc>
        <w:tc>
          <w:tcPr>
            <w:tcW w:w="9240" w:type="dxa"/>
            <w:vAlign w:val="bottom"/>
          </w:tcPr>
          <w:p>
            <w:pPr>
              <w:ind w:left="860"/>
              <w:spacing w:after="0"/>
              <w:rPr>
                <w:sz w:val="20"/>
                <w:szCs w:val="20"/>
                <w:color w:val="auto"/>
              </w:rPr>
            </w:pPr>
            <w:r>
              <w:rPr>
                <w:rFonts w:ascii="Arial" w:cs="Arial" w:eastAsia="Arial" w:hAnsi="Arial"/>
                <w:sz w:val="14"/>
                <w:szCs w:val="14"/>
                <w:color w:val="auto"/>
              </w:rPr>
              <w:t>Sulfur Dioxide</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SOFR</w:t>
            </w:r>
          </w:p>
        </w:tc>
        <w:tc>
          <w:tcPr>
            <w:tcW w:w="9240" w:type="dxa"/>
            <w:vAlign w:val="bottom"/>
          </w:tcPr>
          <w:p>
            <w:pPr>
              <w:ind w:left="860"/>
              <w:spacing w:after="0"/>
              <w:rPr>
                <w:sz w:val="20"/>
                <w:szCs w:val="20"/>
                <w:color w:val="auto"/>
              </w:rPr>
            </w:pPr>
            <w:r>
              <w:rPr>
                <w:rFonts w:ascii="Arial" w:cs="Arial" w:eastAsia="Arial" w:hAnsi="Arial"/>
                <w:sz w:val="14"/>
                <w:szCs w:val="14"/>
                <w:color w:val="auto"/>
              </w:rPr>
              <w:t>Secured Overnight Financing Rate</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SPP</w:t>
            </w:r>
          </w:p>
        </w:tc>
        <w:tc>
          <w:tcPr>
            <w:tcW w:w="9240" w:type="dxa"/>
            <w:vAlign w:val="bottom"/>
          </w:tcPr>
          <w:p>
            <w:pPr>
              <w:ind w:left="860"/>
              <w:spacing w:after="0"/>
              <w:rPr>
                <w:sz w:val="20"/>
                <w:szCs w:val="20"/>
                <w:color w:val="auto"/>
              </w:rPr>
            </w:pPr>
            <w:r>
              <w:rPr>
                <w:rFonts w:ascii="Arial" w:cs="Arial" w:eastAsia="Arial" w:hAnsi="Arial"/>
                <w:sz w:val="14"/>
                <w:szCs w:val="14"/>
                <w:color w:val="auto"/>
              </w:rPr>
              <w:t>Solar Power Partners</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SREC</w:t>
            </w:r>
          </w:p>
        </w:tc>
        <w:tc>
          <w:tcPr>
            <w:tcW w:w="9240" w:type="dxa"/>
            <w:vAlign w:val="bottom"/>
          </w:tcPr>
          <w:p>
            <w:pPr>
              <w:ind w:left="860"/>
              <w:spacing w:after="0"/>
              <w:rPr>
                <w:sz w:val="20"/>
                <w:szCs w:val="20"/>
                <w:color w:val="auto"/>
              </w:rPr>
            </w:pPr>
            <w:r>
              <w:rPr>
                <w:rFonts w:ascii="Arial" w:cs="Arial" w:eastAsia="Arial" w:hAnsi="Arial"/>
                <w:sz w:val="14"/>
                <w:szCs w:val="14"/>
                <w:color w:val="auto"/>
              </w:rPr>
              <w:t>Solar Renewable Energy Credit</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Tax Act</w:t>
            </w:r>
          </w:p>
        </w:tc>
        <w:tc>
          <w:tcPr>
            <w:tcW w:w="9240" w:type="dxa"/>
            <w:vAlign w:val="bottom"/>
          </w:tcPr>
          <w:p>
            <w:pPr>
              <w:ind w:left="860"/>
              <w:spacing w:after="0"/>
              <w:rPr>
                <w:sz w:val="20"/>
                <w:szCs w:val="20"/>
                <w:color w:val="auto"/>
              </w:rPr>
            </w:pPr>
            <w:r>
              <w:rPr>
                <w:rFonts w:ascii="Arial" w:cs="Arial" w:eastAsia="Arial" w:hAnsi="Arial"/>
                <w:sz w:val="14"/>
                <w:szCs w:val="14"/>
                <w:color w:val="auto"/>
              </w:rPr>
              <w:t>Tax Cuts and Jobs Act of 2017</w:t>
            </w:r>
          </w:p>
        </w:tc>
      </w:tr>
      <w:tr>
        <w:trPr>
          <w:trHeight w:val="138"/>
        </w:trPr>
        <w:tc>
          <w:tcPr>
            <w:tcW w:w="2040" w:type="dxa"/>
            <w:vAlign w:val="bottom"/>
          </w:tcPr>
          <w:p>
            <w:pPr>
              <w:ind w:left="20"/>
              <w:spacing w:after="0" w:line="139" w:lineRule="exact"/>
              <w:rPr>
                <w:sz w:val="20"/>
                <w:szCs w:val="20"/>
                <w:color w:val="auto"/>
              </w:rPr>
            </w:pPr>
            <w:r>
              <w:rPr>
                <w:rFonts w:ascii="Arial" w:cs="Arial" w:eastAsia="Arial" w:hAnsi="Arial"/>
                <w:sz w:val="14"/>
                <w:szCs w:val="14"/>
                <w:color w:val="auto"/>
              </w:rPr>
              <w:t>Thermal Business</w:t>
            </w:r>
          </w:p>
        </w:tc>
        <w:tc>
          <w:tcPr>
            <w:tcW w:w="9240" w:type="dxa"/>
            <w:vAlign w:val="bottom"/>
          </w:tcPr>
          <w:p>
            <w:pPr>
              <w:ind w:left="860"/>
              <w:spacing w:after="0" w:line="139" w:lineRule="exact"/>
              <w:rPr>
                <w:sz w:val="20"/>
                <w:szCs w:val="20"/>
                <w:color w:val="auto"/>
              </w:rPr>
            </w:pPr>
            <w:r>
              <w:rPr>
                <w:rFonts w:ascii="Arial" w:cs="Arial" w:eastAsia="Arial" w:hAnsi="Arial"/>
                <w:sz w:val="14"/>
                <w:szCs w:val="14"/>
                <w:color w:val="auto"/>
                <w:w w:val="93"/>
              </w:rPr>
              <w:t>The Company’s thermal business, which consists of thermal infrastructure assets that provide steam, hot water and/or chilled water, and in some</w:t>
            </w:r>
          </w:p>
        </w:tc>
      </w:tr>
      <w:tr>
        <w:trPr>
          <w:trHeight w:val="180"/>
        </w:trPr>
        <w:tc>
          <w:tcPr>
            <w:tcW w:w="2040" w:type="dxa"/>
            <w:vAlign w:val="bottom"/>
          </w:tcPr>
          <w:p>
            <w:pPr>
              <w:spacing w:after="0"/>
              <w:rPr>
                <w:sz w:val="15"/>
                <w:szCs w:val="15"/>
                <w:color w:val="auto"/>
              </w:rPr>
            </w:pPr>
          </w:p>
        </w:tc>
        <w:tc>
          <w:tcPr>
            <w:tcW w:w="9240" w:type="dxa"/>
            <w:vAlign w:val="bottom"/>
          </w:tcPr>
          <w:p>
            <w:pPr>
              <w:ind w:left="860"/>
              <w:spacing w:after="0"/>
              <w:rPr>
                <w:sz w:val="20"/>
                <w:szCs w:val="20"/>
                <w:color w:val="auto"/>
              </w:rPr>
            </w:pPr>
            <w:r>
              <w:rPr>
                <w:rFonts w:ascii="Arial" w:cs="Arial" w:eastAsia="Arial" w:hAnsi="Arial"/>
                <w:sz w:val="14"/>
                <w:szCs w:val="14"/>
                <w:color w:val="auto"/>
              </w:rPr>
              <w:t>instances electricity, to commercial businesses, universities, hospitals and governmental units</w:t>
            </w:r>
          </w:p>
        </w:tc>
      </w:tr>
      <w:tr>
        <w:trPr>
          <w:trHeight w:val="191"/>
        </w:trPr>
        <w:tc>
          <w:tcPr>
            <w:tcW w:w="2040" w:type="dxa"/>
            <w:vAlign w:val="bottom"/>
          </w:tcPr>
          <w:p>
            <w:pPr>
              <w:ind w:left="20"/>
              <w:spacing w:after="0"/>
              <w:rPr>
                <w:sz w:val="20"/>
                <w:szCs w:val="20"/>
                <w:color w:val="auto"/>
              </w:rPr>
            </w:pPr>
            <w:r>
              <w:rPr>
                <w:rFonts w:ascii="Arial" w:cs="Arial" w:eastAsia="Arial" w:hAnsi="Arial"/>
                <w:sz w:val="14"/>
                <w:szCs w:val="14"/>
                <w:color w:val="auto"/>
              </w:rPr>
              <w:t>Thermal Disposition</w:t>
            </w:r>
          </w:p>
        </w:tc>
        <w:tc>
          <w:tcPr>
            <w:tcW w:w="9240" w:type="dxa"/>
            <w:vAlign w:val="bottom"/>
          </w:tcPr>
          <w:p>
            <w:pPr>
              <w:ind w:left="860"/>
              <w:spacing w:after="0"/>
              <w:rPr>
                <w:sz w:val="20"/>
                <w:szCs w:val="20"/>
                <w:color w:val="auto"/>
              </w:rPr>
            </w:pPr>
            <w:r>
              <w:rPr>
                <w:rFonts w:ascii="Arial" w:cs="Arial" w:eastAsia="Arial" w:hAnsi="Arial"/>
                <w:sz w:val="14"/>
                <w:szCs w:val="14"/>
                <w:color w:val="auto"/>
              </w:rPr>
              <w:t>On May 1, 2022, the Company completed the sale of 100% of its interests in the Thermal Business to KKR</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TotalEnergies</w:t>
            </w:r>
          </w:p>
        </w:tc>
        <w:tc>
          <w:tcPr>
            <w:tcW w:w="9240" w:type="dxa"/>
            <w:vAlign w:val="bottom"/>
          </w:tcPr>
          <w:p>
            <w:pPr>
              <w:ind w:left="860"/>
              <w:spacing w:after="0"/>
              <w:rPr>
                <w:sz w:val="20"/>
                <w:szCs w:val="20"/>
                <w:color w:val="auto"/>
              </w:rPr>
            </w:pPr>
            <w:r>
              <w:rPr>
                <w:rFonts w:ascii="Arial" w:cs="Arial" w:eastAsia="Arial" w:hAnsi="Arial"/>
                <w:sz w:val="14"/>
                <w:szCs w:val="14"/>
                <w:color w:val="auto"/>
              </w:rPr>
              <w:t>TotalEnergies SE</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U.S.</w:t>
            </w:r>
          </w:p>
        </w:tc>
        <w:tc>
          <w:tcPr>
            <w:tcW w:w="9240" w:type="dxa"/>
            <w:vAlign w:val="bottom"/>
          </w:tcPr>
          <w:p>
            <w:pPr>
              <w:ind w:left="860"/>
              <w:spacing w:after="0"/>
              <w:rPr>
                <w:sz w:val="20"/>
                <w:szCs w:val="20"/>
                <w:color w:val="auto"/>
              </w:rPr>
            </w:pPr>
            <w:r>
              <w:rPr>
                <w:rFonts w:ascii="Arial" w:cs="Arial" w:eastAsia="Arial" w:hAnsi="Arial"/>
                <w:sz w:val="14"/>
                <w:szCs w:val="14"/>
                <w:color w:val="auto"/>
              </w:rPr>
              <w:t>United States of America</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U.S. DOE</w:t>
            </w:r>
          </w:p>
        </w:tc>
        <w:tc>
          <w:tcPr>
            <w:tcW w:w="9240" w:type="dxa"/>
            <w:vAlign w:val="bottom"/>
          </w:tcPr>
          <w:p>
            <w:pPr>
              <w:ind w:left="860"/>
              <w:spacing w:after="0"/>
              <w:rPr>
                <w:sz w:val="20"/>
                <w:szCs w:val="20"/>
                <w:color w:val="auto"/>
              </w:rPr>
            </w:pPr>
            <w:r>
              <w:rPr>
                <w:rFonts w:ascii="Arial" w:cs="Arial" w:eastAsia="Arial" w:hAnsi="Arial"/>
                <w:sz w:val="14"/>
                <w:szCs w:val="14"/>
                <w:color w:val="auto"/>
              </w:rPr>
              <w:t>U.S. Department of Energy</w:t>
            </w:r>
          </w:p>
        </w:tc>
      </w:tr>
      <w:tr>
        <w:trPr>
          <w:trHeight w:val="180"/>
        </w:trPr>
        <w:tc>
          <w:tcPr>
            <w:tcW w:w="2040" w:type="dxa"/>
            <w:vAlign w:val="bottom"/>
          </w:tcPr>
          <w:p>
            <w:pPr>
              <w:ind w:left="20"/>
              <w:spacing w:after="0"/>
              <w:rPr>
                <w:sz w:val="20"/>
                <w:szCs w:val="20"/>
                <w:color w:val="auto"/>
              </w:rPr>
            </w:pPr>
            <w:r>
              <w:rPr>
                <w:rFonts w:ascii="Arial" w:cs="Arial" w:eastAsia="Arial" w:hAnsi="Arial"/>
                <w:sz w:val="14"/>
                <w:szCs w:val="14"/>
                <w:color w:val="auto"/>
              </w:rPr>
              <w:t>Utah Solar Portfolio</w:t>
            </w:r>
          </w:p>
        </w:tc>
        <w:tc>
          <w:tcPr>
            <w:tcW w:w="9240" w:type="dxa"/>
            <w:vAlign w:val="bottom"/>
          </w:tcPr>
          <w:p>
            <w:pPr>
              <w:ind w:left="860"/>
              <w:spacing w:after="0"/>
              <w:rPr>
                <w:sz w:val="20"/>
                <w:szCs w:val="20"/>
                <w:color w:val="auto"/>
              </w:rPr>
            </w:pPr>
            <w:r>
              <w:rPr>
                <w:rFonts w:ascii="Arial" w:cs="Arial" w:eastAsia="Arial" w:hAnsi="Arial"/>
                <w:sz w:val="14"/>
                <w:szCs w:val="14"/>
                <w:color w:val="auto"/>
              </w:rPr>
              <w:t>Seven utility-scale solar farms located in Utah, representing 530 MW of capacity</w:t>
            </w:r>
          </w:p>
        </w:tc>
      </w:tr>
      <w:tr>
        <w:trPr>
          <w:trHeight w:val="138"/>
        </w:trPr>
        <w:tc>
          <w:tcPr>
            <w:tcW w:w="2040" w:type="dxa"/>
            <w:vAlign w:val="bottom"/>
          </w:tcPr>
          <w:p>
            <w:pPr>
              <w:ind w:left="20"/>
              <w:spacing w:after="0" w:line="139" w:lineRule="exact"/>
              <w:rPr>
                <w:sz w:val="20"/>
                <w:szCs w:val="20"/>
                <w:color w:val="auto"/>
              </w:rPr>
            </w:pPr>
            <w:r>
              <w:rPr>
                <w:rFonts w:ascii="Arial" w:cs="Arial" w:eastAsia="Arial" w:hAnsi="Arial"/>
                <w:sz w:val="14"/>
                <w:szCs w:val="14"/>
                <w:color w:val="auto"/>
              </w:rPr>
              <w:t>Utility Scale Solar</w:t>
            </w:r>
          </w:p>
        </w:tc>
        <w:tc>
          <w:tcPr>
            <w:tcW w:w="9240" w:type="dxa"/>
            <w:vAlign w:val="bottom"/>
          </w:tcPr>
          <w:p>
            <w:pPr>
              <w:ind w:left="860"/>
              <w:spacing w:after="0" w:line="139" w:lineRule="exact"/>
              <w:rPr>
                <w:sz w:val="20"/>
                <w:szCs w:val="20"/>
                <w:color w:val="auto"/>
              </w:rPr>
            </w:pPr>
            <w:r>
              <w:rPr>
                <w:rFonts w:ascii="Arial" w:cs="Arial" w:eastAsia="Arial" w:hAnsi="Arial"/>
                <w:sz w:val="14"/>
                <w:szCs w:val="14"/>
                <w:color w:val="auto"/>
                <w:w w:val="93"/>
              </w:rPr>
              <w:t>Solar power projects, typically 20 MW or greater in size (on an alternating current, or AC, basis), that are interconnected into the transmission or</w:t>
            </w:r>
          </w:p>
        </w:tc>
      </w:tr>
      <w:tr>
        <w:trPr>
          <w:trHeight w:val="180"/>
        </w:trPr>
        <w:tc>
          <w:tcPr>
            <w:tcW w:w="2040" w:type="dxa"/>
            <w:vAlign w:val="bottom"/>
          </w:tcPr>
          <w:p>
            <w:pPr>
              <w:spacing w:after="0"/>
              <w:rPr>
                <w:sz w:val="15"/>
                <w:szCs w:val="15"/>
                <w:color w:val="auto"/>
              </w:rPr>
            </w:pPr>
          </w:p>
        </w:tc>
        <w:tc>
          <w:tcPr>
            <w:tcW w:w="9240" w:type="dxa"/>
            <w:vAlign w:val="bottom"/>
          </w:tcPr>
          <w:p>
            <w:pPr>
              <w:ind w:left="860"/>
              <w:spacing w:after="0"/>
              <w:rPr>
                <w:sz w:val="20"/>
                <w:szCs w:val="20"/>
                <w:color w:val="auto"/>
              </w:rPr>
            </w:pPr>
            <w:r>
              <w:rPr>
                <w:rFonts w:ascii="Arial" w:cs="Arial" w:eastAsia="Arial" w:hAnsi="Arial"/>
                <w:sz w:val="14"/>
                <w:szCs w:val="14"/>
                <w:color w:val="auto"/>
              </w:rPr>
              <w:t>distribution grid to sell power at a wholesale level</w:t>
            </w:r>
          </w:p>
        </w:tc>
      </w:tr>
      <w:tr>
        <w:trPr>
          <w:trHeight w:val="191"/>
        </w:trPr>
        <w:tc>
          <w:tcPr>
            <w:tcW w:w="2040" w:type="dxa"/>
            <w:vAlign w:val="bottom"/>
          </w:tcPr>
          <w:p>
            <w:pPr>
              <w:ind w:left="20"/>
              <w:spacing w:after="0"/>
              <w:rPr>
                <w:sz w:val="20"/>
                <w:szCs w:val="20"/>
                <w:color w:val="auto"/>
              </w:rPr>
            </w:pPr>
            <w:r>
              <w:rPr>
                <w:rFonts w:ascii="Arial" w:cs="Arial" w:eastAsia="Arial" w:hAnsi="Arial"/>
                <w:sz w:val="14"/>
                <w:szCs w:val="14"/>
                <w:color w:val="auto"/>
              </w:rPr>
              <w:t>VIE</w:t>
            </w:r>
          </w:p>
        </w:tc>
        <w:tc>
          <w:tcPr>
            <w:tcW w:w="9240" w:type="dxa"/>
            <w:vAlign w:val="bottom"/>
          </w:tcPr>
          <w:p>
            <w:pPr>
              <w:ind w:left="860"/>
              <w:spacing w:after="0"/>
              <w:rPr>
                <w:sz w:val="20"/>
                <w:szCs w:val="20"/>
                <w:color w:val="auto"/>
              </w:rPr>
            </w:pPr>
            <w:r>
              <w:rPr>
                <w:rFonts w:ascii="Arial" w:cs="Arial" w:eastAsia="Arial" w:hAnsi="Arial"/>
                <w:sz w:val="14"/>
                <w:szCs w:val="14"/>
                <w:color w:val="auto"/>
              </w:rPr>
              <w:t>Variable Interest Entity</w:t>
            </w:r>
          </w:p>
        </w:tc>
      </w:tr>
      <w:tr>
        <w:trPr>
          <w:trHeight w:val="870"/>
        </w:trPr>
        <w:tc>
          <w:tcPr>
            <w:tcW w:w="2040" w:type="dxa"/>
            <w:vAlign w:val="bottom"/>
          </w:tcPr>
          <w:p>
            <w:pPr>
              <w:spacing w:after="0"/>
              <w:rPr>
                <w:sz w:val="24"/>
                <w:szCs w:val="24"/>
                <w:color w:val="auto"/>
              </w:rPr>
            </w:pPr>
          </w:p>
        </w:tc>
        <w:tc>
          <w:tcPr>
            <w:tcW w:w="9240" w:type="dxa"/>
            <w:vAlign w:val="bottom"/>
          </w:tcPr>
          <w:p>
            <w:pPr>
              <w:ind w:left="3560"/>
              <w:spacing w:after="0"/>
              <w:rPr>
                <w:sz w:val="20"/>
                <w:szCs w:val="20"/>
                <w:color w:val="auto"/>
              </w:rPr>
            </w:pPr>
            <w:r>
              <w:rPr>
                <w:rFonts w:ascii="Arial" w:cs="Arial" w:eastAsia="Arial" w:hAnsi="Arial"/>
                <w:sz w:val="14"/>
                <w:szCs w:val="14"/>
                <w:color w:val="auto"/>
              </w:rPr>
              <w:t>5</w:t>
            </w:r>
          </w:p>
        </w:tc>
      </w:tr>
      <w:tr>
        <w:trPr>
          <w:trHeight w:val="87"/>
        </w:trPr>
        <w:tc>
          <w:tcPr>
            <w:tcW w:w="2040" w:type="dxa"/>
            <w:vAlign w:val="bottom"/>
            <w:tcBorders>
              <w:bottom w:val="single" w:sz="8" w:color="9A9A9A"/>
            </w:tcBorders>
          </w:tcPr>
          <w:p>
            <w:pPr>
              <w:spacing w:after="0"/>
              <w:rPr>
                <w:sz w:val="7"/>
                <w:szCs w:val="7"/>
                <w:color w:val="auto"/>
              </w:rPr>
            </w:pPr>
          </w:p>
        </w:tc>
        <w:tc>
          <w:tcPr>
            <w:tcW w:w="9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 Business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40"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became equally owned by GIP and TotalEnergies as of September 12, 2022, when TotalEnergies acquired, through its investment in an intermediate holding company, 50% of GIP’s interest in CEG. GIP is an independent infrastructure fund manager that makes equity and debt investments in infrastructure assets and businesses. TotalEnergies is a global multi-energy company.</w:t>
      </w:r>
    </w:p>
    <w:p>
      <w:pPr>
        <w:spacing w:after="0" w:line="89"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w:t>
      </w:r>
      <w:r>
        <w:rPr>
          <w:rFonts w:ascii="Arial" w:cs="Arial" w:eastAsia="Arial" w:hAnsi="Arial"/>
          <w:sz w:val="13"/>
          <w:szCs w:val="13"/>
          <w:color w:val="231F20"/>
        </w:rPr>
        <w:t>The majority</w:t>
      </w:r>
      <w:r>
        <w:rPr>
          <w:rFonts w:ascii="Arial" w:cs="Arial" w:eastAsia="Arial" w:hAnsi="Arial"/>
          <w:sz w:val="13"/>
          <w:szCs w:val="13"/>
          <w:color w:val="auto"/>
        </w:rPr>
        <w:t xml:space="preserve"> of the Company’s revenues are derived from long-term contractual arrangements for the output or capacity from these assets. The weighted average remaining contract duration of these offtake agreements was approximately 11 years </w:t>
      </w:r>
      <w:r>
        <w:rPr>
          <w:rFonts w:ascii="Arial" w:cs="Arial" w:eastAsia="Arial" w:hAnsi="Arial"/>
          <w:sz w:val="13"/>
          <w:szCs w:val="13"/>
          <w:color w:val="231F20"/>
        </w:rPr>
        <w:t>as of</w:t>
      </w:r>
      <w:r>
        <w:rPr>
          <w:rFonts w:ascii="Arial" w:cs="Arial" w:eastAsia="Arial" w:hAnsi="Arial"/>
          <w:sz w:val="13"/>
          <w:szCs w:val="13"/>
          <w:color w:val="auto"/>
        </w:rPr>
        <w:t xml:space="preserve"> December 31, 2022 </w:t>
      </w:r>
      <w:r>
        <w:rPr>
          <w:rFonts w:ascii="Arial" w:cs="Arial" w:eastAsia="Arial" w:hAnsi="Arial"/>
          <w:sz w:val="13"/>
          <w:szCs w:val="13"/>
          <w:color w:val="231F20"/>
        </w:rPr>
        <w:t>based on CAFD.</w:t>
      </w:r>
    </w:p>
    <w:p>
      <w:pPr>
        <w:spacing w:after="0" w:line="8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 xml:space="preserve">On May 1, 2022, the Company completed the sale of 100% of its interests in the Thermal Business to KKR. For further details of the Thermal Disposition, refer to Item 15 — Note 3, </w:t>
      </w:r>
      <w:r>
        <w:rPr>
          <w:rFonts w:ascii="Arial" w:cs="Arial" w:eastAsia="Arial" w:hAnsi="Arial"/>
          <w:sz w:val="14"/>
          <w:szCs w:val="14"/>
          <w:i w:val="1"/>
          <w:iCs w:val="1"/>
          <w:color w:val="auto"/>
        </w:rPr>
        <w:t>Acquisitions and Dispositions</w:t>
      </w:r>
      <w:r>
        <w:rPr>
          <w:rFonts w:ascii="Arial" w:cs="Arial" w:eastAsia="Arial" w:hAnsi="Arial"/>
          <w:sz w:val="14"/>
          <w:szCs w:val="14"/>
          <w:color w:val="auto"/>
        </w:rPr>
        <w:t>.</w:t>
      </w:r>
    </w:p>
    <w:p>
      <w:pPr>
        <w:spacing w:after="0" w:line="90" w:lineRule="exact"/>
        <w:rPr>
          <w:sz w:val="20"/>
          <w:szCs w:val="20"/>
          <w:color w:val="auto"/>
        </w:rPr>
      </w:pPr>
    </w:p>
    <w:p>
      <w:pPr>
        <w:ind w:right="1600" w:firstLine="318"/>
        <w:spacing w:after="0" w:line="442" w:lineRule="auto"/>
        <w:rPr>
          <w:sz w:val="20"/>
          <w:szCs w:val="20"/>
          <w:color w:val="auto"/>
        </w:rPr>
      </w:pPr>
      <w:r>
        <w:rPr>
          <w:rFonts w:ascii="Arial" w:cs="Arial" w:eastAsia="Arial" w:hAnsi="Arial"/>
          <w:sz w:val="14"/>
          <w:szCs w:val="14"/>
          <w:color w:val="auto"/>
        </w:rPr>
        <w:t xml:space="preserve">A complete listing of the Company’s interests in facilities, operations and/or projects owned or leased as of December 31, 2022 can be found in Item 2 — </w:t>
      </w:r>
      <w:r>
        <w:rPr>
          <w:rFonts w:ascii="Arial" w:cs="Arial" w:eastAsia="Arial" w:hAnsi="Arial"/>
          <w:sz w:val="14"/>
          <w:szCs w:val="14"/>
          <w:i w:val="1"/>
          <w:iCs w:val="1"/>
          <w:color w:val="auto"/>
        </w:rPr>
        <w:t>Properties.</w:t>
      </w:r>
      <w:r>
        <w:rPr>
          <w:rFonts w:ascii="Arial" w:cs="Arial" w:eastAsia="Arial" w:hAnsi="Arial"/>
          <w:sz w:val="14"/>
          <w:szCs w:val="14"/>
          <w:color w:val="auto"/>
        </w:rPr>
        <w:t xml:space="preserve"> </w:t>
      </w:r>
      <w:r>
        <w:rPr>
          <w:rFonts w:ascii="Arial" w:cs="Arial" w:eastAsia="Arial" w:hAnsi="Arial"/>
          <w:sz w:val="14"/>
          <w:szCs w:val="14"/>
          <w:b w:val="1"/>
          <w:bCs w:val="1"/>
          <w:color w:val="auto"/>
        </w:rPr>
        <w:t>History</w:t>
      </w:r>
    </w:p>
    <w:p>
      <w:pPr>
        <w:spacing w:after="0" w:line="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Company was formed as a Delaware limited liability company by NRG on March 5, 2013. On August 31, 2018, NRG transferred its full ownership interest in Clearway Energy, Inc, or Clearway, Inc., and its subsidiaries to CEG, the holder of NRG’s renewable energy development and operations platform, and subsequently sold 100% of its interest in CEG to GIP. On September 12, 2022, GIP sold 50% of its interest in CEG through an intermediate holding company to TotalEnergies.</w:t>
      </w:r>
    </w:p>
    <w:p>
      <w:pPr>
        <w:spacing w:after="0" w:line="9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Company is a holding company for the companies that directly and indirectly own and operate Clearway, Inc.’s business. As of December 31, 2022, CEG, which is equally owned by GIP and TotalEnergies, controls Clearway, Inc., and Clearway, Inc. in turn, as the sole managing member of the Company, controls the Company and its subsidiaries.</w:t>
      </w:r>
    </w:p>
    <w:p>
      <w:pPr>
        <w:spacing w:after="0" w:line="90"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As of December 31, 2022, CEG owned 42,738,750 of the Company’s Class B units and 42,336,750 of the Company’s Class D units, while Clearway, Inc. owned 34,613,853 of the Company’s Class A units and 82,283,460 of the Company’s Class C units. Clearway, Inc., through its holdings of Class A units and Class C units, owned a 57.88% economic interest in the Company as of December 31, 2022. Additionally, GIP, through CEG’s holdings of Class B units and Class D units, owned a 42.12% economic interest in the Company as of December 31,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 w:name="page7"/>
    <w:bookmarkEnd w:id="6"/>
    <w:p>
      <w:pPr>
        <w:ind w:left="320"/>
        <w:spacing w:after="0"/>
        <w:rPr>
          <w:sz w:val="20"/>
          <w:szCs w:val="20"/>
          <w:color w:val="auto"/>
        </w:rPr>
      </w:pPr>
      <w:r>
        <w:rPr>
          <w:rFonts w:ascii="Arial" w:cs="Arial" w:eastAsia="Arial" w:hAnsi="Arial"/>
          <w:sz w:val="14"/>
          <w:szCs w:val="14"/>
          <w:color w:val="auto"/>
        </w:rPr>
        <w:t>The diagram below represents a summarized structure of the Company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4567555" cy="3382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67555" cy="3382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Strategy</w:t>
      </w:r>
    </w:p>
    <w:p>
      <w:pPr>
        <w:spacing w:after="0" w:line="14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Company’s primary business strategy is to focus on the acquisition and ownership of assets with predictable, long-term cash flows in order that it may be able to increase the distributions to Clearway, Inc. over time without compromising the ongoing stability of the business.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plan for executing its business strategy includes the following key components: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b w:val="1"/>
          <w:bCs w:val="1"/>
          <w:i w:val="1"/>
          <w:iCs w:val="1"/>
          <w:color w:val="auto"/>
        </w:rPr>
        <w:t xml:space="preserve">Focus on contracted renewable energy and conventional generation. </w:t>
      </w:r>
      <w:r>
        <w:rPr>
          <w:rFonts w:ascii="Arial" w:cs="Arial" w:eastAsia="Arial" w:hAnsi="Arial"/>
          <w:sz w:val="14"/>
          <w:szCs w:val="14"/>
          <w:color w:val="auto"/>
        </w:rPr>
        <w:t>The Company owns and operates utility scale and distributed renewable energy and natural gas-fired generation assets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proven technologies, generally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 w:name="page8"/>
    <w:bookmarkEnd w:id="7"/>
    <w:p>
      <w:pPr>
        <w:jc w:val="both"/>
        <w:ind w:firstLine="318"/>
        <w:spacing w:after="0" w:line="258" w:lineRule="auto"/>
        <w:rPr>
          <w:sz w:val="20"/>
          <w:szCs w:val="20"/>
          <w:color w:val="auto"/>
        </w:rPr>
      </w:pPr>
      <w:r>
        <w:rPr>
          <w:rFonts w:ascii="Arial" w:cs="Arial" w:eastAsia="Arial" w:hAnsi="Arial"/>
          <w:sz w:val="14"/>
          <w:szCs w:val="14"/>
          <w:b w:val="1"/>
          <w:bCs w:val="1"/>
          <w:i w:val="1"/>
          <w:iCs w:val="1"/>
          <w:color w:val="auto"/>
        </w:rPr>
        <w:t xml:space="preserve">Growing the business through acquisitions of contracted operating assets. </w:t>
      </w:r>
      <w:r>
        <w:rPr>
          <w:rFonts w:ascii="Arial" w:cs="Arial" w:eastAsia="Arial" w:hAnsi="Arial"/>
          <w:sz w:val="14"/>
          <w:szCs w:val="14"/>
          <w:color w:val="auto"/>
        </w:rPr>
        <w:t>The Company believes that its base of operations provides a platform for strategic growth through cash accretive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tax advantaged acquisitions complementary to its existing portfolio. In addition to acquiring generation facilities from third parties where the Company believes its knowledge of the market and operating expertise provides it with a competitive advantage, the Company may consummate future acquisitions from CEG. The Company believes that CEG’s project development expertise provides the Company access to a development platform with an extensive pipeline of potential renewable energy and storage projects that are aligned to support the Company’s growth. The Company and CEG work collaboratively in considering new assets to be acquired by the Company. The assets listed below, all of which are included in co-investment partnerships, represent the Company’s currently committed investments in projects with CEG: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Asset</w:t>
            </w:r>
          </w:p>
        </w:tc>
        <w:tc>
          <w:tcPr>
            <w:tcW w:w="80" w:type="dxa"/>
            <w:vAlign w:val="bottom"/>
            <w:tcBorders>
              <w:bottom w:val="single" w:sz="8" w:color="CCEEFF"/>
            </w:tcBorders>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Technology</w:t>
            </w:r>
          </w:p>
        </w:tc>
        <w:tc>
          <w:tcPr>
            <w:tcW w:w="80" w:type="dxa"/>
            <w:vAlign w:val="bottom"/>
            <w:tcBorders>
              <w:bottom w:val="single" w:sz="8" w:color="CCEEFF"/>
            </w:tcBorders>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Gross Capacity (MW)</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State</w:t>
            </w:r>
          </w:p>
        </w:tc>
        <w:tc>
          <w:tcPr>
            <w:tcW w:w="8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rPr>
              <w:t>COD</w:t>
            </w:r>
          </w:p>
        </w:tc>
        <w:tc>
          <w:tcPr>
            <w:tcW w:w="8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Status</w:t>
            </w:r>
          </w:p>
        </w:tc>
      </w:tr>
      <w:tr>
        <w:trPr>
          <w:trHeight w:val="163"/>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Daggett Solar 3</w:t>
            </w:r>
          </w:p>
        </w:tc>
        <w:tc>
          <w:tcPr>
            <w:tcW w:w="19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8"/>
              </w:rPr>
              <w:t>Solar/Storage</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300</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9"/>
              </w:rPr>
              <w:t>CA</w:t>
            </w: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1H23</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Committed</w:t>
            </w:r>
          </w:p>
        </w:tc>
      </w:tr>
      <w:tr>
        <w:trPr>
          <w:trHeight w:val="168"/>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Daggett Solar 2</w:t>
            </w:r>
          </w:p>
        </w:tc>
        <w:tc>
          <w:tcPr>
            <w:tcW w:w="1920" w:type="dxa"/>
            <w:vAlign w:val="bottom"/>
            <w:gridSpan w:val="2"/>
          </w:tcPr>
          <w:p>
            <w:pPr>
              <w:jc w:val="center"/>
              <w:ind w:right="60"/>
              <w:spacing w:after="0"/>
              <w:rPr>
                <w:sz w:val="20"/>
                <w:szCs w:val="20"/>
                <w:color w:val="auto"/>
              </w:rPr>
            </w:pPr>
            <w:r>
              <w:rPr>
                <w:rFonts w:ascii="Arial" w:cs="Arial" w:eastAsia="Arial" w:hAnsi="Arial"/>
                <w:sz w:val="13"/>
                <w:szCs w:val="13"/>
                <w:color w:val="auto"/>
                <w:w w:val="88"/>
              </w:rPr>
              <w:t>Solar/Storage</w:t>
            </w:r>
          </w:p>
        </w:tc>
        <w:tc>
          <w:tcPr>
            <w:tcW w:w="2020" w:type="dxa"/>
            <w:vAlign w:val="bottom"/>
          </w:tcPr>
          <w:p>
            <w:pPr>
              <w:jc w:val="center"/>
              <w:spacing w:after="0"/>
              <w:rPr>
                <w:sz w:val="20"/>
                <w:szCs w:val="20"/>
                <w:color w:val="auto"/>
              </w:rPr>
            </w:pPr>
            <w:r>
              <w:rPr>
                <w:rFonts w:ascii="Arial" w:cs="Arial" w:eastAsia="Arial" w:hAnsi="Arial"/>
                <w:sz w:val="13"/>
                <w:szCs w:val="13"/>
                <w:color w:val="auto"/>
                <w:w w:val="82"/>
              </w:rPr>
              <w:t>182</w:t>
            </w:r>
          </w:p>
        </w:tc>
        <w:tc>
          <w:tcPr>
            <w:tcW w:w="8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CA</w:t>
            </w:r>
          </w:p>
        </w:tc>
        <w:tc>
          <w:tcPr>
            <w:tcW w:w="1580" w:type="dxa"/>
            <w:vAlign w:val="bottom"/>
            <w:gridSpan w:val="2"/>
          </w:tcPr>
          <w:p>
            <w:pPr>
              <w:ind w:left="600"/>
              <w:spacing w:after="0"/>
              <w:rPr>
                <w:sz w:val="20"/>
                <w:szCs w:val="20"/>
                <w:color w:val="auto"/>
              </w:rPr>
            </w:pPr>
            <w:r>
              <w:rPr>
                <w:rFonts w:ascii="Arial" w:cs="Arial" w:eastAsia="Arial" w:hAnsi="Arial"/>
                <w:sz w:val="13"/>
                <w:szCs w:val="13"/>
                <w:color w:val="auto"/>
              </w:rPr>
              <w:t>2H23</w:t>
            </w:r>
          </w:p>
        </w:tc>
        <w:tc>
          <w:tcPr>
            <w:tcW w:w="1660" w:type="dxa"/>
            <w:vAlign w:val="bottom"/>
          </w:tcPr>
          <w:p>
            <w:pPr>
              <w:jc w:val="center"/>
              <w:spacing w:after="0"/>
              <w:rPr>
                <w:sz w:val="20"/>
                <w:szCs w:val="20"/>
                <w:color w:val="auto"/>
              </w:rPr>
            </w:pPr>
            <w:r>
              <w:rPr>
                <w:rFonts w:ascii="Arial" w:cs="Arial" w:eastAsia="Arial" w:hAnsi="Arial"/>
                <w:sz w:val="13"/>
                <w:szCs w:val="13"/>
                <w:color w:val="auto"/>
                <w:w w:val="92"/>
              </w:rPr>
              <w:t>Committed</w:t>
            </w:r>
          </w:p>
        </w:tc>
      </w:tr>
      <w:tr>
        <w:trPr>
          <w:trHeight w:val="172"/>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Arica</w:t>
            </w:r>
          </w:p>
        </w:tc>
        <w:tc>
          <w:tcPr>
            <w:tcW w:w="192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88"/>
              </w:rPr>
              <w:t>Solar/Storage</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263</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9"/>
              </w:rPr>
              <w:t>CA</w:t>
            </w:r>
          </w:p>
        </w:tc>
        <w:tc>
          <w:tcPr>
            <w:tcW w:w="15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2H23</w:t>
            </w: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Committed</w:t>
            </w:r>
          </w:p>
        </w:tc>
      </w:tr>
      <w:tr>
        <w:trPr>
          <w:trHeight w:val="16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Victory Pass</w:t>
            </w:r>
          </w:p>
        </w:tc>
        <w:tc>
          <w:tcPr>
            <w:tcW w:w="1920" w:type="dxa"/>
            <w:vAlign w:val="bottom"/>
            <w:gridSpan w:val="2"/>
          </w:tcPr>
          <w:p>
            <w:pPr>
              <w:jc w:val="center"/>
              <w:ind w:right="60"/>
              <w:spacing w:after="0"/>
              <w:rPr>
                <w:sz w:val="20"/>
                <w:szCs w:val="20"/>
                <w:color w:val="auto"/>
              </w:rPr>
            </w:pPr>
            <w:r>
              <w:rPr>
                <w:rFonts w:ascii="Arial" w:cs="Arial" w:eastAsia="Arial" w:hAnsi="Arial"/>
                <w:sz w:val="13"/>
                <w:szCs w:val="13"/>
                <w:color w:val="auto"/>
                <w:w w:val="88"/>
              </w:rPr>
              <w:t>Solar/Storage</w:t>
            </w:r>
          </w:p>
        </w:tc>
        <w:tc>
          <w:tcPr>
            <w:tcW w:w="2020" w:type="dxa"/>
            <w:vAlign w:val="bottom"/>
          </w:tcPr>
          <w:p>
            <w:pPr>
              <w:jc w:val="center"/>
              <w:spacing w:after="0"/>
              <w:rPr>
                <w:sz w:val="20"/>
                <w:szCs w:val="20"/>
                <w:color w:val="auto"/>
              </w:rPr>
            </w:pPr>
            <w:r>
              <w:rPr>
                <w:rFonts w:ascii="Arial" w:cs="Arial" w:eastAsia="Arial" w:hAnsi="Arial"/>
                <w:sz w:val="13"/>
                <w:szCs w:val="13"/>
                <w:color w:val="auto"/>
                <w:w w:val="82"/>
              </w:rPr>
              <w:t>200</w:t>
            </w:r>
          </w:p>
        </w:tc>
        <w:tc>
          <w:tcPr>
            <w:tcW w:w="8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CA</w:t>
            </w:r>
          </w:p>
        </w:tc>
        <w:tc>
          <w:tcPr>
            <w:tcW w:w="1580" w:type="dxa"/>
            <w:vAlign w:val="bottom"/>
            <w:gridSpan w:val="2"/>
          </w:tcPr>
          <w:p>
            <w:pPr>
              <w:ind w:left="600"/>
              <w:spacing w:after="0"/>
              <w:rPr>
                <w:sz w:val="20"/>
                <w:szCs w:val="20"/>
                <w:color w:val="auto"/>
              </w:rPr>
            </w:pPr>
            <w:r>
              <w:rPr>
                <w:rFonts w:ascii="Arial" w:cs="Arial" w:eastAsia="Arial" w:hAnsi="Arial"/>
                <w:sz w:val="13"/>
                <w:szCs w:val="13"/>
                <w:color w:val="auto"/>
              </w:rPr>
              <w:t>2H23</w:t>
            </w:r>
          </w:p>
        </w:tc>
        <w:tc>
          <w:tcPr>
            <w:tcW w:w="1660" w:type="dxa"/>
            <w:vAlign w:val="bottom"/>
          </w:tcPr>
          <w:p>
            <w:pPr>
              <w:jc w:val="center"/>
              <w:spacing w:after="0"/>
              <w:rPr>
                <w:sz w:val="20"/>
                <w:szCs w:val="20"/>
                <w:color w:val="auto"/>
              </w:rPr>
            </w:pPr>
            <w:r>
              <w:rPr>
                <w:rFonts w:ascii="Arial" w:cs="Arial" w:eastAsia="Arial" w:hAnsi="Arial"/>
                <w:sz w:val="13"/>
                <w:szCs w:val="13"/>
                <w:color w:val="auto"/>
                <w:w w:val="92"/>
              </w:rPr>
              <w:t>Committed</w:t>
            </w:r>
          </w:p>
        </w:tc>
      </w:tr>
    </w:tbl>
    <w:p>
      <w:pPr>
        <w:spacing w:after="0" w:line="19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b w:val="1"/>
          <w:bCs w:val="1"/>
          <w:i w:val="1"/>
          <w:iCs w:val="1"/>
          <w:color w:val="auto"/>
        </w:rPr>
        <w:t xml:space="preserve">Primary focus on North America. </w:t>
      </w:r>
      <w:r>
        <w:rPr>
          <w:rFonts w:ascii="Arial" w:cs="Arial" w:eastAsia="Arial" w:hAnsi="Arial"/>
          <w:sz w:val="14"/>
          <w:szCs w:val="14"/>
          <w:color w:val="auto"/>
        </w:rPr>
        <w:t>The Company intends to focus its investments in North America. The Company believes that industry fundamentals in North America present it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significant opportunity to grow its portfolio without creating significant exposure to currency and sovereign risk. By focusing its efforts on North America, the Company believes it will best leverage its regional knowledge of power markets, industry relationships and skill sets to maximize the performance of the Company.</w:t>
      </w:r>
    </w:p>
    <w:p>
      <w:pPr>
        <w:spacing w:after="0" w:line="9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b w:val="1"/>
          <w:bCs w:val="1"/>
          <w:i w:val="1"/>
          <w:iCs w:val="1"/>
          <w:color w:val="auto"/>
        </w:rPr>
        <w:t xml:space="preserve">Maintain sound financial practices to grow the distributions. </w:t>
      </w:r>
      <w:r>
        <w:rPr>
          <w:rFonts w:ascii="Arial" w:cs="Arial" w:eastAsia="Arial" w:hAnsi="Arial"/>
          <w:sz w:val="14"/>
          <w:szCs w:val="14"/>
          <w:color w:val="auto"/>
        </w:rPr>
        <w:t>The Company intends to maintain a commitment to disciplined financial analysis and a balanced capital structure to enable it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increase its distributions over time and serve the long-term interests of its unit 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distributions and maximize value. The Company intends to evaluate various alternatives for financing future acquisitions and refinancing of existing project-level debt, in each case, to reduce the cost of debt, extend maturities and maximize CAFD.</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40"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Strengths</w:t>
      </w:r>
    </w:p>
    <w:p>
      <w:pPr>
        <w:spacing w:after="0" w:line="140"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b w:val="1"/>
          <w:bCs w:val="1"/>
          <w:i w:val="1"/>
          <w:iCs w:val="1"/>
          <w:color w:val="auto"/>
        </w:rPr>
        <w:t xml:space="preserve">Stable, high quality cash flows. </w:t>
      </w:r>
      <w:r>
        <w:rPr>
          <w:rFonts w:ascii="Arial" w:cs="Arial" w:eastAsia="Arial" w:hAnsi="Arial"/>
          <w:sz w:val="13"/>
          <w:szCs w:val="13"/>
          <w:color w:val="auto"/>
        </w:rPr>
        <w:t>The Company’s facilities have a stable, predictable cash flow profile consisting of predominantly long-life electric generation assets that primarily sell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electricity under long-term fixed priced contracts or pursuant to regulated rates with investment-grade and certain other creditworthy counterparties. The majority of the Company’s facilities have minimal fuel risk. For the Company’s conventional assets currently contracted under tolling agreements, fuel is provided by the toll counterparty or the cost thereof is a pass-through cost under the Contract for Differences. When the tolling agreements expire, the conventional assets will need to procure their own fuel. The Renewable facilities have no fuel costs. The offtake agreements for the Company’s conventional and renewable generation facilities have a weighted-average remaining duration, based on CAFD, of approximately 11 years as of December 31, 2022, providing long-term cash flow stability. The Company’s generation offtake agreements with counterparties for whom credit ratings are available have a weighted-average Moody’s rating of Ba1 based on rated capacity under contract. All of the Company’s assets are in the U.S. and accordingly have no currency or repatriation risks.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8" w:name="page9"/>
    <w:bookmarkEnd w:id="8"/>
    <w:p>
      <w:pPr>
        <w:jc w:val="both"/>
        <w:ind w:firstLine="318"/>
        <w:spacing w:after="0" w:line="284" w:lineRule="auto"/>
        <w:rPr>
          <w:sz w:val="20"/>
          <w:szCs w:val="20"/>
          <w:color w:val="auto"/>
        </w:rPr>
      </w:pPr>
      <w:r>
        <w:rPr>
          <w:rFonts w:ascii="Arial" w:cs="Arial" w:eastAsia="Arial" w:hAnsi="Arial"/>
          <w:sz w:val="13"/>
          <w:szCs w:val="13"/>
          <w:b w:val="1"/>
          <w:bCs w:val="1"/>
          <w:i w:val="1"/>
          <w:iCs w:val="1"/>
          <w:color w:val="auto"/>
        </w:rPr>
        <w:t xml:space="preserve">Environmentally well-positioned portfolio of assets. </w:t>
      </w:r>
      <w:r>
        <w:rPr>
          <w:rFonts w:ascii="Arial" w:cs="Arial" w:eastAsia="Arial" w:hAnsi="Arial"/>
          <w:sz w:val="13"/>
          <w:szCs w:val="13"/>
          <w:color w:val="auto"/>
        </w:rPr>
        <w:t>The Company’s portfolio of electric generation assets consists of over 5,500 net MW of renewable generation capacity that are non-emitting sources of power generation. Additionally, the Company’s California conventional assets consist of efficient gas generation facilities that support electric system reliability.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spacing w:after="0" w:line="92"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b w:val="1"/>
          <w:bCs w:val="1"/>
          <w:i w:val="1"/>
          <w:iCs w:val="1"/>
          <w:color w:val="auto"/>
        </w:rPr>
        <w:t xml:space="preserve">High quality, long-lived assets with low operating and capital requirements. </w:t>
      </w:r>
      <w:r>
        <w:rPr>
          <w:rFonts w:ascii="Arial" w:cs="Arial" w:eastAsia="Arial" w:hAnsi="Arial"/>
          <w:sz w:val="13"/>
          <w:szCs w:val="13"/>
          <w:color w:val="auto"/>
        </w:rPr>
        <w:t>The Company benefits from a portfolio of relatively younger assets. The Company’s assets are largely comprised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proven and reliable technologies, provided by leading original solar and wind equipment manufacturers such as General Electric, Siemens AG, SunPower Corporation, or SunPower, First Solar Inc., or First Solar, Vestas, Mitsubishi, Trina Solar, JA Solar and Siemens Gamesa. Given the modern nature of the portfolio, which includes a substantial number of relatively low operating and maintenance cost solar and wind generation assets, the Company expects to achieve high fleet availability and expend modest maintenance-related capital expenditures.</w:t>
      </w:r>
    </w:p>
    <w:p>
      <w:pPr>
        <w:spacing w:after="0" w:line="8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b w:val="1"/>
          <w:bCs w:val="1"/>
          <w:i w:val="1"/>
          <w:iCs w:val="1"/>
          <w:color w:val="auto"/>
        </w:rPr>
        <w:t xml:space="preserve">Significant scale and diversity. </w:t>
      </w:r>
      <w:r>
        <w:rPr>
          <w:rFonts w:ascii="Arial" w:cs="Arial" w:eastAsia="Arial" w:hAnsi="Arial"/>
          <w:sz w:val="14"/>
          <w:szCs w:val="14"/>
          <w:color w:val="auto"/>
        </w:rPr>
        <w:t>The Company is one of the largest renewable energy owners in the U.S. with over 5,500 net MW of installed wind and solar generation projects. The Company’s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over 8,000 net MW of assets also includes approximately 2,500 net MW of environmentally-sound, highly efficient natural gas-fired generation facilities. The Company’s contracted renewable and conventional generation assets benefit from significant diversification in terms of technology, fuel type, counterparty and geography.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104"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b w:val="1"/>
          <w:bCs w:val="1"/>
          <w:i w:val="1"/>
          <w:iCs w:val="1"/>
          <w:color w:val="auto"/>
        </w:rPr>
        <w:t xml:space="preserve">Relationship with GIP, TotalEnergies and CEG. </w:t>
      </w:r>
      <w:r>
        <w:rPr>
          <w:rFonts w:ascii="Arial" w:cs="Arial" w:eastAsia="Arial" w:hAnsi="Arial"/>
          <w:sz w:val="13"/>
          <w:szCs w:val="13"/>
          <w:color w:val="auto"/>
        </w:rPr>
        <w:t>The Company believes that its relationship with GIP, TotalEnergies and CEG provides significant benefits. Global Infrastructure Management,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LLC, or GIM, the manager of GIP, is an independent infrastructure fund manager that makes equity and debt investments in infrastructure assets and businesses in both the Organization for Economic Co-operation and Development (OECD) and select emerging market countries. GIM has a strong track record of investment and value creation in the renewable energy sector. GIM also has extensive experience with publicly traded yield vehicles and development platforms, ranging from Europe’s first application of a yield company/development company model to the largest renewable platform in Asia-Pacific. TotalEnergies is a global multi-energy company that produces and markets energies in more than 130 countries. Additionally, the Company believes that CEG provides the Company access to a highly capable renewable development and operations platform that is aligned to support the Company’s growth.</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Review</w:t>
      </w:r>
    </w:p>
    <w:p>
      <w:pPr>
        <w:spacing w:after="0" w:line="14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 xml:space="preserve">The following tables summarize the Company’s operating revenues, net income (loss) and assets by segment for the years ended December 31, 2022, 2021 and 2020, as discussed in Item 15 — Note 13, </w:t>
      </w:r>
      <w:r>
        <w:rPr>
          <w:rFonts w:ascii="Arial" w:cs="Arial" w:eastAsia="Arial" w:hAnsi="Arial"/>
          <w:sz w:val="14"/>
          <w:szCs w:val="14"/>
          <w:i w:val="1"/>
          <w:iCs w:val="1"/>
          <w:color w:val="auto"/>
        </w:rPr>
        <w:t>Segment Reporting</w:t>
      </w:r>
      <w:r>
        <w:rPr>
          <w:rFonts w:ascii="Arial" w:cs="Arial" w:eastAsia="Arial" w:hAnsi="Arial"/>
          <w:sz w:val="14"/>
          <w:szCs w:val="14"/>
          <w:color w:val="auto"/>
        </w:rPr>
        <w: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1"/>
                <w:szCs w:val="11"/>
                <w:b w:val="1"/>
                <w:bCs w:val="1"/>
                <w:color w:val="auto"/>
              </w:rPr>
              <w:t>Year ended December 31, 2022</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60" w:type="dxa"/>
            <w:vAlign w:val="bottom"/>
          </w:tcPr>
          <w:p>
            <w:pPr>
              <w:spacing w:after="0"/>
              <w:rPr>
                <w:sz w:val="9"/>
                <w:szCs w:val="9"/>
                <w:color w:val="auto"/>
              </w:rPr>
            </w:pPr>
          </w:p>
        </w:tc>
        <w:tc>
          <w:tcPr>
            <w:tcW w:w="1080" w:type="dxa"/>
            <w:vAlign w:val="bottom"/>
            <w:gridSpan w:val="2"/>
          </w:tcPr>
          <w:p>
            <w:pPr>
              <w:ind w:left="80"/>
              <w:spacing w:after="0" w:line="110" w:lineRule="exact"/>
              <w:rPr>
                <w:sz w:val="20"/>
                <w:szCs w:val="20"/>
                <w:color w:val="auto"/>
              </w:rPr>
            </w:pPr>
            <w:r>
              <w:rPr>
                <w:rFonts w:ascii="Arial" w:cs="Arial" w:eastAsia="Arial" w:hAnsi="Arial"/>
                <w:sz w:val="11"/>
                <w:szCs w:val="11"/>
                <w:b w:val="1"/>
                <w:bCs w:val="1"/>
                <w:color w:val="auto"/>
              </w:rPr>
              <w:t>Conventional</w:t>
            </w:r>
          </w:p>
        </w:tc>
        <w:tc>
          <w:tcPr>
            <w:tcW w:w="180" w:type="dxa"/>
            <w:vAlign w:val="bottom"/>
          </w:tcPr>
          <w:p>
            <w:pPr>
              <w:spacing w:after="0"/>
              <w:rPr>
                <w:sz w:val="9"/>
                <w:szCs w:val="9"/>
                <w:color w:val="auto"/>
              </w:rPr>
            </w:pPr>
          </w:p>
        </w:tc>
        <w:tc>
          <w:tcPr>
            <w:tcW w:w="9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Renewables</w:t>
            </w:r>
          </w:p>
        </w:tc>
        <w:tc>
          <w:tcPr>
            <w:tcW w:w="10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restart"/>
          </w:tcPr>
          <w:p>
            <w:pPr>
              <w:jc w:val="right"/>
              <w:ind w:right="298"/>
              <w:spacing w:after="0"/>
              <w:rPr>
                <w:sz w:val="20"/>
                <w:szCs w:val="20"/>
                <w:color w:val="auto"/>
              </w:rPr>
            </w:pPr>
            <w:r>
              <w:rPr>
                <w:rFonts w:ascii="Arial" w:cs="Arial" w:eastAsia="Arial" w:hAnsi="Arial"/>
                <w:sz w:val="11"/>
                <w:szCs w:val="11"/>
                <w:b w:val="1"/>
                <w:bCs w:val="1"/>
                <w:color w:val="auto"/>
              </w:rPr>
              <w:t>Thermal</w:t>
            </w:r>
          </w:p>
        </w:tc>
        <w:tc>
          <w:tcPr>
            <w:tcW w:w="10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restart"/>
          </w:tcPr>
          <w:p>
            <w:pPr>
              <w:jc w:val="right"/>
              <w:ind w:right="238"/>
              <w:spacing w:after="0"/>
              <w:rPr>
                <w:sz w:val="20"/>
                <w:szCs w:val="20"/>
                <w:color w:val="auto"/>
              </w:rPr>
            </w:pPr>
            <w:r>
              <w:rPr>
                <w:rFonts w:ascii="Arial" w:cs="Arial" w:eastAsia="Arial" w:hAnsi="Arial"/>
                <w:sz w:val="11"/>
                <w:szCs w:val="11"/>
                <w:b w:val="1"/>
                <w:bCs w:val="1"/>
                <w:color w:val="auto"/>
              </w:rPr>
              <w:t>Corporate</w:t>
            </w:r>
          </w:p>
        </w:tc>
        <w:tc>
          <w:tcPr>
            <w:tcW w:w="100" w:type="dxa"/>
            <w:vAlign w:val="bottom"/>
            <w:vMerge w:val="restart"/>
          </w:tcPr>
          <w:p>
            <w:pPr>
              <w:spacing w:after="0"/>
              <w:rPr>
                <w:sz w:val="9"/>
                <w:szCs w:val="9"/>
                <w:color w:val="auto"/>
              </w:rPr>
            </w:pPr>
          </w:p>
        </w:tc>
        <w:tc>
          <w:tcPr>
            <w:tcW w:w="260" w:type="dxa"/>
            <w:vAlign w:val="bottom"/>
            <w:vMerge w:val="restart"/>
          </w:tcPr>
          <w:p>
            <w:pPr>
              <w:spacing w:after="0"/>
              <w:rPr>
                <w:sz w:val="9"/>
                <w:szCs w:val="9"/>
                <w:color w:val="auto"/>
              </w:rPr>
            </w:pPr>
          </w:p>
        </w:tc>
        <w:tc>
          <w:tcPr>
            <w:tcW w:w="880" w:type="dxa"/>
            <w:vAlign w:val="bottom"/>
            <w:vMerge w:val="restart"/>
          </w:tcPr>
          <w:p>
            <w:pPr>
              <w:jc w:val="right"/>
              <w:ind w:right="37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1"/>
        </w:trPr>
        <w:tc>
          <w:tcPr>
            <w:tcW w:w="524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Generation</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revenues</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gridSpan w:val="3"/>
            <w:shd w:val="clear" w:color="auto" w:fill="CCEEFF"/>
          </w:tcPr>
          <w:p>
            <w:pPr>
              <w:ind w:left="740"/>
              <w:spacing w:after="0"/>
              <w:rPr>
                <w:sz w:val="20"/>
                <w:szCs w:val="20"/>
                <w:color w:val="auto"/>
              </w:rPr>
            </w:pPr>
            <w:r>
              <w:rPr>
                <w:rFonts w:ascii="Arial" w:cs="Arial" w:eastAsia="Arial" w:hAnsi="Arial"/>
                <w:sz w:val="13"/>
                <w:szCs w:val="13"/>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w:t>
            </w:r>
          </w:p>
        </w:tc>
        <w:tc>
          <w:tcPr>
            <w:tcW w:w="0" w:type="dxa"/>
            <w:vAlign w:val="bottom"/>
          </w:tcPr>
          <w:p>
            <w:pPr>
              <w:spacing w:after="0"/>
              <w:rPr>
                <w:sz w:val="1"/>
                <w:szCs w:val="1"/>
                <w:color w:val="auto"/>
              </w:rPr>
            </w:pPr>
          </w:p>
        </w:tc>
      </w:tr>
      <w:tr>
        <w:trPr>
          <w:trHeight w:val="170"/>
        </w:trPr>
        <w:tc>
          <w:tcPr>
            <w:tcW w:w="524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Net income (loss) </w:t>
            </w:r>
            <w:r>
              <w:rPr>
                <w:rFonts w:ascii="Arial" w:cs="Arial" w:eastAsia="Arial" w:hAnsi="Arial"/>
                <w:sz w:val="16"/>
                <w:szCs w:val="16"/>
                <w:color w:val="auto"/>
                <w:vertAlign w:val="superscript"/>
              </w:rPr>
              <w:t>(a)</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1,162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1,282</w:t>
            </w:r>
          </w:p>
        </w:tc>
        <w:tc>
          <w:tcPr>
            <w:tcW w:w="0" w:type="dxa"/>
            <w:vAlign w:val="bottom"/>
          </w:tcPr>
          <w:p>
            <w:pPr>
              <w:spacing w:after="0"/>
              <w:rPr>
                <w:sz w:val="1"/>
                <w:szCs w:val="1"/>
                <w:color w:val="auto"/>
              </w:rPr>
            </w:pPr>
          </w:p>
        </w:tc>
      </w:t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12,312</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20" w:hanging="115"/>
        <w:spacing w:after="0"/>
        <w:tabs>
          <w:tab w:leader="none" w:pos="120" w:val="left"/>
        </w:tabs>
        <w:numPr>
          <w:ilvl w:val="0"/>
          <w:numId w:val="3"/>
        </w:numPr>
        <w:rPr>
          <w:rFonts w:ascii="Arial" w:cs="Arial" w:eastAsia="Arial" w:hAnsi="Arial"/>
          <w:sz w:val="14"/>
          <w:szCs w:val="14"/>
          <w:color w:val="auto"/>
          <w:vertAlign w:val="superscript"/>
        </w:rPr>
      </w:pPr>
      <w:r>
        <w:rPr>
          <w:rFonts w:ascii="Arial" w:cs="Arial" w:eastAsia="Arial" w:hAnsi="Arial"/>
          <w:sz w:val="10"/>
          <w:szCs w:val="10"/>
          <w:color w:val="auto"/>
        </w:rPr>
        <w:t>Corporate net income includes the $1.29 million gain on the sale of the Thermal Business to KKR, which was completed on May 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1"/>
                <w:szCs w:val="11"/>
                <w:b w:val="1"/>
                <w:bCs w:val="1"/>
                <w:color w:val="auto"/>
              </w:rPr>
              <w:t>Year ended December 31, 2021</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60" w:type="dxa"/>
            <w:vAlign w:val="bottom"/>
          </w:tcPr>
          <w:p>
            <w:pPr>
              <w:spacing w:after="0"/>
              <w:rPr>
                <w:sz w:val="9"/>
                <w:szCs w:val="9"/>
                <w:color w:val="auto"/>
              </w:rPr>
            </w:pPr>
          </w:p>
        </w:tc>
        <w:tc>
          <w:tcPr>
            <w:tcW w:w="1080" w:type="dxa"/>
            <w:vAlign w:val="bottom"/>
            <w:gridSpan w:val="2"/>
          </w:tcPr>
          <w:p>
            <w:pPr>
              <w:ind w:left="80"/>
              <w:spacing w:after="0" w:line="110" w:lineRule="exact"/>
              <w:rPr>
                <w:sz w:val="20"/>
                <w:szCs w:val="20"/>
                <w:color w:val="auto"/>
              </w:rPr>
            </w:pPr>
            <w:r>
              <w:rPr>
                <w:rFonts w:ascii="Arial" w:cs="Arial" w:eastAsia="Arial" w:hAnsi="Arial"/>
                <w:sz w:val="11"/>
                <w:szCs w:val="11"/>
                <w:b w:val="1"/>
                <w:bCs w:val="1"/>
                <w:color w:val="auto"/>
              </w:rPr>
              <w:t>Conventional</w:t>
            </w:r>
          </w:p>
        </w:tc>
        <w:tc>
          <w:tcPr>
            <w:tcW w:w="180" w:type="dxa"/>
            <w:vAlign w:val="bottom"/>
          </w:tcPr>
          <w:p>
            <w:pPr>
              <w:spacing w:after="0"/>
              <w:rPr>
                <w:sz w:val="9"/>
                <w:szCs w:val="9"/>
                <w:color w:val="auto"/>
              </w:rPr>
            </w:pPr>
          </w:p>
        </w:tc>
        <w:tc>
          <w:tcPr>
            <w:tcW w:w="940" w:type="dxa"/>
            <w:vAlign w:val="bottom"/>
            <w:vMerge w:val="restart"/>
          </w:tcPr>
          <w:p>
            <w:pPr>
              <w:jc w:val="right"/>
              <w:ind w:right="219"/>
              <w:spacing w:after="0"/>
              <w:rPr>
                <w:sz w:val="20"/>
                <w:szCs w:val="20"/>
                <w:color w:val="auto"/>
              </w:rPr>
            </w:pPr>
            <w:r>
              <w:rPr>
                <w:rFonts w:ascii="Arial" w:cs="Arial" w:eastAsia="Arial" w:hAnsi="Arial"/>
                <w:sz w:val="11"/>
                <w:szCs w:val="11"/>
                <w:b w:val="1"/>
                <w:bCs w:val="1"/>
                <w:color w:val="auto"/>
              </w:rPr>
              <w:t>Renewables</w:t>
            </w:r>
          </w:p>
        </w:tc>
        <w:tc>
          <w:tcPr>
            <w:tcW w:w="10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restart"/>
          </w:tcPr>
          <w:p>
            <w:pPr>
              <w:jc w:val="right"/>
              <w:ind w:right="298"/>
              <w:spacing w:after="0"/>
              <w:rPr>
                <w:sz w:val="20"/>
                <w:szCs w:val="20"/>
                <w:color w:val="auto"/>
              </w:rPr>
            </w:pPr>
            <w:r>
              <w:rPr>
                <w:rFonts w:ascii="Arial" w:cs="Arial" w:eastAsia="Arial" w:hAnsi="Arial"/>
                <w:sz w:val="11"/>
                <w:szCs w:val="11"/>
                <w:b w:val="1"/>
                <w:bCs w:val="1"/>
                <w:color w:val="auto"/>
              </w:rPr>
              <w:t>Thermal</w:t>
            </w:r>
          </w:p>
        </w:tc>
        <w:tc>
          <w:tcPr>
            <w:tcW w:w="10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Corporate</w:t>
            </w:r>
          </w:p>
        </w:tc>
        <w:tc>
          <w:tcPr>
            <w:tcW w:w="100" w:type="dxa"/>
            <w:vAlign w:val="bottom"/>
            <w:vMerge w:val="restart"/>
          </w:tcPr>
          <w:p>
            <w:pPr>
              <w:spacing w:after="0"/>
              <w:rPr>
                <w:sz w:val="9"/>
                <w:szCs w:val="9"/>
                <w:color w:val="auto"/>
              </w:rPr>
            </w:pPr>
          </w:p>
        </w:tc>
        <w:tc>
          <w:tcPr>
            <w:tcW w:w="260" w:type="dxa"/>
            <w:vAlign w:val="bottom"/>
            <w:vMerge w:val="restart"/>
          </w:tcPr>
          <w:p>
            <w:pPr>
              <w:spacing w:after="0"/>
              <w:rPr>
                <w:sz w:val="9"/>
                <w:szCs w:val="9"/>
                <w:color w:val="auto"/>
              </w:rPr>
            </w:pPr>
          </w:p>
        </w:tc>
        <w:tc>
          <w:tcPr>
            <w:tcW w:w="880" w:type="dxa"/>
            <w:vAlign w:val="bottom"/>
            <w:vMerge w:val="restart"/>
          </w:tcPr>
          <w:p>
            <w:pPr>
              <w:jc w:val="right"/>
              <w:ind w:right="37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1"/>
        </w:trPr>
        <w:tc>
          <w:tcPr>
            <w:tcW w:w="524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1"/>
                <w:szCs w:val="11"/>
                <w:b w:val="1"/>
                <w:bCs w:val="1"/>
                <w:color w:val="auto"/>
              </w:rPr>
              <w:t>Generation</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revenues</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gridSpan w:val="3"/>
            <w:shd w:val="clear" w:color="auto" w:fill="CCEEFF"/>
          </w:tcPr>
          <w:p>
            <w:pPr>
              <w:ind w:left="740"/>
              <w:spacing w:after="0"/>
              <w:rPr>
                <w:sz w:val="20"/>
                <w:szCs w:val="20"/>
                <w:color w:val="auto"/>
              </w:rPr>
            </w:pPr>
            <w:r>
              <w:rPr>
                <w:rFonts w:ascii="Arial" w:cs="Arial" w:eastAsia="Arial" w:hAnsi="Arial"/>
                <w:sz w:val="13"/>
                <w:szCs w:val="13"/>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w:t>
            </w:r>
          </w:p>
        </w:tc>
        <w:tc>
          <w:tcPr>
            <w:tcW w:w="0" w:type="dxa"/>
            <w:vAlign w:val="bottom"/>
          </w:tcPr>
          <w:p>
            <w:pPr>
              <w:spacing w:after="0"/>
              <w:rPr>
                <w:sz w:val="1"/>
                <w:szCs w:val="1"/>
                <w:color w:val="auto"/>
              </w:rPr>
            </w:pPr>
          </w:p>
        </w:tc>
      </w:t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56"/>
        </w:trPr>
        <w:tc>
          <w:tcPr>
            <w:tcW w:w="5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1"/>
                <w:szCs w:val="11"/>
                <w:b w:val="1"/>
                <w:bCs w:val="1"/>
                <w:color w:val="auto"/>
              </w:rPr>
              <w:t>Year ended December 31, 2020</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60" w:type="dxa"/>
            <w:vAlign w:val="bottom"/>
          </w:tcPr>
          <w:p>
            <w:pPr>
              <w:spacing w:after="0"/>
              <w:rPr>
                <w:sz w:val="9"/>
                <w:szCs w:val="9"/>
                <w:color w:val="auto"/>
              </w:rPr>
            </w:pPr>
          </w:p>
        </w:tc>
        <w:tc>
          <w:tcPr>
            <w:tcW w:w="1080" w:type="dxa"/>
            <w:vAlign w:val="bottom"/>
            <w:gridSpan w:val="2"/>
          </w:tcPr>
          <w:p>
            <w:pPr>
              <w:ind w:left="80"/>
              <w:spacing w:after="0" w:line="110" w:lineRule="exact"/>
              <w:rPr>
                <w:sz w:val="20"/>
                <w:szCs w:val="20"/>
                <w:color w:val="auto"/>
              </w:rPr>
            </w:pPr>
            <w:r>
              <w:rPr>
                <w:rFonts w:ascii="Arial" w:cs="Arial" w:eastAsia="Arial" w:hAnsi="Arial"/>
                <w:sz w:val="11"/>
                <w:szCs w:val="11"/>
                <w:b w:val="1"/>
                <w:bCs w:val="1"/>
                <w:color w:val="auto"/>
              </w:rPr>
              <w:t>Conventional</w:t>
            </w:r>
          </w:p>
        </w:tc>
        <w:tc>
          <w:tcPr>
            <w:tcW w:w="180" w:type="dxa"/>
            <w:vAlign w:val="bottom"/>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Renewables</w:t>
            </w:r>
          </w:p>
        </w:tc>
        <w:tc>
          <w:tcPr>
            <w:tcW w:w="10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restart"/>
          </w:tcPr>
          <w:p>
            <w:pPr>
              <w:jc w:val="right"/>
              <w:ind w:right="299"/>
              <w:spacing w:after="0"/>
              <w:rPr>
                <w:sz w:val="20"/>
                <w:szCs w:val="20"/>
                <w:color w:val="auto"/>
              </w:rPr>
            </w:pPr>
            <w:r>
              <w:rPr>
                <w:rFonts w:ascii="Arial" w:cs="Arial" w:eastAsia="Arial" w:hAnsi="Arial"/>
                <w:sz w:val="11"/>
                <w:szCs w:val="11"/>
                <w:b w:val="1"/>
                <w:bCs w:val="1"/>
                <w:color w:val="auto"/>
              </w:rPr>
              <w:t>Thermal</w:t>
            </w:r>
          </w:p>
        </w:tc>
        <w:tc>
          <w:tcPr>
            <w:tcW w:w="10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vMerge w:val="restart"/>
          </w:tcPr>
          <w:p>
            <w:pPr>
              <w:jc w:val="right"/>
              <w:ind w:right="239"/>
              <w:spacing w:after="0"/>
              <w:rPr>
                <w:sz w:val="20"/>
                <w:szCs w:val="20"/>
                <w:color w:val="auto"/>
              </w:rPr>
            </w:pPr>
            <w:r>
              <w:rPr>
                <w:rFonts w:ascii="Arial" w:cs="Arial" w:eastAsia="Arial" w:hAnsi="Arial"/>
                <w:sz w:val="11"/>
                <w:szCs w:val="11"/>
                <w:b w:val="1"/>
                <w:bCs w:val="1"/>
                <w:color w:val="auto"/>
              </w:rPr>
              <w:t>Corporate</w:t>
            </w:r>
          </w:p>
        </w:tc>
        <w:tc>
          <w:tcPr>
            <w:tcW w:w="100" w:type="dxa"/>
            <w:vAlign w:val="bottom"/>
            <w:vMerge w:val="restart"/>
          </w:tcPr>
          <w:p>
            <w:pPr>
              <w:spacing w:after="0"/>
              <w:rPr>
                <w:sz w:val="9"/>
                <w:szCs w:val="9"/>
                <w:color w:val="auto"/>
              </w:rPr>
            </w:pPr>
          </w:p>
        </w:tc>
        <w:tc>
          <w:tcPr>
            <w:tcW w:w="260" w:type="dxa"/>
            <w:vAlign w:val="bottom"/>
            <w:vMerge w:val="restart"/>
          </w:tcPr>
          <w:p>
            <w:pPr>
              <w:spacing w:after="0"/>
              <w:rPr>
                <w:sz w:val="9"/>
                <w:szCs w:val="9"/>
                <w:color w:val="auto"/>
              </w:rPr>
            </w:pPr>
          </w:p>
        </w:tc>
        <w:tc>
          <w:tcPr>
            <w:tcW w:w="880" w:type="dxa"/>
            <w:vAlign w:val="bottom"/>
            <w:vMerge w:val="restart"/>
          </w:tcPr>
          <w:p>
            <w:pPr>
              <w:jc w:val="right"/>
              <w:ind w:right="37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1"/>
        </w:trPr>
        <w:tc>
          <w:tcPr>
            <w:tcW w:w="524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1"/>
                <w:szCs w:val="11"/>
                <w:b w:val="1"/>
                <w:bCs w:val="1"/>
                <w:color w:val="auto"/>
              </w:rPr>
              <w:t>Generation</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revenues</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80" w:type="dxa"/>
            <w:vAlign w:val="bottom"/>
            <w:gridSpan w:val="3"/>
            <w:shd w:val="clear" w:color="auto" w:fill="CCEEFF"/>
          </w:tcPr>
          <w:p>
            <w:pPr>
              <w:ind w:left="740"/>
              <w:spacing w:after="0"/>
              <w:rPr>
                <w:sz w:val="20"/>
                <w:szCs w:val="20"/>
                <w:color w:val="auto"/>
              </w:rPr>
            </w:pPr>
            <w:r>
              <w:rPr>
                <w:rFonts w:ascii="Arial" w:cs="Arial" w:eastAsia="Arial" w:hAnsi="Arial"/>
                <w:sz w:val="13"/>
                <w:szCs w:val="13"/>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w:t>
            </w:r>
          </w:p>
        </w:tc>
        <w:tc>
          <w:tcPr>
            <w:tcW w:w="0" w:type="dxa"/>
            <w:vAlign w:val="bottom"/>
          </w:tcPr>
          <w:p>
            <w:pPr>
              <w:spacing w:after="0"/>
              <w:rPr>
                <w:sz w:val="1"/>
                <w:szCs w:val="1"/>
                <w:color w:val="auto"/>
              </w:rPr>
            </w:pPr>
          </w:p>
        </w:tc>
      </w:tr>
      <w:tr>
        <w:trPr>
          <w:trHeight w:val="165"/>
        </w:trPr>
        <w:tc>
          <w:tcPr>
            <w:tcW w:w="52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Policy Incentives</w:t>
      </w:r>
    </w:p>
    <w:p>
      <w:pPr>
        <w:spacing w:after="0" w:line="14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231F20"/>
        </w:rPr>
        <w:t>U.S. federal, state and local governments have established various policy incentives to support the development, financing, ownership and operation of renewable energy projects. These incentives include PTCs, ITCs, accelerated tax depreciation, cash grants, tax abatements and RPS programs which have the effect of decreasing the costs and risks associated with developing and operating such projects or creating demand for renewable energy assets. In particular,</w:t>
      </w:r>
    </w:p>
    <w:p>
      <w:pPr>
        <w:spacing w:after="0" w:line="57" w:lineRule="exact"/>
        <w:rPr>
          <w:sz w:val="20"/>
          <w:szCs w:val="20"/>
          <w:color w:val="auto"/>
        </w:rPr>
      </w:pPr>
    </w:p>
    <w:p>
      <w:pPr>
        <w:jc w:val="both"/>
        <w:ind w:left="520" w:hanging="260"/>
        <w:spacing w:after="0" w:line="278" w:lineRule="auto"/>
        <w:tabs>
          <w:tab w:leader="none" w:pos="516" w:val="left"/>
        </w:tabs>
        <w:numPr>
          <w:ilvl w:val="0"/>
          <w:numId w:val="4"/>
        </w:numPr>
        <w:rPr>
          <w:rFonts w:ascii="Arial" w:cs="Arial" w:eastAsia="Arial" w:hAnsi="Arial"/>
          <w:sz w:val="13"/>
          <w:szCs w:val="13"/>
          <w:color w:val="231F20"/>
        </w:rPr>
      </w:pPr>
      <w:r>
        <w:rPr>
          <w:rFonts w:ascii="Arial" w:cs="Arial" w:eastAsia="Arial" w:hAnsi="Arial"/>
          <w:sz w:val="13"/>
          <w:szCs w:val="13"/>
          <w:color w:val="231F20"/>
        </w:rPr>
        <w:t>Owners of wind facilities are eligible to claim the PTC, or an ITC in lieu of the PTC, provided that certain requirements are met. Similarly, owners of solar facilities are eligible to claim the ITC or, for facilities placed in service after August 16, 2022, the PTC, or an ITC in lieu of the PTC, provided certain requirements are met. Additionally, owners of energy storage facilities are eligible to claim the ITC for facilities placed in service after December 31, 2022, provided certain requirements are met. The PTC is an annual credit that is based on the amount of electricity sold by the facility during the first ten years after the facility is first placed in service. The ITC is a one-time credit that is based on a percentage of the cost of the facility and is claimed for the tax year in which the facility is first placed in service. Depending on the type of taxpayer, the PTC or ITC may be sold to an unrelated third party for cash, or in certain cases, direct payment from the government may be received. In order to qualify for the full amount of these credits in the case of facilities whose construction begins on or after January 29, 2023, certain prevailing wage and apprenticeship requirements generally must be satisfied, the details of which have been released only in part with additional details expected in future guidance. For facilities that begin construction after December 31, 2024, the PTC and ITC will no longer apply and such facilities may instead be eligible for the clean electricity production credit or clean electricity investment credit, respectively. In order to qualify for these new credits, the facility’s greenhouse gas emissions cannot be greater than zero.</w:t>
      </w:r>
    </w:p>
    <w:p>
      <w:pPr>
        <w:spacing w:after="0" w:line="11" w:lineRule="exact"/>
        <w:rPr>
          <w:rFonts w:ascii="Arial" w:cs="Arial" w:eastAsia="Arial" w:hAnsi="Arial"/>
          <w:sz w:val="13"/>
          <w:szCs w:val="13"/>
          <w:color w:val="231F20"/>
        </w:rPr>
      </w:pPr>
    </w:p>
    <w:p>
      <w:pPr>
        <w:jc w:val="both"/>
        <w:ind w:left="520" w:hanging="260"/>
        <w:spacing w:after="0" w:line="262" w:lineRule="auto"/>
        <w:tabs>
          <w:tab w:leader="none" w:pos="516"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Pursuant to the U.S. federal Modified Accelerated Cost Recovery System, or MACRS, wind and solar projects are generally depreciable for tax purposes over a five-year period (before taking into account certain conventions) even though the useful life of such projects is generally much longer than five years. The Tax Act also provides for immediate and 100% expensing and deductibility for eligible property acquired and placed in service after September 27, 2017, and before January 1, 2023, with phase downs permitting 80%, 60%, 40% and 20% expensing and deductibility for property acquired and placed in service during 2023, 2024, 2025 and 2026, respectively.</w:t>
      </w:r>
    </w:p>
    <w:p>
      <w:pPr>
        <w:spacing w:after="0" w:line="18" w:lineRule="exact"/>
        <w:rPr>
          <w:rFonts w:ascii="Arial" w:cs="Arial" w:eastAsia="Arial" w:hAnsi="Arial"/>
          <w:sz w:val="14"/>
          <w:szCs w:val="14"/>
          <w:color w:val="231F20"/>
        </w:rPr>
      </w:pPr>
    </w:p>
    <w:p>
      <w:pPr>
        <w:jc w:val="both"/>
        <w:ind w:left="520" w:hanging="260"/>
        <w:spacing w:after="0" w:line="267" w:lineRule="auto"/>
        <w:tabs>
          <w:tab w:leader="none" w:pos="516" w:val="left"/>
        </w:tabs>
        <w:numPr>
          <w:ilvl w:val="0"/>
          <w:numId w:val="4"/>
        </w:numPr>
        <w:rPr>
          <w:rFonts w:ascii="Arial" w:cs="Arial" w:eastAsia="Arial" w:hAnsi="Arial"/>
          <w:sz w:val="14"/>
          <w:szCs w:val="14"/>
          <w:color w:val="231F20"/>
        </w:rPr>
      </w:pPr>
      <w:r>
        <w:rPr>
          <w:rFonts w:ascii="Arial" w:cs="Arial" w:eastAsia="Arial" w:hAnsi="Arial"/>
          <w:sz w:val="14"/>
          <w:szCs w:val="14"/>
          <w:color w:val="231F20"/>
        </w:rPr>
        <w:t>RPS programs,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spacing w:after="0" w:line="9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elimination of, loss of, or reduction in, the incentives discussed above could decrease the attractiveness of renewable energy projects to developers, including, but not limited to, CEG, which could reduce the Company's acquisition or development opportunities. Such an elimination, loss or reduction could also reduce the Company’s willingness to pursue or develop certain renewable energy projects due to higher operating costs or decreased revenues under its PPAs.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Matters</w:t>
      </w:r>
    </w:p>
    <w:p>
      <w:pPr>
        <w:spacing w:after="0" w:line="140"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4"/>
          <w:szCs w:val="14"/>
          <w:color w:val="auto"/>
        </w:rPr>
        <w:t>As owners of power plants and participants in wholesale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0" w:name="page11"/>
    <w:bookmarkEnd w:id="10"/>
    <w:p>
      <w:pPr>
        <w:ind w:left="320"/>
        <w:spacing w:after="0"/>
        <w:rPr>
          <w:sz w:val="20"/>
          <w:szCs w:val="20"/>
          <w:color w:val="auto"/>
        </w:rPr>
      </w:pPr>
      <w:r>
        <w:rPr>
          <w:rFonts w:ascii="Arial" w:cs="Arial" w:eastAsia="Arial" w:hAnsi="Arial"/>
          <w:sz w:val="14"/>
          <w:szCs w:val="14"/>
          <w:b w:val="1"/>
          <w:bCs w:val="1"/>
          <w:i w:val="1"/>
          <w:iCs w:val="1"/>
          <w:color w:val="auto"/>
        </w:rPr>
        <w:t>FERC</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FERC, among other things, regulates the transmission and the wholesale sale of electricity in interstate commerce under the authority of the FPA. The transmission and sale of electric energy occurring wholly within ERCOT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U.S. generating facilities qualifies as either an EWG or QF.</w:t>
      </w:r>
    </w:p>
    <w:p>
      <w:pPr>
        <w:spacing w:after="0" w:line="10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are just and reasonable.</w:t>
      </w:r>
    </w:p>
    <w:p>
      <w:pPr>
        <w:spacing w:after="0" w:line="9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Public utilities are required to obtain FERC’s acceptance, pursuant to Section 205 of the FPA, of their rate schedules for the wholesale sale of electricity. Several of the Company’s QF generating facilities and all of the Company’s non-QF generating facilities located in the U.S. outside of ERCOT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spacing w:after="0" w:line="10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with such authority delegated in part to regional reliability entities charged with enforcement of mandatory reliability standards for the region which they are responsible for overseeing.</w:t>
      </w:r>
    </w:p>
    <w:p>
      <w:pPr>
        <w:spacing w:after="0" w:line="9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spacing w:after="0" w:line="9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PUHCA provides FERC with certain authority over and access to books and records of public utility holding companies not otherwise exempt by virtue of their ownership of EWGs and QFs. The Company is exempt from many of the accounting, record retention, and reporting requirements of the PUHCA.</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Matters</w:t>
      </w:r>
    </w:p>
    <w:p>
      <w:pPr>
        <w:spacing w:after="0" w:line="140"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89"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A number of regulations that may affect the Company are under review for potential revision or rescission in 2023. The Company will evaluate the impact of the legislation and regulations as they are revised but cannot fully predict the impact of each until anticipated revisions and legal challenges are resolved. To the extent that proposed legislation and new or revised regulations restrict or otherwise impact the Company’s operations, the proposed legislation and regulations could have a negative impact on the Company’s financial performance.</w:t>
      </w:r>
    </w:p>
    <w:p>
      <w:pPr>
        <w:spacing w:after="0" w:line="82"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i w:val="1"/>
          <w:iCs w:val="1"/>
          <w:color w:val="auto"/>
        </w:rPr>
        <w:t xml:space="preserve">Proposed Federal MBTA Incidental Take Legislation and Regulations </w:t>
      </w:r>
      <w:r>
        <w:rPr>
          <w:rFonts w:ascii="Arial" w:cs="Arial" w:eastAsia="Arial" w:hAnsi="Arial"/>
          <w:sz w:val="13"/>
          <w:szCs w:val="13"/>
          <w:color w:val="auto"/>
        </w:rPr>
        <w:t>— On October 4, 2021, U.S. Fish and Wildlife Service (FWS) issued the final MBTA rule, effective December 3, 2021,</w:t>
      </w:r>
      <w:r>
        <w:rPr>
          <w:rFonts w:ascii="Arial" w:cs="Arial" w:eastAsia="Arial" w:hAnsi="Arial"/>
          <w:sz w:val="13"/>
          <w:szCs w:val="13"/>
          <w:i w:val="1"/>
          <w:iCs w:val="1"/>
          <w:color w:val="auto"/>
        </w:rPr>
        <w:t xml:space="preserve"> </w:t>
      </w:r>
      <w:r>
        <w:rPr>
          <w:rFonts w:ascii="Arial" w:cs="Arial" w:eastAsia="Arial" w:hAnsi="Arial"/>
          <w:sz w:val="13"/>
          <w:szCs w:val="13"/>
          <w:color w:val="auto"/>
        </w:rPr>
        <w:t>restoring the MBTA to prohibit the incidental take of migratory birds. In 2021, FWS issued an advance notice of proposed rulemaking (ANPR) advising that it intends to gather information necessary to develop proposed regulations to authorize the incidental take of migratory birds under prescribed conditions and prepare a draft environmental review pursuant to the National Environmental Policy Act. Throughout 2022, FWS sought comments on the content of the proposed rule. The Company worked with renewable industry groups to provide comments on the proposed rule development. FWS is currently considering how to draft the rule and expects to issue the notice of proposed rulemaking early in 2023.</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1" w:name="page12"/>
    <w:bookmarkEnd w:id="11"/>
    <w:p>
      <w:pPr>
        <w:jc w:val="both"/>
        <w:ind w:firstLine="318"/>
        <w:spacing w:after="0" w:line="262" w:lineRule="auto"/>
        <w:rPr>
          <w:sz w:val="20"/>
          <w:szCs w:val="20"/>
          <w:color w:val="auto"/>
        </w:rPr>
      </w:pPr>
      <w:r>
        <w:rPr>
          <w:rFonts w:ascii="Arial" w:cs="Arial" w:eastAsia="Arial" w:hAnsi="Arial"/>
          <w:sz w:val="14"/>
          <w:szCs w:val="14"/>
          <w:i w:val="1"/>
          <w:iCs w:val="1"/>
          <w:color w:val="auto"/>
        </w:rPr>
        <w:t xml:space="preserve">Proposed Federal Eagle Incidental Take Permit Proposed Rule </w:t>
      </w:r>
      <w:r>
        <w:rPr>
          <w:rFonts w:ascii="Arial" w:cs="Arial" w:eastAsia="Arial" w:hAnsi="Arial"/>
          <w:sz w:val="14"/>
          <w:szCs w:val="14"/>
          <w:color w:val="auto"/>
        </w:rPr>
        <w:t>— On September 30, 2022, FWS published in the Federal Register a draft rule revising the eagle incidental take permit program.</w:t>
      </w:r>
      <w:r>
        <w:rPr>
          <w:rFonts w:ascii="Arial" w:cs="Arial" w:eastAsia="Arial" w:hAnsi="Arial"/>
          <w:sz w:val="14"/>
          <w:szCs w:val="14"/>
          <w:i w:val="1"/>
          <w:iCs w:val="1"/>
          <w:color w:val="auto"/>
        </w:rPr>
        <w:t xml:space="preserve"> </w:t>
      </w:r>
      <w:r>
        <w:rPr>
          <w:rFonts w:ascii="Arial" w:cs="Arial" w:eastAsia="Arial" w:hAnsi="Arial"/>
          <w:sz w:val="14"/>
          <w:szCs w:val="14"/>
          <w:color w:val="auto"/>
        </w:rPr>
        <w:t>Comments on the revised rule were due by the end of November 2022, but a 30-day extension was issued with final comments due by December 30, 2022. The Company worked with renewable industry groups to provide comments on the proposed rule in advance of the cut-off date. FWS is currently reviewing comments and it is not clear how the comments will be incorporated into the final rule or how FWS will structure the revisions to the eagle incidental take permit program.</w:t>
      </w:r>
    </w:p>
    <w:p>
      <w:pPr>
        <w:spacing w:after="0" w:line="103"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i w:val="1"/>
          <w:iCs w:val="1"/>
          <w:color w:val="auto"/>
        </w:rPr>
        <w:t xml:space="preserve">Local California Air District Rules </w:t>
      </w:r>
      <w:r>
        <w:rPr>
          <w:rFonts w:ascii="Arial" w:cs="Arial" w:eastAsia="Arial" w:hAnsi="Arial"/>
          <w:sz w:val="13"/>
          <w:szCs w:val="13"/>
          <w:color w:val="auto"/>
        </w:rPr>
        <w:t>— Air districts have proposed updates to its respective rules to amend, as applicable, Best Available Control Technology criteria for stationary emissions</w:t>
      </w:r>
      <w:r>
        <w:rPr>
          <w:rFonts w:ascii="Arial" w:cs="Arial" w:eastAsia="Arial" w:hAnsi="Arial"/>
          <w:sz w:val="13"/>
          <w:szCs w:val="13"/>
          <w:i w:val="1"/>
          <w:iCs w:val="1"/>
          <w:color w:val="auto"/>
        </w:rPr>
        <w:t xml:space="preserve"> </w:t>
      </w:r>
      <w:r>
        <w:rPr>
          <w:rFonts w:ascii="Arial" w:cs="Arial" w:eastAsia="Arial" w:hAnsi="Arial"/>
          <w:sz w:val="13"/>
          <w:szCs w:val="13"/>
          <w:color w:val="auto"/>
        </w:rPr>
        <w:t>sources including gas turbines, Toxic Air Contaminant Health Risk reporting and general reporting requirements. Rulemaking in the Los Angeles Air Basin, as regulated by South Coast Air Quality Management District, or SCAQMD, continues to update command-and-control regulations that limit NOx emissions for stationary sources in preparation for sunsetting SCAQMD’s Regional Clean Air Market, or RECLAIM, NOx cap and trade program in the next few years. The Company’s conventional generation plants meet the district’s existing and proposed amendments to command-and-control regulations. Proposed updates to local California Air District Rules are not expected to affect the operations nor compliance of the Company’s conventional generation plants.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w:t>
      </w:r>
    </w:p>
    <w:p>
      <w:pPr>
        <w:spacing w:after="0" w:line="14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Company sells its electricity and environmental attributes, including RECs, primarily to local utilities under contractual arrangements. During the year ended December 31, 2022, the Company derived approximately 33% of its consolidated revenue from Southern California Edison, or SCE, and approximately 25% of its consolidated revenue from PG&amp;E.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As of December 31, 2022, the Company had 58 employees. The Company also depends upon personnel of CEG for the provision of asset management, administration and O&amp;M services.</w:t>
      </w:r>
    </w:p>
    <w:p>
      <w:pPr>
        <w:spacing w:after="0" w:line="137"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The Company focuses on attracting, developing and retaining a team of highly talented and motivated employees. The Company regularly conducts assessments of its compensation and benefit practices and pay levels to help ensure that staff members are compensated equitably and competitively. The Company devotes extensive resources to staff development and training, including tuition assistance for career-enhancing academic and professional programs. Employee performance is measured in part based on goals that are aligned with the Company’s annual objectives. The Company recognizes that its success is based on the talents and dedication of those it employs, and the Company is highly invested in their success.</w:t>
      </w:r>
    </w:p>
    <w:p>
      <w:pPr>
        <w:spacing w:after="0" w:line="8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Company is committed to maintaining a workplace that acknowledges, encourages, and values diversity and inclusion and provides its employees with unconscious bias training. The Company believes that individual differences, experiences, and strengths enrich the culture and fabric of its organization. Having employees with backgrounds and orientations that reflect a variety of viewpoints and experiences also helps the Company to better understand the needs of its customers and the communities in which it operates.</w:t>
      </w:r>
    </w:p>
    <w:p>
      <w:pPr>
        <w:spacing w:after="0" w:line="9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By leveraging the multitude of backgrounds and perspectives of its team and developing ongoing relationships with diverse vendors, the Company achieves a collective strength that enhances the workplace and makes the Company a better business partner to its customers and others with a stake in the Company’s success.</w:t>
      </w:r>
    </w:p>
    <w:p>
      <w:pPr>
        <w:spacing w:after="0" w:line="9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Company also has an Equity, Partnership &amp; Inclusion Council, or EPIC. As part of its commitment, the Company provides education on topics related to diversity, inclusion and equity. The Company identified three areas of focus: Our People, Our Product &amp; Customers and Our Purchasing. With the involvement of its employees, EPIC is advancing efforts in each of these areas to identify and implement opportunities for the Company to address equity, partnership and inclusion issues in its business activities.</w:t>
      </w:r>
    </w:p>
    <w:p>
      <w:pPr>
        <w:spacing w:after="0" w:line="99" w:lineRule="exact"/>
        <w:rPr>
          <w:sz w:val="20"/>
          <w:szCs w:val="20"/>
          <w:color w:val="auto"/>
        </w:rPr>
      </w:pPr>
    </w:p>
    <w:p>
      <w:pPr>
        <w:ind w:left="520"/>
        <w:spacing w:after="0" w:line="281" w:lineRule="auto"/>
        <w:rPr>
          <w:sz w:val="20"/>
          <w:szCs w:val="20"/>
          <w:color w:val="auto"/>
        </w:rPr>
      </w:pPr>
      <w:r>
        <w:rPr>
          <w:rFonts w:ascii="Arial" w:cs="Arial" w:eastAsia="Arial" w:hAnsi="Arial"/>
          <w:sz w:val="14"/>
          <w:szCs w:val="14"/>
          <w:i w:val="1"/>
          <w:iCs w:val="1"/>
          <w:color w:val="auto"/>
        </w:rPr>
        <w:t xml:space="preserve">Our People </w:t>
      </w:r>
      <w:r>
        <w:rPr>
          <w:rFonts w:ascii="Arial" w:cs="Arial" w:eastAsia="Arial" w:hAnsi="Arial"/>
          <w:sz w:val="14"/>
          <w:szCs w:val="14"/>
          <w:color w:val="auto"/>
        </w:rPr>
        <w:t>focuses on education and training; diversity, equity and inclusion policies and recruitment strategies; community and industry partnerships; and maintaining high employee</w:t>
      </w:r>
      <w:r>
        <w:rPr>
          <w:rFonts w:ascii="Arial" w:cs="Arial" w:eastAsia="Arial" w:hAnsi="Arial"/>
          <w:sz w:val="14"/>
          <w:szCs w:val="14"/>
          <w:i w:val="1"/>
          <w:iCs w:val="1"/>
          <w:color w:val="auto"/>
        </w:rPr>
        <w:t xml:space="preserve"> </w:t>
      </w:r>
      <w:r>
        <w:rPr>
          <w:rFonts w:ascii="Arial" w:cs="Arial" w:eastAsia="Arial" w:hAnsi="Arial"/>
          <w:sz w:val="14"/>
          <w:szCs w:val="14"/>
          <w:color w:val="auto"/>
        </w:rPr>
        <w:t>engagement and retention.</w:t>
      </w:r>
    </w:p>
    <w:p>
      <w:pPr>
        <w:spacing w:after="0" w:line="143" w:lineRule="exact"/>
        <w:rPr>
          <w:sz w:val="20"/>
          <w:szCs w:val="20"/>
          <w:color w:val="auto"/>
        </w:rPr>
      </w:pPr>
    </w:p>
    <w:p>
      <w:pPr>
        <w:ind w:left="520"/>
        <w:spacing w:after="0" w:line="265" w:lineRule="auto"/>
        <w:rPr>
          <w:sz w:val="20"/>
          <w:szCs w:val="20"/>
          <w:color w:val="auto"/>
        </w:rPr>
      </w:pPr>
      <w:r>
        <w:rPr>
          <w:rFonts w:ascii="Arial" w:cs="Arial" w:eastAsia="Arial" w:hAnsi="Arial"/>
          <w:sz w:val="14"/>
          <w:szCs w:val="14"/>
          <w:i w:val="1"/>
          <w:iCs w:val="1"/>
          <w:color w:val="auto"/>
        </w:rPr>
        <w:t xml:space="preserve">Our Product &amp; Customers </w:t>
      </w:r>
      <w:r>
        <w:rPr>
          <w:rFonts w:ascii="Arial" w:cs="Arial" w:eastAsia="Arial" w:hAnsi="Arial"/>
          <w:sz w:val="14"/>
          <w:szCs w:val="14"/>
          <w:color w:val="auto"/>
        </w:rPr>
        <w:t>focuses on pursuing opportunities that provide more equitable access to renewable energy for low-to-moderate income customers; supporting the diversity, equity</w:t>
      </w:r>
      <w:r>
        <w:rPr>
          <w:rFonts w:ascii="Arial" w:cs="Arial" w:eastAsia="Arial" w:hAnsi="Arial"/>
          <w:sz w:val="14"/>
          <w:szCs w:val="14"/>
          <w:i w:val="1"/>
          <w:iCs w:val="1"/>
          <w:color w:val="auto"/>
        </w:rPr>
        <w:t xml:space="preserve"> </w:t>
      </w:r>
      <w:r>
        <w:rPr>
          <w:rFonts w:ascii="Arial" w:cs="Arial" w:eastAsia="Arial" w:hAnsi="Arial"/>
          <w:sz w:val="14"/>
          <w:szCs w:val="14"/>
          <w:color w:val="auto"/>
        </w:rPr>
        <w:t>and inclusion goals of the Company’s offtakers; and meaningfully representing that work in the external market.</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Our Purchasing </w:t>
      </w:r>
      <w:r>
        <w:rPr>
          <w:rFonts w:ascii="Arial" w:cs="Arial" w:eastAsia="Arial" w:hAnsi="Arial"/>
          <w:sz w:val="14"/>
          <w:szCs w:val="14"/>
          <w:color w:val="auto"/>
        </w:rPr>
        <w:t>focuses on establishing a non-discriminatory practices standard for the Company’s suppliers, diverse vendor sourcing and benchmarking.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2" w:name="page13"/>
    <w:bookmarkEnd w:id="12"/>
    <w:p>
      <w:pPr>
        <w:ind w:right="880" w:firstLine="318"/>
        <w:spacing w:after="0" w:line="442" w:lineRule="auto"/>
        <w:rPr>
          <w:sz w:val="20"/>
          <w:szCs w:val="20"/>
          <w:color w:val="auto"/>
        </w:rPr>
      </w:pPr>
      <w:r>
        <w:rPr>
          <w:rFonts w:ascii="Arial" w:cs="Arial" w:eastAsia="Arial" w:hAnsi="Arial"/>
          <w:sz w:val="14"/>
          <w:szCs w:val="14"/>
          <w:color w:val="auto"/>
        </w:rPr>
        <w:t xml:space="preserve">In addition to the personnel of CEG, the Company relies on other third-party service providers in the daily operations of its conventional facilities and certain renewable facilities. </w:t>
      </w:r>
      <w:r>
        <w:rPr>
          <w:rFonts w:ascii="Arial" w:cs="Arial" w:eastAsia="Arial" w:hAnsi="Arial"/>
          <w:sz w:val="14"/>
          <w:szCs w:val="14"/>
          <w:b w:val="1"/>
          <w:bCs w:val="1"/>
          <w:color w:val="auto"/>
        </w:rPr>
        <w:t>Environmental, Social and Governance (ESG)</w:t>
      </w:r>
    </w:p>
    <w:p>
      <w:pPr>
        <w:spacing w:after="0" w:line="1"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Company is committed to engaging with its stakeholders on environmental, social and governance, or ESG, matters in a proactive, holistic and integrated manner. The Company strives to provide recent, credible and comparable data to ESG agencies while engaging institutional investors and investor advocacy organizations around ESG issues. The Company’s Corporate Governance, Conflicts and Nominating Committee reviews developing trends and emerging ESG matters as well as the Company’s strategies, activities, policies and communications regarding ESG matters, and makes recommendations to the Company’s Board of Directors regarding potential actions by the Company.</w:t>
      </w:r>
    </w:p>
    <w:p>
      <w:pPr>
        <w:spacing w:after="0" w:line="103"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Aligned with the Company’s strategy of owning and acquiring environmentally-sound power generation assets, the Company has issued $2.1 billion of corporate green bonds under a green bond framework that applies the net proceeds to finance or refinance, in part or in full, new and existing projects and assets meeting certain criteria focused on the supply of energy from renewable resources, including solar energy and wind energy. The Company’s projects and alignment of its Green Bond Principles (2018) are reviewed by Sustainalytics, an outside consultant with recognized expertise in ESG research and analysis.</w:t>
      </w:r>
    </w:p>
    <w:p>
      <w:pPr>
        <w:spacing w:after="0" w:line="10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As discussed in greater detail above, the Company has focused its diversity, equity and inclusion efforts in three areas: Our People, Our Product &amp; Customers and Our Purchasing – through its launch of EPIC. With the involvement of the Company’s employees, EPIC is advancing efforts in each of these areas to identify and implement opportunities for the Company to address equity, partnership and inclusion issues in its business activities.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40"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SEC’s website, www.sec.gov, and through the “Investor Relations” section of Clearway, Inc.’s website, </w:t>
      </w:r>
      <w:r>
        <w:rPr>
          <w:rFonts w:ascii="Arial" w:cs="Arial" w:eastAsia="Arial" w:hAnsi="Arial"/>
          <w:sz w:val="13"/>
          <w:szCs w:val="13"/>
          <w:i w:val="1"/>
          <w:iCs w:val="1"/>
          <w:color w:val="auto"/>
        </w:rPr>
        <w:t>www.clearwayenergy.com</w:t>
      </w:r>
      <w:r>
        <w:rPr>
          <w:rFonts w:ascii="Arial" w:cs="Arial" w:eastAsia="Arial" w:hAnsi="Arial"/>
          <w:sz w:val="13"/>
          <w:szCs w:val="13"/>
          <w:color w:val="auto"/>
        </w:rPr>
        <w:t>, as soon as reasonably practicable after they are electronically filed with, or furnished to, the SEC. The Company also routinely posts press releases, presentations, webcasts, and other information regarding the Company on Clearway, Inc.’s website. The information posted on Clearway, Inc.’s website is not a part of this report.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Item 1A — Risk Factors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Summary of Risk Factors</w:t>
      </w:r>
    </w:p>
    <w:p>
      <w:pPr>
        <w:spacing w:after="0" w:line="140" w:lineRule="exact"/>
        <w:rPr>
          <w:sz w:val="20"/>
          <w:szCs w:val="20"/>
          <w:color w:val="auto"/>
        </w:rPr>
      </w:pPr>
    </w:p>
    <w:p>
      <w:pPr>
        <w:jc w:val="center"/>
        <w:ind w:right="360"/>
        <w:spacing w:after="0"/>
        <w:rPr>
          <w:sz w:val="20"/>
          <w:szCs w:val="20"/>
          <w:color w:val="auto"/>
        </w:rPr>
      </w:pPr>
      <w:r>
        <w:rPr>
          <w:rFonts w:ascii="Arial" w:cs="Arial" w:eastAsia="Arial" w:hAnsi="Arial"/>
          <w:sz w:val="13"/>
          <w:szCs w:val="13"/>
          <w:color w:val="auto"/>
        </w:rPr>
        <w:t>The Company’s business is subject to numerous risks and uncertainties, discussed in more detail in the following section. These risks include among others, the following key risks: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Company’s Business</w:t>
      </w:r>
    </w:p>
    <w:p>
      <w:pPr>
        <w:spacing w:after="0" w:line="104" w:lineRule="exact"/>
        <w:rPr>
          <w:sz w:val="20"/>
          <w:szCs w:val="20"/>
          <w:color w:val="auto"/>
        </w:rPr>
      </w:pPr>
    </w:p>
    <w:p>
      <w:pPr>
        <w:ind w:left="500" w:hanging="240"/>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4"/>
          <w:szCs w:val="14"/>
          <w:color w:val="auto"/>
        </w:rPr>
        <w:t>The Company’s ability to grow and make acquisitions through cash on hand is limited.</w:t>
      </w:r>
    </w:p>
    <w:p>
      <w:pPr>
        <w:spacing w:after="0" w:line="21" w:lineRule="exact"/>
        <w:rPr>
          <w:rFonts w:ascii="Arial" w:cs="Arial" w:eastAsia="Arial" w:hAnsi="Arial"/>
          <w:sz w:val="16"/>
          <w:szCs w:val="16"/>
          <w:color w:val="auto"/>
        </w:rPr>
      </w:pPr>
    </w:p>
    <w:p>
      <w:pPr>
        <w:ind w:left="520" w:hanging="260"/>
        <w:spacing w:after="0" w:line="281"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may not be able to effectively identify or consummate any future acquisitions on favorable terms, or at all, and future acquisitions may not be accretive as a result of incorrect assumptions in the Company’s evaluation of such acquisitions, unforeseen consequences or other external events beyond the Company’s control.</w:t>
      </w:r>
    </w:p>
    <w:p>
      <w:pPr>
        <w:spacing w:after="0" w:line="4" w:lineRule="exact"/>
        <w:rPr>
          <w:rFonts w:ascii="Arial" w:cs="Arial" w:eastAsia="Arial" w:hAnsi="Arial"/>
          <w:sz w:val="14"/>
          <w:szCs w:val="14"/>
          <w:color w:val="auto"/>
        </w:rPr>
      </w:pPr>
    </w:p>
    <w:p>
      <w:pPr>
        <w:ind w:left="520" w:right="100" w:hanging="260"/>
        <w:spacing w:after="0" w:line="262" w:lineRule="auto"/>
        <w:tabs>
          <w:tab w:leader="none" w:pos="511" w:val="left"/>
        </w:tabs>
        <w:numPr>
          <w:ilvl w:val="0"/>
          <w:numId w:val="5"/>
        </w:numPr>
        <w:rPr>
          <w:rFonts w:ascii="Arial" w:cs="Arial" w:eastAsia="Arial" w:hAnsi="Arial"/>
          <w:sz w:val="16"/>
          <w:szCs w:val="16"/>
          <w:color w:val="auto"/>
        </w:rPr>
      </w:pPr>
      <w:r>
        <w:rPr>
          <w:rFonts w:ascii="Arial" w:cs="Arial" w:eastAsia="Arial" w:hAnsi="Arial"/>
          <w:sz w:val="14"/>
          <w:szCs w:val="14"/>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1" w:lineRule="exact"/>
        <w:rPr>
          <w:rFonts w:ascii="Arial" w:cs="Arial" w:eastAsia="Arial" w:hAnsi="Arial"/>
          <w:sz w:val="16"/>
          <w:szCs w:val="16"/>
          <w:color w:val="auto"/>
        </w:rPr>
      </w:pPr>
    </w:p>
    <w:p>
      <w:pPr>
        <w:ind w:left="500" w:hanging="240"/>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4"/>
          <w:szCs w:val="14"/>
          <w:color w:val="auto"/>
        </w:rPr>
        <w:t>The Company’s ability to effectively consummate future acquisitions will also depend on the Company’s ability to arrange the required or desired financing for acquisitions.</w:t>
      </w:r>
    </w:p>
    <w:p>
      <w:pPr>
        <w:spacing w:after="0" w:line="28" w:lineRule="exact"/>
        <w:rPr>
          <w:rFonts w:ascii="Arial" w:cs="Arial" w:eastAsia="Arial" w:hAnsi="Arial"/>
          <w:sz w:val="16"/>
          <w:szCs w:val="16"/>
          <w:color w:val="auto"/>
        </w:rPr>
      </w:pPr>
    </w:p>
    <w:p>
      <w:pPr>
        <w:ind w:left="500" w:hanging="240"/>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4"/>
          <w:szCs w:val="14"/>
          <w:color w:val="auto"/>
        </w:rPr>
        <w:t>The Company’s indebtedness could adversely affect its ability to raise additional capital to fund the Company’s operations or pay distributions.</w:t>
      </w:r>
    </w:p>
    <w:p>
      <w:pPr>
        <w:spacing w:after="0" w:line="42" w:lineRule="exact"/>
        <w:rPr>
          <w:rFonts w:ascii="Arial" w:cs="Arial" w:eastAsia="Arial" w:hAnsi="Arial"/>
          <w:sz w:val="16"/>
          <w:szCs w:val="16"/>
          <w:color w:val="auto"/>
        </w:rPr>
      </w:pPr>
    </w:p>
    <w:p>
      <w:pPr>
        <w:ind w:left="520" w:right="220" w:hanging="260"/>
        <w:spacing w:after="0" w:line="316"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2"/>
          <w:szCs w:val="12"/>
          <w:color w:val="auto"/>
        </w:rPr>
        <w:t>The operation of electric generation facilities depends on suitable meteorological conditions and involves significant risks and hazards customary to the power industry that could have a material adverse effect on the Company’s business, financial condition, results of operations and cash flows. These facilities may operate without long-term power sales agreements.</w:t>
      </w:r>
    </w:p>
    <w:p>
      <w:pPr>
        <w:ind w:left="500" w:hanging="240"/>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4"/>
          <w:szCs w:val="14"/>
          <w:color w:val="auto"/>
        </w:rPr>
        <w:t>Maintenance, expansion and refurbishment of electric generation facilities involve significant risks that could result in unplanned power outages or reduced output.</w:t>
      </w:r>
    </w:p>
    <w:p>
      <w:pPr>
        <w:spacing w:after="0" w:line="28" w:lineRule="exact"/>
        <w:rPr>
          <w:rFonts w:ascii="Arial" w:cs="Arial" w:eastAsia="Arial" w:hAnsi="Arial"/>
          <w:sz w:val="16"/>
          <w:szCs w:val="16"/>
          <w:color w:val="auto"/>
        </w:rPr>
      </w:pPr>
    </w:p>
    <w:p>
      <w:pPr>
        <w:ind w:left="500" w:hanging="240"/>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4"/>
          <w:szCs w:val="14"/>
          <w:color w:val="auto"/>
        </w:rPr>
        <w:t>Supplier and/or customer concentration at certain of the Company’s facilities may expose the Company to significant financial credit or performance risks.</w:t>
      </w:r>
    </w:p>
    <w:p>
      <w:pPr>
        <w:spacing w:after="0" w:line="32" w:lineRule="exact"/>
        <w:rPr>
          <w:rFonts w:ascii="Arial" w:cs="Arial" w:eastAsia="Arial" w:hAnsi="Arial"/>
          <w:sz w:val="16"/>
          <w:szCs w:val="16"/>
          <w:color w:val="auto"/>
        </w:rPr>
      </w:pPr>
    </w:p>
    <w:p>
      <w:pPr>
        <w:ind w:left="520" w:right="260" w:hanging="260"/>
        <w:spacing w:after="0" w:line="262" w:lineRule="auto"/>
        <w:tabs>
          <w:tab w:leader="none" w:pos="511" w:val="left"/>
        </w:tabs>
        <w:numPr>
          <w:ilvl w:val="0"/>
          <w:numId w:val="5"/>
        </w:numPr>
        <w:rPr>
          <w:rFonts w:ascii="Arial" w:cs="Arial" w:eastAsia="Arial" w:hAnsi="Arial"/>
          <w:sz w:val="16"/>
          <w:szCs w:val="16"/>
          <w:color w:val="auto"/>
        </w:rPr>
      </w:pPr>
      <w:r>
        <w:rPr>
          <w:rFonts w:ascii="Arial" w:cs="Arial" w:eastAsia="Arial" w:hAnsi="Arial"/>
          <w:sz w:val="14"/>
          <w:szCs w:val="14"/>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5" w:lineRule="exact"/>
        <w:rPr>
          <w:rFonts w:ascii="Arial" w:cs="Arial" w:eastAsia="Arial" w:hAnsi="Arial"/>
          <w:sz w:val="16"/>
          <w:szCs w:val="16"/>
          <w:color w:val="auto"/>
        </w:rPr>
      </w:pPr>
    </w:p>
    <w:p>
      <w:pPr>
        <w:ind w:left="520" w:right="600" w:hanging="260"/>
        <w:spacing w:after="0" w:line="247" w:lineRule="auto"/>
        <w:tabs>
          <w:tab w:leader="none" w:pos="511" w:val="left"/>
        </w:tabs>
        <w:numPr>
          <w:ilvl w:val="0"/>
          <w:numId w:val="5"/>
        </w:numPr>
        <w:rPr>
          <w:rFonts w:ascii="Arial" w:cs="Arial" w:eastAsia="Arial" w:hAnsi="Arial"/>
          <w:sz w:val="16"/>
          <w:szCs w:val="16"/>
          <w:color w:val="auto"/>
        </w:rPr>
      </w:pPr>
      <w:r>
        <w:rPr>
          <w:rFonts w:ascii="Arial" w:cs="Arial" w:eastAsia="Arial" w:hAnsi="Arial"/>
          <w:sz w:val="14"/>
          <w:szCs w:val="14"/>
          <w:color w:val="auto"/>
        </w:rPr>
        <w:t>The Company’s assets are exposed to risks inherent in the use of interest rate swaps and the Company may be exposed to additional risks in the future if it utilizes other derivative instruments.</w:t>
      </w:r>
    </w:p>
    <w:p>
      <w:pPr>
        <w:spacing w:after="0" w:line="16" w:lineRule="exact"/>
        <w:rPr>
          <w:rFonts w:ascii="Arial" w:cs="Arial" w:eastAsia="Arial" w:hAnsi="Arial"/>
          <w:sz w:val="16"/>
          <w:szCs w:val="16"/>
          <w:color w:val="auto"/>
        </w:rPr>
      </w:pPr>
    </w:p>
    <w:p>
      <w:pPr>
        <w:ind w:left="520" w:right="80" w:hanging="260"/>
        <w:spacing w:after="0" w:line="329" w:lineRule="auto"/>
        <w:tabs>
          <w:tab w:leader="none" w:pos="516"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Company does not own all of the land on which its power generation assets are located, which could result in disruption to its operations. The Company’s use and enjoyment of real property rights for its projects may be adversely affected by the rights of lienholders and leaseholders that are superior to those of the grantors of those real property rights to the Company.</w:t>
      </w:r>
    </w:p>
    <w:p>
      <w:pPr>
        <w:spacing w:after="0" w:line="3" w:lineRule="exact"/>
        <w:rPr>
          <w:rFonts w:ascii="Arial" w:cs="Arial" w:eastAsia="Arial" w:hAnsi="Arial"/>
          <w:sz w:val="12"/>
          <w:szCs w:val="12"/>
          <w:color w:val="auto"/>
        </w:rPr>
      </w:pPr>
    </w:p>
    <w:p>
      <w:pPr>
        <w:ind w:left="520" w:right="360" w:hanging="260"/>
        <w:spacing w:after="0" w:line="247" w:lineRule="auto"/>
        <w:tabs>
          <w:tab w:leader="none" w:pos="511" w:val="left"/>
        </w:tabs>
        <w:numPr>
          <w:ilvl w:val="0"/>
          <w:numId w:val="5"/>
        </w:numPr>
        <w:rPr>
          <w:rFonts w:ascii="Arial" w:cs="Arial" w:eastAsia="Arial" w:hAnsi="Arial"/>
          <w:sz w:val="16"/>
          <w:szCs w:val="16"/>
          <w:color w:val="auto"/>
        </w:rPr>
      </w:pPr>
      <w:r>
        <w:rPr>
          <w:rFonts w:ascii="Arial" w:cs="Arial" w:eastAsia="Arial" w:hAnsi="Arial"/>
          <w:sz w:val="14"/>
          <w:szCs w:val="14"/>
          <w:color w:val="auto"/>
        </w:rPr>
        <w:t>The Company’s businesses are subject to physical, market and economic risks relating to potential effects of climate change and public and governmental initiatives to address climate change.</w:t>
      </w:r>
    </w:p>
    <w:p>
      <w:pPr>
        <w:spacing w:after="0" w:line="26" w:lineRule="exact"/>
        <w:rPr>
          <w:rFonts w:ascii="Arial" w:cs="Arial" w:eastAsia="Arial" w:hAnsi="Arial"/>
          <w:sz w:val="16"/>
          <w:szCs w:val="16"/>
          <w:color w:val="auto"/>
        </w:rPr>
      </w:pPr>
    </w:p>
    <w:p>
      <w:pPr>
        <w:ind w:left="520" w:right="60" w:hanging="260"/>
        <w:spacing w:after="0" w:line="316"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2"/>
          <w:szCs w:val="12"/>
          <w:color w:val="auto"/>
        </w:rPr>
        <w:t>Risks that are beyond the Company’s control, including but not limited to acts of terrorism or related acts of war, natural disaster, pandemics (such as the COVID-19 pandemic), inflation, supply chain disruptions, hostile cyber intrusions or other catastrophic events, could have a material adverse effect on the business, financial condition, results of operations and cash flows.</w:t>
      </w:r>
    </w:p>
    <w:p>
      <w:pPr>
        <w:ind w:left="500" w:hanging="240"/>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4"/>
          <w:szCs w:val="14"/>
          <w:color w:val="auto"/>
        </w:rPr>
        <w:t>The operation of the Company’s businesses is subject to cyber-based security and integrity risk.</w:t>
      </w:r>
    </w:p>
    <w:p>
      <w:pPr>
        <w:spacing w:after="0" w:line="32" w:lineRule="exact"/>
        <w:rPr>
          <w:rFonts w:ascii="Arial" w:cs="Arial" w:eastAsia="Arial" w:hAnsi="Arial"/>
          <w:sz w:val="16"/>
          <w:szCs w:val="16"/>
          <w:color w:val="auto"/>
        </w:rPr>
      </w:pPr>
    </w:p>
    <w:p>
      <w:pPr>
        <w:ind w:left="500" w:hanging="24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3"/>
          <w:szCs w:val="13"/>
          <w:color w:val="auto"/>
        </w:rPr>
        <w:t>The Company relies on electric distribution and transmission facilities that it does not own or control and that are subject to transmission constraints within a number of the Company’s</w:t>
      </w:r>
    </w:p>
    <w:p>
      <w:pPr>
        <w:spacing w:after="0" w:line="51" w:lineRule="exact"/>
        <w:rPr>
          <w:rFonts w:ascii="Arial" w:cs="Arial" w:eastAsia="Arial" w:hAnsi="Arial"/>
          <w:sz w:val="14"/>
          <w:szCs w:val="14"/>
          <w:color w:val="auto"/>
        </w:rPr>
      </w:pPr>
    </w:p>
    <w:p>
      <w:pPr>
        <w:ind w:left="520" w:right="140"/>
        <w:spacing w:after="0" w:line="281" w:lineRule="auto"/>
        <w:rPr>
          <w:rFonts w:ascii="Arial" w:cs="Arial" w:eastAsia="Arial" w:hAnsi="Arial"/>
          <w:sz w:val="14"/>
          <w:szCs w:val="14"/>
          <w:color w:val="auto"/>
        </w:rPr>
      </w:pPr>
      <w:r>
        <w:rPr>
          <w:rFonts w:ascii="Arial" w:cs="Arial" w:eastAsia="Arial" w:hAnsi="Arial"/>
          <w:sz w:val="14"/>
          <w:szCs w:val="14"/>
          <w:color w:val="auto"/>
        </w:rPr>
        <w:t>regions. If these facilities fail to provide the Company with adequate transmission capacity, it may be restricted in its ability to deliver electric power to its customers and may either incur additional costs or forego revenues.</w:t>
      </w:r>
    </w:p>
    <w:p>
      <w:pPr>
        <w:spacing w:after="0" w:line="4" w:lineRule="exact"/>
        <w:rPr>
          <w:rFonts w:ascii="Arial" w:cs="Arial" w:eastAsia="Arial" w:hAnsi="Arial"/>
          <w:sz w:val="14"/>
          <w:szCs w:val="14"/>
          <w:color w:val="auto"/>
        </w:rPr>
      </w:pPr>
    </w:p>
    <w:p>
      <w:pPr>
        <w:ind w:left="520" w:right="560" w:hanging="260"/>
        <w:spacing w:after="0" w:line="247" w:lineRule="auto"/>
        <w:tabs>
          <w:tab w:leader="none" w:pos="511" w:val="left"/>
        </w:tabs>
        <w:numPr>
          <w:ilvl w:val="0"/>
          <w:numId w:val="5"/>
        </w:numPr>
        <w:rPr>
          <w:rFonts w:ascii="Arial" w:cs="Arial" w:eastAsia="Arial" w:hAnsi="Arial"/>
          <w:sz w:val="16"/>
          <w:szCs w:val="16"/>
          <w:color w:val="auto"/>
        </w:rPr>
      </w:pPr>
      <w:r>
        <w:rPr>
          <w:rFonts w:ascii="Arial" w:cs="Arial" w:eastAsia="Arial" w:hAnsi="Arial"/>
          <w:sz w:val="14"/>
          <w:szCs w:val="14"/>
          <w:color w:val="auto"/>
        </w:rPr>
        <w:t>The Company’s costs, results of operations, financial condition and cash flows could be adversely impacted by the disruption of the fuel supplies necessary to generate power at its conventional generation facilities.</w:t>
      </w:r>
    </w:p>
    <w:p>
      <w:pPr>
        <w:spacing w:after="0" w:line="26" w:lineRule="exact"/>
        <w:rPr>
          <w:rFonts w:ascii="Arial" w:cs="Arial" w:eastAsia="Arial" w:hAnsi="Arial"/>
          <w:sz w:val="16"/>
          <w:szCs w:val="16"/>
          <w:color w:val="auto"/>
        </w:rPr>
      </w:pPr>
    </w:p>
    <w:p>
      <w:pPr>
        <w:ind w:left="520" w:right="40" w:hanging="260"/>
        <w:spacing w:after="0" w:line="262" w:lineRule="auto"/>
        <w:tabs>
          <w:tab w:leader="none" w:pos="511" w:val="left"/>
        </w:tabs>
        <w:numPr>
          <w:ilvl w:val="0"/>
          <w:numId w:val="5"/>
        </w:numPr>
        <w:rPr>
          <w:rFonts w:ascii="Arial" w:cs="Arial" w:eastAsia="Arial" w:hAnsi="Arial"/>
          <w:sz w:val="16"/>
          <w:szCs w:val="16"/>
          <w:color w:val="auto"/>
        </w:rPr>
      </w:pPr>
      <w:r>
        <w:rPr>
          <w:rFonts w:ascii="Arial" w:cs="Arial" w:eastAsia="Arial" w:hAnsi="Arial"/>
          <w:sz w:val="14"/>
          <w:szCs w:val="14"/>
          <w:color w:val="auto"/>
        </w:rPr>
        <w:t>The Company depends on key personnel and its ability to attract and retain additional skilled management and other personnel, the loss of any of which could have a material adverse effect on the Company’s financial condition and results of operations.</w:t>
      </w: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30" w:right="399" w:bottom="1440" w:gutter="0" w:footer="0" w:header="0"/>
        </w:sectPr>
      </w:pPr>
    </w:p>
    <w:bookmarkStart w:id="14" w:name="page15"/>
    <w:bookmarkEnd w:id="14"/>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 may potentially be adversely affected by emerging technologies that may over time impact capacity markets and the energy industry overall.</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Company’s Relationship with GIP, TotalEnergies and CEG</w:t>
      </w:r>
    </w:p>
    <w:p>
      <w:pPr>
        <w:spacing w:after="0" w:line="108" w:lineRule="exact"/>
        <w:rPr>
          <w:sz w:val="20"/>
          <w:szCs w:val="20"/>
          <w:color w:val="auto"/>
        </w:rPr>
      </w:pPr>
    </w:p>
    <w:p>
      <w:pPr>
        <w:ind w:left="520" w:right="60" w:hanging="260"/>
        <w:spacing w:after="0" w:line="250" w:lineRule="auto"/>
        <w:tabs>
          <w:tab w:leader="none" w:pos="511" w:val="left"/>
        </w:tabs>
        <w:numPr>
          <w:ilvl w:val="0"/>
          <w:numId w:val="7"/>
        </w:numPr>
        <w:rPr>
          <w:rFonts w:ascii="Arial" w:cs="Arial" w:eastAsia="Arial" w:hAnsi="Arial"/>
          <w:sz w:val="16"/>
          <w:szCs w:val="16"/>
          <w:color w:val="auto"/>
        </w:rPr>
      </w:pPr>
      <w:r>
        <w:rPr>
          <w:rFonts w:ascii="Arial" w:cs="Arial" w:eastAsia="Arial" w:hAnsi="Arial"/>
          <w:sz w:val="14"/>
          <w:szCs w:val="14"/>
          <w:color w:val="auto"/>
        </w:rPr>
        <w:t>GIP and TotalEnergies, through their equal ownership of CEG, the Company’s controlling shareholder of Clearway, Inc., exercise substantial influence over the Company. The Company is highly dependent on GIP, TotalEnergies and CEG.</w:t>
      </w:r>
    </w:p>
    <w:p>
      <w:pPr>
        <w:spacing w:after="0" w:line="1" w:lineRule="exact"/>
        <w:rPr>
          <w:rFonts w:ascii="Arial" w:cs="Arial" w:eastAsia="Arial" w:hAnsi="Arial"/>
          <w:sz w:val="16"/>
          <w:szCs w:val="16"/>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CEG controls the Company and has the ability to designate a majority of the members of Clearway, Inc.’s Board.</w:t>
      </w:r>
    </w:p>
    <w:p>
      <w:pPr>
        <w:spacing w:after="0" w:line="47" w:lineRule="exact"/>
        <w:rPr>
          <w:rFonts w:ascii="Arial" w:cs="Arial" w:eastAsia="Arial" w:hAnsi="Arial"/>
          <w:sz w:val="14"/>
          <w:szCs w:val="14"/>
          <w:color w:val="auto"/>
        </w:rPr>
      </w:pPr>
    </w:p>
    <w:p>
      <w:pPr>
        <w:ind w:left="500" w:hanging="240"/>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4"/>
          <w:szCs w:val="14"/>
          <w:color w:val="auto"/>
        </w:rPr>
        <w:t>The Company may not be able to consummate future acquisitions from CEG.</w:t>
      </w:r>
    </w:p>
    <w:p>
      <w:pPr>
        <w:spacing w:after="0" w:line="28" w:lineRule="exact"/>
        <w:rPr>
          <w:rFonts w:ascii="Arial" w:cs="Arial" w:eastAsia="Arial" w:hAnsi="Arial"/>
          <w:sz w:val="16"/>
          <w:szCs w:val="16"/>
          <w:color w:val="auto"/>
        </w:rPr>
      </w:pPr>
    </w:p>
    <w:p>
      <w:pPr>
        <w:ind w:left="500" w:hanging="240"/>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4"/>
          <w:szCs w:val="14"/>
          <w:color w:val="auto"/>
        </w:rPr>
        <w:t>The Company may be unable to terminate the CEG Master Services Agreement, in certain circumstances.</w:t>
      </w:r>
    </w:p>
    <w:p>
      <w:pPr>
        <w:spacing w:after="0" w:line="32" w:lineRule="exact"/>
        <w:rPr>
          <w:rFonts w:ascii="Arial" w:cs="Arial" w:eastAsia="Arial" w:hAnsi="Arial"/>
          <w:sz w:val="16"/>
          <w:szCs w:val="16"/>
          <w:color w:val="auto"/>
        </w:rPr>
      </w:pPr>
    </w:p>
    <w:p>
      <w:pPr>
        <w:ind w:left="520" w:right="300" w:hanging="260"/>
        <w:spacing w:after="0" w:line="262" w:lineRule="auto"/>
        <w:tabs>
          <w:tab w:leader="none" w:pos="511" w:val="left"/>
        </w:tabs>
        <w:numPr>
          <w:ilvl w:val="0"/>
          <w:numId w:val="7"/>
        </w:numPr>
        <w:rPr>
          <w:rFonts w:ascii="Arial" w:cs="Arial" w:eastAsia="Arial" w:hAnsi="Arial"/>
          <w:sz w:val="16"/>
          <w:szCs w:val="16"/>
          <w:color w:val="auto"/>
        </w:rPr>
      </w:pPr>
      <w:r>
        <w:rPr>
          <w:rFonts w:ascii="Arial" w:cs="Arial" w:eastAsia="Arial" w:hAnsi="Arial"/>
          <w:sz w:val="14"/>
          <w:szCs w:val="14"/>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Regulation</w:t>
      </w:r>
    </w:p>
    <w:p>
      <w:pPr>
        <w:spacing w:after="0" w:line="98"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4"/>
          <w:szCs w:val="14"/>
          <w:b w:val="1"/>
          <w:bCs w:val="1"/>
          <w:color w:val="auto"/>
        </w:rPr>
      </w:pPr>
      <w:r>
        <w:rPr>
          <w:rFonts w:ascii="Arial" w:cs="Arial" w:eastAsia="Arial" w:hAnsi="Arial"/>
          <w:sz w:val="14"/>
          <w:szCs w:val="14"/>
          <w:color w:val="auto"/>
        </w:rPr>
        <w:t>The Company’s business is subject to restrictions resulting from environmental, health and safety laws and regulations.</w:t>
      </w:r>
    </w:p>
    <w:p>
      <w:pPr>
        <w:spacing w:after="0" w:line="51" w:lineRule="exact"/>
        <w:rPr>
          <w:rFonts w:ascii="Arial" w:cs="Arial" w:eastAsia="Arial" w:hAnsi="Arial"/>
          <w:sz w:val="14"/>
          <w:szCs w:val="14"/>
          <w:b w:val="1"/>
          <w:bCs w:val="1"/>
          <w:color w:val="auto"/>
        </w:rPr>
      </w:pPr>
    </w:p>
    <w:p>
      <w:pPr>
        <w:ind w:left="520" w:hanging="260"/>
        <w:spacing w:after="0" w:line="247" w:lineRule="auto"/>
        <w:tabs>
          <w:tab w:leader="none" w:pos="511" w:val="left"/>
        </w:tabs>
        <w:numPr>
          <w:ilvl w:val="0"/>
          <w:numId w:val="8"/>
        </w:numPr>
        <w:rPr>
          <w:rFonts w:ascii="Arial" w:cs="Arial" w:eastAsia="Arial" w:hAnsi="Arial"/>
          <w:sz w:val="16"/>
          <w:szCs w:val="16"/>
          <w:color w:val="auto"/>
        </w:rPr>
      </w:pPr>
      <w:r>
        <w:rPr>
          <w:rFonts w:ascii="Arial" w:cs="Arial" w:eastAsia="Arial" w:hAnsi="Arial"/>
          <w:sz w:val="14"/>
          <w:szCs w:val="14"/>
          <w:color w:val="auto"/>
        </w:rPr>
        <w:t>The electric generation business is subject to substantial governmental regulation, including environmental laws, and may be adversely affected by changes in laws or regulations, as well as liability under, or any future inability to comply with, existing or future regulations or other legal requirements.</w:t>
      </w:r>
    </w:p>
    <w:p>
      <w:pPr>
        <w:spacing w:after="0" w:line="16" w:lineRule="exact"/>
        <w:rPr>
          <w:rFonts w:ascii="Arial" w:cs="Arial" w:eastAsia="Arial" w:hAnsi="Arial"/>
          <w:sz w:val="16"/>
          <w:szCs w:val="16"/>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Company’s business is subject to complex and evolving U.S. laws and regulations regarding privacy and data protection.</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Government regulations providing incentives for renewable power generation could change at any time and such changes may negatively impact the Company’s growth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34" w:right="4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Risks Related to the Company’s Business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Pursuant to the Company’s cash distribution policy, the Company intends to distribute a significant amount of the CAFD through regular quarterly distributions, and the Company’s ability to grow and make acquisitions through cash on hand is limited.</w:t>
      </w:r>
    </w:p>
    <w:p>
      <w:pPr>
        <w:spacing w:after="0" w:line="9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The incurrence of bank borrowings or other debt by Clearway Energy Operating LLC or by the Company’s project-level subsidiaries to finance the Company’s growth strategy will result in increased interest expense and the imposition of additional or more restrictive covenants, which, in turn, may impact the cash distributions the Company makes to Clearway, Inc. and CEG.</w:t>
      </w:r>
    </w:p>
    <w:p>
      <w:pPr>
        <w:spacing w:after="0" w:line="10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The Company may not be able to effectively identify or consummate any future acquisitions on favorable terms, or at all, and future acquisitions may not be accretive as a result of incorrect assumptions in the Company’s evaluation of such acquisitions, unforeseen consequences or other external events beyond the Company’s control.</w:t>
      </w:r>
    </w:p>
    <w:p>
      <w:pPr>
        <w:spacing w:after="0" w:line="90"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distributions paid to holders of Clearway, Inc.’s common stock.</w:t>
      </w:r>
    </w:p>
    <w:p>
      <w:pPr>
        <w:spacing w:after="0" w:line="10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103" w:lineRule="exact"/>
        <w:rPr>
          <w:sz w:val="20"/>
          <w:szCs w:val="20"/>
          <w:color w:val="auto"/>
        </w:rPr>
      </w:pPr>
    </w:p>
    <w:p>
      <w:pPr>
        <w:jc w:val="both"/>
        <w:ind w:firstLine="318"/>
        <w:spacing w:after="0" w:line="279" w:lineRule="auto"/>
        <w:rPr>
          <w:sz w:val="20"/>
          <w:szCs w:val="20"/>
          <w:color w:val="auto"/>
        </w:rPr>
      </w:pPr>
      <w:r>
        <w:rPr>
          <w:rFonts w:ascii="Arial" w:cs="Arial" w:eastAsia="Arial" w:hAnsi="Arial"/>
          <w:sz w:val="13"/>
          <w:szCs w:val="13"/>
          <w:color w:val="auto"/>
        </w:rPr>
        <w:t>The acquisition of companies and assets are subject to substantial risks, including the failure to identify material problems during due diligence (for which the Company may not be indemnified post-closing) and the risk of overpaying for assets (or not making acquisitions on an accretive basis).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unit holders. Any failure of the Company’s acquired generation assets to be accretive or difficulty in integrating such acquisition into the Company’s business could have a material adverse effect on the Company’s ability to grow its business and make cash distributions to its unit holders. As a result, the consummation of acquisitions could have a material adverse effect on the Company’s business, financial condition, results of operations, cash flows and ability to pay distributions to its unit holders.</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9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A significant portion of the electric power the Company generates is sold under long-term offtake agreements with public utilities or industrial or commercial end-users, with a weighted average remaining duration, based on CAFD, of approximately 11 years. As of December 31, 2022, the largest customers of the Company’s power generation assets, including assets in which the Company has less than a 100% membership interest, were SCE and PG&amp;E, which represented 33% and 25%, respectively, of total consolidated revenues generated by the Company during the year ended December 31, 2022.</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 w:name="page17"/>
    <w:bookmarkEnd w:id="16"/>
    <w:p>
      <w:pPr>
        <w:jc w:val="both"/>
        <w:ind w:firstLine="318"/>
        <w:spacing w:after="0" w:line="262" w:lineRule="auto"/>
        <w:rPr>
          <w:sz w:val="20"/>
          <w:szCs w:val="20"/>
          <w:color w:val="auto"/>
        </w:rPr>
      </w:pPr>
      <w:r>
        <w:rPr>
          <w:rFonts w:ascii="Arial" w:cs="Arial" w:eastAsia="Arial" w:hAnsi="Arial"/>
          <w:sz w:val="14"/>
          <w:szCs w:val="14"/>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10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3"/>
          <w:szCs w:val="13"/>
          <w:color w:val="auto"/>
        </w:rPr>
        <w:t>The power generation industry is characterized by intense competition and the Company’s electric generation assets encounter competition from utilities, industrial companies and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than the Company to evolving industry standards and changing customer requirements. The adoption of more advanced technology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9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Company’s ability to effectively consummate future acquisitions will also depend on the Company’s ability to arrange the required or desired financing for acquisitions.</w:t>
      </w:r>
    </w:p>
    <w:p>
      <w:pPr>
        <w:spacing w:after="0" w:line="14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The Company’s ability to consummate future acquisitions may also depend on the Company’s ability to obtain any required regulatory approvals for such acquisitions.</w:t>
      </w:r>
    </w:p>
    <w:p>
      <w:pPr>
        <w:spacing w:after="0" w:line="1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The Company’s indebtedness could adversely affect its ability to raise additional capital to fund the Company’s operations or pay distributions.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99"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As of December 31, 2022, the Company had approximately $6,872 million of total consolidated indebtedness, $4,745 million of which was incurred by the Company’s non-guarantor subsidiaries. In addition, the Company’s share of its unconsolidated affiliates’ total indebtedness and letters of credit outstanding as of December 31, 2022, totaled approximately $325 million and $37 million, respectively (calculated as the Company’s unconsolidated affiliates’ total indebtedness as of such date multiplied by the Company’s percentage membership interest in such assets).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7" w:name="page18"/>
    <w:bookmarkEnd w:id="17"/>
    <w:p>
      <w:pPr>
        <w:ind w:left="320"/>
        <w:spacing w:after="0"/>
        <w:rPr>
          <w:sz w:val="20"/>
          <w:szCs w:val="20"/>
          <w:color w:val="auto"/>
        </w:rPr>
      </w:pPr>
      <w:r>
        <w:rPr>
          <w:rFonts w:ascii="Arial" w:cs="Arial" w:eastAsia="Arial" w:hAnsi="Arial"/>
          <w:sz w:val="14"/>
          <w:szCs w:val="14"/>
          <w:color w:val="auto"/>
        </w:rPr>
        <w:t>The Company’s substantial debt could have important negative consequences on the Company’s financial condition, including:</w:t>
      </w:r>
    </w:p>
    <w:p>
      <w:pPr>
        <w:spacing w:after="0" w:line="51"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increasing the Company’s vulnerability to general economic and industry conditions;</w:t>
      </w:r>
    </w:p>
    <w:p>
      <w:pPr>
        <w:spacing w:after="0" w:line="51" w:lineRule="exact"/>
        <w:rPr>
          <w:rFonts w:ascii="Arial" w:cs="Arial" w:eastAsia="Arial" w:hAnsi="Arial"/>
          <w:sz w:val="14"/>
          <w:szCs w:val="14"/>
          <w:color w:val="auto"/>
        </w:rPr>
      </w:pPr>
    </w:p>
    <w:p>
      <w:pPr>
        <w:ind w:left="520" w:hanging="260"/>
        <w:spacing w:after="0" w:line="306" w:lineRule="auto"/>
        <w:tabs>
          <w:tab w:leader="none" w:pos="516" w:val="left"/>
        </w:tabs>
        <w:numPr>
          <w:ilvl w:val="0"/>
          <w:numId w:val="9"/>
        </w:numPr>
        <w:rPr>
          <w:rFonts w:ascii="Arial" w:cs="Arial" w:eastAsia="Arial" w:hAnsi="Arial"/>
          <w:sz w:val="13"/>
          <w:szCs w:val="13"/>
          <w:color w:val="auto"/>
        </w:rPr>
      </w:pPr>
      <w:r>
        <w:rPr>
          <w:rFonts w:ascii="Arial" w:cs="Arial" w:eastAsia="Arial" w:hAnsi="Arial"/>
          <w:sz w:val="13"/>
          <w:szCs w:val="13"/>
          <w:color w:val="auto"/>
        </w:rPr>
        <w:t>requiring a substantial portion of the Company’s cash flow from operations to be dedicated to the payment of principal and interest on the Company’s indebtedness, therefore reducing the Company’s ability to pay distributions to Clearway, Inc. and CEG or to use the Company’s cash flow to fund its operations, capital expenditures and future business opportunities;</w:t>
      </w: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limiting the Company’s ability to enter into long-term power sales or fuel purchases which require credit support;</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limiting the Company’s ability to fund operations or future acquisitions;</w:t>
      </w:r>
    </w:p>
    <w:p>
      <w:pPr>
        <w:spacing w:after="0" w:line="51"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restricting the Company’s ability to make certain distributions to Clearway, Inc. and CEG and the ability of the Company’s subsidiaries to make certain distributions to it, in light of restricted payment and other financial covenants in the Company’s credit facilities and other financing agreements;</w:t>
      </w:r>
    </w:p>
    <w:p>
      <w:pPr>
        <w:spacing w:after="0" w:line="4"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exposing the Company to the risk of increased interest rates because certain of the Company’s borrowings, which may include borrowings under the Company’s revolving credit facility, are at variable rates of interest;</w:t>
      </w:r>
    </w:p>
    <w:p>
      <w:pPr>
        <w:spacing w:after="0" w:line="4"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limiting the Company’s ability to obtain additional financing for working capital including collateral postings, capital expenditures, debt service requirements, acquisitions and general corporate or other purposes; and</w:t>
      </w:r>
    </w:p>
    <w:p>
      <w:pPr>
        <w:spacing w:after="0" w:line="4"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limiting the Company’s ability to adjust to changing market conditions and placing it at a competitive disadvantage compared to the Company’s competitors who have less debt.</w:t>
      </w:r>
    </w:p>
    <w:p>
      <w:pPr>
        <w:spacing w:after="0" w:line="148"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The Company’s revolving credit facility contains financial and other restrictive covenants that limit the Company’s ability to return capital to unit holders or otherwise engage in activities that may be in the Company’s long-term best interests. The Company’s inability to satisfy certain financial covenants could prevent the Company from paying cash distributions,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04"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color w:val="auto"/>
        </w:rPr>
        <w:t>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distributions to Clearway, Inc. and CEG.</w:t>
      </w:r>
    </w:p>
    <w:p>
      <w:pPr>
        <w:spacing w:after="0" w:line="9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Letter of credit facilities to support project-level contractual obligations generally have a limited term that may require future renewal, at which time the Company or relevant project-level subsidiary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8" w:name="page19"/>
    <w:bookmarkEnd w:id="18"/>
    <w:p>
      <w:pPr>
        <w:ind w:firstLine="318"/>
        <w:spacing w:after="0" w:line="281" w:lineRule="auto"/>
        <w:rPr>
          <w:sz w:val="20"/>
          <w:szCs w:val="20"/>
          <w:color w:val="auto"/>
        </w:rPr>
      </w:pPr>
      <w:r>
        <w:rPr>
          <w:rFonts w:ascii="Arial" w:cs="Arial" w:eastAsia="Arial" w:hAnsi="Arial"/>
          <w:sz w:val="14"/>
          <w:szCs w:val="14"/>
          <w:color w:val="auto"/>
        </w:rPr>
        <w:t>In addition, the Company’s ability to arrange financing, either at the corporate level or at a non-recourse project-level subsidiary, and the costs of such capital, are dependent on numerous factors, including:</w:t>
      </w:r>
    </w:p>
    <w:p>
      <w:pPr>
        <w:spacing w:after="0" w:line="5" w:lineRule="exact"/>
        <w:rPr>
          <w:sz w:val="20"/>
          <w:szCs w:val="20"/>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general economic and capital market conditions;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credit availability from banks and other financial institutions;</w:t>
      </w:r>
    </w:p>
    <w:p>
      <w:pPr>
        <w:spacing w:after="0" w:line="51"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investor confidence in the Company, its partners, Clearway, Inc. (as the Company’s sole managing member), or GIP and TotalEnergies, through CEG, as Clearway, Inc.’s principal stockholder (on a combined voting basis) and the regional wholesale power markets;</w:t>
      </w:r>
    </w:p>
    <w:p>
      <w:pPr>
        <w:spacing w:after="0" w:line="4"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financial performance and the financial performance of the Company subsidiaries;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level of indebtedness and compliance with covenants in debt agreements;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maintenance of acceptable project credit ratings or credit quality;</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cash flow; and</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provisions of tax and securities laws that may impact raising capital.</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Certain of the Company’s long-term bilateral contracts result from state-mandated procurements and could be declared invalid by a court of competent jurisdiction.</w:t>
      </w:r>
    </w:p>
    <w:p>
      <w:pPr>
        <w:spacing w:after="0" w:line="136"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A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generation of electric energy from solar and wind energy sources depends heavily on suitable meteorological conditions.</w:t>
      </w:r>
    </w:p>
    <w:p>
      <w:pPr>
        <w:spacing w:after="0" w:line="136"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2"/>
          <w:szCs w:val="12"/>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Disruption in the generation of solar or wind energy could limit a facility’s ability to generate electricity at its desired level. Should a generation facility fail to perform at the required levels, or other unplanned disruptions occur, the facility may be forced to fulfill an underlying contractual obligation by purchasing electricity at higher prices. In addition, the Company’s facilities may be exposed, based on specific contractual terms, to a locational basis risk resulting from a difference in the price received for generation sold at the location where the power is generated and the price paid for generation purchased at the contracted delivery point, which could lead to potential lower revenues in circumstances where the price received is lower than the price that is paid. Furthermore, components of the Company’s systems, such as solar panels and inverters, could be damaged by severe weather, such as wildfires, hailstorms, lightning, tornadoes or freezing temperatures and other winter weather conditions. In addition, replacement and spare parts for key components may be difficult or costly to acquire or may be unavailable. Unfavorable weather and atmospheric conditions could impair the effectiveness of the Company’s assets or reduce their output beneath their rated capacity or require shutdown of key equipment, impeding operation of the Company’s renewable assets. For example, in February 2021, the Company’s wind projects in Texas were unable to operate and experienced outages for a few days as a result of the extreme winter weather conditions. In addition, climate change may have the long-term effect of changing wind patterns at the Company’s projects. Changing wind patterns could cause changes in expected electricity generation. These events could also degrade equipment or components and the interconnection and transmission facilities’ lives or maintenance costs.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9" w:name="page20"/>
    <w:bookmarkEnd w:id="19"/>
    <w:p>
      <w:pPr>
        <w:jc w:val="both"/>
        <w:ind w:firstLine="318"/>
        <w:spacing w:after="0" w:line="288" w:lineRule="auto"/>
        <w:rPr>
          <w:sz w:val="20"/>
          <w:szCs w:val="20"/>
          <w:color w:val="auto"/>
        </w:rPr>
      </w:pPr>
      <w:r>
        <w:rPr>
          <w:rFonts w:ascii="Arial" w:cs="Arial" w:eastAsia="Arial" w:hAnsi="Arial"/>
          <w:sz w:val="13"/>
          <w:szCs w:val="13"/>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Company’s business, financial condition, results of operations and cash flows.</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90"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2"/>
          <w:szCs w:val="12"/>
          <w:color w:val="auto"/>
        </w:rPr>
        <w:t>The ongoing operation of the Company’s facilities involves risks that include the breakdown or failure of equipment or processes or performance below expected levels of output or efficiency due to wear and tear, latent defect, design error or operator error or force majeure events, among other things. The Company’s facilities are subject to the risks inherent with power generation facilities, including, but not limited to, degradation of equipment in excess of the Company’s expectations, system failures and outages, which could impair the ability of the facilities to meet the Company’s performance expectations.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256"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Power generation involves hazardous activities, including acquiring, transporting and unloading fuel, operating large pieces of rotating equipment and delivering electricity to transmission and distribution systems. In addition to natural risks such as earthquake, flood, lightning,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To the extent an event was not covered by insurance policies, such incidents could subject the Company to substantial liabilities arising from emergency response, environmental cleanup and restoration costs, claims made by neighboring landowners and other third parties for personal injury and property damage, and fines or penalties for any related violations of environmental laws or regulations.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Company’s facilities may operate, wholly or partially, without long-term power sales agreements.</w:t>
      </w:r>
    </w:p>
    <w:p>
      <w:pPr>
        <w:spacing w:after="0" w:line="13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commercially attractive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i w:val="1"/>
          <w:iCs w:val="1"/>
          <w:color w:val="auto"/>
        </w:rPr>
        <w:t>Maintenance, expansion and refurbishment of electric generation facilities involve significant risks that could result in unplanned power outages or reduced output.</w:t>
      </w:r>
    </w:p>
    <w:p>
      <w:pPr>
        <w:spacing w:after="0" w:line="13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distributions to Clearway, Inc. and CEG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89"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Clean Air Act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Supplier and/or customer concentration at certain of the Company’s facilities may expose the Company to significant financial credit or performance risks.</w:t>
      </w:r>
    </w:p>
    <w:p>
      <w:pPr>
        <w:spacing w:after="0" w:line="136" w:lineRule="exact"/>
        <w:rPr>
          <w:sz w:val="20"/>
          <w:szCs w:val="20"/>
          <w:color w:val="auto"/>
        </w:rPr>
      </w:pPr>
    </w:p>
    <w:p>
      <w:pPr>
        <w:jc w:val="both"/>
        <w:ind w:firstLine="318"/>
        <w:spacing w:after="0" w:line="279" w:lineRule="auto"/>
        <w:rPr>
          <w:sz w:val="20"/>
          <w:szCs w:val="20"/>
          <w:color w:val="auto"/>
        </w:rPr>
      </w:pPr>
      <w:r>
        <w:rPr>
          <w:rFonts w:ascii="Arial" w:cs="Arial" w:eastAsia="Arial" w:hAnsi="Arial"/>
          <w:sz w:val="13"/>
          <w:szCs w:val="13"/>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9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In addition, potential or existing customers at the Company’s district energy centers and combined heat and power plants, or the Energy Centers, may opt for on-site systems in lieu of using the Company’s Energy Centers, either due to corporate policies regarding the allocation of capital, unique situations where an on-site system might in fact prove more efficient, because of previously committed capital in systems that are already on-site, or otherwise. At times, the Company relies on a single customer or a few customers to purchase all or a significant portion of a facility’s output, in some cases under long-term agreements that account for a substantial percentage of the anticipated revenue from a given facility.</w:t>
      </w:r>
    </w:p>
    <w:p>
      <w:pPr>
        <w:spacing w:after="0" w:line="10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1" w:name="page22"/>
    <w:bookmarkEnd w:id="21"/>
    <w:p>
      <w:pPr>
        <w:jc w:val="both"/>
        <w:spacing w:after="0" w:line="281" w:lineRule="auto"/>
        <w:rPr>
          <w:sz w:val="20"/>
          <w:szCs w:val="20"/>
          <w:color w:val="auto"/>
        </w:rPr>
      </w:pPr>
      <w:r>
        <w:rPr>
          <w:rFonts w:ascii="Arial" w:cs="Arial" w:eastAsia="Arial" w:hAnsi="Arial"/>
          <w:sz w:val="14"/>
          <w:szCs w:val="14"/>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90"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3"/>
          <w:szCs w:val="13"/>
          <w:color w:val="auto"/>
        </w:rPr>
        <w:t xml:space="preserve">As described in Item 15 — Note 5, </w:t>
      </w:r>
      <w:r>
        <w:rPr>
          <w:rFonts w:ascii="Arial" w:cs="Arial" w:eastAsia="Arial" w:hAnsi="Arial"/>
          <w:sz w:val="13"/>
          <w:szCs w:val="13"/>
          <w:i w:val="1"/>
          <w:iCs w:val="1"/>
          <w:color w:val="auto"/>
        </w:rPr>
        <w:t>Investments Accounted for by the Equity Method and Variable Interest Entities</w:t>
      </w:r>
      <w:r>
        <w:rPr>
          <w:rFonts w:ascii="Arial" w:cs="Arial" w:eastAsia="Arial" w:hAnsi="Arial"/>
          <w:sz w:val="13"/>
          <w:szCs w:val="13"/>
          <w:color w:val="auto"/>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unit holders, on the one hand, and the Company’s co-venturers, on the other hand, where the Company’s co-venturers’ business interests are inconsistent with the interests of the Company and its unit 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97"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approval of co-venturers may also be required for the Company to receive distributions of funds from assets or to sell, pledge, transfer, assign or otherwise convey its interest in such assets, or for the Company to acquire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10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Furthermore, certain of the Company’s facilities are operated by third-party operators. To the extent that third-party operators do not fulfill their obligations to manage operations of the facilities or are not effective in doing so, the amount of CAFD may be adversely affected.</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Company’s assets are exposed to risks inherent in the use of interest rate swaps and the Company may be exposed to additional risks in the future if it utilizes other derivative instruments.</w:t>
      </w:r>
    </w:p>
    <w:p>
      <w:pPr>
        <w:spacing w:after="0" w:line="15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Company uses interest rate swaps to manage interest rate risk.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The Company does not own all of the land on which its power generation assets are located, which could result in disruption to its operations.</w:t>
      </w:r>
    </w:p>
    <w:p>
      <w:pPr>
        <w:spacing w:after="0" w:line="13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The Company does not own all of the land on which its power generation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generation assets.</w:t>
      </w:r>
    </w:p>
    <w:p>
      <w:pPr>
        <w:spacing w:after="0" w:line="1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The Company’s use and enjoyment of real property rights for its projects may be adversely affected by the rights of lienholders and leaseholders that are superior to those of the grantors of those real property rights to the Company.</w:t>
      </w:r>
    </w:p>
    <w:p>
      <w:pPr>
        <w:spacing w:after="0" w:line="90"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Solar and wind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i w:val="1"/>
          <w:iCs w:val="1"/>
          <w:color w:val="auto"/>
        </w:rPr>
        <w:t>The Company’s businesses are subject to physical, market and economic risks relating to potential effects of climate change and public and governmental initiatives to address climate change.</w:t>
      </w:r>
    </w:p>
    <w:p>
      <w:pPr>
        <w:spacing w:after="0" w:line="159"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Climate change creates uncertainty in weather and other environmental conditions, including temperature and precipitation levels, and thus may affect consumer demand for electricity. For example, deviations from normal weather may reduce demand or availability of electricity and gas distribution services. In addition, the potential physical effects of climate change, such as increased frequency and severity of storms, cloud coverage, precipitation, floods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pacing w:after="0" w:line="89" w:lineRule="exact"/>
        <w:rPr>
          <w:sz w:val="20"/>
          <w:szCs w:val="20"/>
          <w:color w:val="auto"/>
        </w:rPr>
      </w:pPr>
    </w:p>
    <w:p>
      <w:pPr>
        <w:jc w:val="both"/>
        <w:ind w:firstLine="318"/>
        <w:spacing w:after="0" w:line="279" w:lineRule="auto"/>
        <w:rPr>
          <w:sz w:val="20"/>
          <w:szCs w:val="20"/>
          <w:color w:val="auto"/>
        </w:rPr>
      </w:pPr>
      <w:r>
        <w:rPr>
          <w:rFonts w:ascii="Arial" w:cs="Arial" w:eastAsia="Arial" w:hAnsi="Arial"/>
          <w:sz w:val="13"/>
          <w:szCs w:val="13"/>
          <w:color w:val="auto"/>
        </w:rPr>
        <w:t>Furthermore, governmental, scientific and public concern over the threat of climate change arising from GHG emissions may limit the Company’s access to natural gas or decrease demand for energy generated by the Company’s conventional assets. State, national and foreign governments and agencies continue to evaluate, and in some instances adopt, climate-related legislation and other regulatory initiatives that would restrict GHG emissions. Changes in environmental requirements related to GHG, climate change and alternative energy sources may impact demand for the Company’s services. For example, recently enacted H.R. 5376, commonly known as the Inflation Reduction Act of 2022, or IRA, includes incentives to increase wind and solar electric generation and encourage consumers to use these alternative energy sources. While this could benefit the Company by increasing the demand for the Company’s solar or wind energy, the Company could experience delayed or cancelled projects and/or reduced production and demand for energy generated by the Company’s conventional assets. However, the clean energy incentives included in the IRA or similar state or federal initiatives to incentivize a shift away from fossil fuels could reduce demand for energy generated by fossil fuels, and therefore have an adverse effect on the Company’s natural gas generation business, financial condition and results of operations.</w:t>
      </w:r>
    </w:p>
    <w:p>
      <w:pPr>
        <w:spacing w:after="0" w:line="95"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Lastly, companies across all industries are facing increased scrutiny from the public, stakeholders and government agencies related to their environmental, social, and governance (ESG) practices and commitments to address climate change. In recent years, investor advocacy groups, institutional investors, investment funds, and other influential investors have placed increasing importance on ESG practices. Increased focus and activism related to ESG and similar matters may hinder access to capital, as investors may decide to reallocate capital or to not commit capital as a result of their assessment of a company’s ESG practices. While the Company is committed to engaging with its stakeholders on ESG practices in a proactive, holistic and integrated manner, changes in the public or stakeholder sentiment could impact the Company’s ability to fund its conventional assets or decrease the demand for the energy generated by these assets.</w:t>
      </w:r>
    </w:p>
    <w:p>
      <w:pPr>
        <w:spacing w:after="0" w:line="92" w:lineRule="exact"/>
        <w:rPr>
          <w:sz w:val="20"/>
          <w:szCs w:val="20"/>
          <w:color w:val="auto"/>
        </w:rPr>
      </w:pPr>
    </w:p>
    <w:p>
      <w:pPr>
        <w:jc w:val="both"/>
        <w:spacing w:after="0" w:line="368" w:lineRule="auto"/>
        <w:rPr>
          <w:sz w:val="20"/>
          <w:szCs w:val="20"/>
          <w:color w:val="auto"/>
        </w:rPr>
      </w:pPr>
      <w:r>
        <w:rPr>
          <w:rFonts w:ascii="Arial" w:cs="Arial" w:eastAsia="Arial" w:hAnsi="Arial"/>
          <w:sz w:val="12"/>
          <w:szCs w:val="12"/>
          <w:b w:val="1"/>
          <w:bCs w:val="1"/>
          <w:i w:val="1"/>
          <w:iCs w:val="1"/>
          <w:color w:val="auto"/>
        </w:rPr>
        <w:t>Risks that are beyond the Company’s control, including but not limited to acts of terrorism or related acts of war, natural disaster, pandemics (such as the COVID-19 pandemic), inflation, supply chain disruptions, hostile cyber intrusions or other catastrophic events, could have a material adverse effect on the business, financial condition, results of operations and cash flows.</w:t>
      </w:r>
    </w:p>
    <w:p>
      <w:pPr>
        <w:spacing w:after="0" w:line="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2"/>
          <w:szCs w:val="12"/>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Inflation, disruption in global and domestic supply chains, and other economic conditions could negatively impact the Company’s business in a manner that could adversely affect the Company’s results of operations and financial condition.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3" w:name="page24"/>
    <w:bookmarkEnd w:id="23"/>
    <w:p>
      <w:pPr>
        <w:jc w:val="both"/>
        <w:ind w:firstLine="318"/>
        <w:spacing w:after="0" w:line="277" w:lineRule="auto"/>
        <w:rPr>
          <w:sz w:val="20"/>
          <w:szCs w:val="20"/>
          <w:color w:val="auto"/>
        </w:rPr>
      </w:pPr>
      <w:r>
        <w:rPr>
          <w:rFonts w:ascii="Arial" w:cs="Arial" w:eastAsia="Arial" w:hAnsi="Arial"/>
          <w:sz w:val="13"/>
          <w:szCs w:val="13"/>
          <w:color w:val="auto"/>
        </w:rPr>
        <w:t>Furthermore, certain of the Company’s power generation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Catastrophic events, such as an earthquake, wildfire, drought, flood, pandemics (such as the COVID-19 pandemic)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The Company has a limited number of highly skilled employees for some of its operations and relies on certain independent contractors and other service providers. If a large proportion of the Company’s employees in those critical positions, or independent contractors or other service providers to the Company or its customers were to be negatively impacted by a catastrophic event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employees, independent contractors or service providers.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operation of the Company’s businesses is subject to cyber-based security and integrity risk.</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In addition, our business is dependent upon the computer systems of third-party providers to process certain data necessary to conduct our business, including sensitive employee information, credit card transaction information and other sensitive data.</w:t>
      </w:r>
    </w:p>
    <w:p>
      <w:pPr>
        <w:spacing w:after="0" w:line="103"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Potential disruptive actions could result from cyber-attack or cyber intrusion, including by computer hackers, foreign governments and cyber terrorists, or otherwise be compromised by unintentional events with respect to the Company or any of its contractors or customers. As a result, operations could be interrupted, property could be damaged and sensitive employee, customer or supplier information could be lost or stolen, causing the Company to incur significant losses of revenues, other substantial liabilities and damages, costs to replace or repair damaged equipment and damage to the Company’s reputation. Our insurance may not fully protect us against such losses. In addition, the Company may experience increased capital and operating costs to implement increased security for its cyber systems and generating assets.</w:t>
      </w:r>
    </w:p>
    <w:p>
      <w:pPr>
        <w:spacing w:after="0" w:line="10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In addition, cyberattacks against us or others in our industry could result in additional regulations, which could lead to increased regulatory compliance costs, insurance coverage cost or capital expenditures. Any failure by us to comply with these additional regulations could result in significant penalties and liability to us. We cannot predict the potential impact to our business or the energy industry resulting from such additional regulations.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4" w:name="page25"/>
    <w:bookmarkEnd w:id="24"/>
    <w:p>
      <w:pPr>
        <w:jc w:val="both"/>
        <w:spacing w:after="0" w:line="267" w:lineRule="auto"/>
        <w:rPr>
          <w:sz w:val="20"/>
          <w:szCs w:val="20"/>
          <w:color w:val="auto"/>
        </w:rPr>
      </w:pPr>
      <w:r>
        <w:rPr>
          <w:rFonts w:ascii="Arial" w:cs="Arial" w:eastAsia="Arial" w:hAnsi="Arial"/>
          <w:sz w:val="14"/>
          <w:szCs w:val="14"/>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9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3"/>
          <w:szCs w:val="13"/>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The Company’s costs, results of operations, financial condition and cash flows could be adversely impacted by the disruption of the fuel supplies necessary to generate power at its conventional power generation facilities.</w:t>
      </w:r>
    </w:p>
    <w:p>
      <w:pPr>
        <w:spacing w:after="0" w:line="9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Delivery of fossil fuels to fuel the Company’s conventional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9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The Company depends on key personnel and its ability to attract and retain additional skilled management and other personnel, the loss of any of which could have a material adverse effect on the Company’s financial condition and results of operations.</w:t>
      </w:r>
    </w:p>
    <w:p>
      <w:pPr>
        <w:spacing w:after="0" w:line="90"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The Company believes its current operations and future success depend largely on the continued services of key personnel that it employs. Although the Company currently has access to the resources of CEG, the loss of key personnel employed by the Company or CEG could have a material adverse effect on the Company’s financial condition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Company may potentially be adversely affected by emerging technologies that may over time impact capacity markets and the energy industry overall.</w:t>
      </w:r>
    </w:p>
    <w:p>
      <w:pPr>
        <w:spacing w:after="0" w:line="136"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Research and development activities are ongoing in the Company’s industry to provide alternative and more efficient technologies to produce power, including wind, photovoltaic (solar) cells, hydrogen, energy storage, and improvements in traditional technologies and equipment, such as more efficient gas turbines. Advances in these or other technologies could reduce the costs of power production to a level below what the Company has currently forecasted, which could adversely affect its cash flows, results of operations or competitive position.</w:t>
      </w:r>
    </w:p>
    <w:p>
      <w:pPr>
        <w:spacing w:after="0" w:line="8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Some emerging technologies, such as distributed renewable energy technologies, broad consumer adoption of electric vehicles and energy storage devices, could affect the price of energy. These emerging technologies may affect the financial viability of utility counterparties and could have significant impacts on market prices, which could ultimately have a material adverse effect on the Company’s financial condition, results of operations and cash flows.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auto"/>
        </w:rPr>
        <w:t>Risks Related to the Company’s Relationships with GIP, TotalEnergies and CEG</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GIP and TotalEnergies, through their equal ownership of CEG, exercise substantial influence over the Company through CEG’s position as controlling shareholder of Clearway, Inc. The Company is highly dependent on GIP, TotalEnergies and CEG.</w:t>
      </w:r>
    </w:p>
    <w:p>
      <w:pPr>
        <w:spacing w:after="0" w:line="90"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CEG owns all of Clearway, Inc.’s outstanding Class B and Class D common stock. Clearway, Inc.’s outstanding Class B and Class D common stock is entitled to one vote per share and 1/100th of a vote per share, respectively. As a result of its ownership of Clearway, Inc.’s Class B and Class D common stock, CEG owns 54.91% of the combined voting power of Clearway, Inc.’s common stock as of December 31, 2022. CEG is equally owned by GIP and TotalEnergies. Clearway, Inc., through its holdings of Class A units and Class C units, owned a 57.88% economic interest in the Company as of December 31, 2022. Additionally, GIP and TotalEnergies, through CEG’s holdings of Class B units and Class D units, owned the remaining 42.12% economic interest in the Company as of December 31, 2022. As a result of this ownership, GIP and TotalEnergies have a substantial influence on the Company’s affairs.</w:t>
      </w:r>
    </w:p>
    <w:p>
      <w:pPr>
        <w:spacing w:after="0" w:line="92"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Furthermore, the Company depends on certain services provided by or under the direction of CEG under the CEG Master Services Agreement, including numerous processes related to the Company’s internal control over financial reporting. CEG personnel and support staff that provide services to the Company under the CEG Master Services Agreement are not required to, and the Company does not expect that they will, have as their primary responsibility the management and administration of the Company or to act exclusively for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processes related to internal controls over financial reporting, operations or to implement its strategy could have a material adverse effect on the business, financial condition, results of operations and cash flows. The CEG Master Services Agreement will continue in perpetuity, until terminated in accordance with its terms.</w:t>
      </w:r>
    </w:p>
    <w:p>
      <w:pPr>
        <w:spacing w:after="0" w:line="10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Company also depends upon CEG and third parties for the provision of management, administration, O&amp;M and certain other services at certain of the Company’s facilities. Any failure by CEG or third parties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CEG controls the Company and has the ability to designate a majority of the members of Clearway, Inc.’s Board.</w:t>
      </w:r>
    </w:p>
    <w:p>
      <w:pPr>
        <w:spacing w:after="0" w:line="136"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color w:val="auto"/>
        </w:rPr>
        <w:t>Due to CEG’s approximate 54.91% combined voting power in Clearway, Inc., the ability of other holders of Clearway, Inc.’s Class A and Class C common stock to exercise control over the corporate governance of the Company is limited. GIP and TotalEnergies, through their equal ownership of CEG, have a substantial influence on Clearway, Inc.’s affairs, and CEG’s voting power constitutes a large percentage of any quorum of Clearway, Inc.’s stockholders voting on any matter requiring the approval of Clearway, Inc.’s stockholders. Such matters include the election of directors, the adoption of amendments to Clearway, Inc.’s amended and restated certificate of incorporation and fourth amended and restated bylaws and approval of mergers or sale of all or substantially all of its assets. This concentration of ownership may also have the effect of delaying or preventing a change in control of Clearway, Inc. or discouraging others from making tender offers for Clearway, Inc.’s shares. In addition, GIP, TotalEnergies and their respective affiliates have the right to elect all of Clearway, Inc.’s directors. It is possible that the interests of GIP, TotalEnergies and their respective affiliates may in certain circumstances differ from the interests of the Company or other holders of Clearway, Inc.’s Class A and Class C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Company may not be able to consummate future acquisitions from CEG.</w:t>
      </w:r>
    </w:p>
    <w:p>
      <w:pPr>
        <w:spacing w:after="0" w:line="136"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color w:val="auto"/>
        </w:rPr>
        <w:t>The Company’s ability to grow through acquisitions depends, in part, on CEG’s ability to identify and present the Company with acquisition opportunities. Although CEG has agreed, pursuant to the CEG ROFO Agreement, to grant the Company a right of first offer with respect to certain power generation assets that CEG may elect to sell in the future, CEG is under no obligation to sell any such power generation assets or to accept any related offers from the Company. In addition, CEG has not agreed to commit any minimum level of dedicated resources for the pursuit of renewable power-related acquisitions. There are a number of factors which could materially and adversely impact the extent to which suitable acquisition opportunities are made available from CEG, including that the same professionals within CEG’s organization that are involved in acquisitions that are suitable for the Company have responsibilities within CEG’s broader asset management business, which may include sourcing acquisition opportunities for CEG. Limits on the availability of such individuals will likewise result in a limitation on the availability of acquisition opportunities for the Company. In making these determinations, CEG may be influenced by factors that result in a misalignment with the Company’s interests or conflict of interest.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i w:val="1"/>
          <w:iCs w:val="1"/>
          <w:color w:val="auto"/>
        </w:rPr>
        <w:t>The Company may be unable to terminate the CEG Master Services Agreement, in certain circumstances.</w:t>
      </w:r>
    </w:p>
    <w:p>
      <w:pPr>
        <w:spacing w:after="0" w:line="136"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3"/>
          <w:szCs w:val="13"/>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180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9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The Company relies on CEG to provide certain services under the CEG Master Services Agreement. The CEG Master Services Agreement provides that CEG may terminate the agreement upon 180 days prior written notice of termination to the Company if the Company defaults in the performance or observance of any material term, condition or covenant contained in the agreement in a manner that results in material harm and the default continues unremedied for a period of 30 days after written notice of the breach is given. If CEG terminates the Management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w:t>
      </w:r>
    </w:p>
    <w:p>
      <w:pPr>
        <w:spacing w:after="0" w:line="10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b w:val="1"/>
          <w:bCs w:val="1"/>
          <w:i w:val="1"/>
          <w:iCs w:val="1"/>
          <w:color w:val="auto"/>
        </w:rPr>
        <w:t>The liability of CEG is limited under the Company’s arrangements with it and the Company has agreed to indemnify CEG against claims that it may face in connection with such arrangements, which may lead CEG to assume greater risks when making decisions relating to the Company than it otherwise might if acting solely for its own account.</w:t>
      </w:r>
    </w:p>
    <w:p>
      <w:pPr>
        <w:spacing w:after="0" w:line="67" w:lineRule="exact"/>
        <w:rPr>
          <w:sz w:val="20"/>
          <w:szCs w:val="20"/>
          <w:color w:val="auto"/>
        </w:rPr>
      </w:pPr>
    </w:p>
    <w:p>
      <w:pPr>
        <w:jc w:val="both"/>
        <w:ind w:firstLine="318"/>
        <w:spacing w:after="0" w:line="279" w:lineRule="auto"/>
        <w:rPr>
          <w:sz w:val="20"/>
          <w:szCs w:val="20"/>
          <w:color w:val="auto"/>
        </w:rPr>
      </w:pPr>
      <w:r>
        <w:rPr>
          <w:rFonts w:ascii="Arial" w:cs="Arial" w:eastAsia="Arial" w:hAnsi="Arial"/>
          <w:sz w:val="13"/>
          <w:szCs w:val="13"/>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CEG tolerating greater risks when making decisions than otherwise might be the case, including when determining whether to use leverage in connection with acquisitions. The indemnification arrangements to which CEG is a party may also give rise to legal claims for indemnification that are adverse to the Company and its unit holders.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7" w:name="page28"/>
    <w:bookmarkEnd w:id="27"/>
    <w:p>
      <w:pPr>
        <w:jc w:val="both"/>
        <w:spacing w:after="0" w:line="281" w:lineRule="auto"/>
        <w:rPr>
          <w:sz w:val="20"/>
          <w:szCs w:val="20"/>
          <w:color w:val="auto"/>
        </w:rPr>
      </w:pPr>
      <w:r>
        <w:rPr>
          <w:rFonts w:ascii="Arial" w:cs="Arial" w:eastAsia="Arial" w:hAnsi="Arial"/>
          <w:sz w:val="14"/>
          <w:szCs w:val="14"/>
          <w:b w:val="1"/>
          <w:bCs w:val="1"/>
          <w:i w:val="1"/>
          <w:iCs w:val="1"/>
          <w:color w:val="auto"/>
        </w:rPr>
        <w:t>Certain of the Company’s PPAs and project-level financing arrangements include provisions that would permit the counterparty to terminate the contract or accelerate maturity in the event GIP, TotalEnergies or their respective affiliates cease to control or own, directly or indirectly, a majority of the voting power of the Company.</w:t>
      </w:r>
    </w:p>
    <w:p>
      <w:pPr>
        <w:spacing w:after="0" w:line="90"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GIP, TotalEnergies or their respective affiliates cease to own, directly or indirectly, capital stock representing more than 50% of the voting power of the Company’s capital stock outstanding on such date, or, in some cases, if GIP, TotalEnergies or their respective affiliates cease to be the majority owner, directly or indirectly, of the applicable project subsidiary. As a result, if GIP, TotalEnergies or their respective affiliates cease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project-level financing could have a material adverse effect on the Company’s business, financial condition, results of operations and cash flow.</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Regulation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Company’s business is subject to restrictions resulting from environmental, health and safety laws and regulations.</w:t>
      </w:r>
    </w:p>
    <w:p>
      <w:pPr>
        <w:spacing w:after="0" w:line="136"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undertake to indemnify it for environmental liabilities they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95"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Greenhouse gas (GHG) regulation could also increase the cost of electricity generated by fossil fuels, and such increases could reduce demand for the power the Company’s conventional assets generate and market. Legislative and regulatory measures to address climate change and GHG emissions are in various phases of discussion or implementation. The EPA regulates GHG emissions from new and modified facilities that are potential major sources of criteria pollutants under the Clean Air Act’s Prevention of Significant Deterioration and Title V programs and has adopted regulations that require, among other things, preconstruction and operating permits for certain large stationary sources and the monitoring and reporting of GHGs from certain onshore oil and natural gas production sources on an annual basis. The United States Environmental Protection Agency has proposed strict new methane emissions regulations for certain oil and gas facilities. The IRA establishes a charge on methane emissions above certain limits from the same facilities.</w:t>
      </w:r>
    </w:p>
    <w:p>
      <w:pPr>
        <w:spacing w:after="0" w:line="10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In addition, in 2015, the U.S., Canada and the U.K. participated in the United Nations Conference on Climate Change, which led to the creation of the Paris Agreement. The Paris Agreement, which was signed by the U.S. in April 2016, requires countries to review and “represent a progression” in their intended nationally determined contributions (which set GHG emission reduction goals) every five years beginning in 2020. In November 2020, the U.S. officially withdrew from the Paris Agreement in November 2020. However, on January 20, 2021, President Biden signed an “Acceptance on Behalf of the United States of America” that will allow the U.S. to rejoin the Paris Agreement. The newly signed acceptance, deposited with the United Nations on January 20, reverses the prior withdrawal. The U.S. officially rejoined the Paris Agreement on February 19, 2021.</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8" w:name="page29"/>
    <w:bookmarkEnd w:id="28"/>
    <w:p>
      <w:pPr>
        <w:jc w:val="both"/>
        <w:ind w:firstLine="318"/>
        <w:spacing w:after="0" w:line="277" w:lineRule="auto"/>
        <w:rPr>
          <w:sz w:val="20"/>
          <w:szCs w:val="20"/>
          <w:color w:val="auto"/>
        </w:rPr>
      </w:pPr>
      <w:r>
        <w:rPr>
          <w:rFonts w:ascii="Arial" w:cs="Arial" w:eastAsia="Arial" w:hAnsi="Arial"/>
          <w:sz w:val="13"/>
          <w:szCs w:val="13"/>
          <w:color w:val="auto"/>
        </w:rPr>
        <w:t>The U.S. Congress, along with federal and state agencies, has also considered measures to reduce the emissions of GHGs. Legislation or regulation that restricts carbon emissions could increase the cost of environmental compliance for the Company’s conventional assets by requiring the Company to install new equipment to reduce emissions from larger facilities and/or purchase emission allowances. Climate change and GHG legislation or regulation could also delay or otherwise negatively affect efforts to obtain and maintain permits and other regulatory approvals for the Company’s conventional assets’ existing and new facilities, impose additional monitoring and reporting requirements or adversely affect demand for the natural gas the Company gathers, transports and stores. Conversely, legislation or regulation that sets a price on or otherwise restricts carbon emissions could also benefit the Company by increasing demand for solar or wind energy sources. In addition, governmental, scientific and public concern over the threat of climate change arising from GHG emissions has resulted in increasing political risks in the U.S, including climate change related pledges made by the Biden Administration. Shortly after taking office in January 2021, President Biden issued a series of executive orders designed to address climate change and suspend, revise, or rescind, prior agency actions that are identified as conflicting with the Biden Administration’s climate policies. Furthermore, as part of rejoining the Paris Agreement, President Biden announced that the United States would commit to a 50 to 52 percent reduction from 2005 levels of GHG emissions by 2030 and set the goal of reaching net-zero GHG emissions by 2050. Reentry into the Paris Agreement and President Biden’s executive orders may result in the development of additional regulations or changes to existing regulations. The effect on the Company of any new legislative or regulatory measures will depend on the particular provisions that are ultimately adopted.</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90"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or in Texas within the footprint of ERCOT,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9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0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All of the Company’s generating assets are operating either as EWGs as defined under the PUHCA, or as QFs as defined under the PURPA, as amended, and therefore are exempt from certain regulation under the PUHCA and the FPA. If a facility fails to maintain its status as an EWG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9" w:name="page30"/>
    <w:bookmarkEnd w:id="29"/>
    <w:p>
      <w:pPr>
        <w:jc w:val="both"/>
        <w:ind w:firstLine="318"/>
        <w:spacing w:after="0" w:line="276" w:lineRule="auto"/>
        <w:rPr>
          <w:sz w:val="20"/>
          <w:szCs w:val="20"/>
          <w:color w:val="auto"/>
        </w:rPr>
      </w:pPr>
      <w:r>
        <w:rPr>
          <w:rFonts w:ascii="Arial" w:cs="Arial" w:eastAsia="Arial" w:hAnsi="Arial"/>
          <w:sz w:val="13"/>
          <w:szCs w:val="13"/>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9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9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2"/>
          <w:szCs w:val="12"/>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Any failure to comply with applicable environmental laws and regulations, including those relating to equipment failures, or obtain required governmental approvals and permits, may result in the assessment of administrative, civil or criminal penalties, imposition of investigatory or remedial activities and, in certain, less common circumstances, issuance of temporary or permanent injunctions, or construction or operation bans or delays.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8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b w:val="1"/>
          <w:bCs w:val="1"/>
          <w:i w:val="1"/>
          <w:iCs w:val="1"/>
          <w:color w:val="auto"/>
        </w:rPr>
        <w:t>The Company’s business is subject to complex and evolving U.S. laws and regulations regarding privacy and data protection (“data protection laws”). Many of these laws and regulations are subject to change and uncertain interpretation, and could result in claims, increased cost of operations, or otherwise harm the Company’s business.</w:t>
      </w:r>
    </w:p>
    <w:p>
      <w:pPr>
        <w:spacing w:after="0" w:line="67"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The regulatory environment surrounding data privacy and protection is constantly evolving and can be subject to significant change. New data protection laws pose increasingly complex compliance challenges and potentially elevate the Company’s costs. Complying with varying jurisdictional requirements could increase the costs and complexity of compliance, and violations of applicable data protection laws can result in significant penalties. Any failure, or perceived failure, by the Company to comply with applicable data protection laws could result in proceedings or actions against the Company by governmental entities or others, subject the Company to significant fines, penalties, judgments, and negative publicity, require the Company to change its business practices, increase the costs and complexity of compliance, and adversely affect the Company’s business. As noted above, the Company is also subject to the possibility of cyberattacks, which themselves may result in a violation of these laws. Additionally, if the Company acquires a company that has violated or is not in compliance with applicable data protection laws, the Company may incur significant liabilities and penalties as a result.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i w:val="1"/>
          <w:iCs w:val="1"/>
          <w:color w:val="auto"/>
        </w:rPr>
        <w:t>Government regulations providing incentives for renewable power generation could change at any time and such changes may negatively impact the Company’s growth strategy.</w:t>
      </w:r>
    </w:p>
    <w:p>
      <w:pPr>
        <w:spacing w:after="0" w:line="148" w:lineRule="exact"/>
        <w:rPr>
          <w:sz w:val="20"/>
          <w:szCs w:val="20"/>
          <w:color w:val="auto"/>
        </w:rPr>
      </w:pPr>
    </w:p>
    <w:p>
      <w:pPr>
        <w:jc w:val="both"/>
        <w:ind w:firstLine="318"/>
        <w:spacing w:after="0" w:line="313" w:lineRule="auto"/>
        <w:rPr>
          <w:sz w:val="20"/>
          <w:szCs w:val="20"/>
          <w:color w:val="auto"/>
        </w:rPr>
      </w:pPr>
      <w:r>
        <w:rPr>
          <w:rFonts w:ascii="Arial" w:cs="Arial" w:eastAsia="Arial" w:hAnsi="Arial"/>
          <w:sz w:val="12"/>
          <w:szCs w:val="12"/>
          <w:color w:val="auto"/>
        </w:rPr>
        <w:t>The Company’s growth strategy depends in part on government policies that support renewable generation and energy storage and enhance the economic viability of owning renewable power generation assets. Renewable power generation assets currently benefit from various federal, state and local governmental incentives such as ITCs, PTCs, loan guarantee programs, RPS, programs and accelerated depreciation for tax purposes. These laws, regulations and policies have had a significant impact on the development of renewable power generation projects and they could be changed, reduced or eliminated at any time. These incentives make the development of renewable power generation projects more competitive by providing tax credits or grants and accelerated depreciation for a portion of the development costs, decreasing the costs and risks associated with developing such projects or creating demand for renewable power assets through RPS programs.</w:t>
      </w:r>
    </w:p>
    <w:p>
      <w:pPr>
        <w:spacing w:after="0" w:line="7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elimination or loss of, or reduction in, such incentives could (i) decrease the attractiveness of renewable power generation projects to developers, including, but not limited to, CEG, which could reduce the Company’s acquisition opportunities, (ii) reduce the Company’s willingness to pursue or develop certain renewable power projects due to higher operating costs or decreased revenues under its PPAs, (iii) cause the market for future renewable energy PPAs to be smaller and the prices for future renewable energy PPAs to be lower and/or (iv) result in increased financing costs and difficulty in obtaining financing on acceptable terms.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Any of the foregoing could have a material adverse effect on the Company’s business, financial condition, results of operations and ability to grow its business and make cash distributions.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earned by the Company’s GenConn assets is established each year in a rate case; accordingly, the profitability of these assets is dependent on regulatory approval.</w:t>
      </w:r>
    </w:p>
    <w:p>
      <w:pPr>
        <w:spacing w:after="0" w:line="148"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color w:val="auto"/>
        </w:rPr>
        <w:t>Revenues related to the GenConn assets are established each year by the Connecticut Public Utilities Regulatory Authority. While such regulatory oversight is generally premised on the recovery of prudently incurred costs and a reasonable rate of return on invested capital, the rates that the Company may charge, or the revenue that the Company may earn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the Company’s rates and revenues are generally established based on an analysis of costs incurred in a base year, the rates the Company is allowed to charge, and the revenues the Company is authorized to earn, may or may not match the costs at any given time. If the Company’s costs are not adequately recovered through these regulatory processes, it could have a material adverse effect on the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1" w:name="page32"/>
    <w:bookmarkEnd w:id="31"/>
    <w:p>
      <w:pPr>
        <w:jc w:val="center"/>
        <w:spacing w:after="0"/>
        <w:rPr>
          <w:sz w:val="20"/>
          <w:szCs w:val="20"/>
          <w:color w:val="auto"/>
        </w:rPr>
      </w:pPr>
      <w:r>
        <w:rPr>
          <w:rFonts w:ascii="Arial" w:cs="Arial" w:eastAsia="Arial" w:hAnsi="Arial"/>
          <w:sz w:val="14"/>
          <w:szCs w:val="14"/>
          <w:b w:val="1"/>
          <w:bCs w:val="1"/>
          <w:color w:val="auto"/>
        </w:rPr>
        <w:t>CAUTIONARY STATEMENT REGARDING FORWARD-LOOKING INFORMATION</w:t>
      </w:r>
    </w:p>
    <w:p>
      <w:pPr>
        <w:spacing w:after="0" w:line="14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 xml:space="preserve">This Annual Report on Form 10-K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4"/>
          <w:szCs w:val="14"/>
          <w:i w:val="1"/>
          <w:iCs w:val="1"/>
          <w:color w:val="auto"/>
        </w:rPr>
        <w:t>Risk Factors</w:t>
      </w:r>
      <w:r>
        <w:rPr>
          <w:rFonts w:ascii="Arial" w:cs="Arial" w:eastAsia="Arial" w:hAnsi="Arial"/>
          <w:sz w:val="14"/>
          <w:szCs w:val="14"/>
          <w:color w:val="auto"/>
        </w:rPr>
        <w:t xml:space="preserve"> and the following:</w:t>
      </w:r>
    </w:p>
    <w:p>
      <w:pPr>
        <w:spacing w:after="0" w:line="107"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Company’s ability to maintain and grow its quarterly distributions;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Potential risks related to the Company’s relationships with GIP, TotalEnergies and CEG;</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Company’s ability to successfully identify, evaluate and consummate acquisitions from, and dispositions to, third parties;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Company’s ability to acquire assets from CEG;</w:t>
      </w:r>
    </w:p>
    <w:p>
      <w:pPr>
        <w:spacing w:after="0" w:line="51"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Company’s ability to borrow additional funds and access capital markets, as well as the Company’s substantial indebtedness and the possibility that the Company may incur additional indebtedness going forward;</w:t>
      </w:r>
    </w:p>
    <w:p>
      <w:pPr>
        <w:spacing w:after="0" w:line="4"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law, including judicial decisions;</w:t>
      </w:r>
    </w:p>
    <w:p>
      <w:pPr>
        <w:spacing w:after="0" w:line="51" w:lineRule="exact"/>
        <w:rPr>
          <w:rFonts w:ascii="Arial" w:cs="Arial" w:eastAsia="Arial" w:hAnsi="Arial"/>
          <w:sz w:val="14"/>
          <w:szCs w:val="14"/>
          <w:color w:val="auto"/>
        </w:rPr>
      </w:pPr>
    </w:p>
    <w:p>
      <w:pPr>
        <w:jc w:val="both"/>
        <w:ind w:left="520" w:hanging="260"/>
        <w:spacing w:after="0" w:line="262"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4"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willingness and ability of counterparties to the Company’s offtake agreements to fulfill their obligations under such agreements;</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Company’s ability to enter into contracts to sell power and procure fuel on acceptable terms and prices as current offtake agreements expire;</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Government regulation, including compliance with regulatory requirements and changes in market rules, rates, tariffs and environmental laws;</w:t>
      </w:r>
    </w:p>
    <w:p>
      <w:pPr>
        <w:spacing w:after="0" w:line="51"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 and</w:t>
      </w:r>
    </w:p>
    <w:p>
      <w:pPr>
        <w:spacing w:after="0" w:line="4"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9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 Unresolved Staff Comments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auto"/>
        </w:rPr>
        <w:t>Item 2 — Properties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Listed below are descriptions of the Company’s interests in facilities, operations and/or projects owned or leased as of December 31, 2022.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3"/>
                <w:szCs w:val="13"/>
                <w:b w:val="1"/>
                <w:bCs w:val="1"/>
                <w:color w:val="auto"/>
              </w:rPr>
              <w:t>Capacity</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Borders>
              <w:bottom w:val="single" w:sz="8" w:color="auto"/>
            </w:tcBorders>
            <w:gridSpan w:val="2"/>
          </w:tcPr>
          <w:p>
            <w:pPr>
              <w:ind w:left="1140"/>
              <w:spacing w:after="0"/>
              <w:rPr>
                <w:sz w:val="20"/>
                <w:szCs w:val="20"/>
                <w:color w:val="auto"/>
              </w:rPr>
            </w:pPr>
            <w:r>
              <w:rPr>
                <w:rFonts w:ascii="Arial" w:cs="Arial" w:eastAsia="Arial" w:hAnsi="Arial"/>
                <w:sz w:val="13"/>
                <w:szCs w:val="13"/>
                <w:b w:val="1"/>
                <w:bCs w:val="1"/>
                <w:color w:val="auto"/>
              </w:rPr>
              <w:t>PPA Terms</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Assets</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Location</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Rated MW</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rPr>
              <w:t>Net MW</w:t>
            </w:r>
            <w:r>
              <w:rPr>
                <w:rFonts w:ascii="Arial" w:cs="Arial" w:eastAsia="Arial" w:hAnsi="Arial"/>
                <w:sz w:val="16"/>
                <w:szCs w:val="16"/>
                <w:b w:val="1"/>
                <w:bCs w:val="1"/>
                <w:color w:val="auto"/>
                <w:vertAlign w:val="superscript"/>
              </w:rPr>
              <w:t>(a)</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Ownership</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Fuel</w:t>
            </w: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COD</w:t>
            </w:r>
          </w:p>
        </w:tc>
        <w:tc>
          <w:tcPr>
            <w:tcW w:w="10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Counterparty</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60"/>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Conventional</w:t>
            </w: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00" w:type="dxa"/>
            <w:vAlign w:val="bottom"/>
            <w:gridSpan w:val="2"/>
          </w:tcPr>
          <w:p>
            <w:pPr>
              <w:ind w:left="20"/>
              <w:spacing w:after="0"/>
              <w:rPr>
                <w:sz w:val="20"/>
                <w:szCs w:val="20"/>
                <w:color w:val="auto"/>
              </w:rPr>
            </w:pPr>
            <w:r>
              <w:rPr>
                <w:rFonts w:ascii="Arial" w:cs="Arial" w:eastAsia="Arial" w:hAnsi="Arial"/>
                <w:sz w:val="11"/>
                <w:szCs w:val="11"/>
                <w:color w:val="auto"/>
              </w:rPr>
              <w:t>Carlsbad</w:t>
            </w:r>
          </w:p>
        </w:tc>
        <w:tc>
          <w:tcPr>
            <w:tcW w:w="1480" w:type="dxa"/>
            <w:vAlign w:val="bottom"/>
            <w:gridSpan w:val="2"/>
          </w:tcPr>
          <w:p>
            <w:pPr>
              <w:ind w:left="20"/>
              <w:spacing w:after="0"/>
              <w:rPr>
                <w:sz w:val="20"/>
                <w:szCs w:val="20"/>
                <w:color w:val="auto"/>
              </w:rPr>
            </w:pPr>
            <w:r>
              <w:rPr>
                <w:rFonts w:ascii="Arial" w:cs="Arial" w:eastAsia="Arial" w:hAnsi="Arial"/>
                <w:sz w:val="11"/>
                <w:szCs w:val="11"/>
                <w:color w:val="auto"/>
              </w:rPr>
              <w:t>Carlsbad, CA</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527</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527</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1"/>
                <w:szCs w:val="11"/>
                <w:color w:val="auto"/>
              </w:rPr>
              <w:t>Natural Gas</w:t>
            </w:r>
          </w:p>
        </w:tc>
        <w:tc>
          <w:tcPr>
            <w:tcW w:w="1400" w:type="dxa"/>
            <w:vAlign w:val="bottom"/>
            <w:gridSpan w:val="2"/>
          </w:tcPr>
          <w:p>
            <w:pPr>
              <w:ind w:left="20"/>
              <w:spacing w:after="0"/>
              <w:rPr>
                <w:sz w:val="20"/>
                <w:szCs w:val="20"/>
                <w:color w:val="auto"/>
              </w:rPr>
            </w:pPr>
            <w:r>
              <w:rPr>
                <w:rFonts w:ascii="Arial" w:cs="Arial" w:eastAsia="Arial" w:hAnsi="Arial"/>
                <w:sz w:val="11"/>
                <w:szCs w:val="11"/>
                <w:color w:val="auto"/>
              </w:rPr>
              <w:t>December 2018</w:t>
            </w:r>
          </w:p>
        </w:tc>
        <w:tc>
          <w:tcPr>
            <w:tcW w:w="1860" w:type="dxa"/>
            <w:vAlign w:val="bottom"/>
            <w:gridSpan w:val="2"/>
          </w:tcPr>
          <w:p>
            <w:pPr>
              <w:ind w:left="20"/>
              <w:spacing w:after="0"/>
              <w:rPr>
                <w:sz w:val="20"/>
                <w:szCs w:val="20"/>
                <w:color w:val="auto"/>
              </w:rPr>
            </w:pPr>
            <w:r>
              <w:rPr>
                <w:rFonts w:ascii="Arial" w:cs="Arial" w:eastAsia="Arial" w:hAnsi="Arial"/>
                <w:sz w:val="11"/>
                <w:szCs w:val="11"/>
                <w:color w:val="auto"/>
              </w:rPr>
              <w:t>San Diego Gas &amp; Electric</w:t>
            </w:r>
          </w:p>
        </w:tc>
        <w:tc>
          <w:tcPr>
            <w:tcW w:w="1040" w:type="dxa"/>
            <w:vAlign w:val="bottom"/>
          </w:tcPr>
          <w:p>
            <w:pPr>
              <w:jc w:val="right"/>
              <w:spacing w:after="0"/>
              <w:rPr>
                <w:sz w:val="20"/>
                <w:szCs w:val="20"/>
                <w:color w:val="auto"/>
              </w:rPr>
            </w:pPr>
            <w:r>
              <w:rPr>
                <w:rFonts w:ascii="Arial" w:cs="Arial" w:eastAsia="Arial" w:hAnsi="Arial"/>
                <w:sz w:val="11"/>
                <w:szCs w:val="11"/>
                <w:color w:val="auto"/>
              </w:rPr>
              <w:t>2038</w:t>
            </w:r>
          </w:p>
        </w:tc>
        <w:tc>
          <w:tcPr>
            <w:tcW w:w="0" w:type="dxa"/>
            <w:vAlign w:val="bottom"/>
          </w:tcPr>
          <w:p>
            <w:pPr>
              <w:spacing w:after="0"/>
              <w:rPr>
                <w:sz w:val="1"/>
                <w:szCs w:val="1"/>
                <w:color w:val="auto"/>
              </w:rPr>
            </w:pPr>
          </w:p>
        </w:tc>
      </w:tr>
      <w:tr>
        <w:trPr>
          <w:trHeight w:val="16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El Segundo</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El Segundo, CA</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Natural Gas</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August 2013</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SCE</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2023 - 2026</w:t>
            </w:r>
          </w:p>
        </w:tc>
        <w:tc>
          <w:tcPr>
            <w:tcW w:w="0" w:type="dxa"/>
            <w:vAlign w:val="bottom"/>
          </w:tcPr>
          <w:p>
            <w:pPr>
              <w:spacing w:after="0"/>
              <w:rPr>
                <w:sz w:val="1"/>
                <w:szCs w:val="1"/>
                <w:color w:val="auto"/>
              </w:rPr>
            </w:pPr>
          </w:p>
        </w:tc>
      </w:tr>
      <w:tr>
        <w:trPr>
          <w:trHeight w:val="152"/>
        </w:trPr>
        <w:tc>
          <w:tcPr>
            <w:tcW w:w="1800" w:type="dxa"/>
            <w:vAlign w:val="bottom"/>
            <w:gridSpan w:val="2"/>
          </w:tcPr>
          <w:p>
            <w:pPr>
              <w:ind w:left="20"/>
              <w:spacing w:after="0"/>
              <w:rPr>
                <w:sz w:val="20"/>
                <w:szCs w:val="20"/>
                <w:color w:val="auto"/>
              </w:rPr>
            </w:pPr>
            <w:r>
              <w:rPr>
                <w:rFonts w:ascii="Arial" w:cs="Arial" w:eastAsia="Arial" w:hAnsi="Arial"/>
                <w:sz w:val="11"/>
                <w:szCs w:val="11"/>
                <w:color w:val="auto"/>
              </w:rPr>
              <w:t>GenConn Devon</w:t>
            </w:r>
          </w:p>
        </w:tc>
        <w:tc>
          <w:tcPr>
            <w:tcW w:w="1480" w:type="dxa"/>
            <w:vAlign w:val="bottom"/>
            <w:gridSpan w:val="2"/>
          </w:tcPr>
          <w:p>
            <w:pPr>
              <w:ind w:left="20"/>
              <w:spacing w:after="0"/>
              <w:rPr>
                <w:sz w:val="20"/>
                <w:szCs w:val="20"/>
                <w:color w:val="auto"/>
              </w:rPr>
            </w:pPr>
            <w:r>
              <w:rPr>
                <w:rFonts w:ascii="Arial" w:cs="Arial" w:eastAsia="Arial" w:hAnsi="Arial"/>
                <w:sz w:val="11"/>
                <w:szCs w:val="11"/>
                <w:color w:val="auto"/>
              </w:rPr>
              <w:t>Milford, CT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190</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50 %</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1"/>
                <w:szCs w:val="11"/>
                <w:color w:val="auto"/>
              </w:rPr>
              <w:t>Natural Gas/Oil</w:t>
            </w:r>
          </w:p>
        </w:tc>
        <w:tc>
          <w:tcPr>
            <w:tcW w:w="1400" w:type="dxa"/>
            <w:vAlign w:val="bottom"/>
            <w:gridSpan w:val="2"/>
          </w:tcPr>
          <w:p>
            <w:pPr>
              <w:ind w:left="20"/>
              <w:spacing w:after="0"/>
              <w:rPr>
                <w:sz w:val="20"/>
                <w:szCs w:val="20"/>
                <w:color w:val="auto"/>
              </w:rPr>
            </w:pPr>
            <w:r>
              <w:rPr>
                <w:rFonts w:ascii="Arial" w:cs="Arial" w:eastAsia="Arial" w:hAnsi="Arial"/>
                <w:sz w:val="11"/>
                <w:szCs w:val="11"/>
                <w:color w:val="auto"/>
              </w:rPr>
              <w:t>June 2010</w:t>
            </w:r>
          </w:p>
        </w:tc>
        <w:tc>
          <w:tcPr>
            <w:tcW w:w="1860" w:type="dxa"/>
            <w:vAlign w:val="bottom"/>
            <w:gridSpan w:val="2"/>
          </w:tcPr>
          <w:p>
            <w:pPr>
              <w:ind w:left="20"/>
              <w:spacing w:after="0"/>
              <w:rPr>
                <w:sz w:val="20"/>
                <w:szCs w:val="20"/>
                <w:color w:val="auto"/>
              </w:rPr>
            </w:pPr>
            <w:r>
              <w:rPr>
                <w:rFonts w:ascii="Arial" w:cs="Arial" w:eastAsia="Arial" w:hAnsi="Arial"/>
                <w:sz w:val="11"/>
                <w:szCs w:val="11"/>
                <w:color w:val="auto"/>
              </w:rPr>
              <w:t>Connecticut Light &amp; Power</w:t>
            </w:r>
          </w:p>
        </w:tc>
        <w:tc>
          <w:tcPr>
            <w:tcW w:w="1040" w:type="dxa"/>
            <w:vAlign w:val="bottom"/>
          </w:tcPr>
          <w:p>
            <w:pPr>
              <w:jc w:val="right"/>
              <w:spacing w:after="0"/>
              <w:rPr>
                <w:sz w:val="20"/>
                <w:szCs w:val="20"/>
                <w:color w:val="auto"/>
              </w:rPr>
            </w:pPr>
            <w:r>
              <w:rPr>
                <w:rFonts w:ascii="Arial" w:cs="Arial" w:eastAsia="Arial" w:hAnsi="Arial"/>
                <w:sz w:val="11"/>
                <w:szCs w:val="11"/>
                <w:color w:val="auto"/>
              </w:rPr>
              <w:t>2040</w:t>
            </w:r>
          </w:p>
        </w:tc>
        <w:tc>
          <w:tcPr>
            <w:tcW w:w="0" w:type="dxa"/>
            <w:vAlign w:val="bottom"/>
          </w:tcPr>
          <w:p>
            <w:pPr>
              <w:spacing w:after="0"/>
              <w:rPr>
                <w:sz w:val="1"/>
                <w:szCs w:val="1"/>
                <w:color w:val="auto"/>
              </w:rPr>
            </w:pPr>
          </w:p>
        </w:tc>
      </w:tr>
      <w:tr>
        <w:trPr>
          <w:trHeight w:val="16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GenConn Middletown</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Middletown, CT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50 %</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Natural Gas/Oil</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June 2011</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Connecticut Light &amp; Power</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2041</w:t>
            </w:r>
          </w:p>
        </w:tc>
        <w:tc>
          <w:tcPr>
            <w:tcW w:w="0" w:type="dxa"/>
            <w:vAlign w:val="bottom"/>
          </w:tcPr>
          <w:p>
            <w:pPr>
              <w:spacing w:after="0"/>
              <w:rPr>
                <w:sz w:val="1"/>
                <w:szCs w:val="1"/>
                <w:color w:val="auto"/>
              </w:rPr>
            </w:pPr>
          </w:p>
        </w:tc>
      </w:tr>
      <w:tr>
        <w:trPr>
          <w:trHeight w:val="152"/>
        </w:trPr>
        <w:tc>
          <w:tcPr>
            <w:tcW w:w="1800" w:type="dxa"/>
            <w:vAlign w:val="bottom"/>
            <w:gridSpan w:val="2"/>
          </w:tcPr>
          <w:p>
            <w:pPr>
              <w:ind w:left="20"/>
              <w:spacing w:after="0"/>
              <w:rPr>
                <w:sz w:val="20"/>
                <w:szCs w:val="20"/>
                <w:color w:val="auto"/>
              </w:rPr>
            </w:pPr>
            <w:r>
              <w:rPr>
                <w:rFonts w:ascii="Arial" w:cs="Arial" w:eastAsia="Arial" w:hAnsi="Arial"/>
                <w:sz w:val="11"/>
                <w:szCs w:val="11"/>
                <w:color w:val="auto"/>
              </w:rPr>
              <w:t>Marsh Landing</w:t>
            </w:r>
          </w:p>
        </w:tc>
        <w:tc>
          <w:tcPr>
            <w:tcW w:w="1480" w:type="dxa"/>
            <w:vAlign w:val="bottom"/>
            <w:gridSpan w:val="2"/>
          </w:tcPr>
          <w:p>
            <w:pPr>
              <w:ind w:left="20"/>
              <w:spacing w:after="0"/>
              <w:rPr>
                <w:sz w:val="20"/>
                <w:szCs w:val="20"/>
                <w:color w:val="auto"/>
              </w:rPr>
            </w:pPr>
            <w:r>
              <w:rPr>
                <w:rFonts w:ascii="Arial" w:cs="Arial" w:eastAsia="Arial" w:hAnsi="Arial"/>
                <w:sz w:val="11"/>
                <w:szCs w:val="11"/>
                <w:color w:val="auto"/>
              </w:rPr>
              <w:t>Antioch, CA</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720</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720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1"/>
                <w:szCs w:val="11"/>
                <w:color w:val="auto"/>
              </w:rPr>
              <w:t>Natural Gas</w:t>
            </w:r>
          </w:p>
        </w:tc>
        <w:tc>
          <w:tcPr>
            <w:tcW w:w="1400" w:type="dxa"/>
            <w:vAlign w:val="bottom"/>
            <w:gridSpan w:val="2"/>
          </w:tcPr>
          <w:p>
            <w:pPr>
              <w:ind w:left="20"/>
              <w:spacing w:after="0"/>
              <w:rPr>
                <w:sz w:val="20"/>
                <w:szCs w:val="20"/>
                <w:color w:val="auto"/>
              </w:rPr>
            </w:pPr>
            <w:r>
              <w:rPr>
                <w:rFonts w:ascii="Arial" w:cs="Arial" w:eastAsia="Arial" w:hAnsi="Arial"/>
                <w:sz w:val="11"/>
                <w:szCs w:val="11"/>
                <w:color w:val="auto"/>
              </w:rPr>
              <w:t>May 2013</w:t>
            </w:r>
          </w:p>
        </w:tc>
        <w:tc>
          <w:tcPr>
            <w:tcW w:w="1860" w:type="dxa"/>
            <w:vAlign w:val="bottom"/>
            <w:gridSpan w:val="2"/>
          </w:tcPr>
          <w:p>
            <w:pPr>
              <w:ind w:left="20"/>
              <w:spacing w:after="0"/>
              <w:rPr>
                <w:sz w:val="20"/>
                <w:szCs w:val="20"/>
                <w:color w:val="auto"/>
              </w:rPr>
            </w:pPr>
            <w:r>
              <w:rPr>
                <w:rFonts w:ascii="Arial" w:cs="Arial" w:eastAsia="Arial" w:hAnsi="Arial"/>
                <w:sz w:val="11"/>
                <w:szCs w:val="11"/>
                <w:color w:val="auto"/>
              </w:rPr>
              <w:t>Various</w:t>
            </w:r>
          </w:p>
        </w:tc>
        <w:tc>
          <w:tcPr>
            <w:tcW w:w="1040" w:type="dxa"/>
            <w:vAlign w:val="bottom"/>
          </w:tcPr>
          <w:p>
            <w:pPr>
              <w:jc w:val="right"/>
              <w:spacing w:after="0"/>
              <w:rPr>
                <w:sz w:val="20"/>
                <w:szCs w:val="20"/>
                <w:color w:val="auto"/>
              </w:rPr>
            </w:pPr>
            <w:r>
              <w:rPr>
                <w:rFonts w:ascii="Arial" w:cs="Arial" w:eastAsia="Arial" w:hAnsi="Arial"/>
                <w:sz w:val="11"/>
                <w:szCs w:val="11"/>
                <w:color w:val="auto"/>
              </w:rPr>
              <w:t>2023 - 2030</w:t>
            </w:r>
          </w:p>
        </w:tc>
        <w:tc>
          <w:tcPr>
            <w:tcW w:w="0" w:type="dxa"/>
            <w:vAlign w:val="bottom"/>
          </w:tcPr>
          <w:p>
            <w:pPr>
              <w:spacing w:after="0"/>
              <w:rPr>
                <w:sz w:val="1"/>
                <w:szCs w:val="1"/>
                <w:color w:val="auto"/>
              </w:rPr>
            </w:pPr>
          </w:p>
        </w:tc>
      </w:tr>
      <w:tr>
        <w:trPr>
          <w:trHeight w:val="16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Walnut Creek</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City of Industry, CA</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485</w:t>
            </w:r>
          </w:p>
        </w:tc>
        <w:tc>
          <w:tcPr>
            <w:tcW w:w="8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Natural Gas</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May 2013</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SCE</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2023 - 2026</w:t>
            </w:r>
          </w:p>
        </w:tc>
        <w:tc>
          <w:tcPr>
            <w:tcW w:w="0" w:type="dxa"/>
            <w:vAlign w:val="bottom"/>
          </w:tcPr>
          <w:p>
            <w:pPr>
              <w:spacing w:after="0"/>
              <w:rPr>
                <w:sz w:val="1"/>
                <w:szCs w:val="1"/>
                <w:color w:val="auto"/>
              </w:rPr>
            </w:pPr>
          </w:p>
        </w:tc>
      </w:tr>
      <w:tr>
        <w:trPr>
          <w:trHeight w:val="148"/>
        </w:trPr>
        <w:tc>
          <w:tcPr>
            <w:tcW w:w="1800" w:type="dxa"/>
            <w:vAlign w:val="bottom"/>
            <w:gridSpan w:val="2"/>
          </w:tcPr>
          <w:p>
            <w:pPr>
              <w:ind w:left="280"/>
              <w:spacing w:after="0" w:line="146" w:lineRule="exact"/>
              <w:rPr>
                <w:sz w:val="20"/>
                <w:szCs w:val="20"/>
                <w:color w:val="auto"/>
              </w:rPr>
            </w:pPr>
            <w:r>
              <w:rPr>
                <w:rFonts w:ascii="Arial" w:cs="Arial" w:eastAsia="Arial" w:hAnsi="Arial"/>
                <w:sz w:val="13"/>
                <w:szCs w:val="13"/>
                <w:b w:val="1"/>
                <w:bCs w:val="1"/>
                <w:i w:val="1"/>
                <w:iCs w:val="1"/>
                <w:color w:val="auto"/>
              </w:rPr>
              <w:t>Total Conventional</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2,662</w:t>
            </w:r>
          </w:p>
        </w:tc>
        <w:tc>
          <w:tcPr>
            <w:tcW w:w="80" w:type="dxa"/>
            <w:vAlign w:val="bottom"/>
          </w:tcPr>
          <w:p>
            <w:pPr>
              <w:spacing w:after="0"/>
              <w:rPr>
                <w:sz w:val="12"/>
                <w:szCs w:val="12"/>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2,472</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Utility Scale Solar</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gridSpan w:val="2"/>
          </w:tcPr>
          <w:p>
            <w:pPr>
              <w:ind w:left="20"/>
              <w:spacing w:after="0"/>
              <w:rPr>
                <w:sz w:val="20"/>
                <w:szCs w:val="20"/>
                <w:color w:val="auto"/>
              </w:rPr>
            </w:pPr>
            <w:r>
              <w:rPr>
                <w:rFonts w:ascii="Arial" w:cs="Arial" w:eastAsia="Arial" w:hAnsi="Arial"/>
                <w:sz w:val="11"/>
                <w:szCs w:val="11"/>
                <w:color w:val="auto"/>
              </w:rPr>
              <w:t>Agua Caliente</w:t>
            </w:r>
          </w:p>
        </w:tc>
        <w:tc>
          <w:tcPr>
            <w:tcW w:w="1480" w:type="dxa"/>
            <w:vAlign w:val="bottom"/>
            <w:gridSpan w:val="2"/>
          </w:tcPr>
          <w:p>
            <w:pPr>
              <w:ind w:left="20"/>
              <w:spacing w:after="0"/>
              <w:rPr>
                <w:sz w:val="20"/>
                <w:szCs w:val="20"/>
                <w:color w:val="auto"/>
              </w:rPr>
            </w:pPr>
            <w:r>
              <w:rPr>
                <w:rFonts w:ascii="Arial" w:cs="Arial" w:eastAsia="Arial" w:hAnsi="Arial"/>
                <w:sz w:val="11"/>
                <w:szCs w:val="11"/>
                <w:color w:val="auto"/>
              </w:rPr>
              <w:t>Dateland, AZ</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290</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148</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51 %</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tcPr>
          <w:p>
            <w:pPr>
              <w:ind w:left="20"/>
              <w:spacing w:after="0"/>
              <w:rPr>
                <w:sz w:val="20"/>
                <w:szCs w:val="20"/>
                <w:color w:val="auto"/>
              </w:rPr>
            </w:pPr>
            <w:r>
              <w:rPr>
                <w:rFonts w:ascii="Arial" w:cs="Arial" w:eastAsia="Arial" w:hAnsi="Arial"/>
                <w:sz w:val="11"/>
                <w:szCs w:val="11"/>
                <w:color w:val="auto"/>
              </w:rPr>
              <w:t>June 2014</w:t>
            </w:r>
          </w:p>
        </w:tc>
        <w:tc>
          <w:tcPr>
            <w:tcW w:w="1860" w:type="dxa"/>
            <w:vAlign w:val="bottom"/>
            <w:gridSpan w:val="2"/>
          </w:tcPr>
          <w:p>
            <w:pPr>
              <w:ind w:left="20"/>
              <w:spacing w:after="0"/>
              <w:rPr>
                <w:sz w:val="20"/>
                <w:szCs w:val="20"/>
                <w:color w:val="auto"/>
              </w:rPr>
            </w:pPr>
            <w:r>
              <w:rPr>
                <w:rFonts w:ascii="Arial" w:cs="Arial" w:eastAsia="Arial" w:hAnsi="Arial"/>
                <w:sz w:val="11"/>
                <w:szCs w:val="11"/>
                <w:color w:val="auto"/>
              </w:rPr>
              <w:t>PG&amp;E</w:t>
            </w:r>
          </w:p>
        </w:tc>
        <w:tc>
          <w:tcPr>
            <w:tcW w:w="1040" w:type="dxa"/>
            <w:vAlign w:val="bottom"/>
          </w:tcPr>
          <w:p>
            <w:pPr>
              <w:jc w:val="right"/>
              <w:spacing w:after="0"/>
              <w:rPr>
                <w:sz w:val="20"/>
                <w:szCs w:val="20"/>
                <w:color w:val="auto"/>
              </w:rPr>
            </w:pPr>
            <w:r>
              <w:rPr>
                <w:rFonts w:ascii="Arial" w:cs="Arial" w:eastAsia="Arial" w:hAnsi="Arial"/>
                <w:sz w:val="11"/>
                <w:szCs w:val="11"/>
                <w:color w:val="auto"/>
              </w:rPr>
              <w:t>2039</w:t>
            </w:r>
          </w:p>
        </w:tc>
        <w:tc>
          <w:tcPr>
            <w:tcW w:w="0" w:type="dxa"/>
            <w:vAlign w:val="bottom"/>
          </w:tcPr>
          <w:p>
            <w:pPr>
              <w:spacing w:after="0"/>
              <w:rPr>
                <w:sz w:val="1"/>
                <w:szCs w:val="1"/>
                <w:color w:val="auto"/>
              </w:rPr>
            </w:pPr>
          </w:p>
        </w:tc>
      </w:tr>
      <w:tr>
        <w:trPr>
          <w:trHeight w:val="16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Alpine</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Lancaster, CA</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66</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January 2013</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PG&amp;E</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2033</w:t>
            </w:r>
          </w:p>
        </w:tc>
        <w:tc>
          <w:tcPr>
            <w:tcW w:w="0" w:type="dxa"/>
            <w:vAlign w:val="bottom"/>
          </w:tcPr>
          <w:p>
            <w:pPr>
              <w:spacing w:after="0"/>
              <w:rPr>
                <w:sz w:val="1"/>
                <w:szCs w:val="1"/>
                <w:color w:val="auto"/>
              </w:rPr>
            </w:pPr>
          </w:p>
        </w:tc>
      </w:tr>
      <w:tr>
        <w:trPr>
          <w:trHeight w:val="152"/>
        </w:trPr>
        <w:tc>
          <w:tcPr>
            <w:tcW w:w="1800" w:type="dxa"/>
            <w:vAlign w:val="bottom"/>
            <w:gridSpan w:val="2"/>
          </w:tcPr>
          <w:p>
            <w:pPr>
              <w:ind w:left="20"/>
              <w:spacing w:after="0"/>
              <w:rPr>
                <w:sz w:val="20"/>
                <w:szCs w:val="20"/>
                <w:color w:val="auto"/>
              </w:rPr>
            </w:pPr>
            <w:r>
              <w:rPr>
                <w:rFonts w:ascii="Arial" w:cs="Arial" w:eastAsia="Arial" w:hAnsi="Arial"/>
                <w:sz w:val="11"/>
                <w:szCs w:val="11"/>
                <w:color w:val="auto"/>
              </w:rPr>
              <w:t>Avenal</w:t>
            </w:r>
          </w:p>
        </w:tc>
        <w:tc>
          <w:tcPr>
            <w:tcW w:w="1480" w:type="dxa"/>
            <w:vAlign w:val="bottom"/>
            <w:gridSpan w:val="2"/>
          </w:tcPr>
          <w:p>
            <w:pPr>
              <w:ind w:left="20"/>
              <w:spacing w:after="0"/>
              <w:rPr>
                <w:sz w:val="20"/>
                <w:szCs w:val="20"/>
                <w:color w:val="auto"/>
              </w:rPr>
            </w:pPr>
            <w:r>
              <w:rPr>
                <w:rFonts w:ascii="Arial" w:cs="Arial" w:eastAsia="Arial" w:hAnsi="Arial"/>
                <w:sz w:val="11"/>
                <w:szCs w:val="11"/>
                <w:color w:val="auto"/>
              </w:rPr>
              <w:t>Avenal, CA</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50 %</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tcPr>
          <w:p>
            <w:pPr>
              <w:ind w:left="20"/>
              <w:spacing w:after="0"/>
              <w:rPr>
                <w:sz w:val="20"/>
                <w:szCs w:val="20"/>
                <w:color w:val="auto"/>
              </w:rPr>
            </w:pPr>
            <w:r>
              <w:rPr>
                <w:rFonts w:ascii="Arial" w:cs="Arial" w:eastAsia="Arial" w:hAnsi="Arial"/>
                <w:sz w:val="11"/>
                <w:szCs w:val="11"/>
                <w:color w:val="auto"/>
              </w:rPr>
              <w:t>August 2011</w:t>
            </w:r>
          </w:p>
        </w:tc>
        <w:tc>
          <w:tcPr>
            <w:tcW w:w="1860" w:type="dxa"/>
            <w:vAlign w:val="bottom"/>
            <w:gridSpan w:val="2"/>
          </w:tcPr>
          <w:p>
            <w:pPr>
              <w:ind w:left="20"/>
              <w:spacing w:after="0"/>
              <w:rPr>
                <w:sz w:val="20"/>
                <w:szCs w:val="20"/>
                <w:color w:val="auto"/>
              </w:rPr>
            </w:pPr>
            <w:r>
              <w:rPr>
                <w:rFonts w:ascii="Arial" w:cs="Arial" w:eastAsia="Arial" w:hAnsi="Arial"/>
                <w:sz w:val="11"/>
                <w:szCs w:val="11"/>
                <w:color w:val="auto"/>
              </w:rPr>
              <w:t>PG&amp;E</w:t>
            </w:r>
          </w:p>
        </w:tc>
        <w:tc>
          <w:tcPr>
            <w:tcW w:w="1040" w:type="dxa"/>
            <w:vAlign w:val="bottom"/>
          </w:tcPr>
          <w:p>
            <w:pPr>
              <w:jc w:val="right"/>
              <w:spacing w:after="0"/>
              <w:rPr>
                <w:sz w:val="20"/>
                <w:szCs w:val="20"/>
                <w:color w:val="auto"/>
              </w:rPr>
            </w:pPr>
            <w:r>
              <w:rPr>
                <w:rFonts w:ascii="Arial" w:cs="Arial" w:eastAsia="Arial" w:hAnsi="Arial"/>
                <w:sz w:val="11"/>
                <w:szCs w:val="11"/>
                <w:color w:val="auto"/>
              </w:rPr>
              <w:t>2031</w:t>
            </w:r>
          </w:p>
        </w:tc>
        <w:tc>
          <w:tcPr>
            <w:tcW w:w="0" w:type="dxa"/>
            <w:vAlign w:val="bottom"/>
          </w:tcPr>
          <w:p>
            <w:pPr>
              <w:spacing w:after="0"/>
              <w:rPr>
                <w:sz w:val="1"/>
                <w:szCs w:val="1"/>
                <w:color w:val="auto"/>
              </w:rPr>
            </w:pPr>
          </w:p>
        </w:tc>
      </w:tr>
      <w:tr>
        <w:trPr>
          <w:trHeight w:val="16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Avra Valley</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Pima County, AZ</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December 2012</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Tucson Electric Power</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2032</w:t>
            </w:r>
          </w:p>
        </w:tc>
        <w:tc>
          <w:tcPr>
            <w:tcW w:w="0" w:type="dxa"/>
            <w:vAlign w:val="bottom"/>
          </w:tcPr>
          <w:p>
            <w:pPr>
              <w:spacing w:after="0"/>
              <w:rPr>
                <w:sz w:val="1"/>
                <w:szCs w:val="1"/>
                <w:color w:val="auto"/>
              </w:rPr>
            </w:pPr>
          </w:p>
        </w:tc>
      </w:tr>
      <w:tr>
        <w:trPr>
          <w:trHeight w:val="152"/>
        </w:trPr>
        <w:tc>
          <w:tcPr>
            <w:tcW w:w="1800" w:type="dxa"/>
            <w:vAlign w:val="bottom"/>
            <w:gridSpan w:val="2"/>
          </w:tcPr>
          <w:p>
            <w:pPr>
              <w:ind w:left="20"/>
              <w:spacing w:after="0"/>
              <w:rPr>
                <w:sz w:val="20"/>
                <w:szCs w:val="20"/>
                <w:color w:val="auto"/>
              </w:rPr>
            </w:pPr>
            <w:r>
              <w:rPr>
                <w:rFonts w:ascii="Arial" w:cs="Arial" w:eastAsia="Arial" w:hAnsi="Arial"/>
                <w:sz w:val="11"/>
                <w:szCs w:val="11"/>
                <w:color w:val="auto"/>
              </w:rPr>
              <w:t>Blythe</w:t>
            </w:r>
          </w:p>
        </w:tc>
        <w:tc>
          <w:tcPr>
            <w:tcW w:w="1480" w:type="dxa"/>
            <w:vAlign w:val="bottom"/>
            <w:gridSpan w:val="2"/>
          </w:tcPr>
          <w:p>
            <w:pPr>
              <w:ind w:left="20"/>
              <w:spacing w:after="0"/>
              <w:rPr>
                <w:sz w:val="20"/>
                <w:szCs w:val="20"/>
                <w:color w:val="auto"/>
              </w:rPr>
            </w:pPr>
            <w:r>
              <w:rPr>
                <w:rFonts w:ascii="Arial" w:cs="Arial" w:eastAsia="Arial" w:hAnsi="Arial"/>
                <w:sz w:val="11"/>
                <w:szCs w:val="11"/>
                <w:color w:val="auto"/>
              </w:rPr>
              <w:t>Blythe, CA</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tcPr>
          <w:p>
            <w:pPr>
              <w:ind w:left="20"/>
              <w:spacing w:after="0"/>
              <w:rPr>
                <w:sz w:val="20"/>
                <w:szCs w:val="20"/>
                <w:color w:val="auto"/>
              </w:rPr>
            </w:pPr>
            <w:r>
              <w:rPr>
                <w:rFonts w:ascii="Arial" w:cs="Arial" w:eastAsia="Arial" w:hAnsi="Arial"/>
                <w:sz w:val="11"/>
                <w:szCs w:val="11"/>
                <w:color w:val="auto"/>
              </w:rPr>
              <w:t>December 2009</w:t>
            </w:r>
          </w:p>
        </w:tc>
        <w:tc>
          <w:tcPr>
            <w:tcW w:w="1860" w:type="dxa"/>
            <w:vAlign w:val="bottom"/>
            <w:gridSpan w:val="2"/>
          </w:tcPr>
          <w:p>
            <w:pPr>
              <w:ind w:left="20"/>
              <w:spacing w:after="0"/>
              <w:rPr>
                <w:sz w:val="20"/>
                <w:szCs w:val="20"/>
                <w:color w:val="auto"/>
              </w:rPr>
            </w:pPr>
            <w:r>
              <w:rPr>
                <w:rFonts w:ascii="Arial" w:cs="Arial" w:eastAsia="Arial" w:hAnsi="Arial"/>
                <w:sz w:val="11"/>
                <w:szCs w:val="11"/>
                <w:color w:val="auto"/>
              </w:rPr>
              <w:t>SCE</w:t>
            </w:r>
          </w:p>
        </w:tc>
        <w:tc>
          <w:tcPr>
            <w:tcW w:w="1040" w:type="dxa"/>
            <w:vAlign w:val="bottom"/>
          </w:tcPr>
          <w:p>
            <w:pPr>
              <w:jc w:val="right"/>
              <w:spacing w:after="0"/>
              <w:rPr>
                <w:sz w:val="20"/>
                <w:szCs w:val="20"/>
                <w:color w:val="auto"/>
              </w:rPr>
            </w:pPr>
            <w:r>
              <w:rPr>
                <w:rFonts w:ascii="Arial" w:cs="Arial" w:eastAsia="Arial" w:hAnsi="Arial"/>
                <w:sz w:val="11"/>
                <w:szCs w:val="11"/>
                <w:color w:val="auto"/>
              </w:rPr>
              <w:t>2029</w:t>
            </w:r>
          </w:p>
        </w:tc>
        <w:tc>
          <w:tcPr>
            <w:tcW w:w="0" w:type="dxa"/>
            <w:vAlign w:val="bottom"/>
          </w:tcPr>
          <w:p>
            <w:pPr>
              <w:spacing w:after="0"/>
              <w:rPr>
                <w:sz w:val="1"/>
                <w:szCs w:val="1"/>
                <w:color w:val="auto"/>
              </w:rPr>
            </w:pPr>
          </w:p>
        </w:tc>
      </w:tr>
      <w:tr>
        <w:trPr>
          <w:trHeight w:val="16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Borrego</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Borrego Springs, CA</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February 2013</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San Diego Gas and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2038</w:t>
            </w:r>
          </w:p>
        </w:tc>
        <w:tc>
          <w:tcPr>
            <w:tcW w:w="0" w:type="dxa"/>
            <w:vAlign w:val="bottom"/>
          </w:tcPr>
          <w:p>
            <w:pPr>
              <w:spacing w:after="0"/>
              <w:rPr>
                <w:sz w:val="1"/>
                <w:szCs w:val="1"/>
                <w:color w:val="auto"/>
              </w:rPr>
            </w:pPr>
          </w:p>
        </w:tc>
      </w:tr>
      <w:tr>
        <w:trPr>
          <w:trHeight w:val="159"/>
        </w:trPr>
        <w:tc>
          <w:tcPr>
            <w:tcW w:w="1800" w:type="dxa"/>
            <w:vAlign w:val="bottom"/>
            <w:gridSpan w:val="2"/>
          </w:tcPr>
          <w:p>
            <w:pPr>
              <w:ind w:left="20"/>
              <w:spacing w:after="0" w:line="159" w:lineRule="exact"/>
              <w:rPr>
                <w:sz w:val="20"/>
                <w:szCs w:val="20"/>
                <w:color w:val="auto"/>
              </w:rPr>
            </w:pPr>
            <w:r>
              <w:rPr>
                <w:rFonts w:ascii="Arial" w:cs="Arial" w:eastAsia="Arial" w:hAnsi="Arial"/>
                <w:sz w:val="11"/>
                <w:szCs w:val="11"/>
                <w:color w:val="auto"/>
              </w:rPr>
              <w:t xml:space="preserve">Buckthorn Solar </w:t>
            </w:r>
            <w:r>
              <w:rPr>
                <w:rFonts w:ascii="Arial" w:cs="Arial" w:eastAsia="Arial" w:hAnsi="Arial"/>
                <w:sz w:val="14"/>
                <w:szCs w:val="14"/>
                <w:color w:val="auto"/>
                <w:vertAlign w:val="superscript"/>
              </w:rPr>
              <w:t>(b)</w:t>
            </w:r>
          </w:p>
        </w:tc>
        <w:tc>
          <w:tcPr>
            <w:tcW w:w="1480" w:type="dxa"/>
            <w:vAlign w:val="bottom"/>
            <w:gridSpan w:val="2"/>
          </w:tcPr>
          <w:p>
            <w:pPr>
              <w:ind w:left="20"/>
              <w:spacing w:after="0"/>
              <w:rPr>
                <w:sz w:val="20"/>
                <w:szCs w:val="20"/>
                <w:color w:val="auto"/>
              </w:rPr>
            </w:pPr>
            <w:r>
              <w:rPr>
                <w:rFonts w:ascii="Arial" w:cs="Arial" w:eastAsia="Arial" w:hAnsi="Arial"/>
                <w:sz w:val="11"/>
                <w:szCs w:val="11"/>
                <w:color w:val="auto"/>
              </w:rPr>
              <w:t>Fort Stockton, TX</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150</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tcPr>
          <w:p>
            <w:pPr>
              <w:ind w:left="20"/>
              <w:spacing w:after="0"/>
              <w:rPr>
                <w:sz w:val="20"/>
                <w:szCs w:val="20"/>
                <w:color w:val="auto"/>
              </w:rPr>
            </w:pPr>
            <w:r>
              <w:rPr>
                <w:rFonts w:ascii="Arial" w:cs="Arial" w:eastAsia="Arial" w:hAnsi="Arial"/>
                <w:sz w:val="11"/>
                <w:szCs w:val="11"/>
                <w:color w:val="auto"/>
              </w:rPr>
              <w:t>July 2018</w:t>
            </w:r>
          </w:p>
        </w:tc>
        <w:tc>
          <w:tcPr>
            <w:tcW w:w="1860" w:type="dxa"/>
            <w:vAlign w:val="bottom"/>
            <w:gridSpan w:val="2"/>
          </w:tcPr>
          <w:p>
            <w:pPr>
              <w:ind w:left="20"/>
              <w:spacing w:after="0"/>
              <w:rPr>
                <w:sz w:val="20"/>
                <w:szCs w:val="20"/>
                <w:color w:val="auto"/>
              </w:rPr>
            </w:pPr>
            <w:r>
              <w:rPr>
                <w:rFonts w:ascii="Arial" w:cs="Arial" w:eastAsia="Arial" w:hAnsi="Arial"/>
                <w:sz w:val="11"/>
                <w:szCs w:val="11"/>
                <w:color w:val="auto"/>
              </w:rPr>
              <w:t>City of Georgetown, TX</w:t>
            </w:r>
          </w:p>
        </w:tc>
        <w:tc>
          <w:tcPr>
            <w:tcW w:w="1040" w:type="dxa"/>
            <w:vAlign w:val="bottom"/>
          </w:tcPr>
          <w:p>
            <w:pPr>
              <w:jc w:val="right"/>
              <w:spacing w:after="0"/>
              <w:rPr>
                <w:sz w:val="20"/>
                <w:szCs w:val="20"/>
                <w:color w:val="auto"/>
              </w:rPr>
            </w:pPr>
            <w:r>
              <w:rPr>
                <w:rFonts w:ascii="Arial" w:cs="Arial" w:eastAsia="Arial" w:hAnsi="Arial"/>
                <w:sz w:val="11"/>
                <w:szCs w:val="11"/>
                <w:color w:val="auto"/>
              </w:rPr>
              <w:t>2043</w:t>
            </w:r>
          </w:p>
        </w:tc>
        <w:tc>
          <w:tcPr>
            <w:tcW w:w="0" w:type="dxa"/>
            <w:vAlign w:val="bottom"/>
          </w:tcPr>
          <w:p>
            <w:pPr>
              <w:spacing w:after="0"/>
              <w:rPr>
                <w:sz w:val="1"/>
                <w:szCs w:val="1"/>
                <w:color w:val="auto"/>
              </w:rPr>
            </w:pPr>
          </w:p>
        </w:tc>
      </w:tr>
      <w:tr>
        <w:trPr>
          <w:trHeight w:val="159"/>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CVSR</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San Luis Obispo, CA</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250</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October 2013</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PG&amp;E</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2038</w:t>
            </w:r>
          </w:p>
        </w:tc>
        <w:tc>
          <w:tcPr>
            <w:tcW w:w="0" w:type="dxa"/>
            <w:vAlign w:val="bottom"/>
          </w:tcPr>
          <w:p>
            <w:pPr>
              <w:spacing w:after="0"/>
              <w:rPr>
                <w:sz w:val="1"/>
                <w:szCs w:val="1"/>
                <w:color w:val="auto"/>
              </w:rPr>
            </w:pPr>
          </w:p>
        </w:tc>
      </w:tr>
      <w:tr>
        <w:trPr>
          <w:trHeight w:val="152"/>
        </w:trPr>
        <w:tc>
          <w:tcPr>
            <w:tcW w:w="1800" w:type="dxa"/>
            <w:vAlign w:val="bottom"/>
            <w:gridSpan w:val="2"/>
          </w:tcPr>
          <w:p>
            <w:pPr>
              <w:ind w:left="20"/>
              <w:spacing w:after="0"/>
              <w:rPr>
                <w:sz w:val="20"/>
                <w:szCs w:val="20"/>
                <w:color w:val="auto"/>
              </w:rPr>
            </w:pPr>
            <w:r>
              <w:rPr>
                <w:rFonts w:ascii="Arial" w:cs="Arial" w:eastAsia="Arial" w:hAnsi="Arial"/>
                <w:sz w:val="11"/>
                <w:szCs w:val="11"/>
                <w:color w:val="auto"/>
              </w:rPr>
              <w:t>Desert Sunlight 250</w:t>
            </w:r>
          </w:p>
        </w:tc>
        <w:tc>
          <w:tcPr>
            <w:tcW w:w="1480" w:type="dxa"/>
            <w:vAlign w:val="bottom"/>
            <w:gridSpan w:val="2"/>
          </w:tcPr>
          <w:p>
            <w:pPr>
              <w:ind w:left="20"/>
              <w:spacing w:after="0"/>
              <w:rPr>
                <w:sz w:val="20"/>
                <w:szCs w:val="20"/>
                <w:color w:val="auto"/>
              </w:rPr>
            </w:pPr>
            <w:r>
              <w:rPr>
                <w:rFonts w:ascii="Arial" w:cs="Arial" w:eastAsia="Arial" w:hAnsi="Arial"/>
                <w:sz w:val="11"/>
                <w:szCs w:val="11"/>
                <w:color w:val="auto"/>
              </w:rPr>
              <w:t>Desert Center, CA</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250</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63</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25 %</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tcPr>
          <w:p>
            <w:pPr>
              <w:ind w:left="20"/>
              <w:spacing w:after="0"/>
              <w:rPr>
                <w:sz w:val="20"/>
                <w:szCs w:val="20"/>
                <w:color w:val="auto"/>
              </w:rPr>
            </w:pPr>
            <w:r>
              <w:rPr>
                <w:rFonts w:ascii="Arial" w:cs="Arial" w:eastAsia="Arial" w:hAnsi="Arial"/>
                <w:sz w:val="11"/>
                <w:szCs w:val="11"/>
                <w:color w:val="auto"/>
              </w:rPr>
              <w:t>December 2014</w:t>
            </w:r>
          </w:p>
        </w:tc>
        <w:tc>
          <w:tcPr>
            <w:tcW w:w="1860" w:type="dxa"/>
            <w:vAlign w:val="bottom"/>
            <w:gridSpan w:val="2"/>
          </w:tcPr>
          <w:p>
            <w:pPr>
              <w:ind w:left="20"/>
              <w:spacing w:after="0"/>
              <w:rPr>
                <w:sz w:val="20"/>
                <w:szCs w:val="20"/>
                <w:color w:val="auto"/>
              </w:rPr>
            </w:pPr>
            <w:r>
              <w:rPr>
                <w:rFonts w:ascii="Arial" w:cs="Arial" w:eastAsia="Arial" w:hAnsi="Arial"/>
                <w:sz w:val="11"/>
                <w:szCs w:val="11"/>
                <w:color w:val="auto"/>
              </w:rPr>
              <w:t>SCE</w:t>
            </w:r>
          </w:p>
        </w:tc>
        <w:tc>
          <w:tcPr>
            <w:tcW w:w="1040" w:type="dxa"/>
            <w:vAlign w:val="bottom"/>
          </w:tcPr>
          <w:p>
            <w:pPr>
              <w:jc w:val="right"/>
              <w:spacing w:after="0"/>
              <w:rPr>
                <w:sz w:val="20"/>
                <w:szCs w:val="20"/>
                <w:color w:val="auto"/>
              </w:rPr>
            </w:pPr>
            <w:r>
              <w:rPr>
                <w:rFonts w:ascii="Arial" w:cs="Arial" w:eastAsia="Arial" w:hAnsi="Arial"/>
                <w:sz w:val="11"/>
                <w:szCs w:val="11"/>
                <w:color w:val="auto"/>
              </w:rPr>
              <w:t>2034</w:t>
            </w:r>
          </w:p>
        </w:tc>
        <w:tc>
          <w:tcPr>
            <w:tcW w:w="0" w:type="dxa"/>
            <w:vAlign w:val="bottom"/>
          </w:tcPr>
          <w:p>
            <w:pPr>
              <w:spacing w:after="0"/>
              <w:rPr>
                <w:sz w:val="1"/>
                <w:szCs w:val="1"/>
                <w:color w:val="auto"/>
              </w:rPr>
            </w:pPr>
          </w:p>
        </w:tc>
      </w:tr>
      <w:tr>
        <w:trPr>
          <w:trHeight w:val="16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Desert Sunlight 300</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Desert Center, CA</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25 %</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December 2014</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PG&amp;E</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2039</w:t>
            </w:r>
          </w:p>
        </w:tc>
        <w:tc>
          <w:tcPr>
            <w:tcW w:w="0" w:type="dxa"/>
            <w:vAlign w:val="bottom"/>
          </w:tcPr>
          <w:p>
            <w:pPr>
              <w:spacing w:after="0"/>
              <w:rPr>
                <w:sz w:val="1"/>
                <w:szCs w:val="1"/>
                <w:color w:val="auto"/>
              </w:rPr>
            </w:pPr>
          </w:p>
        </w:tc>
      </w:tr>
      <w:tr>
        <w:trPr>
          <w:trHeight w:val="152"/>
        </w:trPr>
        <w:tc>
          <w:tcPr>
            <w:tcW w:w="1800" w:type="dxa"/>
            <w:vAlign w:val="bottom"/>
            <w:gridSpan w:val="2"/>
          </w:tcPr>
          <w:p>
            <w:pPr>
              <w:ind w:left="20"/>
              <w:spacing w:after="0"/>
              <w:rPr>
                <w:sz w:val="20"/>
                <w:szCs w:val="20"/>
                <w:color w:val="auto"/>
              </w:rPr>
            </w:pPr>
            <w:r>
              <w:rPr>
                <w:rFonts w:ascii="Arial" w:cs="Arial" w:eastAsia="Arial" w:hAnsi="Arial"/>
                <w:sz w:val="11"/>
                <w:szCs w:val="11"/>
                <w:color w:val="auto"/>
              </w:rPr>
              <w:t>Kansas South</w:t>
            </w:r>
          </w:p>
        </w:tc>
        <w:tc>
          <w:tcPr>
            <w:tcW w:w="1480" w:type="dxa"/>
            <w:vAlign w:val="bottom"/>
            <w:gridSpan w:val="2"/>
          </w:tcPr>
          <w:p>
            <w:pPr>
              <w:ind w:left="20"/>
              <w:spacing w:after="0"/>
              <w:rPr>
                <w:sz w:val="20"/>
                <w:szCs w:val="20"/>
                <w:color w:val="auto"/>
              </w:rPr>
            </w:pPr>
            <w:r>
              <w:rPr>
                <w:rFonts w:ascii="Arial" w:cs="Arial" w:eastAsia="Arial" w:hAnsi="Arial"/>
                <w:sz w:val="11"/>
                <w:szCs w:val="11"/>
                <w:color w:val="auto"/>
              </w:rPr>
              <w:t>Lemoore, CA</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tcPr>
          <w:p>
            <w:pPr>
              <w:ind w:left="20"/>
              <w:spacing w:after="0"/>
              <w:rPr>
                <w:sz w:val="20"/>
                <w:szCs w:val="20"/>
                <w:color w:val="auto"/>
              </w:rPr>
            </w:pPr>
            <w:r>
              <w:rPr>
                <w:rFonts w:ascii="Arial" w:cs="Arial" w:eastAsia="Arial" w:hAnsi="Arial"/>
                <w:sz w:val="11"/>
                <w:szCs w:val="11"/>
                <w:color w:val="auto"/>
              </w:rPr>
              <w:t>June 2013</w:t>
            </w:r>
          </w:p>
        </w:tc>
        <w:tc>
          <w:tcPr>
            <w:tcW w:w="1860" w:type="dxa"/>
            <w:vAlign w:val="bottom"/>
            <w:gridSpan w:val="2"/>
          </w:tcPr>
          <w:p>
            <w:pPr>
              <w:ind w:left="20"/>
              <w:spacing w:after="0"/>
              <w:rPr>
                <w:sz w:val="20"/>
                <w:szCs w:val="20"/>
                <w:color w:val="auto"/>
              </w:rPr>
            </w:pPr>
            <w:r>
              <w:rPr>
                <w:rFonts w:ascii="Arial" w:cs="Arial" w:eastAsia="Arial" w:hAnsi="Arial"/>
                <w:sz w:val="11"/>
                <w:szCs w:val="11"/>
                <w:color w:val="auto"/>
              </w:rPr>
              <w:t>PG&amp;E</w:t>
            </w:r>
          </w:p>
        </w:tc>
        <w:tc>
          <w:tcPr>
            <w:tcW w:w="1040" w:type="dxa"/>
            <w:vAlign w:val="bottom"/>
          </w:tcPr>
          <w:p>
            <w:pPr>
              <w:jc w:val="right"/>
              <w:spacing w:after="0"/>
              <w:rPr>
                <w:sz w:val="20"/>
                <w:szCs w:val="20"/>
                <w:color w:val="auto"/>
              </w:rPr>
            </w:pPr>
            <w:r>
              <w:rPr>
                <w:rFonts w:ascii="Arial" w:cs="Arial" w:eastAsia="Arial" w:hAnsi="Arial"/>
                <w:sz w:val="11"/>
                <w:szCs w:val="11"/>
                <w:color w:val="auto"/>
              </w:rPr>
              <w:t>2033</w:t>
            </w:r>
          </w:p>
        </w:tc>
        <w:tc>
          <w:tcPr>
            <w:tcW w:w="0" w:type="dxa"/>
            <w:vAlign w:val="bottom"/>
          </w:tcPr>
          <w:p>
            <w:pPr>
              <w:spacing w:after="0"/>
              <w:rPr>
                <w:sz w:val="1"/>
                <w:szCs w:val="1"/>
                <w:color w:val="auto"/>
              </w:rPr>
            </w:pPr>
          </w:p>
        </w:tc>
      </w:tr>
      <w:tr>
        <w:trPr>
          <w:trHeight w:val="16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 xml:space="preserve">Mililani I </w:t>
            </w:r>
            <w:r>
              <w:rPr>
                <w:rFonts w:ascii="Arial" w:cs="Arial" w:eastAsia="Arial" w:hAnsi="Arial"/>
                <w:sz w:val="14"/>
                <w:szCs w:val="14"/>
                <w:color w:val="auto"/>
                <w:vertAlign w:val="superscript"/>
              </w:rPr>
              <w:t>(b) (c)</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Honolulu, HI</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50 %</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July 2022</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Hawaiian Electric Company</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2042</w:t>
            </w:r>
          </w:p>
        </w:tc>
        <w:tc>
          <w:tcPr>
            <w:tcW w:w="0" w:type="dxa"/>
            <w:vAlign w:val="bottom"/>
          </w:tcPr>
          <w:p>
            <w:pPr>
              <w:spacing w:after="0"/>
              <w:rPr>
                <w:sz w:val="1"/>
                <w:szCs w:val="1"/>
                <w:color w:val="auto"/>
              </w:rPr>
            </w:pPr>
          </w:p>
        </w:tc>
      </w:tr>
      <w:tr>
        <w:trPr>
          <w:trHeight w:val="159"/>
        </w:trPr>
        <w:tc>
          <w:tcPr>
            <w:tcW w:w="1800" w:type="dxa"/>
            <w:vAlign w:val="bottom"/>
            <w:gridSpan w:val="2"/>
          </w:tcPr>
          <w:p>
            <w:pPr>
              <w:ind w:left="20"/>
              <w:spacing w:after="0" w:line="159" w:lineRule="exact"/>
              <w:rPr>
                <w:sz w:val="20"/>
                <w:szCs w:val="20"/>
                <w:color w:val="auto"/>
              </w:rPr>
            </w:pPr>
            <w:r>
              <w:rPr>
                <w:rFonts w:ascii="Arial" w:cs="Arial" w:eastAsia="Arial" w:hAnsi="Arial"/>
                <w:sz w:val="11"/>
                <w:szCs w:val="11"/>
                <w:color w:val="auto"/>
              </w:rPr>
              <w:t xml:space="preserve">Oahu Solar Projects </w:t>
            </w:r>
            <w:r>
              <w:rPr>
                <w:rFonts w:ascii="Arial" w:cs="Arial" w:eastAsia="Arial" w:hAnsi="Arial"/>
                <w:sz w:val="14"/>
                <w:szCs w:val="14"/>
                <w:color w:val="auto"/>
                <w:vertAlign w:val="superscript"/>
              </w:rPr>
              <w:t>(b)</w:t>
            </w:r>
          </w:p>
        </w:tc>
        <w:tc>
          <w:tcPr>
            <w:tcW w:w="1480" w:type="dxa"/>
            <w:vAlign w:val="bottom"/>
            <w:gridSpan w:val="2"/>
          </w:tcPr>
          <w:p>
            <w:pPr>
              <w:ind w:left="20"/>
              <w:spacing w:after="0"/>
              <w:rPr>
                <w:sz w:val="20"/>
                <w:szCs w:val="20"/>
                <w:color w:val="auto"/>
              </w:rPr>
            </w:pPr>
            <w:r>
              <w:rPr>
                <w:rFonts w:ascii="Arial" w:cs="Arial" w:eastAsia="Arial" w:hAnsi="Arial"/>
                <w:sz w:val="11"/>
                <w:szCs w:val="11"/>
                <w:color w:val="auto"/>
              </w:rPr>
              <w:t>Oahu, HI</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61</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tcPr>
          <w:p>
            <w:pPr>
              <w:ind w:left="20"/>
              <w:spacing w:after="0"/>
              <w:rPr>
                <w:sz w:val="20"/>
                <w:szCs w:val="20"/>
                <w:color w:val="auto"/>
              </w:rPr>
            </w:pPr>
            <w:r>
              <w:rPr>
                <w:rFonts w:ascii="Arial" w:cs="Arial" w:eastAsia="Arial" w:hAnsi="Arial"/>
                <w:sz w:val="11"/>
                <w:szCs w:val="11"/>
                <w:color w:val="auto"/>
              </w:rPr>
              <w:t>September 2019</w:t>
            </w:r>
          </w:p>
        </w:tc>
        <w:tc>
          <w:tcPr>
            <w:tcW w:w="1860" w:type="dxa"/>
            <w:vAlign w:val="bottom"/>
            <w:gridSpan w:val="2"/>
          </w:tcPr>
          <w:p>
            <w:pPr>
              <w:ind w:left="20"/>
              <w:spacing w:after="0"/>
              <w:rPr>
                <w:sz w:val="20"/>
                <w:szCs w:val="20"/>
                <w:color w:val="auto"/>
              </w:rPr>
            </w:pPr>
            <w:r>
              <w:rPr>
                <w:rFonts w:ascii="Arial" w:cs="Arial" w:eastAsia="Arial" w:hAnsi="Arial"/>
                <w:sz w:val="11"/>
                <w:szCs w:val="11"/>
                <w:color w:val="auto"/>
              </w:rPr>
              <w:t>Hawaiian Electric Company</w:t>
            </w:r>
          </w:p>
        </w:tc>
        <w:tc>
          <w:tcPr>
            <w:tcW w:w="1040" w:type="dxa"/>
            <w:vAlign w:val="bottom"/>
          </w:tcPr>
          <w:p>
            <w:pPr>
              <w:jc w:val="right"/>
              <w:spacing w:after="0"/>
              <w:rPr>
                <w:sz w:val="20"/>
                <w:szCs w:val="20"/>
                <w:color w:val="auto"/>
              </w:rPr>
            </w:pPr>
            <w:r>
              <w:rPr>
                <w:rFonts w:ascii="Arial" w:cs="Arial" w:eastAsia="Arial" w:hAnsi="Arial"/>
                <w:sz w:val="11"/>
                <w:szCs w:val="11"/>
                <w:color w:val="auto"/>
              </w:rPr>
              <w:t>2041</w:t>
            </w:r>
          </w:p>
        </w:tc>
        <w:tc>
          <w:tcPr>
            <w:tcW w:w="0" w:type="dxa"/>
            <w:vAlign w:val="bottom"/>
          </w:tcPr>
          <w:p>
            <w:pPr>
              <w:spacing w:after="0"/>
              <w:rPr>
                <w:sz w:val="1"/>
                <w:szCs w:val="1"/>
                <w:color w:val="auto"/>
              </w:rPr>
            </w:pPr>
          </w:p>
        </w:tc>
      </w:tr>
      <w:tr>
        <w:trPr>
          <w:trHeight w:val="159"/>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Roadrunner</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Santa Teresa, NM</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August 2011</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El Paso Electric</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2031</w:t>
            </w:r>
          </w:p>
        </w:tc>
        <w:tc>
          <w:tcPr>
            <w:tcW w:w="0" w:type="dxa"/>
            <w:vAlign w:val="bottom"/>
          </w:tcPr>
          <w:p>
            <w:pPr>
              <w:spacing w:after="0"/>
              <w:rPr>
                <w:sz w:val="1"/>
                <w:szCs w:val="1"/>
                <w:color w:val="auto"/>
              </w:rPr>
            </w:pPr>
          </w:p>
        </w:tc>
      </w:tr>
      <w:tr>
        <w:trPr>
          <w:trHeight w:val="159"/>
        </w:trPr>
        <w:tc>
          <w:tcPr>
            <w:tcW w:w="1800" w:type="dxa"/>
            <w:vAlign w:val="bottom"/>
            <w:gridSpan w:val="2"/>
          </w:tcPr>
          <w:p>
            <w:pPr>
              <w:ind w:left="20"/>
              <w:spacing w:after="0" w:line="159" w:lineRule="exact"/>
              <w:rPr>
                <w:sz w:val="20"/>
                <w:szCs w:val="20"/>
                <w:color w:val="auto"/>
              </w:rPr>
            </w:pPr>
            <w:r>
              <w:rPr>
                <w:rFonts w:ascii="Arial" w:cs="Arial" w:eastAsia="Arial" w:hAnsi="Arial"/>
                <w:sz w:val="11"/>
                <w:szCs w:val="11"/>
                <w:color w:val="auto"/>
              </w:rPr>
              <w:t xml:space="preserve">Rosamond Central </w:t>
            </w:r>
            <w:r>
              <w:rPr>
                <w:rFonts w:ascii="Arial" w:cs="Arial" w:eastAsia="Arial" w:hAnsi="Arial"/>
                <w:sz w:val="14"/>
                <w:szCs w:val="14"/>
                <w:color w:val="auto"/>
                <w:vertAlign w:val="superscript"/>
              </w:rPr>
              <w:t>(b)</w:t>
            </w:r>
          </w:p>
        </w:tc>
        <w:tc>
          <w:tcPr>
            <w:tcW w:w="1480" w:type="dxa"/>
            <w:vAlign w:val="bottom"/>
            <w:gridSpan w:val="2"/>
          </w:tcPr>
          <w:p>
            <w:pPr>
              <w:ind w:left="20"/>
              <w:spacing w:after="0"/>
              <w:rPr>
                <w:sz w:val="20"/>
                <w:szCs w:val="20"/>
                <w:color w:val="auto"/>
              </w:rPr>
            </w:pPr>
            <w:r>
              <w:rPr>
                <w:rFonts w:ascii="Arial" w:cs="Arial" w:eastAsia="Arial" w:hAnsi="Arial"/>
                <w:sz w:val="11"/>
                <w:szCs w:val="11"/>
                <w:color w:val="auto"/>
              </w:rPr>
              <w:t>Rosamond, CA</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192</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96</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50 %</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tcPr>
          <w:p>
            <w:pPr>
              <w:ind w:left="20"/>
              <w:spacing w:after="0"/>
              <w:rPr>
                <w:sz w:val="20"/>
                <w:szCs w:val="20"/>
                <w:color w:val="auto"/>
              </w:rPr>
            </w:pPr>
            <w:r>
              <w:rPr>
                <w:rFonts w:ascii="Arial" w:cs="Arial" w:eastAsia="Arial" w:hAnsi="Arial"/>
                <w:sz w:val="11"/>
                <w:szCs w:val="11"/>
                <w:color w:val="auto"/>
              </w:rPr>
              <w:t>December 2020</w:t>
            </w:r>
          </w:p>
        </w:tc>
        <w:tc>
          <w:tcPr>
            <w:tcW w:w="1860" w:type="dxa"/>
            <w:vAlign w:val="bottom"/>
            <w:gridSpan w:val="2"/>
          </w:tcPr>
          <w:p>
            <w:pPr>
              <w:ind w:left="20"/>
              <w:spacing w:after="0"/>
              <w:rPr>
                <w:sz w:val="20"/>
                <w:szCs w:val="20"/>
                <w:color w:val="auto"/>
              </w:rPr>
            </w:pPr>
            <w:r>
              <w:rPr>
                <w:rFonts w:ascii="Arial" w:cs="Arial" w:eastAsia="Arial" w:hAnsi="Arial"/>
                <w:sz w:val="11"/>
                <w:szCs w:val="11"/>
                <w:color w:val="auto"/>
              </w:rPr>
              <w:t>Various</w:t>
            </w:r>
          </w:p>
        </w:tc>
        <w:tc>
          <w:tcPr>
            <w:tcW w:w="1040" w:type="dxa"/>
            <w:vAlign w:val="bottom"/>
          </w:tcPr>
          <w:p>
            <w:pPr>
              <w:jc w:val="right"/>
              <w:spacing w:after="0"/>
              <w:rPr>
                <w:sz w:val="20"/>
                <w:szCs w:val="20"/>
                <w:color w:val="auto"/>
              </w:rPr>
            </w:pPr>
            <w:r>
              <w:rPr>
                <w:rFonts w:ascii="Arial" w:cs="Arial" w:eastAsia="Arial" w:hAnsi="Arial"/>
                <w:sz w:val="11"/>
                <w:szCs w:val="11"/>
                <w:color w:val="auto"/>
              </w:rPr>
              <w:t>2035 - 2047</w:t>
            </w:r>
          </w:p>
        </w:tc>
        <w:tc>
          <w:tcPr>
            <w:tcW w:w="0" w:type="dxa"/>
            <w:vAlign w:val="bottom"/>
          </w:tcPr>
          <w:p>
            <w:pPr>
              <w:spacing w:after="0"/>
              <w:rPr>
                <w:sz w:val="1"/>
                <w:szCs w:val="1"/>
                <w:color w:val="auto"/>
              </w:rPr>
            </w:pPr>
          </w:p>
        </w:tc>
      </w:tr>
      <w:tr>
        <w:trPr>
          <w:trHeight w:val="159"/>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TA High Desert</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Lancaster, CA</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March 2013</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SCE</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2033</w:t>
            </w:r>
          </w:p>
        </w:tc>
        <w:tc>
          <w:tcPr>
            <w:tcW w:w="0" w:type="dxa"/>
            <w:vAlign w:val="bottom"/>
          </w:tcPr>
          <w:p>
            <w:pPr>
              <w:spacing w:after="0"/>
              <w:rPr>
                <w:sz w:val="1"/>
                <w:szCs w:val="1"/>
                <w:color w:val="auto"/>
              </w:rPr>
            </w:pPr>
          </w:p>
        </w:tc>
      </w:tr>
      <w:tr>
        <w:trPr>
          <w:trHeight w:val="152"/>
        </w:trPr>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Utah Solar Portfolio</w:t>
            </w:r>
          </w:p>
        </w:tc>
        <w:tc>
          <w:tcPr>
            <w:tcW w:w="148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Various</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530</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530</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100 %</w:t>
            </w: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Solar</w:t>
            </w:r>
          </w:p>
        </w:tc>
        <w:tc>
          <w:tcPr>
            <w:tcW w:w="140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July - September 2016</w:t>
            </w:r>
          </w:p>
        </w:tc>
        <w:tc>
          <w:tcPr>
            <w:tcW w:w="186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PacifiCorp</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2036</w:t>
            </w:r>
          </w:p>
        </w:tc>
        <w:tc>
          <w:tcPr>
            <w:tcW w:w="0" w:type="dxa"/>
            <w:vAlign w:val="bottom"/>
          </w:tcPr>
          <w:p>
            <w:pPr>
              <w:spacing w:after="0"/>
              <w:rPr>
                <w:sz w:val="1"/>
                <w:szCs w:val="1"/>
                <w:color w:val="auto"/>
              </w:rPr>
            </w:pPr>
          </w:p>
        </w:tc>
      </w:tr>
      <w:tr>
        <w:trPr>
          <w:trHeight w:val="157"/>
        </w:trPr>
        <w:tc>
          <w:tcPr>
            <w:tcW w:w="1800" w:type="dxa"/>
            <w:vAlign w:val="bottom"/>
            <w:gridSpan w:val="2"/>
            <w:shd w:val="clear" w:color="auto" w:fill="CCEEFF"/>
          </w:tcPr>
          <w:p>
            <w:pPr>
              <w:ind w:left="280"/>
              <w:spacing w:after="0" w:line="157" w:lineRule="exact"/>
              <w:rPr>
                <w:sz w:val="20"/>
                <w:szCs w:val="20"/>
                <w:color w:val="auto"/>
              </w:rPr>
            </w:pPr>
            <w:r>
              <w:rPr>
                <w:rFonts w:ascii="Arial" w:cs="Arial" w:eastAsia="Arial" w:hAnsi="Arial"/>
                <w:sz w:val="13"/>
                <w:szCs w:val="13"/>
                <w:b w:val="1"/>
                <w:bCs w:val="1"/>
                <w:i w:val="1"/>
                <w:iCs w:val="1"/>
                <w:color w:val="auto"/>
                <w:w w:val="92"/>
              </w:rPr>
              <w:t xml:space="preserve">Total Utility Scale Solar </w:t>
            </w:r>
            <w:r>
              <w:rPr>
                <w:rFonts w:ascii="Arial" w:cs="Arial" w:eastAsia="Arial" w:hAnsi="Arial"/>
                <w:sz w:val="16"/>
                <w:szCs w:val="16"/>
                <w:b w:val="1"/>
                <w:bCs w:val="1"/>
                <w:i w:val="1"/>
                <w:iCs w:val="1"/>
                <w:color w:val="auto"/>
                <w:w w:val="92"/>
                <w:vertAlign w:val="superscript"/>
              </w:rPr>
              <w:t>(d)</w:t>
            </w: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2,307</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1,616</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8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Distributed Solar</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8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 xml:space="preserve">DGPV Fund Projects </w:t>
            </w:r>
            <w:r>
              <w:rPr>
                <w:rFonts w:ascii="Arial" w:cs="Arial" w:eastAsia="Arial" w:hAnsi="Arial"/>
                <w:sz w:val="14"/>
                <w:szCs w:val="14"/>
                <w:color w:val="auto"/>
                <w:vertAlign w:val="superscript"/>
              </w:rPr>
              <w:t>(b)</w:t>
            </w: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Various</w:t>
            </w:r>
          </w:p>
        </w:tc>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286</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286</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1"/>
                <w:szCs w:val="11"/>
                <w:color w:val="auto"/>
              </w:rPr>
              <w:t>September 2015 - March</w:t>
            </w:r>
          </w:p>
        </w:tc>
        <w:tc>
          <w:tcPr>
            <w:tcW w:w="18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Various</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2030 - 2044</w:t>
            </w:r>
          </w:p>
        </w:tc>
        <w:tc>
          <w:tcPr>
            <w:tcW w:w="0" w:type="dxa"/>
            <w:vAlign w:val="bottom"/>
          </w:tcPr>
          <w:p>
            <w:pPr>
              <w:spacing w:after="0"/>
              <w:rPr>
                <w:sz w:val="1"/>
                <w:szCs w:val="1"/>
                <w:color w:val="auto"/>
              </w:rPr>
            </w:pPr>
          </w:p>
        </w:tc>
      </w:tr>
      <w:tr>
        <w:trPr>
          <w:trHeight w:val="153"/>
        </w:trPr>
        <w:tc>
          <w:tcPr>
            <w:tcW w:w="1800" w:type="dxa"/>
            <w:vAlign w:val="bottom"/>
            <w:gridSpan w:val="2"/>
            <w:vMerge w:val="continue"/>
            <w:shd w:val="clear" w:color="auto" w:fill="CCEEFF"/>
          </w:tcPr>
          <w:p>
            <w:pPr>
              <w:spacing w:after="0"/>
              <w:rPr>
                <w:sz w:val="13"/>
                <w:szCs w:val="13"/>
                <w:color w:val="auto"/>
              </w:rPr>
            </w:pPr>
          </w:p>
        </w:tc>
        <w:tc>
          <w:tcPr>
            <w:tcW w:w="148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2019</w:t>
            </w:r>
          </w:p>
        </w:tc>
        <w:tc>
          <w:tcPr>
            <w:tcW w:w="100" w:type="dxa"/>
            <w:vAlign w:val="bottom"/>
            <w:shd w:val="clear" w:color="auto" w:fill="CCEEFF"/>
          </w:tcPr>
          <w:p>
            <w:pPr>
              <w:spacing w:after="0"/>
              <w:rPr>
                <w:sz w:val="13"/>
                <w:szCs w:val="13"/>
                <w:color w:val="auto"/>
              </w:rPr>
            </w:pPr>
          </w:p>
        </w:tc>
        <w:tc>
          <w:tcPr>
            <w:tcW w:w="1860" w:type="dxa"/>
            <w:vAlign w:val="bottom"/>
            <w:gridSpan w:val="2"/>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800" w:type="dxa"/>
            <w:vAlign w:val="bottom"/>
            <w:gridSpan w:val="2"/>
          </w:tcPr>
          <w:p>
            <w:pPr>
              <w:ind w:left="20"/>
              <w:spacing w:after="0"/>
              <w:rPr>
                <w:sz w:val="20"/>
                <w:szCs w:val="20"/>
                <w:color w:val="auto"/>
              </w:rPr>
            </w:pPr>
            <w:r>
              <w:rPr>
                <w:rFonts w:ascii="Arial" w:cs="Arial" w:eastAsia="Arial" w:hAnsi="Arial"/>
                <w:sz w:val="11"/>
                <w:szCs w:val="11"/>
                <w:color w:val="auto"/>
                <w:w w:val="97"/>
              </w:rPr>
              <w:t>Solar Power Partners (SPP) Projects</w:t>
            </w:r>
          </w:p>
        </w:tc>
        <w:tc>
          <w:tcPr>
            <w:tcW w:w="1480" w:type="dxa"/>
            <w:vAlign w:val="bottom"/>
            <w:gridSpan w:val="2"/>
          </w:tcPr>
          <w:p>
            <w:pPr>
              <w:ind w:left="20"/>
              <w:spacing w:after="0"/>
              <w:rPr>
                <w:sz w:val="20"/>
                <w:szCs w:val="20"/>
                <w:color w:val="auto"/>
              </w:rPr>
            </w:pPr>
            <w:r>
              <w:rPr>
                <w:rFonts w:ascii="Arial" w:cs="Arial" w:eastAsia="Arial" w:hAnsi="Arial"/>
                <w:sz w:val="11"/>
                <w:szCs w:val="11"/>
                <w:color w:val="auto"/>
              </w:rPr>
              <w:t>Various</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tcPr>
          <w:p>
            <w:pPr>
              <w:ind w:left="20"/>
              <w:spacing w:after="0"/>
              <w:rPr>
                <w:sz w:val="20"/>
                <w:szCs w:val="20"/>
                <w:color w:val="auto"/>
              </w:rPr>
            </w:pPr>
            <w:r>
              <w:rPr>
                <w:rFonts w:ascii="Arial" w:cs="Arial" w:eastAsia="Arial" w:hAnsi="Arial"/>
                <w:sz w:val="11"/>
                <w:szCs w:val="11"/>
                <w:color w:val="auto"/>
              </w:rPr>
              <w:t>June 2008 - June 2012</w:t>
            </w:r>
          </w:p>
        </w:tc>
        <w:tc>
          <w:tcPr>
            <w:tcW w:w="1860" w:type="dxa"/>
            <w:vAlign w:val="bottom"/>
            <w:gridSpan w:val="2"/>
          </w:tcPr>
          <w:p>
            <w:pPr>
              <w:ind w:left="20"/>
              <w:spacing w:after="0"/>
              <w:rPr>
                <w:sz w:val="20"/>
                <w:szCs w:val="20"/>
                <w:color w:val="auto"/>
              </w:rPr>
            </w:pPr>
            <w:r>
              <w:rPr>
                <w:rFonts w:ascii="Arial" w:cs="Arial" w:eastAsia="Arial" w:hAnsi="Arial"/>
                <w:sz w:val="11"/>
                <w:szCs w:val="11"/>
                <w:color w:val="auto"/>
              </w:rPr>
              <w:t>Various</w:t>
            </w:r>
          </w:p>
        </w:tc>
        <w:tc>
          <w:tcPr>
            <w:tcW w:w="1040" w:type="dxa"/>
            <w:vAlign w:val="bottom"/>
          </w:tcPr>
          <w:p>
            <w:pPr>
              <w:jc w:val="right"/>
              <w:spacing w:after="0"/>
              <w:rPr>
                <w:sz w:val="20"/>
                <w:szCs w:val="20"/>
                <w:color w:val="auto"/>
              </w:rPr>
            </w:pPr>
            <w:r>
              <w:rPr>
                <w:rFonts w:ascii="Arial" w:cs="Arial" w:eastAsia="Arial" w:hAnsi="Arial"/>
                <w:sz w:val="11"/>
                <w:szCs w:val="11"/>
                <w:color w:val="auto"/>
              </w:rPr>
              <w:t>2026 - 2037</w:t>
            </w:r>
          </w:p>
        </w:tc>
        <w:tc>
          <w:tcPr>
            <w:tcW w:w="0" w:type="dxa"/>
            <w:vAlign w:val="bottom"/>
          </w:tcPr>
          <w:p>
            <w:pPr>
              <w:spacing w:after="0"/>
              <w:rPr>
                <w:sz w:val="1"/>
                <w:szCs w:val="1"/>
                <w:color w:val="auto"/>
              </w:rPr>
            </w:pPr>
          </w:p>
        </w:tc>
      </w:tr>
      <w:tr>
        <w:trPr>
          <w:trHeight w:val="119"/>
        </w:trPr>
        <w:tc>
          <w:tcPr>
            <w:tcW w:w="18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Other DG Projects</w:t>
            </w:r>
          </w:p>
        </w:tc>
        <w:tc>
          <w:tcPr>
            <w:tcW w:w="148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Various</w:t>
            </w:r>
          </w:p>
        </w:tc>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Solar</w:t>
            </w:r>
          </w:p>
        </w:tc>
        <w:tc>
          <w:tcPr>
            <w:tcW w:w="1400" w:type="dxa"/>
            <w:vAlign w:val="bottom"/>
            <w:gridSpan w:val="2"/>
            <w:shd w:val="clear" w:color="auto" w:fill="CCEEFF"/>
          </w:tcPr>
          <w:p>
            <w:pPr>
              <w:ind w:left="20"/>
              <w:spacing w:after="0" w:line="120" w:lineRule="exact"/>
              <w:rPr>
                <w:sz w:val="20"/>
                <w:szCs w:val="20"/>
                <w:color w:val="auto"/>
              </w:rPr>
            </w:pPr>
            <w:r>
              <w:rPr>
                <w:rFonts w:ascii="Arial" w:cs="Arial" w:eastAsia="Arial" w:hAnsi="Arial"/>
                <w:sz w:val="11"/>
                <w:szCs w:val="11"/>
                <w:color w:val="auto"/>
              </w:rPr>
              <w:t>December 2010 - October</w:t>
            </w:r>
          </w:p>
        </w:tc>
        <w:tc>
          <w:tcPr>
            <w:tcW w:w="186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Various</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2023 - 2039</w:t>
            </w:r>
          </w:p>
        </w:tc>
        <w:tc>
          <w:tcPr>
            <w:tcW w:w="0" w:type="dxa"/>
            <w:vAlign w:val="bottom"/>
          </w:tcPr>
          <w:p>
            <w:pPr>
              <w:spacing w:after="0"/>
              <w:rPr>
                <w:sz w:val="1"/>
                <w:szCs w:val="1"/>
                <w:color w:val="auto"/>
              </w:rPr>
            </w:pPr>
          </w:p>
        </w:tc>
      </w:tr>
      <w:tr>
        <w:trPr>
          <w:trHeight w:val="158"/>
        </w:trPr>
        <w:tc>
          <w:tcPr>
            <w:tcW w:w="1800" w:type="dxa"/>
            <w:vAlign w:val="bottom"/>
            <w:gridSpan w:val="2"/>
            <w:vMerge w:val="continue"/>
            <w:shd w:val="clear" w:color="auto" w:fill="CCEEFF"/>
          </w:tcPr>
          <w:p>
            <w:pPr>
              <w:spacing w:after="0"/>
              <w:rPr>
                <w:sz w:val="13"/>
                <w:szCs w:val="13"/>
                <w:color w:val="auto"/>
              </w:rPr>
            </w:pPr>
          </w:p>
        </w:tc>
        <w:tc>
          <w:tcPr>
            <w:tcW w:w="1480" w:type="dxa"/>
            <w:vAlign w:val="bottom"/>
            <w:gridSpan w:val="2"/>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bottom w:val="single" w:sz="8" w:color="auto"/>
            </w:tcBorders>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2015</w:t>
            </w:r>
          </w:p>
        </w:tc>
        <w:tc>
          <w:tcPr>
            <w:tcW w:w="100" w:type="dxa"/>
            <w:vAlign w:val="bottom"/>
            <w:shd w:val="clear" w:color="auto" w:fill="CCEEFF"/>
          </w:tcPr>
          <w:p>
            <w:pPr>
              <w:spacing w:after="0"/>
              <w:rPr>
                <w:sz w:val="13"/>
                <w:szCs w:val="13"/>
                <w:color w:val="auto"/>
              </w:rPr>
            </w:pPr>
          </w:p>
        </w:tc>
        <w:tc>
          <w:tcPr>
            <w:tcW w:w="1860" w:type="dxa"/>
            <w:vAlign w:val="bottom"/>
            <w:gridSpan w:val="2"/>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800" w:type="dxa"/>
            <w:vAlign w:val="bottom"/>
            <w:gridSpan w:val="2"/>
          </w:tcPr>
          <w:p>
            <w:pPr>
              <w:ind w:left="280"/>
              <w:spacing w:after="0" w:line="150" w:lineRule="exact"/>
              <w:rPr>
                <w:sz w:val="20"/>
                <w:szCs w:val="20"/>
                <w:color w:val="auto"/>
              </w:rPr>
            </w:pPr>
            <w:r>
              <w:rPr>
                <w:rFonts w:ascii="Arial" w:cs="Arial" w:eastAsia="Arial" w:hAnsi="Arial"/>
                <w:sz w:val="13"/>
                <w:szCs w:val="13"/>
                <w:b w:val="1"/>
                <w:bCs w:val="1"/>
                <w:i w:val="1"/>
                <w:iCs w:val="1"/>
                <w:color w:val="auto"/>
                <w:w w:val="95"/>
              </w:rPr>
              <w:t xml:space="preserve">Total Distributed Solar </w:t>
            </w:r>
            <w:r>
              <w:rPr>
                <w:rFonts w:ascii="Arial" w:cs="Arial" w:eastAsia="Arial" w:hAnsi="Arial"/>
                <w:sz w:val="16"/>
                <w:szCs w:val="16"/>
                <w:b w:val="1"/>
                <w:bCs w:val="1"/>
                <w:i w:val="1"/>
                <w:iCs w:val="1"/>
                <w:color w:val="auto"/>
                <w:w w:val="95"/>
                <w:vertAlign w:val="superscript"/>
              </w:rPr>
              <w:t>(d)</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332</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332</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Wind</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gridSpan w:val="2"/>
          </w:tcPr>
          <w:p>
            <w:pPr>
              <w:ind w:left="20"/>
              <w:spacing w:after="0"/>
              <w:rPr>
                <w:sz w:val="20"/>
                <w:szCs w:val="20"/>
                <w:color w:val="auto"/>
              </w:rPr>
            </w:pPr>
            <w:r>
              <w:rPr>
                <w:rFonts w:ascii="Arial" w:cs="Arial" w:eastAsia="Arial" w:hAnsi="Arial"/>
                <w:sz w:val="11"/>
                <w:szCs w:val="11"/>
                <w:color w:val="auto"/>
              </w:rPr>
              <w:t>Alta I</w:t>
            </w:r>
          </w:p>
        </w:tc>
        <w:tc>
          <w:tcPr>
            <w:tcW w:w="1480" w:type="dxa"/>
            <w:vAlign w:val="bottom"/>
            <w:gridSpan w:val="2"/>
          </w:tcPr>
          <w:p>
            <w:pPr>
              <w:ind w:left="20"/>
              <w:spacing w:after="0"/>
              <w:rPr>
                <w:sz w:val="20"/>
                <w:szCs w:val="20"/>
                <w:color w:val="auto"/>
              </w:rPr>
            </w:pPr>
            <w:r>
              <w:rPr>
                <w:rFonts w:ascii="Arial" w:cs="Arial" w:eastAsia="Arial" w:hAnsi="Arial"/>
                <w:sz w:val="11"/>
                <w:szCs w:val="11"/>
                <w:color w:val="auto"/>
              </w:rPr>
              <w:t>Tehachapi, CA</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150</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1"/>
                <w:szCs w:val="11"/>
                <w:color w:val="auto"/>
              </w:rPr>
              <w:t>Wind</w:t>
            </w:r>
          </w:p>
        </w:tc>
        <w:tc>
          <w:tcPr>
            <w:tcW w:w="1400" w:type="dxa"/>
            <w:vAlign w:val="bottom"/>
            <w:gridSpan w:val="2"/>
          </w:tcPr>
          <w:p>
            <w:pPr>
              <w:ind w:left="20"/>
              <w:spacing w:after="0"/>
              <w:rPr>
                <w:sz w:val="20"/>
                <w:szCs w:val="20"/>
                <w:color w:val="auto"/>
              </w:rPr>
            </w:pPr>
            <w:r>
              <w:rPr>
                <w:rFonts w:ascii="Arial" w:cs="Arial" w:eastAsia="Arial" w:hAnsi="Arial"/>
                <w:sz w:val="11"/>
                <w:szCs w:val="11"/>
                <w:color w:val="auto"/>
              </w:rPr>
              <w:t>December 2010</w:t>
            </w:r>
          </w:p>
        </w:tc>
        <w:tc>
          <w:tcPr>
            <w:tcW w:w="1860" w:type="dxa"/>
            <w:vAlign w:val="bottom"/>
            <w:gridSpan w:val="2"/>
          </w:tcPr>
          <w:p>
            <w:pPr>
              <w:ind w:left="20"/>
              <w:spacing w:after="0"/>
              <w:rPr>
                <w:sz w:val="20"/>
                <w:szCs w:val="20"/>
                <w:color w:val="auto"/>
              </w:rPr>
            </w:pPr>
            <w:r>
              <w:rPr>
                <w:rFonts w:ascii="Arial" w:cs="Arial" w:eastAsia="Arial" w:hAnsi="Arial"/>
                <w:sz w:val="11"/>
                <w:szCs w:val="11"/>
                <w:color w:val="auto"/>
              </w:rPr>
              <w:t>SCE</w:t>
            </w:r>
          </w:p>
        </w:tc>
        <w:tc>
          <w:tcPr>
            <w:tcW w:w="1040" w:type="dxa"/>
            <w:vAlign w:val="bottom"/>
          </w:tcPr>
          <w:p>
            <w:pPr>
              <w:jc w:val="right"/>
              <w:spacing w:after="0"/>
              <w:rPr>
                <w:sz w:val="20"/>
                <w:szCs w:val="20"/>
                <w:color w:val="auto"/>
              </w:rPr>
            </w:pPr>
            <w:r>
              <w:rPr>
                <w:rFonts w:ascii="Arial" w:cs="Arial" w:eastAsia="Arial" w:hAnsi="Arial"/>
                <w:sz w:val="11"/>
                <w:szCs w:val="11"/>
                <w:color w:val="auto"/>
              </w:rPr>
              <w:t>2035</w:t>
            </w:r>
          </w:p>
        </w:tc>
        <w:tc>
          <w:tcPr>
            <w:tcW w:w="0" w:type="dxa"/>
            <w:vAlign w:val="bottom"/>
          </w:tcPr>
          <w:p>
            <w:pPr>
              <w:spacing w:after="0"/>
              <w:rPr>
                <w:sz w:val="1"/>
                <w:szCs w:val="1"/>
                <w:color w:val="auto"/>
              </w:rPr>
            </w:pPr>
          </w:p>
        </w:tc>
      </w:tr>
      <w:tr>
        <w:trPr>
          <w:trHeight w:val="16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Alta II</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Tehachapi, CA</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Wind</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December 2010</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SCE</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2035</w:t>
            </w:r>
          </w:p>
        </w:tc>
        <w:tc>
          <w:tcPr>
            <w:tcW w:w="0" w:type="dxa"/>
            <w:vAlign w:val="bottom"/>
          </w:tcPr>
          <w:p>
            <w:pPr>
              <w:spacing w:after="0"/>
              <w:rPr>
                <w:sz w:val="1"/>
                <w:szCs w:val="1"/>
                <w:color w:val="auto"/>
              </w:rPr>
            </w:pPr>
          </w:p>
        </w:tc>
      </w:tr>
      <w:tr>
        <w:trPr>
          <w:trHeight w:val="152"/>
        </w:trPr>
        <w:tc>
          <w:tcPr>
            <w:tcW w:w="1800" w:type="dxa"/>
            <w:vAlign w:val="bottom"/>
            <w:gridSpan w:val="2"/>
          </w:tcPr>
          <w:p>
            <w:pPr>
              <w:ind w:left="20"/>
              <w:spacing w:after="0"/>
              <w:rPr>
                <w:sz w:val="20"/>
                <w:szCs w:val="20"/>
                <w:color w:val="auto"/>
              </w:rPr>
            </w:pPr>
            <w:r>
              <w:rPr>
                <w:rFonts w:ascii="Arial" w:cs="Arial" w:eastAsia="Arial" w:hAnsi="Arial"/>
                <w:sz w:val="11"/>
                <w:szCs w:val="11"/>
                <w:color w:val="auto"/>
              </w:rPr>
              <w:t>Alta III</w:t>
            </w:r>
          </w:p>
        </w:tc>
        <w:tc>
          <w:tcPr>
            <w:tcW w:w="1480" w:type="dxa"/>
            <w:vAlign w:val="bottom"/>
            <w:gridSpan w:val="2"/>
          </w:tcPr>
          <w:p>
            <w:pPr>
              <w:ind w:left="20"/>
              <w:spacing w:after="0"/>
              <w:rPr>
                <w:sz w:val="20"/>
                <w:szCs w:val="20"/>
                <w:color w:val="auto"/>
              </w:rPr>
            </w:pPr>
            <w:r>
              <w:rPr>
                <w:rFonts w:ascii="Arial" w:cs="Arial" w:eastAsia="Arial" w:hAnsi="Arial"/>
                <w:sz w:val="11"/>
                <w:szCs w:val="11"/>
                <w:color w:val="auto"/>
              </w:rPr>
              <w:t>Tehachapi, CA</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150</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1"/>
                <w:szCs w:val="11"/>
                <w:color w:val="auto"/>
              </w:rPr>
              <w:t>Wind</w:t>
            </w:r>
          </w:p>
        </w:tc>
        <w:tc>
          <w:tcPr>
            <w:tcW w:w="1400" w:type="dxa"/>
            <w:vAlign w:val="bottom"/>
            <w:gridSpan w:val="2"/>
          </w:tcPr>
          <w:p>
            <w:pPr>
              <w:ind w:left="20"/>
              <w:spacing w:after="0"/>
              <w:rPr>
                <w:sz w:val="20"/>
                <w:szCs w:val="20"/>
                <w:color w:val="auto"/>
              </w:rPr>
            </w:pPr>
            <w:r>
              <w:rPr>
                <w:rFonts w:ascii="Arial" w:cs="Arial" w:eastAsia="Arial" w:hAnsi="Arial"/>
                <w:sz w:val="11"/>
                <w:szCs w:val="11"/>
                <w:color w:val="auto"/>
              </w:rPr>
              <w:t>February 2011</w:t>
            </w:r>
          </w:p>
        </w:tc>
        <w:tc>
          <w:tcPr>
            <w:tcW w:w="1860" w:type="dxa"/>
            <w:vAlign w:val="bottom"/>
            <w:gridSpan w:val="2"/>
          </w:tcPr>
          <w:p>
            <w:pPr>
              <w:ind w:left="20"/>
              <w:spacing w:after="0"/>
              <w:rPr>
                <w:sz w:val="20"/>
                <w:szCs w:val="20"/>
                <w:color w:val="auto"/>
              </w:rPr>
            </w:pPr>
            <w:r>
              <w:rPr>
                <w:rFonts w:ascii="Arial" w:cs="Arial" w:eastAsia="Arial" w:hAnsi="Arial"/>
                <w:sz w:val="11"/>
                <w:szCs w:val="11"/>
                <w:color w:val="auto"/>
              </w:rPr>
              <w:t>SCE</w:t>
            </w:r>
          </w:p>
        </w:tc>
        <w:tc>
          <w:tcPr>
            <w:tcW w:w="1040" w:type="dxa"/>
            <w:vAlign w:val="bottom"/>
          </w:tcPr>
          <w:p>
            <w:pPr>
              <w:jc w:val="right"/>
              <w:spacing w:after="0"/>
              <w:rPr>
                <w:sz w:val="20"/>
                <w:szCs w:val="20"/>
                <w:color w:val="auto"/>
              </w:rPr>
            </w:pPr>
            <w:r>
              <w:rPr>
                <w:rFonts w:ascii="Arial" w:cs="Arial" w:eastAsia="Arial" w:hAnsi="Arial"/>
                <w:sz w:val="11"/>
                <w:szCs w:val="11"/>
                <w:color w:val="auto"/>
              </w:rPr>
              <w:t>2035</w:t>
            </w:r>
          </w:p>
        </w:tc>
        <w:tc>
          <w:tcPr>
            <w:tcW w:w="0" w:type="dxa"/>
            <w:vAlign w:val="bottom"/>
          </w:tcPr>
          <w:p>
            <w:pPr>
              <w:spacing w:after="0"/>
              <w:rPr>
                <w:sz w:val="1"/>
                <w:szCs w:val="1"/>
                <w:color w:val="auto"/>
              </w:rPr>
            </w:pPr>
          </w:p>
        </w:tc>
      </w:tr>
      <w:tr>
        <w:trPr>
          <w:trHeight w:val="166"/>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Alta IV</w:t>
            </w: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Tehachapi, CA</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Wind</w:t>
            </w: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March 2011</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SCE</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2035</w:t>
            </w:r>
          </w:p>
        </w:tc>
        <w:tc>
          <w:tcPr>
            <w:tcW w:w="0" w:type="dxa"/>
            <w:vAlign w:val="bottom"/>
          </w:tcPr>
          <w:p>
            <w:pPr>
              <w:spacing w:after="0"/>
              <w:rPr>
                <w:sz w:val="1"/>
                <w:szCs w:val="1"/>
                <w:color w:val="auto"/>
              </w:rPr>
            </w:pPr>
          </w:p>
        </w:tc>
      </w:tr>
      <w:tr>
        <w:trPr>
          <w:trHeight w:val="145"/>
        </w:trPr>
        <w:tc>
          <w:tcPr>
            <w:tcW w:w="1800" w:type="dxa"/>
            <w:vAlign w:val="bottom"/>
            <w:gridSpan w:val="2"/>
          </w:tcPr>
          <w:p>
            <w:pPr>
              <w:ind w:left="20"/>
              <w:spacing w:after="0"/>
              <w:rPr>
                <w:sz w:val="20"/>
                <w:szCs w:val="20"/>
                <w:color w:val="auto"/>
              </w:rPr>
            </w:pPr>
            <w:r>
              <w:rPr>
                <w:rFonts w:ascii="Arial" w:cs="Arial" w:eastAsia="Arial" w:hAnsi="Arial"/>
                <w:sz w:val="11"/>
                <w:szCs w:val="11"/>
                <w:color w:val="auto"/>
              </w:rPr>
              <w:t>Alta V</w:t>
            </w:r>
          </w:p>
        </w:tc>
        <w:tc>
          <w:tcPr>
            <w:tcW w:w="1480" w:type="dxa"/>
            <w:vAlign w:val="bottom"/>
            <w:gridSpan w:val="2"/>
          </w:tcPr>
          <w:p>
            <w:pPr>
              <w:ind w:left="20"/>
              <w:spacing w:after="0"/>
              <w:rPr>
                <w:sz w:val="20"/>
                <w:szCs w:val="20"/>
                <w:color w:val="auto"/>
              </w:rPr>
            </w:pPr>
            <w:r>
              <w:rPr>
                <w:rFonts w:ascii="Arial" w:cs="Arial" w:eastAsia="Arial" w:hAnsi="Arial"/>
                <w:sz w:val="11"/>
                <w:szCs w:val="11"/>
                <w:color w:val="auto"/>
              </w:rPr>
              <w:t>Tehachapi, CA</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168</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168</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100" w:type="dxa"/>
            <w:vAlign w:val="bottom"/>
          </w:tcPr>
          <w:p>
            <w:pPr>
              <w:spacing w:after="0"/>
              <w:rPr>
                <w:sz w:val="12"/>
                <w:szCs w:val="12"/>
                <w:color w:val="auto"/>
              </w:rPr>
            </w:pPr>
          </w:p>
        </w:tc>
        <w:tc>
          <w:tcPr>
            <w:tcW w:w="1100" w:type="dxa"/>
            <w:vAlign w:val="bottom"/>
            <w:gridSpan w:val="2"/>
          </w:tcPr>
          <w:p>
            <w:pPr>
              <w:spacing w:after="0"/>
              <w:rPr>
                <w:sz w:val="20"/>
                <w:szCs w:val="20"/>
                <w:color w:val="auto"/>
              </w:rPr>
            </w:pPr>
            <w:r>
              <w:rPr>
                <w:rFonts w:ascii="Arial" w:cs="Arial" w:eastAsia="Arial" w:hAnsi="Arial"/>
                <w:sz w:val="11"/>
                <w:szCs w:val="11"/>
                <w:color w:val="auto"/>
              </w:rPr>
              <w:t>Wind</w:t>
            </w:r>
          </w:p>
        </w:tc>
        <w:tc>
          <w:tcPr>
            <w:tcW w:w="1400" w:type="dxa"/>
            <w:vAlign w:val="bottom"/>
            <w:gridSpan w:val="2"/>
          </w:tcPr>
          <w:p>
            <w:pPr>
              <w:ind w:left="20"/>
              <w:spacing w:after="0"/>
              <w:rPr>
                <w:sz w:val="20"/>
                <w:szCs w:val="20"/>
                <w:color w:val="auto"/>
              </w:rPr>
            </w:pPr>
            <w:r>
              <w:rPr>
                <w:rFonts w:ascii="Arial" w:cs="Arial" w:eastAsia="Arial" w:hAnsi="Arial"/>
                <w:sz w:val="11"/>
                <w:szCs w:val="11"/>
                <w:color w:val="auto"/>
              </w:rPr>
              <w:t>April 2011</w:t>
            </w:r>
          </w:p>
        </w:tc>
        <w:tc>
          <w:tcPr>
            <w:tcW w:w="1860" w:type="dxa"/>
            <w:vAlign w:val="bottom"/>
            <w:gridSpan w:val="2"/>
          </w:tcPr>
          <w:p>
            <w:pPr>
              <w:ind w:left="20"/>
              <w:spacing w:after="0"/>
              <w:rPr>
                <w:sz w:val="20"/>
                <w:szCs w:val="20"/>
                <w:color w:val="auto"/>
              </w:rPr>
            </w:pPr>
            <w:r>
              <w:rPr>
                <w:rFonts w:ascii="Arial" w:cs="Arial" w:eastAsia="Arial" w:hAnsi="Arial"/>
                <w:sz w:val="11"/>
                <w:szCs w:val="11"/>
                <w:color w:val="auto"/>
              </w:rPr>
              <w:t>SCE</w:t>
            </w:r>
          </w:p>
        </w:tc>
        <w:tc>
          <w:tcPr>
            <w:tcW w:w="1040" w:type="dxa"/>
            <w:vAlign w:val="bottom"/>
          </w:tcPr>
          <w:p>
            <w:pPr>
              <w:jc w:val="right"/>
              <w:spacing w:after="0"/>
              <w:rPr>
                <w:sz w:val="20"/>
                <w:szCs w:val="20"/>
                <w:color w:val="auto"/>
              </w:rPr>
            </w:pPr>
            <w:r>
              <w:rPr>
                <w:rFonts w:ascii="Arial" w:cs="Arial" w:eastAsia="Arial" w:hAnsi="Arial"/>
                <w:sz w:val="11"/>
                <w:szCs w:val="11"/>
                <w:color w:val="auto"/>
              </w:rPr>
              <w:t>2035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8"/>
        </w:trPr>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443"/>
              <w:spacing w:after="0"/>
              <w:rPr>
                <w:sz w:val="20"/>
                <w:szCs w:val="20"/>
                <w:color w:val="auto"/>
              </w:rPr>
            </w:pPr>
            <w:r>
              <w:rPr>
                <w:rFonts w:ascii="Arial" w:cs="Arial" w:eastAsia="Arial" w:hAnsi="Arial"/>
                <w:sz w:val="13"/>
                <w:szCs w:val="13"/>
                <w:b w:val="1"/>
                <w:bCs w:val="1"/>
                <w:color w:val="auto"/>
              </w:rPr>
              <w:t>Capacity</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Borders>
              <w:bottom w:val="single" w:sz="8" w:color="auto"/>
            </w:tcBorders>
            <w:gridSpan w:val="2"/>
          </w:tcPr>
          <w:p>
            <w:pPr>
              <w:ind w:left="1120"/>
              <w:spacing w:after="0"/>
              <w:rPr>
                <w:sz w:val="20"/>
                <w:szCs w:val="20"/>
                <w:color w:val="auto"/>
              </w:rPr>
            </w:pPr>
            <w:r>
              <w:rPr>
                <w:rFonts w:ascii="Arial" w:cs="Arial" w:eastAsia="Arial" w:hAnsi="Arial"/>
                <w:sz w:val="13"/>
                <w:szCs w:val="13"/>
                <w:b w:val="1"/>
                <w:bCs w:val="1"/>
                <w:color w:val="auto"/>
              </w:rPr>
              <w:t>PPA Terms</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920" w:type="dxa"/>
            <w:vAlign w:val="bottom"/>
            <w:gridSpan w:val="2"/>
          </w:tcPr>
          <w:p>
            <w:pPr>
              <w:ind w:left="2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Location</w:t>
            </w: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Rated MW</w:t>
            </w:r>
          </w:p>
        </w:tc>
        <w:tc>
          <w:tcPr>
            <w:tcW w:w="720" w:type="dxa"/>
            <w:vAlign w:val="bottom"/>
          </w:tcPr>
          <w:p>
            <w:pPr>
              <w:jc w:val="right"/>
              <w:ind w:right="23"/>
              <w:spacing w:after="0"/>
              <w:rPr>
                <w:sz w:val="20"/>
                <w:szCs w:val="20"/>
                <w:color w:val="auto"/>
              </w:rPr>
            </w:pPr>
            <w:r>
              <w:rPr>
                <w:rFonts w:ascii="Arial" w:cs="Arial" w:eastAsia="Arial" w:hAnsi="Arial"/>
                <w:sz w:val="13"/>
                <w:szCs w:val="13"/>
                <w:b w:val="1"/>
                <w:bCs w:val="1"/>
                <w:color w:val="auto"/>
              </w:rPr>
              <w:t>Net MW</w:t>
            </w:r>
            <w:r>
              <w:rPr>
                <w:rFonts w:ascii="Arial" w:cs="Arial" w:eastAsia="Arial" w:hAnsi="Arial"/>
                <w:sz w:val="16"/>
                <w:szCs w:val="16"/>
                <w:b w:val="1"/>
                <w:bCs w:val="1"/>
                <w:color w:val="auto"/>
                <w:vertAlign w:val="superscript"/>
              </w:rPr>
              <w:t>(a)</w:t>
            </w:r>
          </w:p>
        </w:tc>
        <w:tc>
          <w:tcPr>
            <w:tcW w:w="8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b w:val="1"/>
                <w:bCs w:val="1"/>
                <w:color w:val="auto"/>
              </w:rPr>
              <w:t>Ownership</w:t>
            </w:r>
          </w:p>
        </w:tc>
        <w:tc>
          <w:tcPr>
            <w:tcW w:w="1100" w:type="dxa"/>
            <w:vAlign w:val="bottom"/>
            <w:gridSpan w:val="2"/>
          </w:tcPr>
          <w:p>
            <w:pPr>
              <w:ind w:left="380"/>
              <w:spacing w:after="0"/>
              <w:rPr>
                <w:sz w:val="20"/>
                <w:szCs w:val="20"/>
                <w:color w:val="auto"/>
              </w:rPr>
            </w:pPr>
            <w:r>
              <w:rPr>
                <w:rFonts w:ascii="Arial" w:cs="Arial" w:eastAsia="Arial" w:hAnsi="Arial"/>
                <w:sz w:val="13"/>
                <w:szCs w:val="13"/>
                <w:b w:val="1"/>
                <w:bCs w:val="1"/>
                <w:color w:val="auto"/>
              </w:rPr>
              <w:t>Fuel</w:t>
            </w:r>
          </w:p>
        </w:tc>
        <w:tc>
          <w:tcPr>
            <w:tcW w:w="1380" w:type="dxa"/>
            <w:vAlign w:val="bottom"/>
            <w:gridSpan w:val="2"/>
          </w:tcPr>
          <w:p>
            <w:pPr>
              <w:ind w:left="500"/>
              <w:spacing w:after="0"/>
              <w:rPr>
                <w:sz w:val="20"/>
                <w:szCs w:val="20"/>
                <w:color w:val="auto"/>
              </w:rPr>
            </w:pPr>
            <w:r>
              <w:rPr>
                <w:rFonts w:ascii="Arial" w:cs="Arial" w:eastAsia="Arial" w:hAnsi="Arial"/>
                <w:sz w:val="13"/>
                <w:szCs w:val="13"/>
                <w:b w:val="1"/>
                <w:bCs w:val="1"/>
                <w:color w:val="auto"/>
              </w:rPr>
              <w:t>COD</w:t>
            </w:r>
          </w:p>
        </w:tc>
        <w:tc>
          <w:tcPr>
            <w:tcW w:w="1840" w:type="dxa"/>
            <w:vAlign w:val="bottom"/>
            <w:gridSpan w:val="2"/>
          </w:tcPr>
          <w:p>
            <w:pPr>
              <w:ind w:left="500"/>
              <w:spacing w:after="0"/>
              <w:rPr>
                <w:sz w:val="20"/>
                <w:szCs w:val="20"/>
                <w:color w:val="auto"/>
              </w:rPr>
            </w:pPr>
            <w:r>
              <w:rPr>
                <w:rFonts w:ascii="Arial" w:cs="Arial" w:eastAsia="Arial" w:hAnsi="Arial"/>
                <w:sz w:val="13"/>
                <w:szCs w:val="13"/>
                <w:b w:val="1"/>
                <w:bCs w:val="1"/>
                <w:color w:val="auto"/>
              </w:rPr>
              <w:t>Counterparty</w:t>
            </w:r>
          </w:p>
        </w:tc>
        <w:tc>
          <w:tcPr>
            <w:tcW w:w="1020" w:type="dxa"/>
            <w:vAlign w:val="bottom"/>
          </w:tcPr>
          <w:p>
            <w:pPr>
              <w:jc w:val="right"/>
              <w:ind w:right="163"/>
              <w:spacing w:after="0"/>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50"/>
        </w:trPr>
        <w:tc>
          <w:tcPr>
            <w:tcW w:w="1660" w:type="dxa"/>
            <w:vAlign w:val="bottom"/>
            <w:tcBorders>
              <w:top w:val="single" w:sz="8" w:color="auto"/>
            </w:tcBorders>
            <w:shd w:val="clear" w:color="auto" w:fill="CCEEFF"/>
          </w:tcPr>
          <w:p>
            <w:pPr>
              <w:ind w:left="20"/>
              <w:spacing w:after="0" w:line="150" w:lineRule="exact"/>
              <w:rPr>
                <w:sz w:val="20"/>
                <w:szCs w:val="20"/>
                <w:color w:val="auto"/>
              </w:rPr>
            </w:pPr>
            <w:r>
              <w:rPr>
                <w:rFonts w:ascii="Arial" w:cs="Arial" w:eastAsia="Arial" w:hAnsi="Arial"/>
                <w:sz w:val="11"/>
                <w:szCs w:val="11"/>
                <w:color w:val="auto"/>
              </w:rPr>
              <w:t xml:space="preserve">Alta X </w:t>
            </w:r>
            <w:r>
              <w:rPr>
                <w:rFonts w:ascii="Arial" w:cs="Arial" w:eastAsia="Arial" w:hAnsi="Arial"/>
                <w:sz w:val="14"/>
                <w:szCs w:val="14"/>
                <w:color w:val="auto"/>
                <w:vertAlign w:val="superscript"/>
              </w:rPr>
              <w:t>(b)</w:t>
            </w:r>
          </w:p>
        </w:tc>
        <w:tc>
          <w:tcPr>
            <w:tcW w:w="26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color w:val="auto"/>
              </w:rPr>
              <w:t>Tehachapi, CA</w:t>
            </w: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137</w:t>
            </w: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137</w:t>
            </w: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Wind</w:t>
            </w: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February 2014</w:t>
            </w:r>
          </w:p>
        </w:tc>
        <w:tc>
          <w:tcPr>
            <w:tcW w:w="100" w:type="dxa"/>
            <w:vAlign w:val="bottom"/>
            <w:tcBorders>
              <w:top w:val="single" w:sz="8" w:color="CCEEFF"/>
            </w:tcBorders>
            <w:shd w:val="clear" w:color="auto" w:fill="CCEEFF"/>
          </w:tcPr>
          <w:p>
            <w:pPr>
              <w:spacing w:after="0"/>
              <w:rPr>
                <w:sz w:val="13"/>
                <w:szCs w:val="13"/>
                <w:color w:val="auto"/>
              </w:rPr>
            </w:pPr>
          </w:p>
        </w:tc>
        <w:tc>
          <w:tcPr>
            <w:tcW w:w="1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SCE</w:t>
            </w: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2038</w:t>
            </w:r>
          </w:p>
        </w:tc>
        <w:tc>
          <w:tcPr>
            <w:tcW w:w="0" w:type="dxa"/>
            <w:vAlign w:val="bottom"/>
          </w:tcPr>
          <w:p>
            <w:pPr>
              <w:spacing w:after="0"/>
              <w:rPr>
                <w:sz w:val="1"/>
                <w:szCs w:val="1"/>
                <w:color w:val="auto"/>
              </w:rPr>
            </w:pPr>
          </w:p>
        </w:tc>
      </w:tr>
      <w:tr>
        <w:trPr>
          <w:trHeight w:val="159"/>
        </w:trPr>
        <w:tc>
          <w:tcPr>
            <w:tcW w:w="1920" w:type="dxa"/>
            <w:vAlign w:val="bottom"/>
            <w:gridSpan w:val="2"/>
          </w:tcPr>
          <w:p>
            <w:pPr>
              <w:ind w:left="20"/>
              <w:spacing w:after="0" w:line="159" w:lineRule="exact"/>
              <w:rPr>
                <w:sz w:val="20"/>
                <w:szCs w:val="20"/>
                <w:color w:val="auto"/>
              </w:rPr>
            </w:pPr>
            <w:r>
              <w:rPr>
                <w:rFonts w:ascii="Arial" w:cs="Arial" w:eastAsia="Arial" w:hAnsi="Arial"/>
                <w:sz w:val="11"/>
                <w:szCs w:val="11"/>
                <w:color w:val="auto"/>
              </w:rPr>
              <w:t xml:space="preserve">Alta XI </w:t>
            </w:r>
            <w:r>
              <w:rPr>
                <w:rFonts w:ascii="Arial" w:cs="Arial" w:eastAsia="Arial" w:hAnsi="Arial"/>
                <w:sz w:val="14"/>
                <w:szCs w:val="14"/>
                <w:color w:val="auto"/>
                <w:vertAlign w:val="superscript"/>
              </w:rPr>
              <w:t>(b)</w:t>
            </w:r>
          </w:p>
        </w:tc>
        <w:tc>
          <w:tcPr>
            <w:tcW w:w="1440" w:type="dxa"/>
            <w:vAlign w:val="bottom"/>
            <w:gridSpan w:val="3"/>
          </w:tcPr>
          <w:p>
            <w:pPr>
              <w:ind w:left="20"/>
              <w:spacing w:after="0"/>
              <w:rPr>
                <w:sz w:val="20"/>
                <w:szCs w:val="20"/>
                <w:color w:val="auto"/>
              </w:rPr>
            </w:pPr>
            <w:r>
              <w:rPr>
                <w:rFonts w:ascii="Arial" w:cs="Arial" w:eastAsia="Arial" w:hAnsi="Arial"/>
                <w:sz w:val="11"/>
                <w:szCs w:val="11"/>
                <w:color w:val="auto"/>
              </w:rPr>
              <w:t>Tehachapi, CA</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90</w:t>
            </w:r>
          </w:p>
        </w:tc>
        <w:tc>
          <w:tcPr>
            <w:tcW w:w="1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90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February 2014</w:t>
            </w: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SCE</w:t>
            </w:r>
          </w:p>
        </w:tc>
        <w:tc>
          <w:tcPr>
            <w:tcW w:w="1020" w:type="dxa"/>
            <w:vAlign w:val="bottom"/>
          </w:tcPr>
          <w:p>
            <w:pPr>
              <w:jc w:val="right"/>
              <w:spacing w:after="0"/>
              <w:rPr>
                <w:sz w:val="20"/>
                <w:szCs w:val="20"/>
                <w:color w:val="auto"/>
              </w:rPr>
            </w:pPr>
            <w:r>
              <w:rPr>
                <w:rFonts w:ascii="Arial" w:cs="Arial" w:eastAsia="Arial" w:hAnsi="Arial"/>
                <w:sz w:val="11"/>
                <w:szCs w:val="11"/>
                <w:color w:val="auto"/>
              </w:rPr>
              <w:t>2038</w:t>
            </w:r>
          </w:p>
        </w:tc>
        <w:tc>
          <w:tcPr>
            <w:tcW w:w="0" w:type="dxa"/>
            <w:vAlign w:val="bottom"/>
          </w:tcPr>
          <w:p>
            <w:pPr>
              <w:spacing w:after="0"/>
              <w:rPr>
                <w:sz w:val="1"/>
                <w:szCs w:val="1"/>
                <w:color w:val="auto"/>
              </w:rPr>
            </w:pPr>
          </w:p>
        </w:tc>
      </w:tr>
      <w:tr>
        <w:trPr>
          <w:trHeight w:val="112"/>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 xml:space="preserve">Black Rock </w:t>
            </w:r>
            <w:r>
              <w:rPr>
                <w:rFonts w:ascii="Arial" w:cs="Arial" w:eastAsia="Arial" w:hAnsi="Arial"/>
                <w:sz w:val="14"/>
                <w:szCs w:val="14"/>
                <w:color w:val="auto"/>
                <w:vertAlign w:val="superscript"/>
              </w:rPr>
              <w:t>(b)</w:t>
            </w:r>
          </w:p>
        </w:tc>
        <w:tc>
          <w:tcPr>
            <w:tcW w:w="1440" w:type="dxa"/>
            <w:vAlign w:val="bottom"/>
            <w:gridSpan w:val="3"/>
            <w:shd w:val="clear" w:color="auto" w:fill="CCEEFF"/>
          </w:tcPr>
          <w:p>
            <w:pPr>
              <w:ind w:left="20"/>
              <w:spacing w:after="0" w:line="112" w:lineRule="exact"/>
              <w:rPr>
                <w:sz w:val="20"/>
                <w:szCs w:val="20"/>
                <w:color w:val="auto"/>
              </w:rPr>
            </w:pPr>
            <w:r>
              <w:rPr>
                <w:rFonts w:ascii="Arial" w:cs="Arial" w:eastAsia="Arial" w:hAnsi="Arial"/>
                <w:sz w:val="11"/>
                <w:szCs w:val="11"/>
                <w:color w:val="auto"/>
              </w:rPr>
              <w:t>Mineral and Grant Counties,</w:t>
            </w:r>
          </w:p>
        </w:tc>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115</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58</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50 %</w:t>
            </w:r>
          </w:p>
        </w:tc>
        <w:tc>
          <w:tcPr>
            <w:tcW w:w="8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December 2021</w:t>
            </w:r>
          </w:p>
        </w:tc>
        <w:tc>
          <w:tcPr>
            <w:tcW w:w="184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Toyota and AEP</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2036</w:t>
            </w:r>
          </w:p>
        </w:tc>
        <w:tc>
          <w:tcPr>
            <w:tcW w:w="0" w:type="dxa"/>
            <w:vAlign w:val="bottom"/>
          </w:tcPr>
          <w:p>
            <w:pPr>
              <w:spacing w:after="0"/>
              <w:rPr>
                <w:sz w:val="1"/>
                <w:szCs w:val="1"/>
                <w:color w:val="auto"/>
              </w:rPr>
            </w:pPr>
          </w:p>
        </w:tc>
      </w:tr>
      <w:tr>
        <w:trPr>
          <w:trHeight w:val="153"/>
        </w:trPr>
        <w:tc>
          <w:tcPr>
            <w:tcW w:w="1920" w:type="dxa"/>
            <w:vAlign w:val="bottom"/>
            <w:gridSpan w:val="2"/>
            <w:vMerge w:val="continue"/>
            <w:shd w:val="clear" w:color="auto" w:fill="CCEEFF"/>
          </w:tcPr>
          <w:p>
            <w:pPr>
              <w:spacing w:after="0"/>
              <w:rPr>
                <w:sz w:val="13"/>
                <w:szCs w:val="13"/>
                <w:color w:val="auto"/>
              </w:rPr>
            </w:pPr>
          </w:p>
        </w:tc>
        <w:tc>
          <w:tcPr>
            <w:tcW w:w="1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WV</w:t>
            </w: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1840" w:type="dxa"/>
            <w:vAlign w:val="bottom"/>
            <w:gridSpan w:val="2"/>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920" w:type="dxa"/>
            <w:vAlign w:val="bottom"/>
            <w:gridSpan w:val="2"/>
            <w:vMerge w:val="restart"/>
          </w:tcPr>
          <w:p>
            <w:pPr>
              <w:ind w:left="20"/>
              <w:spacing w:after="0"/>
              <w:rPr>
                <w:sz w:val="20"/>
                <w:szCs w:val="20"/>
                <w:color w:val="auto"/>
              </w:rPr>
            </w:pPr>
            <w:r>
              <w:rPr>
                <w:rFonts w:ascii="Arial" w:cs="Arial" w:eastAsia="Arial" w:hAnsi="Arial"/>
                <w:sz w:val="11"/>
                <w:szCs w:val="11"/>
                <w:color w:val="auto"/>
              </w:rPr>
              <w:t>Buffalo Bear</w:t>
            </w:r>
          </w:p>
        </w:tc>
        <w:tc>
          <w:tcPr>
            <w:tcW w:w="1440" w:type="dxa"/>
            <w:vAlign w:val="bottom"/>
            <w:gridSpan w:val="3"/>
            <w:vMerge w:val="restart"/>
          </w:tcPr>
          <w:p>
            <w:pPr>
              <w:ind w:left="20"/>
              <w:spacing w:after="0"/>
              <w:rPr>
                <w:sz w:val="20"/>
                <w:szCs w:val="20"/>
                <w:color w:val="auto"/>
              </w:rPr>
            </w:pPr>
            <w:r>
              <w:rPr>
                <w:rFonts w:ascii="Arial" w:cs="Arial" w:eastAsia="Arial" w:hAnsi="Arial"/>
                <w:sz w:val="11"/>
                <w:szCs w:val="11"/>
                <w:color w:val="auto"/>
              </w:rPr>
              <w:t>Buffalo, OK</w:t>
            </w:r>
          </w:p>
        </w:tc>
        <w:tc>
          <w:tcPr>
            <w:tcW w:w="680" w:type="dxa"/>
            <w:vAlign w:val="bottom"/>
            <w:vMerge w:val="restart"/>
          </w:tcPr>
          <w:p>
            <w:pPr>
              <w:jc w:val="right"/>
              <w:ind w:right="3"/>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9"/>
                <w:szCs w:val="9"/>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19</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100 %</w:t>
            </w:r>
          </w:p>
        </w:tc>
        <w:tc>
          <w:tcPr>
            <w:tcW w:w="80" w:type="dxa"/>
            <w:vAlign w:val="bottom"/>
          </w:tcPr>
          <w:p>
            <w:pPr>
              <w:spacing w:after="0"/>
              <w:rPr>
                <w:sz w:val="9"/>
                <w:szCs w:val="9"/>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vMerge w:val="restart"/>
          </w:tcPr>
          <w:p>
            <w:pPr>
              <w:ind w:left="20"/>
              <w:spacing w:after="0"/>
              <w:rPr>
                <w:sz w:val="20"/>
                <w:szCs w:val="20"/>
                <w:color w:val="auto"/>
              </w:rPr>
            </w:pPr>
            <w:r>
              <w:rPr>
                <w:rFonts w:ascii="Arial" w:cs="Arial" w:eastAsia="Arial" w:hAnsi="Arial"/>
                <w:sz w:val="11"/>
                <w:szCs w:val="11"/>
                <w:color w:val="auto"/>
              </w:rPr>
              <w:t>December 2008</w:t>
            </w:r>
          </w:p>
        </w:tc>
        <w:tc>
          <w:tcPr>
            <w:tcW w:w="184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Western Farmers Electric Co-</w:t>
            </w: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2033</w:t>
            </w:r>
          </w:p>
        </w:tc>
        <w:tc>
          <w:tcPr>
            <w:tcW w:w="0" w:type="dxa"/>
            <w:vAlign w:val="bottom"/>
          </w:tcPr>
          <w:p>
            <w:pPr>
              <w:spacing w:after="0"/>
              <w:rPr>
                <w:sz w:val="1"/>
                <w:szCs w:val="1"/>
                <w:color w:val="auto"/>
              </w:rPr>
            </w:pPr>
          </w:p>
        </w:tc>
      </w:tr>
      <w:tr>
        <w:trPr>
          <w:trHeight w:val="149"/>
        </w:trPr>
        <w:tc>
          <w:tcPr>
            <w:tcW w:w="192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operative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Capistrano Wind Portfolio</w:t>
            </w:r>
          </w:p>
        </w:tc>
        <w:tc>
          <w:tcPr>
            <w:tcW w:w="1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Various</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Wind</w:t>
            </w:r>
          </w:p>
        </w:tc>
        <w:tc>
          <w:tcPr>
            <w:tcW w:w="1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2008-2012</w:t>
            </w: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Various</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2030 - 2033</w:t>
            </w:r>
          </w:p>
        </w:tc>
        <w:tc>
          <w:tcPr>
            <w:tcW w:w="0" w:type="dxa"/>
            <w:vAlign w:val="bottom"/>
          </w:tcPr>
          <w:p>
            <w:pPr>
              <w:spacing w:after="0"/>
              <w:rPr>
                <w:sz w:val="1"/>
                <w:szCs w:val="1"/>
                <w:color w:val="auto"/>
              </w:rPr>
            </w:pPr>
          </w:p>
        </w:tc>
      </w:tr>
      <w:tr>
        <w:trPr>
          <w:trHeight w:val="159"/>
        </w:trPr>
        <w:tc>
          <w:tcPr>
            <w:tcW w:w="1920" w:type="dxa"/>
            <w:vAlign w:val="bottom"/>
            <w:gridSpan w:val="2"/>
          </w:tcPr>
          <w:p>
            <w:pPr>
              <w:ind w:left="20"/>
              <w:spacing w:after="0" w:line="159" w:lineRule="exact"/>
              <w:rPr>
                <w:sz w:val="20"/>
                <w:szCs w:val="20"/>
                <w:color w:val="auto"/>
              </w:rPr>
            </w:pPr>
            <w:r>
              <w:rPr>
                <w:rFonts w:ascii="Arial" w:cs="Arial" w:eastAsia="Arial" w:hAnsi="Arial"/>
                <w:sz w:val="11"/>
                <w:szCs w:val="11"/>
                <w:color w:val="auto"/>
              </w:rPr>
              <w:t xml:space="preserve">Elbow Creek </w:t>
            </w:r>
            <w:r>
              <w:rPr>
                <w:rFonts w:ascii="Arial" w:cs="Arial" w:eastAsia="Arial" w:hAnsi="Arial"/>
                <w:sz w:val="14"/>
                <w:szCs w:val="14"/>
                <w:color w:val="auto"/>
                <w:vertAlign w:val="superscript"/>
              </w:rPr>
              <w:t>(b)</w:t>
            </w:r>
          </w:p>
        </w:tc>
        <w:tc>
          <w:tcPr>
            <w:tcW w:w="1440" w:type="dxa"/>
            <w:vAlign w:val="bottom"/>
            <w:gridSpan w:val="3"/>
          </w:tcPr>
          <w:p>
            <w:pPr>
              <w:ind w:left="20"/>
              <w:spacing w:after="0"/>
              <w:rPr>
                <w:sz w:val="20"/>
                <w:szCs w:val="20"/>
                <w:color w:val="auto"/>
              </w:rPr>
            </w:pPr>
            <w:r>
              <w:rPr>
                <w:rFonts w:ascii="Arial" w:cs="Arial" w:eastAsia="Arial" w:hAnsi="Arial"/>
                <w:sz w:val="11"/>
                <w:szCs w:val="11"/>
                <w:color w:val="auto"/>
              </w:rPr>
              <w:t>Howard County, TX</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122</w:t>
            </w:r>
          </w:p>
        </w:tc>
        <w:tc>
          <w:tcPr>
            <w:tcW w:w="1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122</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December 2008</w:t>
            </w: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Various</w:t>
            </w:r>
          </w:p>
        </w:tc>
        <w:tc>
          <w:tcPr>
            <w:tcW w:w="1020" w:type="dxa"/>
            <w:vAlign w:val="bottom"/>
          </w:tcPr>
          <w:p>
            <w:pPr>
              <w:jc w:val="right"/>
              <w:spacing w:after="0"/>
              <w:rPr>
                <w:sz w:val="20"/>
                <w:szCs w:val="20"/>
                <w:color w:val="auto"/>
              </w:rPr>
            </w:pPr>
            <w:r>
              <w:rPr>
                <w:rFonts w:ascii="Arial" w:cs="Arial" w:eastAsia="Arial" w:hAnsi="Arial"/>
                <w:sz w:val="11"/>
                <w:szCs w:val="11"/>
                <w:color w:val="auto"/>
              </w:rPr>
              <w:t>2029</w:t>
            </w:r>
          </w:p>
        </w:tc>
        <w:tc>
          <w:tcPr>
            <w:tcW w:w="0" w:type="dxa"/>
            <w:vAlign w:val="bottom"/>
          </w:tcPr>
          <w:p>
            <w:pPr>
              <w:spacing w:after="0"/>
              <w:rPr>
                <w:sz w:val="1"/>
                <w:szCs w:val="1"/>
                <w:color w:val="auto"/>
              </w:rPr>
            </w:pPr>
          </w:p>
        </w:tc>
      </w:tr>
      <w:tr>
        <w:trPr>
          <w:trHeight w:val="15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Elkhorn Ridge</w:t>
            </w:r>
          </w:p>
        </w:tc>
        <w:tc>
          <w:tcPr>
            <w:tcW w:w="1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Bloomfield, NE</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66.7 %</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March 2009</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Nebraska Public Power District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2029</w:t>
            </w:r>
          </w:p>
        </w:tc>
        <w:tc>
          <w:tcPr>
            <w:tcW w:w="0" w:type="dxa"/>
            <w:vAlign w:val="bottom"/>
          </w:tcPr>
          <w:p>
            <w:pPr>
              <w:spacing w:after="0"/>
              <w:rPr>
                <w:sz w:val="1"/>
                <w:szCs w:val="1"/>
                <w:color w:val="auto"/>
              </w:rPr>
            </w:pPr>
          </w:p>
        </w:tc>
      </w:tr>
      <w:tr>
        <w:trPr>
          <w:trHeight w:val="152"/>
        </w:trPr>
        <w:tc>
          <w:tcPr>
            <w:tcW w:w="1920" w:type="dxa"/>
            <w:vAlign w:val="bottom"/>
            <w:gridSpan w:val="2"/>
          </w:tcPr>
          <w:p>
            <w:pPr>
              <w:ind w:left="20"/>
              <w:spacing w:after="0"/>
              <w:rPr>
                <w:sz w:val="20"/>
                <w:szCs w:val="20"/>
                <w:color w:val="auto"/>
              </w:rPr>
            </w:pPr>
            <w:r>
              <w:rPr>
                <w:rFonts w:ascii="Arial" w:cs="Arial" w:eastAsia="Arial" w:hAnsi="Arial"/>
                <w:sz w:val="11"/>
                <w:szCs w:val="11"/>
                <w:color w:val="auto"/>
              </w:rPr>
              <w:t>Forward</w:t>
            </w:r>
          </w:p>
        </w:tc>
        <w:tc>
          <w:tcPr>
            <w:tcW w:w="1440" w:type="dxa"/>
            <w:vAlign w:val="bottom"/>
            <w:gridSpan w:val="3"/>
          </w:tcPr>
          <w:p>
            <w:pPr>
              <w:ind w:left="20"/>
              <w:spacing w:after="0"/>
              <w:rPr>
                <w:sz w:val="20"/>
                <w:szCs w:val="20"/>
                <w:color w:val="auto"/>
              </w:rPr>
            </w:pPr>
            <w:r>
              <w:rPr>
                <w:rFonts w:ascii="Arial" w:cs="Arial" w:eastAsia="Arial" w:hAnsi="Arial"/>
                <w:sz w:val="11"/>
                <w:szCs w:val="11"/>
                <w:color w:val="auto"/>
              </w:rPr>
              <w:t>Berlin, PA</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29</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April 2008</w:t>
            </w: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Constellation NewEnergy, Inc.</w:t>
            </w:r>
          </w:p>
        </w:tc>
        <w:tc>
          <w:tcPr>
            <w:tcW w:w="1020" w:type="dxa"/>
            <w:vAlign w:val="bottom"/>
          </w:tcPr>
          <w:p>
            <w:pPr>
              <w:jc w:val="right"/>
              <w:spacing w:after="0"/>
              <w:rPr>
                <w:sz w:val="20"/>
                <w:szCs w:val="20"/>
                <w:color w:val="auto"/>
              </w:rPr>
            </w:pPr>
            <w:r>
              <w:rPr>
                <w:rFonts w:ascii="Arial" w:cs="Arial" w:eastAsia="Arial" w:hAnsi="Arial"/>
                <w:sz w:val="11"/>
                <w:szCs w:val="11"/>
                <w:color w:val="auto"/>
              </w:rPr>
              <w:t>2025</w:t>
            </w:r>
          </w:p>
        </w:tc>
        <w:tc>
          <w:tcPr>
            <w:tcW w:w="0" w:type="dxa"/>
            <w:vAlign w:val="bottom"/>
          </w:tcPr>
          <w:p>
            <w:pPr>
              <w:spacing w:after="0"/>
              <w:rPr>
                <w:sz w:val="1"/>
                <w:szCs w:val="1"/>
                <w:color w:val="auto"/>
              </w:rPr>
            </w:pPr>
          </w:p>
        </w:tc>
      </w:tr>
      <w:tr>
        <w:trPr>
          <w:trHeight w:val="166"/>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Goat Wind</w:t>
            </w:r>
          </w:p>
        </w:tc>
        <w:tc>
          <w:tcPr>
            <w:tcW w:w="1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Sterling City, TX</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April 2008/June 2009</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Dow Pipeline Company</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2025</w:t>
            </w:r>
          </w:p>
        </w:tc>
        <w:tc>
          <w:tcPr>
            <w:tcW w:w="0" w:type="dxa"/>
            <w:vAlign w:val="bottom"/>
          </w:tcPr>
          <w:p>
            <w:pPr>
              <w:spacing w:after="0"/>
              <w:rPr>
                <w:sz w:val="1"/>
                <w:szCs w:val="1"/>
                <w:color w:val="auto"/>
              </w:rPr>
            </w:pPr>
          </w:p>
        </w:tc>
      </w:tr>
      <w:tr>
        <w:trPr>
          <w:trHeight w:val="112"/>
        </w:trPr>
        <w:tc>
          <w:tcPr>
            <w:tcW w:w="1920" w:type="dxa"/>
            <w:vAlign w:val="bottom"/>
            <w:gridSpan w:val="2"/>
            <w:vMerge w:val="restart"/>
          </w:tcPr>
          <w:p>
            <w:pPr>
              <w:ind w:left="20"/>
              <w:spacing w:after="0"/>
              <w:rPr>
                <w:sz w:val="20"/>
                <w:szCs w:val="20"/>
                <w:color w:val="auto"/>
              </w:rPr>
            </w:pPr>
            <w:r>
              <w:rPr>
                <w:rFonts w:ascii="Arial" w:cs="Arial" w:eastAsia="Arial" w:hAnsi="Arial"/>
                <w:sz w:val="11"/>
                <w:szCs w:val="11"/>
                <w:color w:val="auto"/>
              </w:rPr>
              <w:t xml:space="preserve">Langford </w:t>
            </w:r>
            <w:r>
              <w:rPr>
                <w:rFonts w:ascii="Arial" w:cs="Arial" w:eastAsia="Arial" w:hAnsi="Arial"/>
                <w:sz w:val="14"/>
                <w:szCs w:val="14"/>
                <w:color w:val="auto"/>
                <w:vertAlign w:val="superscript"/>
              </w:rPr>
              <w:t>(b)</w:t>
            </w:r>
          </w:p>
        </w:tc>
        <w:tc>
          <w:tcPr>
            <w:tcW w:w="1440" w:type="dxa"/>
            <w:vAlign w:val="bottom"/>
            <w:gridSpan w:val="3"/>
            <w:vMerge w:val="restart"/>
          </w:tcPr>
          <w:p>
            <w:pPr>
              <w:ind w:left="20"/>
              <w:spacing w:after="0"/>
              <w:rPr>
                <w:sz w:val="20"/>
                <w:szCs w:val="20"/>
                <w:color w:val="auto"/>
              </w:rPr>
            </w:pPr>
            <w:r>
              <w:rPr>
                <w:rFonts w:ascii="Arial" w:cs="Arial" w:eastAsia="Arial" w:hAnsi="Arial"/>
                <w:sz w:val="11"/>
                <w:szCs w:val="11"/>
                <w:color w:val="auto"/>
              </w:rPr>
              <w:t>Christoval, TX</w:t>
            </w:r>
          </w:p>
        </w:tc>
        <w:tc>
          <w:tcPr>
            <w:tcW w:w="680" w:type="dxa"/>
            <w:vAlign w:val="bottom"/>
            <w:vMerge w:val="restart"/>
          </w:tcPr>
          <w:p>
            <w:pPr>
              <w:jc w:val="right"/>
              <w:ind w:right="3"/>
              <w:spacing w:after="0"/>
              <w:rPr>
                <w:sz w:val="20"/>
                <w:szCs w:val="20"/>
                <w:color w:val="auto"/>
              </w:rPr>
            </w:pPr>
            <w:r>
              <w:rPr>
                <w:rFonts w:ascii="Arial" w:cs="Arial" w:eastAsia="Arial" w:hAnsi="Arial"/>
                <w:sz w:val="11"/>
                <w:szCs w:val="11"/>
                <w:color w:val="auto"/>
              </w:rPr>
              <w:t>160</w:t>
            </w:r>
          </w:p>
        </w:tc>
        <w:tc>
          <w:tcPr>
            <w:tcW w:w="100" w:type="dxa"/>
            <w:vAlign w:val="bottom"/>
          </w:tcPr>
          <w:p>
            <w:pPr>
              <w:spacing w:after="0"/>
              <w:rPr>
                <w:sz w:val="9"/>
                <w:szCs w:val="9"/>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160</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100 %</w:t>
            </w:r>
          </w:p>
        </w:tc>
        <w:tc>
          <w:tcPr>
            <w:tcW w:w="80" w:type="dxa"/>
            <w:vAlign w:val="bottom"/>
          </w:tcPr>
          <w:p>
            <w:pPr>
              <w:spacing w:after="0"/>
              <w:rPr>
                <w:sz w:val="9"/>
                <w:szCs w:val="9"/>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December 2009/November</w:t>
            </w:r>
          </w:p>
        </w:tc>
        <w:tc>
          <w:tcPr>
            <w:tcW w:w="1840" w:type="dxa"/>
            <w:vAlign w:val="bottom"/>
            <w:gridSpan w:val="2"/>
            <w:vMerge w:val="restart"/>
          </w:tcPr>
          <w:p>
            <w:pPr>
              <w:ind w:left="20"/>
              <w:spacing w:after="0"/>
              <w:rPr>
                <w:sz w:val="20"/>
                <w:szCs w:val="20"/>
                <w:color w:val="auto"/>
              </w:rPr>
            </w:pPr>
            <w:r>
              <w:rPr>
                <w:rFonts w:ascii="Arial" w:cs="Arial" w:eastAsia="Arial" w:hAnsi="Arial"/>
                <w:sz w:val="11"/>
                <w:szCs w:val="11"/>
                <w:color w:val="auto"/>
              </w:rPr>
              <w:t>Goldman Sachs</w:t>
            </w: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2033</w:t>
            </w:r>
          </w:p>
        </w:tc>
        <w:tc>
          <w:tcPr>
            <w:tcW w:w="0" w:type="dxa"/>
            <w:vAlign w:val="bottom"/>
          </w:tcPr>
          <w:p>
            <w:pPr>
              <w:spacing w:after="0"/>
              <w:rPr>
                <w:sz w:val="1"/>
                <w:szCs w:val="1"/>
                <w:color w:val="auto"/>
              </w:rPr>
            </w:pPr>
          </w:p>
        </w:tc>
      </w:tr>
      <w:tr>
        <w:trPr>
          <w:trHeight w:val="153"/>
        </w:trPr>
        <w:tc>
          <w:tcPr>
            <w:tcW w:w="1920" w:type="dxa"/>
            <w:vAlign w:val="bottom"/>
            <w:gridSpan w:val="2"/>
            <w:vMerge w:val="continue"/>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Laredo Ridge</w:t>
            </w:r>
          </w:p>
        </w:tc>
        <w:tc>
          <w:tcPr>
            <w:tcW w:w="1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Petersburg, NE</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February 2011</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Nebraska Public Power District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2031</w:t>
            </w:r>
          </w:p>
        </w:tc>
        <w:tc>
          <w:tcPr>
            <w:tcW w:w="0" w:type="dxa"/>
            <w:vAlign w:val="bottom"/>
          </w:tcPr>
          <w:p>
            <w:pPr>
              <w:spacing w:after="0"/>
              <w:rPr>
                <w:sz w:val="1"/>
                <w:szCs w:val="1"/>
                <w:color w:val="auto"/>
              </w:rPr>
            </w:pPr>
          </w:p>
        </w:tc>
      </w:tr>
      <w:tr>
        <w:trPr>
          <w:trHeight w:val="112"/>
        </w:trPr>
        <w:tc>
          <w:tcPr>
            <w:tcW w:w="1920" w:type="dxa"/>
            <w:vAlign w:val="bottom"/>
            <w:gridSpan w:val="2"/>
            <w:vMerge w:val="restart"/>
          </w:tcPr>
          <w:p>
            <w:pPr>
              <w:ind w:left="20"/>
              <w:spacing w:after="0"/>
              <w:rPr>
                <w:sz w:val="20"/>
                <w:szCs w:val="20"/>
                <w:color w:val="auto"/>
              </w:rPr>
            </w:pPr>
            <w:r>
              <w:rPr>
                <w:rFonts w:ascii="Arial" w:cs="Arial" w:eastAsia="Arial" w:hAnsi="Arial"/>
                <w:sz w:val="11"/>
                <w:szCs w:val="11"/>
                <w:color w:val="auto"/>
              </w:rPr>
              <w:t>Lookout</w:t>
            </w:r>
          </w:p>
        </w:tc>
        <w:tc>
          <w:tcPr>
            <w:tcW w:w="1440" w:type="dxa"/>
            <w:vAlign w:val="bottom"/>
            <w:gridSpan w:val="3"/>
            <w:vMerge w:val="restart"/>
          </w:tcPr>
          <w:p>
            <w:pPr>
              <w:ind w:left="20"/>
              <w:spacing w:after="0"/>
              <w:rPr>
                <w:sz w:val="20"/>
                <w:szCs w:val="20"/>
                <w:color w:val="auto"/>
              </w:rPr>
            </w:pPr>
            <w:r>
              <w:rPr>
                <w:rFonts w:ascii="Arial" w:cs="Arial" w:eastAsia="Arial" w:hAnsi="Arial"/>
                <w:sz w:val="11"/>
                <w:szCs w:val="11"/>
                <w:color w:val="auto"/>
              </w:rPr>
              <w:t>Berlin, PA</w:t>
            </w:r>
          </w:p>
        </w:tc>
        <w:tc>
          <w:tcPr>
            <w:tcW w:w="680" w:type="dxa"/>
            <w:vAlign w:val="bottom"/>
            <w:vMerge w:val="restart"/>
          </w:tcPr>
          <w:p>
            <w:pPr>
              <w:jc w:val="right"/>
              <w:ind w:right="3"/>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9"/>
                <w:szCs w:val="9"/>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38</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100 %</w:t>
            </w:r>
          </w:p>
        </w:tc>
        <w:tc>
          <w:tcPr>
            <w:tcW w:w="80" w:type="dxa"/>
            <w:vAlign w:val="bottom"/>
          </w:tcPr>
          <w:p>
            <w:pPr>
              <w:spacing w:after="0"/>
              <w:rPr>
                <w:sz w:val="9"/>
                <w:szCs w:val="9"/>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vMerge w:val="restart"/>
          </w:tcPr>
          <w:p>
            <w:pPr>
              <w:ind w:left="20"/>
              <w:spacing w:after="0"/>
              <w:rPr>
                <w:sz w:val="20"/>
                <w:szCs w:val="20"/>
                <w:color w:val="auto"/>
              </w:rPr>
            </w:pPr>
            <w:r>
              <w:rPr>
                <w:rFonts w:ascii="Arial" w:cs="Arial" w:eastAsia="Arial" w:hAnsi="Arial"/>
                <w:sz w:val="11"/>
                <w:szCs w:val="11"/>
                <w:color w:val="auto"/>
              </w:rPr>
              <w:t>October 2008</w:t>
            </w:r>
          </w:p>
        </w:tc>
        <w:tc>
          <w:tcPr>
            <w:tcW w:w="184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Southern Maryland Electric</w:t>
            </w: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2030</w:t>
            </w:r>
          </w:p>
        </w:tc>
        <w:tc>
          <w:tcPr>
            <w:tcW w:w="0" w:type="dxa"/>
            <w:vAlign w:val="bottom"/>
          </w:tcPr>
          <w:p>
            <w:pPr>
              <w:spacing w:after="0"/>
              <w:rPr>
                <w:sz w:val="1"/>
                <w:szCs w:val="1"/>
                <w:color w:val="auto"/>
              </w:rPr>
            </w:pPr>
          </w:p>
        </w:tc>
      </w:tr>
      <w:tr>
        <w:trPr>
          <w:trHeight w:val="149"/>
        </w:trPr>
        <w:tc>
          <w:tcPr>
            <w:tcW w:w="192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Cooperative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 xml:space="preserve">Mesquite Sky </w:t>
            </w:r>
            <w:r>
              <w:rPr>
                <w:rFonts w:ascii="Arial" w:cs="Arial" w:eastAsia="Arial" w:hAnsi="Arial"/>
                <w:sz w:val="14"/>
                <w:szCs w:val="14"/>
                <w:color w:val="auto"/>
                <w:vertAlign w:val="superscript"/>
              </w:rPr>
              <w:t>(b)</w:t>
            </w:r>
          </w:p>
        </w:tc>
        <w:tc>
          <w:tcPr>
            <w:tcW w:w="1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Callahan County, TX</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50 %</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December 2021</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Various</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2033 - 2036</w:t>
            </w:r>
          </w:p>
        </w:tc>
        <w:tc>
          <w:tcPr>
            <w:tcW w:w="0" w:type="dxa"/>
            <w:vAlign w:val="bottom"/>
          </w:tcPr>
          <w:p>
            <w:pPr>
              <w:spacing w:after="0"/>
              <w:rPr>
                <w:sz w:val="1"/>
                <w:szCs w:val="1"/>
                <w:color w:val="auto"/>
              </w:rPr>
            </w:pPr>
          </w:p>
        </w:tc>
      </w:tr>
      <w:tr>
        <w:trPr>
          <w:trHeight w:val="159"/>
        </w:trPr>
        <w:tc>
          <w:tcPr>
            <w:tcW w:w="1920" w:type="dxa"/>
            <w:vAlign w:val="bottom"/>
            <w:gridSpan w:val="2"/>
          </w:tcPr>
          <w:p>
            <w:pPr>
              <w:ind w:left="20"/>
              <w:spacing w:after="0" w:line="159" w:lineRule="exact"/>
              <w:rPr>
                <w:sz w:val="20"/>
                <w:szCs w:val="20"/>
                <w:color w:val="auto"/>
              </w:rPr>
            </w:pPr>
            <w:r>
              <w:rPr>
                <w:rFonts w:ascii="Arial" w:cs="Arial" w:eastAsia="Arial" w:hAnsi="Arial"/>
                <w:sz w:val="11"/>
                <w:szCs w:val="11"/>
                <w:color w:val="auto"/>
              </w:rPr>
              <w:t xml:space="preserve">Mesquite Star </w:t>
            </w:r>
            <w:r>
              <w:rPr>
                <w:rFonts w:ascii="Arial" w:cs="Arial" w:eastAsia="Arial" w:hAnsi="Arial"/>
                <w:sz w:val="14"/>
                <w:szCs w:val="14"/>
                <w:color w:val="auto"/>
                <w:vertAlign w:val="superscript"/>
              </w:rPr>
              <w:t>(b)</w:t>
            </w:r>
          </w:p>
        </w:tc>
        <w:tc>
          <w:tcPr>
            <w:tcW w:w="1440" w:type="dxa"/>
            <w:vAlign w:val="bottom"/>
            <w:gridSpan w:val="3"/>
          </w:tcPr>
          <w:p>
            <w:pPr>
              <w:ind w:left="20"/>
              <w:spacing w:after="0"/>
              <w:rPr>
                <w:sz w:val="20"/>
                <w:szCs w:val="20"/>
                <w:color w:val="auto"/>
              </w:rPr>
            </w:pPr>
            <w:r>
              <w:rPr>
                <w:rFonts w:ascii="Arial" w:cs="Arial" w:eastAsia="Arial" w:hAnsi="Arial"/>
                <w:sz w:val="11"/>
                <w:szCs w:val="11"/>
                <w:color w:val="auto"/>
              </w:rPr>
              <w:t>Fisher County, TX</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419</w:t>
            </w:r>
          </w:p>
        </w:tc>
        <w:tc>
          <w:tcPr>
            <w:tcW w:w="1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210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50 %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May 2020</w:t>
            </w: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Various</w:t>
            </w:r>
          </w:p>
        </w:tc>
        <w:tc>
          <w:tcPr>
            <w:tcW w:w="1020" w:type="dxa"/>
            <w:vAlign w:val="bottom"/>
          </w:tcPr>
          <w:p>
            <w:pPr>
              <w:jc w:val="right"/>
              <w:spacing w:after="0"/>
              <w:rPr>
                <w:sz w:val="20"/>
                <w:szCs w:val="20"/>
                <w:color w:val="auto"/>
              </w:rPr>
            </w:pPr>
            <w:r>
              <w:rPr>
                <w:rFonts w:ascii="Arial" w:cs="Arial" w:eastAsia="Arial" w:hAnsi="Arial"/>
                <w:sz w:val="11"/>
                <w:szCs w:val="11"/>
                <w:color w:val="auto"/>
              </w:rPr>
              <w:t>2032 - 2035</w:t>
            </w:r>
          </w:p>
        </w:tc>
        <w:tc>
          <w:tcPr>
            <w:tcW w:w="0" w:type="dxa"/>
            <w:vAlign w:val="bottom"/>
          </w:tcPr>
          <w:p>
            <w:pPr>
              <w:spacing w:after="0"/>
              <w:rPr>
                <w:sz w:val="1"/>
                <w:szCs w:val="1"/>
                <w:color w:val="auto"/>
              </w:rPr>
            </w:pPr>
          </w:p>
        </w:tc>
      </w:tr>
      <w:tr>
        <w:trPr>
          <w:trHeight w:val="159"/>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Mt. Storm</w:t>
            </w:r>
          </w:p>
        </w:tc>
        <w:tc>
          <w:tcPr>
            <w:tcW w:w="1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Grant County, WV</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264</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October 2008</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Citigroup</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2031</w:t>
            </w:r>
          </w:p>
        </w:tc>
        <w:tc>
          <w:tcPr>
            <w:tcW w:w="0" w:type="dxa"/>
            <w:vAlign w:val="bottom"/>
          </w:tcPr>
          <w:p>
            <w:pPr>
              <w:spacing w:after="0"/>
              <w:rPr>
                <w:sz w:val="1"/>
                <w:szCs w:val="1"/>
                <w:color w:val="auto"/>
              </w:rPr>
            </w:pPr>
          </w:p>
        </w:tc>
      </w:tr>
      <w:tr>
        <w:trPr>
          <w:trHeight w:val="152"/>
        </w:trPr>
        <w:tc>
          <w:tcPr>
            <w:tcW w:w="1920" w:type="dxa"/>
            <w:vAlign w:val="bottom"/>
            <w:gridSpan w:val="2"/>
          </w:tcPr>
          <w:p>
            <w:pPr>
              <w:ind w:left="20"/>
              <w:spacing w:after="0"/>
              <w:rPr>
                <w:sz w:val="20"/>
                <w:szCs w:val="20"/>
                <w:color w:val="auto"/>
              </w:rPr>
            </w:pPr>
            <w:r>
              <w:rPr>
                <w:rFonts w:ascii="Arial" w:cs="Arial" w:eastAsia="Arial" w:hAnsi="Arial"/>
                <w:sz w:val="11"/>
                <w:szCs w:val="11"/>
                <w:color w:val="auto"/>
              </w:rPr>
              <w:t>Ocotillo</w:t>
            </w:r>
          </w:p>
        </w:tc>
        <w:tc>
          <w:tcPr>
            <w:tcW w:w="1440" w:type="dxa"/>
            <w:vAlign w:val="bottom"/>
            <w:gridSpan w:val="3"/>
          </w:tcPr>
          <w:p>
            <w:pPr>
              <w:ind w:left="20"/>
              <w:spacing w:after="0"/>
              <w:rPr>
                <w:sz w:val="20"/>
                <w:szCs w:val="20"/>
                <w:color w:val="auto"/>
              </w:rPr>
            </w:pPr>
            <w:r>
              <w:rPr>
                <w:rFonts w:ascii="Arial" w:cs="Arial" w:eastAsia="Arial" w:hAnsi="Arial"/>
                <w:sz w:val="11"/>
                <w:szCs w:val="11"/>
                <w:color w:val="auto"/>
              </w:rPr>
              <w:t>Forsan, TX</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55</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November 2008</w:t>
            </w: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Odin</w:t>
            </w:r>
          </w:p>
        </w:tc>
        <w:tc>
          <w:tcPr>
            <w:tcW w:w="1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Mountain Lake, MN</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June 2008</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Missouri River Energy Services</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2028</w:t>
            </w:r>
          </w:p>
        </w:tc>
        <w:tc>
          <w:tcPr>
            <w:tcW w:w="0" w:type="dxa"/>
            <w:vAlign w:val="bottom"/>
          </w:tcPr>
          <w:p>
            <w:pPr>
              <w:spacing w:after="0"/>
              <w:rPr>
                <w:sz w:val="1"/>
                <w:szCs w:val="1"/>
                <w:color w:val="auto"/>
              </w:rPr>
            </w:pPr>
          </w:p>
        </w:tc>
      </w:tr>
      <w:tr>
        <w:trPr>
          <w:trHeight w:val="112"/>
        </w:trPr>
        <w:tc>
          <w:tcPr>
            <w:tcW w:w="1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Maryland Department of General</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920" w:type="dxa"/>
            <w:vAlign w:val="bottom"/>
            <w:gridSpan w:val="2"/>
            <w:vMerge w:val="restart"/>
          </w:tcPr>
          <w:p>
            <w:pPr>
              <w:ind w:left="20"/>
              <w:spacing w:after="0"/>
              <w:rPr>
                <w:sz w:val="20"/>
                <w:szCs w:val="20"/>
                <w:color w:val="auto"/>
              </w:rPr>
            </w:pPr>
            <w:r>
              <w:rPr>
                <w:rFonts w:ascii="Arial" w:cs="Arial" w:eastAsia="Arial" w:hAnsi="Arial"/>
                <w:sz w:val="11"/>
                <w:szCs w:val="11"/>
                <w:color w:val="auto"/>
              </w:rPr>
              <w:t xml:space="preserve">Pinnacle </w:t>
            </w:r>
            <w:r>
              <w:rPr>
                <w:rFonts w:ascii="Arial" w:cs="Arial" w:eastAsia="Arial" w:hAnsi="Arial"/>
                <w:sz w:val="14"/>
                <w:szCs w:val="14"/>
                <w:color w:val="auto"/>
                <w:vertAlign w:val="superscript"/>
              </w:rPr>
              <w:t>(b)</w:t>
            </w: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December 2011/December</w:t>
            </w:r>
          </w:p>
        </w:tc>
        <w:tc>
          <w:tcPr>
            <w:tcW w:w="184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Services and University System of</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920" w:type="dxa"/>
            <w:vAlign w:val="bottom"/>
            <w:gridSpan w:val="2"/>
            <w:vMerge w:val="continue"/>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color w:val="auto"/>
              </w:rPr>
              <w:t>Keyser, WV</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54</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Wind</w:t>
            </w:r>
          </w:p>
        </w:tc>
        <w:tc>
          <w:tcPr>
            <w:tcW w:w="1280" w:type="dxa"/>
            <w:vAlign w:val="bottom"/>
          </w:tcPr>
          <w:p>
            <w:pPr>
              <w:ind w:left="20"/>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3"/>
                <w:szCs w:val="13"/>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Maryland</w:t>
            </w:r>
          </w:p>
        </w:tc>
        <w:tc>
          <w:tcPr>
            <w:tcW w:w="1020" w:type="dxa"/>
            <w:vAlign w:val="bottom"/>
          </w:tcPr>
          <w:p>
            <w:pPr>
              <w:jc w:val="right"/>
              <w:spacing w:after="0"/>
              <w:rPr>
                <w:sz w:val="20"/>
                <w:szCs w:val="20"/>
                <w:color w:val="auto"/>
              </w:rPr>
            </w:pPr>
            <w:r>
              <w:rPr>
                <w:rFonts w:ascii="Arial" w:cs="Arial" w:eastAsia="Arial" w:hAnsi="Arial"/>
                <w:sz w:val="11"/>
                <w:szCs w:val="11"/>
                <w:color w:val="auto"/>
              </w:rPr>
              <w:t>2031</w:t>
            </w:r>
          </w:p>
        </w:tc>
        <w:tc>
          <w:tcPr>
            <w:tcW w:w="0" w:type="dxa"/>
            <w:vAlign w:val="bottom"/>
          </w:tcPr>
          <w:p>
            <w:pPr>
              <w:spacing w:after="0"/>
              <w:rPr>
                <w:sz w:val="1"/>
                <w:szCs w:val="1"/>
                <w:color w:val="auto"/>
              </w:rPr>
            </w:pPr>
          </w:p>
        </w:tc>
      </w:tr>
      <w:tr>
        <w:trPr>
          <w:trHeight w:val="159"/>
        </w:trPr>
        <w:tc>
          <w:tcPr>
            <w:tcW w:w="19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1"/>
                <w:szCs w:val="11"/>
                <w:color w:val="auto"/>
              </w:rPr>
              <w:t xml:space="preserve">Rattlesnake </w:t>
            </w:r>
            <w:r>
              <w:rPr>
                <w:rFonts w:ascii="Arial" w:cs="Arial" w:eastAsia="Arial" w:hAnsi="Arial"/>
                <w:sz w:val="14"/>
                <w:szCs w:val="14"/>
                <w:color w:val="auto"/>
                <w:vertAlign w:val="superscript"/>
              </w:rPr>
              <w:t>(b) (e)</w:t>
            </w:r>
          </w:p>
        </w:tc>
        <w:tc>
          <w:tcPr>
            <w:tcW w:w="1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Ritzville, WA</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160</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December 2020</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Avista Corporation</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2040</w:t>
            </w:r>
          </w:p>
        </w:tc>
        <w:tc>
          <w:tcPr>
            <w:tcW w:w="0" w:type="dxa"/>
            <w:vAlign w:val="bottom"/>
          </w:tcPr>
          <w:p>
            <w:pPr>
              <w:spacing w:after="0"/>
              <w:rPr>
                <w:sz w:val="1"/>
                <w:szCs w:val="1"/>
                <w:color w:val="auto"/>
              </w:rPr>
            </w:pPr>
          </w:p>
        </w:tc>
      </w:tr>
      <w:tr>
        <w:trPr>
          <w:trHeight w:val="112"/>
        </w:trPr>
        <w:tc>
          <w:tcPr>
            <w:tcW w:w="1920" w:type="dxa"/>
            <w:vAlign w:val="bottom"/>
            <w:gridSpan w:val="2"/>
            <w:vMerge w:val="restart"/>
          </w:tcPr>
          <w:p>
            <w:pPr>
              <w:ind w:left="20"/>
              <w:spacing w:after="0"/>
              <w:rPr>
                <w:sz w:val="20"/>
                <w:szCs w:val="20"/>
                <w:color w:val="auto"/>
              </w:rPr>
            </w:pPr>
            <w:r>
              <w:rPr>
                <w:rFonts w:ascii="Arial" w:cs="Arial" w:eastAsia="Arial" w:hAnsi="Arial"/>
                <w:sz w:val="11"/>
                <w:szCs w:val="11"/>
                <w:color w:val="auto"/>
              </w:rPr>
              <w:t>San Juan Mesa</w:t>
            </w:r>
          </w:p>
        </w:tc>
        <w:tc>
          <w:tcPr>
            <w:tcW w:w="1440" w:type="dxa"/>
            <w:vAlign w:val="bottom"/>
            <w:gridSpan w:val="3"/>
            <w:vMerge w:val="restart"/>
          </w:tcPr>
          <w:p>
            <w:pPr>
              <w:ind w:left="20"/>
              <w:spacing w:after="0"/>
              <w:rPr>
                <w:sz w:val="20"/>
                <w:szCs w:val="20"/>
                <w:color w:val="auto"/>
              </w:rPr>
            </w:pPr>
            <w:r>
              <w:rPr>
                <w:rFonts w:ascii="Arial" w:cs="Arial" w:eastAsia="Arial" w:hAnsi="Arial"/>
                <w:sz w:val="11"/>
                <w:szCs w:val="11"/>
                <w:color w:val="auto"/>
              </w:rPr>
              <w:t>Elida, NM</w:t>
            </w:r>
          </w:p>
        </w:tc>
        <w:tc>
          <w:tcPr>
            <w:tcW w:w="680" w:type="dxa"/>
            <w:vAlign w:val="bottom"/>
            <w:vMerge w:val="restart"/>
          </w:tcPr>
          <w:p>
            <w:pPr>
              <w:jc w:val="right"/>
              <w:ind w:right="3"/>
              <w:spacing w:after="0"/>
              <w:rPr>
                <w:sz w:val="20"/>
                <w:szCs w:val="20"/>
                <w:color w:val="auto"/>
              </w:rPr>
            </w:pPr>
            <w:r>
              <w:rPr>
                <w:rFonts w:ascii="Arial" w:cs="Arial" w:eastAsia="Arial" w:hAnsi="Arial"/>
                <w:sz w:val="11"/>
                <w:szCs w:val="11"/>
                <w:color w:val="auto"/>
              </w:rPr>
              <w:t>120</w:t>
            </w:r>
          </w:p>
        </w:tc>
        <w:tc>
          <w:tcPr>
            <w:tcW w:w="100" w:type="dxa"/>
            <w:vAlign w:val="bottom"/>
          </w:tcPr>
          <w:p>
            <w:pPr>
              <w:spacing w:after="0"/>
              <w:rPr>
                <w:sz w:val="9"/>
                <w:szCs w:val="9"/>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90</w:t>
            </w:r>
          </w:p>
        </w:tc>
        <w:tc>
          <w:tcPr>
            <w:tcW w:w="1000" w:type="dxa"/>
            <w:vAlign w:val="bottom"/>
            <w:gridSpan w:val="2"/>
            <w:vMerge w:val="restart"/>
          </w:tcPr>
          <w:p>
            <w:pPr>
              <w:jc w:val="right"/>
              <w:spacing w:after="0"/>
              <w:rPr>
                <w:sz w:val="20"/>
                <w:szCs w:val="20"/>
                <w:color w:val="auto"/>
              </w:rPr>
            </w:pPr>
            <w:r>
              <w:rPr>
                <w:rFonts w:ascii="Arial" w:cs="Arial" w:eastAsia="Arial" w:hAnsi="Arial"/>
                <w:sz w:val="11"/>
                <w:szCs w:val="11"/>
                <w:color w:val="auto"/>
              </w:rPr>
              <w:t>75 %</w:t>
            </w:r>
          </w:p>
        </w:tc>
        <w:tc>
          <w:tcPr>
            <w:tcW w:w="80" w:type="dxa"/>
            <w:vAlign w:val="bottom"/>
          </w:tcPr>
          <w:p>
            <w:pPr>
              <w:spacing w:after="0"/>
              <w:rPr>
                <w:sz w:val="9"/>
                <w:szCs w:val="9"/>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vMerge w:val="restart"/>
          </w:tcPr>
          <w:p>
            <w:pPr>
              <w:ind w:left="20"/>
              <w:spacing w:after="0"/>
              <w:rPr>
                <w:sz w:val="20"/>
                <w:szCs w:val="20"/>
                <w:color w:val="auto"/>
              </w:rPr>
            </w:pPr>
            <w:r>
              <w:rPr>
                <w:rFonts w:ascii="Arial" w:cs="Arial" w:eastAsia="Arial" w:hAnsi="Arial"/>
                <w:sz w:val="11"/>
                <w:szCs w:val="11"/>
                <w:color w:val="auto"/>
              </w:rPr>
              <w:t>December 2005</w:t>
            </w:r>
          </w:p>
        </w:tc>
        <w:tc>
          <w:tcPr>
            <w:tcW w:w="184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Southwestern Public Service</w:t>
            </w: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2025</w:t>
            </w:r>
          </w:p>
        </w:tc>
        <w:tc>
          <w:tcPr>
            <w:tcW w:w="0" w:type="dxa"/>
            <w:vAlign w:val="bottom"/>
          </w:tcPr>
          <w:p>
            <w:pPr>
              <w:spacing w:after="0"/>
              <w:rPr>
                <w:sz w:val="1"/>
                <w:szCs w:val="1"/>
                <w:color w:val="auto"/>
              </w:rPr>
            </w:pPr>
          </w:p>
        </w:tc>
      </w:tr>
      <w:tr>
        <w:trPr>
          <w:trHeight w:val="149"/>
        </w:trPr>
        <w:tc>
          <w:tcPr>
            <w:tcW w:w="192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Company</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Sleeping Bear</w:t>
            </w:r>
          </w:p>
        </w:tc>
        <w:tc>
          <w:tcPr>
            <w:tcW w:w="1440" w:type="dxa"/>
            <w:vAlign w:val="bottom"/>
            <w:gridSpan w:val="3"/>
            <w:vMerge w:val="restart"/>
            <w:shd w:val="clear" w:color="auto" w:fill="CCEEFF"/>
          </w:tcPr>
          <w:p>
            <w:pPr>
              <w:ind w:left="20"/>
              <w:spacing w:after="0"/>
              <w:rPr>
                <w:sz w:val="20"/>
                <w:szCs w:val="20"/>
                <w:color w:val="auto"/>
              </w:rPr>
            </w:pPr>
            <w:r>
              <w:rPr>
                <w:rFonts w:ascii="Arial" w:cs="Arial" w:eastAsia="Arial" w:hAnsi="Arial"/>
                <w:sz w:val="11"/>
                <w:szCs w:val="11"/>
                <w:color w:val="auto"/>
              </w:rPr>
              <w:t>Woodward, OK</w:t>
            </w:r>
          </w:p>
        </w:tc>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95</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95</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8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October 2007</w:t>
            </w:r>
          </w:p>
        </w:tc>
        <w:tc>
          <w:tcPr>
            <w:tcW w:w="1840" w:type="dxa"/>
            <w:vAlign w:val="bottom"/>
            <w:gridSpan w:val="2"/>
            <w:shd w:val="clear" w:color="auto" w:fill="CCEEFF"/>
          </w:tcPr>
          <w:p>
            <w:pPr>
              <w:ind w:left="20"/>
              <w:spacing w:after="0" w:line="116" w:lineRule="exact"/>
              <w:rPr>
                <w:sz w:val="20"/>
                <w:szCs w:val="20"/>
                <w:color w:val="auto"/>
              </w:rPr>
            </w:pPr>
            <w:r>
              <w:rPr>
                <w:rFonts w:ascii="Arial" w:cs="Arial" w:eastAsia="Arial" w:hAnsi="Arial"/>
                <w:sz w:val="11"/>
                <w:szCs w:val="11"/>
                <w:color w:val="auto"/>
              </w:rPr>
              <w:t>Public Service Company of</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2032</w:t>
            </w:r>
          </w:p>
        </w:tc>
        <w:tc>
          <w:tcPr>
            <w:tcW w:w="0" w:type="dxa"/>
            <w:vAlign w:val="bottom"/>
          </w:tcPr>
          <w:p>
            <w:pPr>
              <w:spacing w:after="0"/>
              <w:rPr>
                <w:sz w:val="1"/>
                <w:szCs w:val="1"/>
                <w:color w:val="auto"/>
              </w:rPr>
            </w:pPr>
          </w:p>
        </w:tc>
      </w:tr>
      <w:tr>
        <w:trPr>
          <w:trHeight w:val="153"/>
        </w:trPr>
        <w:tc>
          <w:tcPr>
            <w:tcW w:w="1920" w:type="dxa"/>
            <w:vAlign w:val="bottom"/>
            <w:gridSpan w:val="2"/>
            <w:vMerge w:val="continue"/>
            <w:shd w:val="clear" w:color="auto" w:fill="CCEEFF"/>
          </w:tcPr>
          <w:p>
            <w:pPr>
              <w:spacing w:after="0"/>
              <w:rPr>
                <w:sz w:val="13"/>
                <w:szCs w:val="13"/>
                <w:color w:val="auto"/>
              </w:rPr>
            </w:pPr>
          </w:p>
        </w:tc>
        <w:tc>
          <w:tcPr>
            <w:tcW w:w="1440" w:type="dxa"/>
            <w:vAlign w:val="bottom"/>
            <w:gridSpan w:val="3"/>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Oklahoma</w:t>
            </w: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920" w:type="dxa"/>
            <w:vAlign w:val="bottom"/>
            <w:gridSpan w:val="2"/>
          </w:tcPr>
          <w:p>
            <w:pPr>
              <w:ind w:left="20"/>
              <w:spacing w:after="0"/>
              <w:rPr>
                <w:sz w:val="20"/>
                <w:szCs w:val="20"/>
                <w:color w:val="auto"/>
              </w:rPr>
            </w:pPr>
            <w:r>
              <w:rPr>
                <w:rFonts w:ascii="Arial" w:cs="Arial" w:eastAsia="Arial" w:hAnsi="Arial"/>
                <w:sz w:val="11"/>
                <w:szCs w:val="11"/>
                <w:color w:val="auto"/>
              </w:rPr>
              <w:t>South Trent</w:t>
            </w:r>
          </w:p>
        </w:tc>
        <w:tc>
          <w:tcPr>
            <w:tcW w:w="1440" w:type="dxa"/>
            <w:vAlign w:val="bottom"/>
            <w:gridSpan w:val="3"/>
          </w:tcPr>
          <w:p>
            <w:pPr>
              <w:ind w:left="20"/>
              <w:spacing w:after="0"/>
              <w:rPr>
                <w:sz w:val="20"/>
                <w:szCs w:val="20"/>
                <w:color w:val="auto"/>
              </w:rPr>
            </w:pPr>
            <w:r>
              <w:rPr>
                <w:rFonts w:ascii="Arial" w:cs="Arial" w:eastAsia="Arial" w:hAnsi="Arial"/>
                <w:sz w:val="11"/>
                <w:szCs w:val="11"/>
                <w:color w:val="auto"/>
              </w:rPr>
              <w:t>Sweetwater, TX</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101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January 2009</w:t>
            </w: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AEP Energy Partners</w:t>
            </w:r>
          </w:p>
        </w:tc>
        <w:tc>
          <w:tcPr>
            <w:tcW w:w="1020" w:type="dxa"/>
            <w:vAlign w:val="bottom"/>
          </w:tcPr>
          <w:p>
            <w:pPr>
              <w:jc w:val="right"/>
              <w:spacing w:after="0"/>
              <w:rPr>
                <w:sz w:val="20"/>
                <w:szCs w:val="20"/>
                <w:color w:val="auto"/>
              </w:rPr>
            </w:pPr>
            <w:r>
              <w:rPr>
                <w:rFonts w:ascii="Arial" w:cs="Arial" w:eastAsia="Arial" w:hAnsi="Arial"/>
                <w:sz w:val="11"/>
                <w:szCs w:val="11"/>
                <w:color w:val="auto"/>
              </w:rPr>
              <w:t>2029</w:t>
            </w:r>
          </w:p>
        </w:tc>
        <w:tc>
          <w:tcPr>
            <w:tcW w:w="0" w:type="dxa"/>
            <w:vAlign w:val="bottom"/>
          </w:tcPr>
          <w:p>
            <w:pPr>
              <w:spacing w:after="0"/>
              <w:rPr>
                <w:sz w:val="1"/>
                <w:szCs w:val="1"/>
                <w:color w:val="auto"/>
              </w:rPr>
            </w:pPr>
          </w:p>
        </w:tc>
      </w:tr>
      <w:tr>
        <w:trPr>
          <w:trHeight w:val="166"/>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Spanish Fork</w:t>
            </w:r>
          </w:p>
        </w:tc>
        <w:tc>
          <w:tcPr>
            <w:tcW w:w="1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Spanish Fork, UT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July 2008</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PacifiCorp</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2028</w:t>
            </w:r>
          </w:p>
        </w:tc>
        <w:tc>
          <w:tcPr>
            <w:tcW w:w="0" w:type="dxa"/>
            <w:vAlign w:val="bottom"/>
          </w:tcPr>
          <w:p>
            <w:pPr>
              <w:spacing w:after="0"/>
              <w:rPr>
                <w:sz w:val="1"/>
                <w:szCs w:val="1"/>
                <w:color w:val="auto"/>
              </w:rPr>
            </w:pPr>
          </w:p>
        </w:tc>
      </w:tr>
      <w:tr>
        <w:trPr>
          <w:trHeight w:val="159"/>
        </w:trPr>
        <w:tc>
          <w:tcPr>
            <w:tcW w:w="1920" w:type="dxa"/>
            <w:vAlign w:val="bottom"/>
            <w:gridSpan w:val="2"/>
          </w:tcPr>
          <w:p>
            <w:pPr>
              <w:ind w:left="20"/>
              <w:spacing w:after="0" w:line="159" w:lineRule="exact"/>
              <w:rPr>
                <w:sz w:val="20"/>
                <w:szCs w:val="20"/>
                <w:color w:val="auto"/>
              </w:rPr>
            </w:pPr>
            <w:r>
              <w:rPr>
                <w:rFonts w:ascii="Arial" w:cs="Arial" w:eastAsia="Arial" w:hAnsi="Arial"/>
                <w:sz w:val="11"/>
                <w:szCs w:val="11"/>
                <w:color w:val="auto"/>
              </w:rPr>
              <w:t xml:space="preserve">Spring Canyon II </w:t>
            </w:r>
            <w:r>
              <w:rPr>
                <w:rFonts w:ascii="Arial" w:cs="Arial" w:eastAsia="Arial" w:hAnsi="Arial"/>
                <w:sz w:val="14"/>
                <w:szCs w:val="14"/>
                <w:color w:val="auto"/>
                <w:vertAlign w:val="superscript"/>
              </w:rPr>
              <w:t>(b)</w:t>
            </w:r>
          </w:p>
        </w:tc>
        <w:tc>
          <w:tcPr>
            <w:tcW w:w="1440" w:type="dxa"/>
            <w:vAlign w:val="bottom"/>
            <w:gridSpan w:val="3"/>
          </w:tcPr>
          <w:p>
            <w:pPr>
              <w:ind w:left="20"/>
              <w:spacing w:after="0"/>
              <w:rPr>
                <w:sz w:val="20"/>
                <w:szCs w:val="20"/>
                <w:color w:val="auto"/>
              </w:rPr>
            </w:pPr>
            <w:r>
              <w:rPr>
                <w:rFonts w:ascii="Arial" w:cs="Arial" w:eastAsia="Arial" w:hAnsi="Arial"/>
                <w:sz w:val="11"/>
                <w:szCs w:val="11"/>
                <w:color w:val="auto"/>
              </w:rPr>
              <w:t>Logan County, CO</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31</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90.1 %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October 2014</w:t>
            </w: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Platte River Power Authority</w:t>
            </w:r>
          </w:p>
        </w:tc>
        <w:tc>
          <w:tcPr>
            <w:tcW w:w="1020" w:type="dxa"/>
            <w:vAlign w:val="bottom"/>
          </w:tcPr>
          <w:p>
            <w:pPr>
              <w:jc w:val="right"/>
              <w:spacing w:after="0"/>
              <w:rPr>
                <w:sz w:val="20"/>
                <w:szCs w:val="20"/>
                <w:color w:val="auto"/>
              </w:rPr>
            </w:pPr>
            <w:r>
              <w:rPr>
                <w:rFonts w:ascii="Arial" w:cs="Arial" w:eastAsia="Arial" w:hAnsi="Arial"/>
                <w:sz w:val="11"/>
                <w:szCs w:val="11"/>
                <w:color w:val="auto"/>
              </w:rPr>
              <w:t>2039</w:t>
            </w:r>
          </w:p>
        </w:tc>
        <w:tc>
          <w:tcPr>
            <w:tcW w:w="0" w:type="dxa"/>
            <w:vAlign w:val="bottom"/>
          </w:tcPr>
          <w:p>
            <w:pPr>
              <w:spacing w:after="0"/>
              <w:rPr>
                <w:sz w:val="1"/>
                <w:szCs w:val="1"/>
                <w:color w:val="auto"/>
              </w:rPr>
            </w:pPr>
          </w:p>
        </w:tc>
      </w:tr>
      <w:tr>
        <w:trPr>
          <w:trHeight w:val="159"/>
        </w:trPr>
        <w:tc>
          <w:tcPr>
            <w:tcW w:w="192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1"/>
                <w:szCs w:val="11"/>
                <w:color w:val="auto"/>
              </w:rPr>
              <w:t xml:space="preserve">Spring Canyon III </w:t>
            </w:r>
            <w:r>
              <w:rPr>
                <w:rFonts w:ascii="Arial" w:cs="Arial" w:eastAsia="Arial" w:hAnsi="Arial"/>
                <w:sz w:val="14"/>
                <w:szCs w:val="14"/>
                <w:color w:val="auto"/>
                <w:vertAlign w:val="superscript"/>
              </w:rPr>
              <w:t>(b)</w:t>
            </w:r>
          </w:p>
        </w:tc>
        <w:tc>
          <w:tcPr>
            <w:tcW w:w="14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Logan County, CO</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90.1 %</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December 2014</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Platte River Power Authority</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2039</w:t>
            </w:r>
          </w:p>
        </w:tc>
        <w:tc>
          <w:tcPr>
            <w:tcW w:w="0" w:type="dxa"/>
            <w:vAlign w:val="bottom"/>
          </w:tcPr>
          <w:p>
            <w:pPr>
              <w:spacing w:after="0"/>
              <w:rPr>
                <w:sz w:val="1"/>
                <w:szCs w:val="1"/>
                <w:color w:val="auto"/>
              </w:rPr>
            </w:pPr>
          </w:p>
        </w:tc>
      </w:tr>
      <w:tr>
        <w:trPr>
          <w:trHeight w:val="152"/>
        </w:trPr>
        <w:tc>
          <w:tcPr>
            <w:tcW w:w="1920" w:type="dxa"/>
            <w:vAlign w:val="bottom"/>
            <w:gridSpan w:val="2"/>
          </w:tcPr>
          <w:p>
            <w:pPr>
              <w:ind w:left="20"/>
              <w:spacing w:after="0"/>
              <w:rPr>
                <w:sz w:val="20"/>
                <w:szCs w:val="20"/>
                <w:color w:val="auto"/>
              </w:rPr>
            </w:pPr>
            <w:r>
              <w:rPr>
                <w:rFonts w:ascii="Arial" w:cs="Arial" w:eastAsia="Arial" w:hAnsi="Arial"/>
                <w:sz w:val="11"/>
                <w:szCs w:val="11"/>
                <w:color w:val="auto"/>
              </w:rPr>
              <w:t>Taloga</w:t>
            </w:r>
          </w:p>
        </w:tc>
        <w:tc>
          <w:tcPr>
            <w:tcW w:w="1440" w:type="dxa"/>
            <w:vAlign w:val="bottom"/>
            <w:gridSpan w:val="3"/>
          </w:tcPr>
          <w:p>
            <w:pPr>
              <w:ind w:left="20"/>
              <w:spacing w:after="0"/>
              <w:rPr>
                <w:sz w:val="20"/>
                <w:szCs w:val="20"/>
                <w:color w:val="auto"/>
              </w:rPr>
            </w:pPr>
            <w:r>
              <w:rPr>
                <w:rFonts w:ascii="Arial" w:cs="Arial" w:eastAsia="Arial" w:hAnsi="Arial"/>
                <w:sz w:val="11"/>
                <w:szCs w:val="11"/>
                <w:color w:val="auto"/>
              </w:rPr>
              <w:t>Putnam, OK</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130</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100 %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tcPr>
          <w:p>
            <w:pPr>
              <w:ind w:left="20"/>
              <w:spacing w:after="0"/>
              <w:rPr>
                <w:sz w:val="20"/>
                <w:szCs w:val="20"/>
                <w:color w:val="auto"/>
              </w:rPr>
            </w:pPr>
            <w:r>
              <w:rPr>
                <w:rFonts w:ascii="Arial" w:cs="Arial" w:eastAsia="Arial" w:hAnsi="Arial"/>
                <w:sz w:val="11"/>
                <w:szCs w:val="11"/>
                <w:color w:val="auto"/>
              </w:rPr>
              <w:t>July 2011</w:t>
            </w:r>
          </w:p>
        </w:tc>
        <w:tc>
          <w:tcPr>
            <w:tcW w:w="1840" w:type="dxa"/>
            <w:vAlign w:val="bottom"/>
            <w:gridSpan w:val="2"/>
          </w:tcPr>
          <w:p>
            <w:pPr>
              <w:ind w:left="20"/>
              <w:spacing w:after="0"/>
              <w:rPr>
                <w:sz w:val="20"/>
                <w:szCs w:val="20"/>
                <w:color w:val="auto"/>
              </w:rPr>
            </w:pPr>
            <w:r>
              <w:rPr>
                <w:rFonts w:ascii="Arial" w:cs="Arial" w:eastAsia="Arial" w:hAnsi="Arial"/>
                <w:sz w:val="11"/>
                <w:szCs w:val="11"/>
                <w:color w:val="auto"/>
              </w:rPr>
              <w:t>Oklahoma Gas &amp; Electric</w:t>
            </w:r>
          </w:p>
        </w:tc>
        <w:tc>
          <w:tcPr>
            <w:tcW w:w="1020" w:type="dxa"/>
            <w:vAlign w:val="bottom"/>
          </w:tcPr>
          <w:p>
            <w:pPr>
              <w:jc w:val="right"/>
              <w:spacing w:after="0"/>
              <w:rPr>
                <w:sz w:val="20"/>
                <w:szCs w:val="20"/>
                <w:color w:val="auto"/>
              </w:rPr>
            </w:pPr>
            <w:r>
              <w:rPr>
                <w:rFonts w:ascii="Arial" w:cs="Arial" w:eastAsia="Arial" w:hAnsi="Arial"/>
                <w:sz w:val="11"/>
                <w:szCs w:val="11"/>
                <w:color w:val="auto"/>
              </w:rPr>
              <w:t>2031</w:t>
            </w:r>
          </w:p>
        </w:tc>
        <w:tc>
          <w:tcPr>
            <w:tcW w:w="0" w:type="dxa"/>
            <w:vAlign w:val="bottom"/>
          </w:tcPr>
          <w:p>
            <w:pPr>
              <w:spacing w:after="0"/>
              <w:rPr>
                <w:sz w:val="1"/>
                <w:szCs w:val="1"/>
                <w:color w:val="auto"/>
              </w:rPr>
            </w:pPr>
          </w:p>
        </w:tc>
      </w:tr>
      <w:tr>
        <w:trPr>
          <w:trHeight w:val="119"/>
        </w:trPr>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 xml:space="preserve">Wildorado </w:t>
            </w:r>
            <w:r>
              <w:rPr>
                <w:rFonts w:ascii="Arial" w:cs="Arial" w:eastAsia="Arial" w:hAnsi="Arial"/>
                <w:sz w:val="14"/>
                <w:szCs w:val="14"/>
                <w:color w:val="auto"/>
                <w:vertAlign w:val="superscript"/>
              </w:rPr>
              <w:t>(b)</w:t>
            </w:r>
          </w:p>
        </w:tc>
        <w:tc>
          <w:tcPr>
            <w:tcW w:w="1440" w:type="dxa"/>
            <w:vAlign w:val="bottom"/>
            <w:gridSpan w:val="3"/>
            <w:vMerge w:val="restart"/>
            <w:shd w:val="clear" w:color="auto" w:fill="CCEEFF"/>
          </w:tcPr>
          <w:p>
            <w:pPr>
              <w:ind w:left="20"/>
              <w:spacing w:after="0"/>
              <w:rPr>
                <w:sz w:val="20"/>
                <w:szCs w:val="20"/>
                <w:color w:val="auto"/>
              </w:rPr>
            </w:pPr>
            <w:r>
              <w:rPr>
                <w:rFonts w:ascii="Arial" w:cs="Arial" w:eastAsia="Arial" w:hAnsi="Arial"/>
                <w:sz w:val="11"/>
                <w:szCs w:val="11"/>
                <w:color w:val="auto"/>
              </w:rPr>
              <w:t>Vega, TX</w:t>
            </w:r>
          </w:p>
        </w:tc>
        <w:tc>
          <w:tcPr>
            <w:tcW w:w="6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161</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161</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8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Wind</w:t>
            </w:r>
          </w:p>
        </w:tc>
        <w:tc>
          <w:tcPr>
            <w:tcW w:w="138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April 2007</w:t>
            </w:r>
          </w:p>
        </w:tc>
        <w:tc>
          <w:tcPr>
            <w:tcW w:w="1840" w:type="dxa"/>
            <w:vAlign w:val="bottom"/>
            <w:gridSpan w:val="2"/>
            <w:shd w:val="clear" w:color="auto" w:fill="CCEEFF"/>
          </w:tcPr>
          <w:p>
            <w:pPr>
              <w:ind w:left="20"/>
              <w:spacing w:after="0" w:line="120" w:lineRule="exact"/>
              <w:rPr>
                <w:sz w:val="20"/>
                <w:szCs w:val="20"/>
                <w:color w:val="auto"/>
              </w:rPr>
            </w:pPr>
            <w:r>
              <w:rPr>
                <w:rFonts w:ascii="Arial" w:cs="Arial" w:eastAsia="Arial" w:hAnsi="Arial"/>
                <w:sz w:val="11"/>
                <w:szCs w:val="11"/>
                <w:color w:val="auto"/>
              </w:rPr>
              <w:t>Southwestern Public Service</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2027</w:t>
            </w:r>
          </w:p>
        </w:tc>
        <w:tc>
          <w:tcPr>
            <w:tcW w:w="0" w:type="dxa"/>
            <w:vAlign w:val="bottom"/>
          </w:tcPr>
          <w:p>
            <w:pPr>
              <w:spacing w:after="0"/>
              <w:rPr>
                <w:sz w:val="1"/>
                <w:szCs w:val="1"/>
                <w:color w:val="auto"/>
              </w:rPr>
            </w:pPr>
          </w:p>
        </w:tc>
      </w:tr>
      <w:tr>
        <w:trPr>
          <w:trHeight w:val="158"/>
        </w:trPr>
        <w:tc>
          <w:tcPr>
            <w:tcW w:w="1920" w:type="dxa"/>
            <w:vAlign w:val="bottom"/>
            <w:gridSpan w:val="2"/>
            <w:vMerge w:val="continue"/>
            <w:shd w:val="clear" w:color="auto" w:fill="CCEEFF"/>
          </w:tcPr>
          <w:p>
            <w:pPr>
              <w:spacing w:after="0"/>
              <w:rPr>
                <w:sz w:val="13"/>
                <w:szCs w:val="13"/>
                <w:color w:val="auto"/>
              </w:rPr>
            </w:pPr>
          </w:p>
        </w:tc>
        <w:tc>
          <w:tcPr>
            <w:tcW w:w="1440" w:type="dxa"/>
            <w:vAlign w:val="bottom"/>
            <w:gridSpan w:val="3"/>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Company</w:t>
            </w: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20" w:type="dxa"/>
            <w:vAlign w:val="bottom"/>
            <w:tcBorders>
              <w:bottom w:val="single" w:sz="8" w:color="CCEEFF"/>
            </w:tcBorders>
            <w:gridSpan w:val="2"/>
          </w:tcPr>
          <w:p>
            <w:pPr>
              <w:ind w:left="280"/>
              <w:spacing w:after="0" w:line="150" w:lineRule="exact"/>
              <w:rPr>
                <w:sz w:val="20"/>
                <w:szCs w:val="20"/>
                <w:color w:val="auto"/>
              </w:rPr>
            </w:pPr>
            <w:r>
              <w:rPr>
                <w:rFonts w:ascii="Arial" w:cs="Arial" w:eastAsia="Arial" w:hAnsi="Arial"/>
                <w:sz w:val="13"/>
                <w:szCs w:val="13"/>
                <w:b w:val="1"/>
                <w:bCs w:val="1"/>
                <w:i w:val="1"/>
                <w:iCs w:val="1"/>
                <w:color w:val="auto"/>
              </w:rPr>
              <w:t xml:space="preserve">Total Wind </w:t>
            </w:r>
            <w:r>
              <w:rPr>
                <w:rFonts w:ascii="Arial" w:cs="Arial" w:eastAsia="Arial" w:hAnsi="Arial"/>
                <w:sz w:val="16"/>
                <w:szCs w:val="16"/>
                <w:b w:val="1"/>
                <w:bCs w:val="1"/>
                <w:i w:val="1"/>
                <w:iCs w:val="1"/>
                <w:color w:val="auto"/>
                <w:vertAlign w:val="superscript"/>
              </w:rPr>
              <w:t>(d)</w:t>
            </w:r>
          </w:p>
        </w:tc>
        <w:tc>
          <w:tcPr>
            <w:tcW w:w="28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4,157</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3,658</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Clearway Energy LLC</w:t>
            </w:r>
          </w:p>
        </w:tc>
        <w:tc>
          <w:tcPr>
            <w:tcW w:w="2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9,458</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8,078</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6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00" w:hanging="95"/>
        <w:spacing w:after="0"/>
        <w:tabs>
          <w:tab w:leader="none" w:pos="100" w:val="left"/>
        </w:tabs>
        <w:numPr>
          <w:ilvl w:val="0"/>
          <w:numId w:val="12"/>
        </w:numPr>
        <w:rPr>
          <w:rFonts w:ascii="Arial" w:cs="Arial" w:eastAsia="Arial" w:hAnsi="Arial"/>
          <w:sz w:val="7"/>
          <w:szCs w:val="7"/>
          <w:color w:val="auto"/>
        </w:rPr>
      </w:pPr>
      <w:r>
        <w:rPr>
          <w:rFonts w:ascii="Arial" w:cs="Arial" w:eastAsia="Arial" w:hAnsi="Arial"/>
          <w:sz w:val="11"/>
          <w:szCs w:val="11"/>
          <w:color w:val="auto"/>
        </w:rPr>
        <w:t>Net capacity represents the maximum, or rated, generating capacity of the facility multiplied by the Company’s percentage ownership in the facility as of December 31, 2022.</w:t>
      </w:r>
    </w:p>
    <w:p>
      <w:pPr>
        <w:spacing w:after="0" w:line="58" w:lineRule="exact"/>
        <w:rPr>
          <w:rFonts w:ascii="Arial" w:cs="Arial" w:eastAsia="Arial" w:hAnsi="Arial"/>
          <w:sz w:val="7"/>
          <w:szCs w:val="7"/>
          <w:color w:val="auto"/>
        </w:rPr>
      </w:pPr>
    </w:p>
    <w:p>
      <w:pPr>
        <w:ind w:left="120" w:hanging="115"/>
        <w:spacing w:after="0"/>
        <w:tabs>
          <w:tab w:leader="none" w:pos="120"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 xml:space="preserve">Projects are part of tax equity arrangements, as further described in Item 15 </w:t>
      </w:r>
      <w:r>
        <w:rPr>
          <w:rFonts w:ascii="Arial" w:cs="Arial" w:eastAsia="Arial" w:hAnsi="Arial"/>
          <w:sz w:val="13"/>
          <w:szCs w:val="13"/>
          <w:color w:val="auto"/>
        </w:rPr>
        <w:t>—</w:t>
      </w:r>
      <w:r>
        <w:rPr>
          <w:rFonts w:ascii="Arial" w:cs="Arial" w:eastAsia="Arial" w:hAnsi="Arial"/>
          <w:sz w:val="11"/>
          <w:szCs w:val="11"/>
          <w:color w:val="auto"/>
        </w:rPr>
        <w:t xml:space="preserve"> Note 2, </w:t>
      </w:r>
      <w:r>
        <w:rPr>
          <w:rFonts w:ascii="Arial" w:cs="Arial" w:eastAsia="Arial" w:hAnsi="Arial"/>
          <w:sz w:val="11"/>
          <w:szCs w:val="11"/>
          <w:i w:val="1"/>
          <w:iCs w:val="1"/>
          <w:color w:val="auto"/>
        </w:rPr>
        <w:t>Summary of Significant Accounting Policies.</w:t>
      </w:r>
    </w:p>
    <w:p>
      <w:pPr>
        <w:spacing w:after="0" w:line="14" w:lineRule="exact"/>
        <w:rPr>
          <w:rFonts w:ascii="Arial" w:cs="Arial" w:eastAsia="Arial" w:hAnsi="Arial"/>
          <w:sz w:val="14"/>
          <w:szCs w:val="14"/>
          <w:color w:val="auto"/>
          <w:vertAlign w:val="superscript"/>
        </w:rPr>
      </w:pPr>
    </w:p>
    <w:p>
      <w:pPr>
        <w:ind w:left="120" w:hanging="115"/>
        <w:spacing w:after="0" w:line="200" w:lineRule="auto"/>
        <w:tabs>
          <w:tab w:leader="none" w:pos="120"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Includes storage capacity that matches the facility’s rated generating capacity.</w:t>
      </w:r>
    </w:p>
    <w:p>
      <w:pPr>
        <w:spacing w:after="0" w:line="35" w:lineRule="exact"/>
        <w:rPr>
          <w:rFonts w:ascii="Arial" w:cs="Arial" w:eastAsia="Arial" w:hAnsi="Arial"/>
          <w:sz w:val="14"/>
          <w:szCs w:val="14"/>
          <w:color w:val="auto"/>
          <w:vertAlign w:val="superscript"/>
        </w:rPr>
      </w:pPr>
    </w:p>
    <w:p>
      <w:pPr>
        <w:ind w:left="120" w:hanging="115"/>
        <w:spacing w:after="0" w:line="216" w:lineRule="auto"/>
        <w:tabs>
          <w:tab w:leader="none" w:pos="120" w:val="left"/>
        </w:tabs>
        <w:numPr>
          <w:ilvl w:val="0"/>
          <w:numId w:val="12"/>
        </w:numPr>
        <w:rPr>
          <w:rFonts w:ascii="Arial" w:cs="Arial" w:eastAsia="Arial" w:hAnsi="Arial"/>
          <w:sz w:val="13"/>
          <w:szCs w:val="13"/>
          <w:color w:val="auto"/>
          <w:vertAlign w:val="superscript"/>
        </w:rPr>
      </w:pPr>
      <w:r>
        <w:rPr>
          <w:rFonts w:ascii="Arial" w:cs="Arial" w:eastAsia="Arial" w:hAnsi="Arial"/>
          <w:sz w:val="10"/>
          <w:szCs w:val="10"/>
          <w:color w:val="auto"/>
        </w:rPr>
        <w:t>Typical average capacity factors are 25% for solar facilities and 25-45% for wind facilities. For the year ended December 31, 2022, the Company's solar and wind facilities had weighted-average capacity factors of 28% and 30%, respectively.</w:t>
      </w:r>
    </w:p>
    <w:p>
      <w:pPr>
        <w:spacing w:after="0" w:line="24" w:lineRule="exact"/>
        <w:rPr>
          <w:rFonts w:ascii="Arial" w:cs="Arial" w:eastAsia="Arial" w:hAnsi="Arial"/>
          <w:sz w:val="13"/>
          <w:szCs w:val="13"/>
          <w:color w:val="auto"/>
          <w:vertAlign w:val="superscript"/>
        </w:rPr>
      </w:pPr>
    </w:p>
    <w:p>
      <w:pPr>
        <w:ind w:left="120" w:hanging="115"/>
        <w:spacing w:after="0" w:line="200" w:lineRule="auto"/>
        <w:tabs>
          <w:tab w:leader="none" w:pos="120" w:val="left"/>
        </w:tabs>
        <w:numPr>
          <w:ilvl w:val="0"/>
          <w:numId w:val="12"/>
        </w:numPr>
        <w:rPr>
          <w:rFonts w:ascii="Arial" w:cs="Arial" w:eastAsia="Arial" w:hAnsi="Arial"/>
          <w:sz w:val="14"/>
          <w:szCs w:val="14"/>
          <w:color w:val="auto"/>
          <w:vertAlign w:val="superscript"/>
        </w:rPr>
      </w:pPr>
      <w:r>
        <w:rPr>
          <w:rFonts w:ascii="Arial" w:cs="Arial" w:eastAsia="Arial" w:hAnsi="Arial"/>
          <w:sz w:val="11"/>
          <w:szCs w:val="11"/>
          <w:color w:val="auto"/>
        </w:rPr>
        <w:t>Rattlesnake has a deliverable capacity of 144 MW.</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Item 3 — Legal Proceedings</w:t>
      </w:r>
    </w:p>
    <w:p>
      <w:pPr>
        <w:spacing w:after="0" w:line="136" w:lineRule="exact"/>
        <w:rPr>
          <w:sz w:val="20"/>
          <w:szCs w:val="20"/>
          <w:color w:val="auto"/>
        </w:rPr>
      </w:pPr>
    </w:p>
    <w:p>
      <w:pPr>
        <w:ind w:firstLine="318"/>
        <w:spacing w:after="0" w:line="287" w:lineRule="auto"/>
        <w:rPr>
          <w:sz w:val="20"/>
          <w:szCs w:val="20"/>
          <w:color w:val="auto"/>
        </w:rPr>
      </w:pPr>
      <w:r>
        <w:rPr>
          <w:rFonts w:ascii="Arial" w:cs="Arial" w:eastAsia="Arial" w:hAnsi="Arial"/>
          <w:sz w:val="14"/>
          <w:szCs w:val="14"/>
          <w:color w:val="auto"/>
        </w:rPr>
        <w:t xml:space="preserve">See Item 15 </w:t>
      </w:r>
      <w:r>
        <w:rPr>
          <w:rFonts w:ascii="Arial" w:cs="Arial" w:eastAsia="Arial" w:hAnsi="Arial"/>
          <w:sz w:val="14"/>
          <w:szCs w:val="14"/>
          <w:b w:val="1"/>
          <w:bCs w:val="1"/>
          <w:color w:val="auto"/>
        </w:rPr>
        <w:t>—</w:t>
      </w:r>
      <w:r>
        <w:rPr>
          <w:rFonts w:ascii="Arial" w:cs="Arial" w:eastAsia="Arial" w:hAnsi="Arial"/>
          <w:sz w:val="14"/>
          <w:szCs w:val="14"/>
          <w:color w:val="auto"/>
        </w:rPr>
        <w:t xml:space="preserve"> Note 14,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to the Consolidated Financial Statements for discussion of the material legal proceedings to which the Company is a party or of which any of its properties is subject.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 Mine Safety Disclosures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35" w:name="page36"/>
    <w:bookmarkEnd w:id="35"/>
    <w:p>
      <w:pPr>
        <w:ind w:left="5380"/>
        <w:spacing w:after="0"/>
        <w:rPr>
          <w:sz w:val="20"/>
          <w:szCs w:val="20"/>
          <w:color w:val="auto"/>
        </w:rPr>
      </w:pPr>
      <w:r>
        <w:rPr>
          <w:rFonts w:ascii="Arial" w:cs="Arial" w:eastAsia="Arial" w:hAnsi="Arial"/>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 and Holders</w:t>
      </w:r>
    </w:p>
    <w:p>
      <w:pPr>
        <w:spacing w:after="0" w:line="140"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As of the date of this report, there is no publicly-traded market for the Company’s membership units. All of the Company’s Class A and Class C units are held by Clearway, Inc. and all of the Company’s Class B and Class D units are held by CEG.</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lists the distributions paid on the Company’s Class A, Class B, Class C and Class D units during the year ended December 31, 2022: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Fourth Quarter 2022</w:t>
            </w:r>
          </w:p>
        </w:tc>
        <w:tc>
          <w:tcPr>
            <w:tcW w:w="14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Third Quarter 2022</w:t>
            </w:r>
          </w:p>
        </w:tc>
        <w:tc>
          <w:tcPr>
            <w:tcW w:w="120" w:type="dxa"/>
            <w:vAlign w:val="bottom"/>
          </w:tcPr>
          <w:p>
            <w:pPr>
              <w:spacing w:after="0"/>
              <w:rPr>
                <w:sz w:val="13"/>
                <w:szCs w:val="13"/>
                <w:color w:val="auto"/>
              </w:rPr>
            </w:pPr>
          </w:p>
        </w:tc>
        <w:tc>
          <w:tcPr>
            <w:tcW w:w="1240" w:type="dxa"/>
            <w:vAlign w:val="bottom"/>
          </w:tcPr>
          <w:p>
            <w:pPr>
              <w:jc w:val="right"/>
              <w:ind w:right="114"/>
              <w:spacing w:after="0"/>
              <w:rPr>
                <w:sz w:val="20"/>
                <w:szCs w:val="20"/>
                <w:color w:val="auto"/>
              </w:rPr>
            </w:pPr>
            <w:r>
              <w:rPr>
                <w:rFonts w:ascii="Arial" w:cs="Arial" w:eastAsia="Arial" w:hAnsi="Arial"/>
                <w:sz w:val="11"/>
                <w:szCs w:val="11"/>
                <w:b w:val="1"/>
                <w:bCs w:val="1"/>
                <w:color w:val="auto"/>
                <w:w w:val="94"/>
              </w:rPr>
              <w:t>Second Quarter 2022</w:t>
            </w:r>
          </w:p>
        </w:tc>
        <w:tc>
          <w:tcPr>
            <w:tcW w:w="220" w:type="dxa"/>
            <w:vAlign w:val="bottom"/>
          </w:tcPr>
          <w:p>
            <w:pPr>
              <w:spacing w:after="0"/>
              <w:rPr>
                <w:sz w:val="13"/>
                <w:szCs w:val="13"/>
                <w:color w:val="auto"/>
              </w:rPr>
            </w:pPr>
          </w:p>
        </w:tc>
        <w:tc>
          <w:tcPr>
            <w:tcW w:w="1180" w:type="dxa"/>
            <w:vAlign w:val="bottom"/>
          </w:tcPr>
          <w:p>
            <w:pPr>
              <w:jc w:val="right"/>
              <w:ind w:right="134"/>
              <w:spacing w:after="0"/>
              <w:rPr>
                <w:sz w:val="20"/>
                <w:szCs w:val="20"/>
                <w:color w:val="auto"/>
              </w:rPr>
            </w:pPr>
            <w:r>
              <w:rPr>
                <w:rFonts w:ascii="Arial" w:cs="Arial" w:eastAsia="Arial" w:hAnsi="Arial"/>
                <w:sz w:val="11"/>
                <w:szCs w:val="11"/>
                <w:b w:val="1"/>
                <w:bCs w:val="1"/>
                <w:color w:val="auto"/>
              </w:rPr>
              <w:t>First Quarter 2022</w:t>
            </w:r>
          </w:p>
        </w:tc>
      </w:tr>
      <w:tr>
        <w:trPr>
          <w:trHeight w:val="180"/>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Distributions per Class A and Class B unit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0.3672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0.3536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0.3468</w:t>
            </w:r>
          </w:p>
        </w:tc>
      </w:tr>
      <w:tr>
        <w:trPr>
          <w:trHeight w:val="184"/>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Distributions per Class C and Class D unit</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0.3672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0.3604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14"/>
              <w:spacing w:after="0"/>
              <w:rPr>
                <w:sz w:val="20"/>
                <w:szCs w:val="20"/>
                <w:color w:val="auto"/>
              </w:rPr>
            </w:pPr>
            <w:r>
              <w:rPr>
                <w:rFonts w:ascii="Arial" w:cs="Arial" w:eastAsia="Arial" w:hAnsi="Arial"/>
                <w:sz w:val="14"/>
                <w:szCs w:val="14"/>
                <w:color w:val="auto"/>
              </w:rPr>
              <w:t>0.3536</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0.3468</w:t>
            </w:r>
          </w:p>
        </w:tc>
      </w:tr>
    </w:tbl>
    <w:p>
      <w:pPr>
        <w:spacing w:after="0" w:line="187" w:lineRule="exact"/>
        <w:rPr>
          <w:sz w:val="20"/>
          <w:szCs w:val="20"/>
          <w:color w:val="auto"/>
        </w:rPr>
      </w:pPr>
    </w:p>
    <w:p>
      <w:pPr>
        <w:ind w:right="1420" w:firstLine="318"/>
        <w:spacing w:after="0" w:line="471" w:lineRule="auto"/>
        <w:rPr>
          <w:sz w:val="20"/>
          <w:szCs w:val="20"/>
          <w:color w:val="auto"/>
        </w:rPr>
      </w:pPr>
      <w:r>
        <w:rPr>
          <w:rFonts w:ascii="Arial" w:cs="Arial" w:eastAsia="Arial" w:hAnsi="Arial"/>
          <w:sz w:val="14"/>
          <w:szCs w:val="14"/>
          <w:color w:val="auto"/>
        </w:rPr>
        <w:t xml:space="preserve">On February 15, 2023, the Company declared a quarterly distribution on its Class A, Class B, Class C and Class D units of $0.3745 per unit payable on March 15, 2023. </w:t>
      </w:r>
      <w:r>
        <w:rPr>
          <w:rFonts w:ascii="Arial" w:cs="Arial" w:eastAsia="Arial" w:hAnsi="Arial"/>
          <w:sz w:val="14"/>
          <w:szCs w:val="14"/>
          <w:b w:val="1"/>
          <w:bCs w:val="1"/>
          <w:color w:val="auto"/>
        </w:rPr>
        <w:t>Item 6 —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 xml:space="preserve">Item 7 </w:t>
      </w:r>
      <w:r>
        <w:rPr>
          <w:rFonts w:ascii="Arial" w:cs="Arial" w:eastAsia="Arial" w:hAnsi="Arial"/>
          <w:sz w:val="14"/>
          <w:szCs w:val="14"/>
          <w:color w:val="auto"/>
        </w:rPr>
        <w:t>—</w:t>
      </w:r>
      <w:r>
        <w:rPr>
          <w:rFonts w:ascii="Arial" w:cs="Arial" w:eastAsia="Arial" w:hAnsi="Arial"/>
          <w:sz w:val="14"/>
          <w:szCs w:val="14"/>
          <w:b w:val="1"/>
          <w:bCs w:val="1"/>
          <w:color w:val="auto"/>
        </w:rPr>
        <w:t xml:space="preserve"> Management’s Discussion and Analysis of Financial Condition and the Results of Operations</w:t>
      </w:r>
    </w:p>
    <w:p>
      <w:pPr>
        <w:spacing w:after="0" w:line="140"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 xml:space="preserve">As you read this discussion and analysis, refer to the Company’s Consolidated Statements of Income to this Form 10-K. Also refer to Item 1 — </w:t>
      </w:r>
      <w:r>
        <w:rPr>
          <w:rFonts w:ascii="Arial" w:cs="Arial" w:eastAsia="Arial" w:hAnsi="Arial"/>
          <w:sz w:val="13"/>
          <w:szCs w:val="13"/>
          <w:i w:val="1"/>
          <w:iCs w:val="1"/>
          <w:color w:val="auto"/>
        </w:rPr>
        <w:t>Business</w:t>
      </w:r>
      <w:r>
        <w:rPr>
          <w:rFonts w:ascii="Arial" w:cs="Arial" w:eastAsia="Arial" w:hAnsi="Arial"/>
          <w:sz w:val="13"/>
          <w:szCs w:val="13"/>
          <w:color w:val="auto"/>
        </w:rPr>
        <w:t xml:space="preserve"> and Item 1A — </w:t>
      </w:r>
      <w:r>
        <w:rPr>
          <w:rFonts w:ascii="Arial" w:cs="Arial" w:eastAsia="Arial" w:hAnsi="Arial"/>
          <w:sz w:val="13"/>
          <w:szCs w:val="13"/>
          <w:i w:val="1"/>
          <w:iCs w:val="1"/>
          <w:color w:val="auto"/>
        </w:rPr>
        <w:t>Risk Factors</w:t>
      </w:r>
      <w:r>
        <w:rPr>
          <w:rFonts w:ascii="Arial" w:cs="Arial" w:eastAsia="Arial" w:hAnsi="Arial"/>
          <w:sz w:val="13"/>
          <w:szCs w:val="13"/>
          <w:color w:val="auto"/>
        </w:rPr>
        <w:t>, which include detailed discussions of various items impacting the Company’s business, results of operations and financial condition. Discussions of the year ended December 31, 2020 that are not included in this Annual Report on Form 10-K and year-to-year comparisons of the year ended December 31, 2021 and the year ended December 31, 2020 can be found in “Management’s Discussion and Analysis of Financial Condition and the Results of Operations” in Part II, Item 7 of the Company’s Annual Report on Form 10-K for the year ended December 31, 2021.</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color w:val="231F20"/>
        </w:rPr>
        <w:t>The discussion and analysis below has been organized as follows:</w:t>
      </w:r>
    </w:p>
    <w:p>
      <w:pPr>
        <w:spacing w:after="0" w:line="94" w:lineRule="exact"/>
        <w:rPr>
          <w:sz w:val="20"/>
          <w:szCs w:val="20"/>
          <w:color w:val="auto"/>
        </w:rPr>
      </w:pPr>
    </w:p>
    <w:p>
      <w:pPr>
        <w:ind w:left="1020" w:hanging="251"/>
        <w:spacing w:after="0"/>
        <w:tabs>
          <w:tab w:leader="none" w:pos="1020" w:val="left"/>
        </w:tabs>
        <w:numPr>
          <w:ilvl w:val="0"/>
          <w:numId w:val="13"/>
        </w:numPr>
        <w:rPr>
          <w:rFonts w:ascii="Arial" w:cs="Arial" w:eastAsia="Arial" w:hAnsi="Arial"/>
          <w:sz w:val="13"/>
          <w:szCs w:val="13"/>
          <w:color w:val="231F20"/>
        </w:rPr>
      </w:pPr>
      <w:r>
        <w:rPr>
          <w:rFonts w:ascii="Arial" w:cs="Arial" w:eastAsia="Arial" w:hAnsi="Arial"/>
          <w:sz w:val="13"/>
          <w:szCs w:val="13"/>
          <w:color w:val="231F20"/>
        </w:rPr>
        <w:t>Executive Summary, including a description of the business and significant events that are important to understanding the results of operations and financial condition;</w:t>
      </w:r>
    </w:p>
    <w:p>
      <w:pPr>
        <w:spacing w:after="0" w:line="62" w:lineRule="exact"/>
        <w:rPr>
          <w:rFonts w:ascii="Arial" w:cs="Arial" w:eastAsia="Arial" w:hAnsi="Arial"/>
          <w:sz w:val="13"/>
          <w:szCs w:val="13"/>
          <w:color w:val="231F20"/>
        </w:rPr>
      </w:pPr>
    </w:p>
    <w:p>
      <w:pPr>
        <w:ind w:left="1020" w:hanging="251"/>
        <w:spacing w:after="0"/>
        <w:tabs>
          <w:tab w:leader="none" w:pos="1020" w:val="left"/>
        </w:tabs>
        <w:numPr>
          <w:ilvl w:val="0"/>
          <w:numId w:val="13"/>
        </w:numPr>
        <w:rPr>
          <w:rFonts w:ascii="Arial" w:cs="Arial" w:eastAsia="Arial" w:hAnsi="Arial"/>
          <w:sz w:val="14"/>
          <w:szCs w:val="14"/>
          <w:color w:val="231F20"/>
        </w:rPr>
      </w:pPr>
      <w:r>
        <w:rPr>
          <w:rFonts w:ascii="Arial" w:cs="Arial" w:eastAsia="Arial" w:hAnsi="Arial"/>
          <w:sz w:val="14"/>
          <w:szCs w:val="14"/>
          <w:color w:val="231F20"/>
        </w:rPr>
        <w:t>Results of operations, including an explanation of significant differences between the periods in the specific line items of the consolidated statements of income;</w:t>
      </w:r>
    </w:p>
    <w:p>
      <w:pPr>
        <w:spacing w:after="0" w:line="51" w:lineRule="exact"/>
        <w:rPr>
          <w:rFonts w:ascii="Arial" w:cs="Arial" w:eastAsia="Arial" w:hAnsi="Arial"/>
          <w:sz w:val="14"/>
          <w:szCs w:val="14"/>
          <w:color w:val="231F20"/>
        </w:rPr>
      </w:pPr>
    </w:p>
    <w:p>
      <w:pPr>
        <w:ind w:left="1020" w:hanging="251"/>
        <w:spacing w:after="0"/>
        <w:tabs>
          <w:tab w:leader="none" w:pos="1020" w:val="left"/>
        </w:tabs>
        <w:numPr>
          <w:ilvl w:val="0"/>
          <w:numId w:val="13"/>
        </w:numPr>
        <w:rPr>
          <w:rFonts w:ascii="Arial" w:cs="Arial" w:eastAsia="Arial" w:hAnsi="Arial"/>
          <w:sz w:val="14"/>
          <w:szCs w:val="14"/>
          <w:color w:val="231F20"/>
        </w:rPr>
      </w:pPr>
      <w:r>
        <w:rPr>
          <w:rFonts w:ascii="Arial" w:cs="Arial" w:eastAsia="Arial" w:hAnsi="Arial"/>
          <w:sz w:val="14"/>
          <w:szCs w:val="14"/>
          <w:color w:val="231F20"/>
        </w:rPr>
        <w:t>Financial condition addressing liquidity position, sources and uses of cash, capital resources and requirements, commitments and off-balance sheet arrangements;</w:t>
      </w:r>
    </w:p>
    <w:p>
      <w:pPr>
        <w:spacing w:after="0" w:line="51" w:lineRule="exact"/>
        <w:rPr>
          <w:rFonts w:ascii="Arial" w:cs="Arial" w:eastAsia="Arial" w:hAnsi="Arial"/>
          <w:sz w:val="14"/>
          <w:szCs w:val="14"/>
          <w:color w:val="231F20"/>
        </w:rPr>
      </w:pPr>
    </w:p>
    <w:p>
      <w:pPr>
        <w:ind w:left="1020" w:hanging="251"/>
        <w:spacing w:after="0"/>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Known trends that may affect the Company’s results of operations and financial condition in the future; and</w:t>
      </w:r>
    </w:p>
    <w:p>
      <w:pPr>
        <w:spacing w:after="0" w:line="51" w:lineRule="exact"/>
        <w:rPr>
          <w:rFonts w:ascii="Arial" w:cs="Arial" w:eastAsia="Arial" w:hAnsi="Arial"/>
          <w:sz w:val="14"/>
          <w:szCs w:val="14"/>
          <w:color w:val="auto"/>
        </w:rPr>
      </w:pPr>
    </w:p>
    <w:p>
      <w:pPr>
        <w:ind w:left="1020" w:right="220" w:hanging="251"/>
        <w:spacing w:after="0" w:line="281" w:lineRule="auto"/>
        <w:tabs>
          <w:tab w:leader="none" w:pos="10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Executive Summary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Introduction and Overview</w:t>
      </w:r>
    </w:p>
    <w:p>
      <w:pPr>
        <w:spacing w:after="0" w:line="140"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became equally owned by GIP and TotalEnergies as of September 12, 2022, when TotalEnergies acquired, through its investment in an intermediate holding company, 50% of GIP’s interest in CEG. GIP is an independent infrastructure fund manager that makes equity and debt investments in infrastructure assets and businesses. TotalEnergies is a global multi-energy company.</w:t>
      </w:r>
    </w:p>
    <w:p>
      <w:pPr>
        <w:spacing w:after="0" w:line="89"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w:t>
      </w:r>
      <w:r>
        <w:rPr>
          <w:rFonts w:ascii="Arial" w:cs="Arial" w:eastAsia="Arial" w:hAnsi="Arial"/>
          <w:sz w:val="13"/>
          <w:szCs w:val="13"/>
          <w:color w:val="231F20"/>
        </w:rPr>
        <w:t>The majority</w:t>
      </w:r>
      <w:r>
        <w:rPr>
          <w:rFonts w:ascii="Arial" w:cs="Arial" w:eastAsia="Arial" w:hAnsi="Arial"/>
          <w:sz w:val="13"/>
          <w:szCs w:val="13"/>
          <w:color w:val="auto"/>
        </w:rPr>
        <w:t xml:space="preserve"> of the Company’s revenues are derived from long-term contractual arrangements for the output or capacity from these assets. The weighted average remaining contract duration of these offtake agreements was approximately 11 years </w:t>
      </w:r>
      <w:r>
        <w:rPr>
          <w:rFonts w:ascii="Arial" w:cs="Arial" w:eastAsia="Arial" w:hAnsi="Arial"/>
          <w:sz w:val="13"/>
          <w:szCs w:val="13"/>
          <w:color w:val="231F20"/>
        </w:rPr>
        <w:t>as of</w:t>
      </w:r>
      <w:r>
        <w:rPr>
          <w:rFonts w:ascii="Arial" w:cs="Arial" w:eastAsia="Arial" w:hAnsi="Arial"/>
          <w:sz w:val="13"/>
          <w:szCs w:val="13"/>
          <w:color w:val="auto"/>
        </w:rPr>
        <w:t xml:space="preserve"> December 31, 2022 </w:t>
      </w:r>
      <w:r>
        <w:rPr>
          <w:rFonts w:ascii="Arial" w:cs="Arial" w:eastAsia="Arial" w:hAnsi="Arial"/>
          <w:sz w:val="13"/>
          <w:szCs w:val="13"/>
          <w:color w:val="231F20"/>
        </w:rPr>
        <w:t>based on CAFD.</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Events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Thermal Disposition</w:t>
      </w:r>
    </w:p>
    <w:p>
      <w:pPr>
        <w:spacing w:after="0" w:line="136" w:lineRule="exact"/>
        <w:rPr>
          <w:sz w:val="20"/>
          <w:szCs w:val="20"/>
          <w:color w:val="auto"/>
        </w:rPr>
      </w:pPr>
    </w:p>
    <w:p>
      <w:pPr>
        <w:jc w:val="both"/>
        <w:ind w:left="520" w:hanging="260"/>
        <w:spacing w:after="0" w:line="297" w:lineRule="auto"/>
        <w:tabs>
          <w:tab w:leader="none" w:pos="516" w:val="left"/>
        </w:tabs>
        <w:numPr>
          <w:ilvl w:val="0"/>
          <w:numId w:val="14"/>
        </w:numPr>
        <w:rPr>
          <w:rFonts w:ascii="Arial" w:cs="Arial" w:eastAsia="Arial" w:hAnsi="Arial"/>
          <w:sz w:val="13"/>
          <w:szCs w:val="13"/>
          <w:b w:val="1"/>
          <w:bCs w:val="1"/>
          <w:i w:val="1"/>
          <w:iCs w:val="1"/>
          <w:color w:val="231F20"/>
        </w:rPr>
      </w:pPr>
      <w:r>
        <w:rPr>
          <w:rFonts w:ascii="Arial" w:cs="Arial" w:eastAsia="Arial" w:hAnsi="Arial"/>
          <w:sz w:val="13"/>
          <w:szCs w:val="13"/>
          <w:color w:val="auto"/>
        </w:rPr>
        <w:t xml:space="preserve">On May 1, 2022, the Company completed the sale of 100% of its interests in the Thermal Business to KKR for net proceeds of approximately $1.46 billion, inclusive of working capital adjustments, which excludes approximately $18 million in transaction expenses that were incurred in connection with the disposition. The transaction resulted in a gain on sale of business of approximately $1.29 billion, which is net of the $18 million in transaction expenses referenced above. See Item 15 — Note 3, </w:t>
      </w:r>
      <w:r>
        <w:rPr>
          <w:rFonts w:ascii="Arial" w:cs="Arial" w:eastAsia="Arial" w:hAnsi="Arial"/>
          <w:sz w:val="13"/>
          <w:szCs w:val="13"/>
          <w:i w:val="1"/>
          <w:iCs w:val="1"/>
          <w:color w:val="auto"/>
        </w:rPr>
        <w:t>Acquisitions and Dispositions</w:t>
      </w:r>
      <w:r>
        <w:rPr>
          <w:rFonts w:ascii="Arial" w:cs="Arial" w:eastAsia="Arial" w:hAnsi="Arial"/>
          <w:sz w:val="13"/>
          <w:szCs w:val="13"/>
          <w:color w:val="auto"/>
        </w:rPr>
        <w:t>, for further discussion.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Capistrano Wind Portfolio Acquisition</w:t>
      </w:r>
    </w:p>
    <w:p>
      <w:pPr>
        <w:spacing w:after="0" w:line="136" w:lineRule="exact"/>
        <w:rPr>
          <w:sz w:val="20"/>
          <w:szCs w:val="20"/>
          <w:color w:val="auto"/>
        </w:rPr>
      </w:pPr>
    </w:p>
    <w:p>
      <w:pPr>
        <w:jc w:val="both"/>
        <w:ind w:left="520" w:hanging="260"/>
        <w:spacing w:after="0" w:line="267" w:lineRule="auto"/>
        <w:tabs>
          <w:tab w:leader="none" w:pos="516" w:val="left"/>
        </w:tabs>
        <w:numPr>
          <w:ilvl w:val="0"/>
          <w:numId w:val="15"/>
        </w:numPr>
        <w:rPr>
          <w:rFonts w:ascii="Arial" w:cs="Arial" w:eastAsia="Arial" w:hAnsi="Arial"/>
          <w:sz w:val="14"/>
          <w:szCs w:val="14"/>
          <w:b w:val="1"/>
          <w:bCs w:val="1"/>
          <w:i w:val="1"/>
          <w:iCs w:val="1"/>
          <w:color w:val="231F20"/>
        </w:rPr>
      </w:pPr>
      <w:r>
        <w:rPr>
          <w:rFonts w:ascii="Arial" w:cs="Arial" w:eastAsia="Arial" w:hAnsi="Arial"/>
          <w:sz w:val="14"/>
          <w:szCs w:val="14"/>
          <w:color w:val="auto"/>
        </w:rPr>
        <w:t xml:space="preserve">On August 22, 2022, the Company acquired the Capistrano Wind Portfolio, which consists of five wind projects located in Nebraska, Texas and Wyoming with a combined capacity of 413 MW, from Capistrano Wind Partners LLC, an indirect subsidiary of CEG, for total net consideration of approximately $239 million. See Item 15 — Note 3, </w:t>
      </w:r>
      <w:r>
        <w:rPr>
          <w:rFonts w:ascii="Arial" w:cs="Arial" w:eastAsia="Arial" w:hAnsi="Arial"/>
          <w:sz w:val="14"/>
          <w:szCs w:val="14"/>
          <w:i w:val="1"/>
          <w:iCs w:val="1"/>
          <w:color w:val="auto"/>
        </w:rPr>
        <w:t>Acquisitions and Dispositions</w:t>
      </w:r>
      <w:r>
        <w:rPr>
          <w:rFonts w:ascii="Arial" w:cs="Arial" w:eastAsia="Arial" w:hAnsi="Arial"/>
          <w:sz w:val="14"/>
          <w:szCs w:val="14"/>
          <w:color w:val="auto"/>
        </w:rPr>
        <w:t>, for further discussion.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Drop Down Transactions</w:t>
      </w:r>
    </w:p>
    <w:p>
      <w:pPr>
        <w:spacing w:after="0" w:line="136" w:lineRule="exact"/>
        <w:rPr>
          <w:sz w:val="20"/>
          <w:szCs w:val="20"/>
          <w:color w:val="auto"/>
        </w:rPr>
      </w:pPr>
    </w:p>
    <w:p>
      <w:pPr>
        <w:jc w:val="both"/>
        <w:ind w:left="520" w:hanging="260"/>
        <w:spacing w:after="0" w:line="288" w:lineRule="auto"/>
        <w:tabs>
          <w:tab w:leader="none" w:pos="516" w:val="left"/>
        </w:tabs>
        <w:numPr>
          <w:ilvl w:val="0"/>
          <w:numId w:val="16"/>
        </w:numPr>
        <w:rPr>
          <w:rFonts w:ascii="Arial" w:cs="Arial" w:eastAsia="Arial" w:hAnsi="Arial"/>
          <w:sz w:val="13"/>
          <w:szCs w:val="13"/>
          <w:i w:val="1"/>
          <w:iCs w:val="1"/>
          <w:color w:val="auto"/>
        </w:rPr>
      </w:pPr>
      <w:r>
        <w:rPr>
          <w:rFonts w:ascii="Arial" w:cs="Arial" w:eastAsia="Arial" w:hAnsi="Arial"/>
          <w:sz w:val="13"/>
          <w:szCs w:val="13"/>
          <w:color w:val="auto"/>
        </w:rPr>
        <w:t xml:space="preserve">On February 17, 2023, the Company, through a partnership with a third-party investor, acquired an interest in Daggett TargetCo LLC from Clearway Renew LLC, a subsidiary of CEG, for cash consideration of $21 million. The third-party investor also contributed cash consideration of $129 million, which was utilized to acquire their portion of the acquired entity. Daggett TargetCo LLC is the primary beneficiary and consolidates its interests in a tax equity fund, Daggett TE Holdco LLC, the owner of the Daggett 3 solar project, a 300 MW solar project with matching storage capacity that is currently under construction and located in San Bernardino, California. See Item 15 — Note 3, </w:t>
      </w:r>
      <w:r>
        <w:rPr>
          <w:rFonts w:ascii="Arial" w:cs="Arial" w:eastAsia="Arial" w:hAnsi="Arial"/>
          <w:sz w:val="13"/>
          <w:szCs w:val="13"/>
          <w:i w:val="1"/>
          <w:iCs w:val="1"/>
          <w:color w:val="auto"/>
        </w:rPr>
        <w:t>Acquisitions and Dispositions</w:t>
      </w:r>
      <w:r>
        <w:rPr>
          <w:rFonts w:ascii="Arial" w:cs="Arial" w:eastAsia="Arial" w:hAnsi="Arial"/>
          <w:sz w:val="13"/>
          <w:szCs w:val="13"/>
          <w:color w:val="auto"/>
        </w:rPr>
        <w:t>, for further discussion.</w:t>
      </w:r>
    </w:p>
    <w:p>
      <w:pPr>
        <w:spacing w:after="0" w:line="88" w:lineRule="exact"/>
        <w:rPr>
          <w:rFonts w:ascii="Arial" w:cs="Arial" w:eastAsia="Arial" w:hAnsi="Arial"/>
          <w:sz w:val="13"/>
          <w:szCs w:val="13"/>
          <w:i w:val="1"/>
          <w:iCs w:val="1"/>
          <w:color w:val="auto"/>
        </w:rPr>
      </w:pPr>
    </w:p>
    <w:p>
      <w:pPr>
        <w:jc w:val="both"/>
        <w:ind w:left="520" w:hanging="260"/>
        <w:spacing w:after="0" w:line="260"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December 23, 2022, the Company, through an indirect subsidiary, entered into an agreement with CEG to acquire the Class A membership interests in a partnership formed to hold the interests in the Victory Pass and Arica solar and energy storage projects, which are both located in Riverside, California, upon the projects reaching certain milestones for a total purchase price of approximately $228 million in cash, subject to customary working capital adjustments. Victory Pass is a 200 MW solar facility and Arica is a 263 MW solar facility, each with an energy storage system. Upon the closing of the transaction, which is expected in the second half of 2023, the Company will own 40% of the partnership holding interests in Victory Pass and Arica, which are anticipated to be held in a tax equity fund with another third-party investor.</w:t>
      </w:r>
    </w:p>
    <w:p>
      <w:pPr>
        <w:spacing w:after="0" w:line="104" w:lineRule="exact"/>
        <w:rPr>
          <w:rFonts w:ascii="Arial" w:cs="Arial" w:eastAsia="Arial" w:hAnsi="Arial"/>
          <w:sz w:val="14"/>
          <w:szCs w:val="14"/>
          <w:color w:val="auto"/>
        </w:rPr>
      </w:pPr>
    </w:p>
    <w:p>
      <w:pPr>
        <w:jc w:val="both"/>
        <w:ind w:left="520" w:hanging="260"/>
        <w:spacing w:after="0" w:line="262"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On October 3, 2022, the Company, through a partnership with a third-party investor, acquired Waiawa BL Borrower Holdco LLC, the indirect owner, through its ownership interests in and consolidation of a tax equity fund, of the Waiawa solar project, a 36 MW solar project with matching storage capacity located in Honolulu, Hawaii, from Clearway Renew LLC for cash consideration of $20 million. The third-party investor also contributed cash consideration of $12 million, which was utilized to acquire their portion of the acquired entity. See Item 15 — Note 3, </w:t>
      </w:r>
      <w:r>
        <w:rPr>
          <w:rFonts w:ascii="Arial" w:cs="Arial" w:eastAsia="Arial" w:hAnsi="Arial"/>
          <w:sz w:val="14"/>
          <w:szCs w:val="14"/>
          <w:i w:val="1"/>
          <w:iCs w:val="1"/>
          <w:color w:val="auto"/>
        </w:rPr>
        <w:t>Acquisitions and Dispositions</w:t>
      </w:r>
      <w:r>
        <w:rPr>
          <w:rFonts w:ascii="Arial" w:cs="Arial" w:eastAsia="Arial" w:hAnsi="Arial"/>
          <w:sz w:val="14"/>
          <w:szCs w:val="14"/>
          <w:color w:val="auto"/>
        </w:rPr>
        <w:t>, for further discussion.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8" w:name="page39"/>
    <w:bookmarkEnd w:id="38"/>
    <w:p>
      <w:pPr>
        <w:jc w:val="both"/>
        <w:ind w:left="520" w:hanging="260"/>
        <w:spacing w:after="0" w:line="262"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On March 25, 2022, the Company, through a partnership with a third-party investor, acquired Mililani BL Borrower Holdco LLC, the indirect owner, through its ownership interests in and consolidation of a tax equity fund, of the Mililani I solar project, a 39 MW solar project with matching storage capacity located in Honolulu, Hawaii, from Clearway Renew LLC for cash consideration of $22 million. The third-party investor also contributed cash consideration of $14 million, which was utilized to acquire their portion of the acquired entity. See Item 15 — Note 3, </w:t>
      </w:r>
      <w:r>
        <w:rPr>
          <w:rFonts w:ascii="Arial" w:cs="Arial" w:eastAsia="Arial" w:hAnsi="Arial"/>
          <w:sz w:val="14"/>
          <w:szCs w:val="14"/>
          <w:i w:val="1"/>
          <w:iCs w:val="1"/>
          <w:color w:val="auto"/>
        </w:rPr>
        <w:t>Acquisitions and Dispositions</w:t>
      </w:r>
      <w:r>
        <w:rPr>
          <w:rFonts w:ascii="Arial" w:cs="Arial" w:eastAsia="Arial" w:hAnsi="Arial"/>
          <w:sz w:val="14"/>
          <w:szCs w:val="14"/>
          <w:color w:val="auto"/>
        </w:rPr>
        <w:t>, for further discussion.</w:t>
      </w:r>
    </w:p>
    <w:p>
      <w:pPr>
        <w:spacing w:after="0" w:line="103"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In February 2022, in connection with 2021 Black Rock Drop Down, the Company paid an additional $23 million to Clearway Renew LLC as final funding after all remaining turbines of the project became operational. Concurrent with the final funding, the $59 million that was contributed in 2021 by third-party investors was released to Clearway Renew LLC. See Item 15 — Note 3, </w:t>
      </w:r>
      <w:r>
        <w:rPr>
          <w:rFonts w:ascii="Arial" w:cs="Arial" w:eastAsia="Arial" w:hAnsi="Arial"/>
          <w:sz w:val="14"/>
          <w:szCs w:val="14"/>
          <w:i w:val="1"/>
          <w:iCs w:val="1"/>
          <w:color w:val="auto"/>
        </w:rPr>
        <w:t>Acquisitions and Dispositions</w:t>
      </w:r>
      <w:r>
        <w:rPr>
          <w:rFonts w:ascii="Arial" w:cs="Arial" w:eastAsia="Arial" w:hAnsi="Arial"/>
          <w:sz w:val="14"/>
          <w:szCs w:val="14"/>
          <w:color w:val="auto"/>
        </w:rPr>
        <w:t>, for further discussion.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Resource Adequacy Agreements</w:t>
      </w:r>
    </w:p>
    <w:p>
      <w:pPr>
        <w:spacing w:after="0" w:line="136"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August 2022, the Company contracted with SCE to sell 100% of El Segundo’s available capacity commencing in August 2023 and ending in August 2026.</w:t>
      </w:r>
    </w:p>
    <w:p>
      <w:pPr>
        <w:spacing w:after="0" w:line="136" w:lineRule="exact"/>
        <w:rPr>
          <w:rFonts w:ascii="Arial" w:cs="Arial" w:eastAsia="Arial" w:hAnsi="Arial"/>
          <w:sz w:val="14"/>
          <w:szCs w:val="14"/>
          <w:color w:val="auto"/>
        </w:rPr>
      </w:pPr>
    </w:p>
    <w:p>
      <w:pPr>
        <w:ind w:left="520" w:hanging="260"/>
        <w:spacing w:after="0" w:line="321" w:lineRule="auto"/>
        <w:tabs>
          <w:tab w:leader="none" w:pos="516"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 July 2022, the Company contracted with several load serving entities to sell the remaining 20% of Marsh Landing’s available capacity commencing in May 2023. The agreements are for approximately three and a half years. Marsh Landing’s capacity is now 100% contracted for a weighted average contract tenor of approximately four years commencing in May 2023.</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Corporate Financing Activities</w:t>
      </w:r>
    </w:p>
    <w:p>
      <w:pPr>
        <w:spacing w:after="0" w:line="136" w:lineRule="exact"/>
        <w:rPr>
          <w:sz w:val="20"/>
          <w:szCs w:val="20"/>
          <w:color w:val="auto"/>
        </w:rPr>
      </w:pPr>
    </w:p>
    <w:p>
      <w:pPr>
        <w:ind w:left="520" w:hanging="260"/>
        <w:spacing w:after="0" w:line="281"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On May 3, 2022, the Company repaid (i) $305 million in outstanding borrowings under the revolving credit facility and (ii) $335 million in outstanding borrowings under the Bridge Loan Agreement utilizing proceeds received from the Thermal Disposition. See Item 15 — Note 10, </w:t>
      </w:r>
      <w:r>
        <w:rPr>
          <w:rFonts w:ascii="Arial" w:cs="Arial" w:eastAsia="Arial" w:hAnsi="Arial"/>
          <w:sz w:val="14"/>
          <w:szCs w:val="14"/>
          <w:i w:val="1"/>
          <w:iCs w:val="1"/>
          <w:color w:val="auto"/>
        </w:rPr>
        <w:t>Long-term Debt</w:t>
      </w:r>
      <w:r>
        <w:rPr>
          <w:rFonts w:ascii="Arial" w:cs="Arial" w:eastAsia="Arial" w:hAnsi="Arial"/>
          <w:sz w:val="14"/>
          <w:szCs w:val="14"/>
          <w:color w:val="auto"/>
        </w:rPr>
        <w:t>, for further discussion.</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Project-level Financing Activities</w:t>
      </w:r>
    </w:p>
    <w:p>
      <w:pPr>
        <w:spacing w:after="0" w:line="136" w:lineRule="exact"/>
        <w:rPr>
          <w:sz w:val="20"/>
          <w:szCs w:val="20"/>
          <w:color w:val="auto"/>
        </w:rPr>
      </w:pPr>
    </w:p>
    <w:p>
      <w:pPr>
        <w:ind w:left="520" w:hanging="260"/>
        <w:spacing w:after="0" w:line="281" w:lineRule="auto"/>
        <w:tabs>
          <w:tab w:leader="none" w:pos="511" w:val="left"/>
        </w:tabs>
        <w:numPr>
          <w:ilvl w:val="0"/>
          <w:numId w:val="20"/>
        </w:numPr>
        <w:rPr>
          <w:rFonts w:ascii="Arial" w:cs="Arial" w:eastAsia="Arial" w:hAnsi="Arial"/>
          <w:sz w:val="13"/>
          <w:szCs w:val="13"/>
          <w:b w:val="1"/>
          <w:bCs w:val="1"/>
          <w:i w:val="1"/>
          <w:iCs w:val="1"/>
          <w:color w:val="auto"/>
        </w:rPr>
      </w:pPr>
      <w:r>
        <w:rPr>
          <w:rFonts w:ascii="Arial" w:cs="Arial" w:eastAsia="Arial" w:hAnsi="Arial"/>
          <w:sz w:val="14"/>
          <w:szCs w:val="14"/>
          <w:color w:val="auto"/>
        </w:rPr>
        <w:t xml:space="preserve">In connection with the Capistrano Wind Portfolio acquisition and the 2022 Drop Downs of Waiawa and Mililani I, the Company assumed non-recourse project-level debt. See Item 15 — Note 10, </w:t>
      </w:r>
      <w:r>
        <w:rPr>
          <w:rFonts w:ascii="Arial" w:cs="Arial" w:eastAsia="Arial" w:hAnsi="Arial"/>
          <w:sz w:val="14"/>
          <w:szCs w:val="14"/>
          <w:i w:val="1"/>
          <w:iCs w:val="1"/>
          <w:color w:val="auto"/>
        </w:rPr>
        <w:t>Long-term Debt</w:t>
      </w:r>
      <w:r>
        <w:rPr>
          <w:rFonts w:ascii="Arial" w:cs="Arial" w:eastAsia="Arial" w:hAnsi="Arial"/>
          <w:sz w:val="14"/>
          <w:szCs w:val="14"/>
          <w:color w:val="auto"/>
        </w:rPr>
        <w:t>, for further discussion of the non-recourse project-level debt associated with each project.</w:t>
      </w:r>
    </w:p>
    <w:p>
      <w:pPr>
        <w:spacing w:after="0" w:line="89" w:lineRule="exact"/>
        <w:rPr>
          <w:rFonts w:ascii="Arial" w:cs="Arial" w:eastAsia="Arial" w:hAnsi="Arial"/>
          <w:sz w:val="13"/>
          <w:szCs w:val="13"/>
          <w:b w:val="1"/>
          <w:bCs w:val="1"/>
          <w:i w:val="1"/>
          <w:iCs w:val="1"/>
          <w:color w:val="auto"/>
        </w:rPr>
      </w:pPr>
    </w:p>
    <w:p>
      <w:pPr>
        <w:ind w:left="520" w:hanging="260"/>
        <w:spacing w:after="0" w:line="28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December 15, 2022, the Company repaid the outstanding project-level debt of El Segundo Energy Center in the amount of approximately $130 million, utilizing cash on hand. The project-level debt had an original maturity of August 2023.</w:t>
      </w:r>
    </w:p>
    <w:p>
      <w:pPr>
        <w:spacing w:after="0" w:line="89" w:lineRule="exact"/>
        <w:rPr>
          <w:rFonts w:ascii="Arial" w:cs="Arial" w:eastAsia="Arial" w:hAnsi="Arial"/>
          <w:sz w:val="14"/>
          <w:szCs w:val="14"/>
          <w:color w:val="auto"/>
        </w:rPr>
      </w:pPr>
    </w:p>
    <w:p>
      <w:pPr>
        <w:jc w:val="both"/>
        <w:ind w:left="520" w:hanging="260"/>
        <w:spacing w:after="0" w:line="297" w:lineRule="auto"/>
        <w:tabs>
          <w:tab w:leader="none" w:pos="511" w:val="left"/>
        </w:tabs>
        <w:numPr>
          <w:ilvl w:val="0"/>
          <w:numId w:val="20"/>
        </w:numPr>
        <w:rPr>
          <w:rFonts w:ascii="Arial" w:cs="Arial" w:eastAsia="Arial" w:hAnsi="Arial"/>
          <w:sz w:val="12"/>
          <w:szCs w:val="12"/>
          <w:b w:val="1"/>
          <w:bCs w:val="1"/>
          <w:i w:val="1"/>
          <w:iCs w:val="1"/>
          <w:color w:val="auto"/>
        </w:rPr>
      </w:pPr>
      <w:r>
        <w:rPr>
          <w:rFonts w:ascii="Arial" w:cs="Arial" w:eastAsia="Arial" w:hAnsi="Arial"/>
          <w:sz w:val="13"/>
          <w:szCs w:val="13"/>
          <w:color w:val="auto"/>
        </w:rPr>
        <w:t xml:space="preserve">On March 16, 2022, the Company entered into a financing agreement which included the issuance of a $190 million term loan as well as $35 million in letters of credit, supported by the Company’s interests in the Elkhorn Ridge, Laredo Ridge, San Juan Mesa and Taloga wind projects. The proceeds from the term loan were used to pay off the existing debt in the amount of $186 million related to Laredo Ridge, Tapestry Wind LLC and Viento Funding II, LLC and to pay related financing costs. See Item 15 — Note 10, </w:t>
      </w:r>
      <w:r>
        <w:rPr>
          <w:rFonts w:ascii="Arial" w:cs="Arial" w:eastAsia="Arial" w:hAnsi="Arial"/>
          <w:sz w:val="13"/>
          <w:szCs w:val="13"/>
          <w:i w:val="1"/>
          <w:iCs w:val="1"/>
          <w:color w:val="auto"/>
        </w:rPr>
        <w:t>Long-term Debt</w:t>
      </w:r>
      <w:r>
        <w:rPr>
          <w:rFonts w:ascii="Arial" w:cs="Arial" w:eastAsia="Arial" w:hAnsi="Arial"/>
          <w:sz w:val="13"/>
          <w:szCs w:val="13"/>
          <w:color w:val="auto"/>
        </w:rPr>
        <w:t>, for further discussion.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Matters and Regulatory Matters</w:t>
      </w:r>
    </w:p>
    <w:p>
      <w:pPr>
        <w:spacing w:after="0" w:line="23" w:lineRule="exact"/>
        <w:rPr>
          <w:sz w:val="20"/>
          <w:szCs w:val="20"/>
          <w:color w:val="auto"/>
        </w:rPr>
      </w:pPr>
    </w:p>
    <w:p>
      <w:pPr>
        <w:ind w:firstLine="318"/>
        <w:spacing w:after="0" w:line="266" w:lineRule="auto"/>
        <w:rPr>
          <w:sz w:val="20"/>
          <w:szCs w:val="20"/>
          <w:color w:val="auto"/>
        </w:rPr>
      </w:pPr>
      <w:r>
        <w:rPr>
          <w:rFonts w:ascii="Arial" w:cs="Arial" w:eastAsia="Arial" w:hAnsi="Arial"/>
          <w:sz w:val="14"/>
          <w:szCs w:val="14"/>
          <w:color w:val="auto"/>
        </w:rPr>
        <w:t xml:space="preserve">Details of environmental matters and regulatory matters are presented in Item 1 — </w:t>
      </w:r>
      <w:r>
        <w:rPr>
          <w:rFonts w:ascii="Arial" w:cs="Arial" w:eastAsia="Arial" w:hAnsi="Arial"/>
          <w:sz w:val="14"/>
          <w:szCs w:val="14"/>
          <w:i w:val="1"/>
          <w:iCs w:val="1"/>
          <w:color w:val="auto"/>
        </w:rPr>
        <w:t>Business, Regulatory Matters</w:t>
      </w:r>
      <w:r>
        <w:rPr>
          <w:rFonts w:ascii="Arial" w:cs="Arial" w:eastAsia="Arial" w:hAnsi="Arial"/>
          <w:sz w:val="14"/>
          <w:szCs w:val="14"/>
          <w:color w:val="auto"/>
        </w:rPr>
        <w:t xml:space="preserve"> and Item 1A — </w:t>
      </w:r>
      <w:r>
        <w:rPr>
          <w:rFonts w:ascii="Arial" w:cs="Arial" w:eastAsia="Arial" w:hAnsi="Arial"/>
          <w:sz w:val="14"/>
          <w:szCs w:val="14"/>
          <w:i w:val="1"/>
          <w:iCs w:val="1"/>
          <w:color w:val="auto"/>
        </w:rPr>
        <w:t>Risk Factors</w:t>
      </w:r>
      <w:r>
        <w:rPr>
          <w:rFonts w:ascii="Arial" w:cs="Arial" w:eastAsia="Arial" w:hAnsi="Arial"/>
          <w:sz w:val="14"/>
          <w:szCs w:val="14"/>
          <w:color w:val="auto"/>
        </w:rPr>
        <w:t>. Details of some of this information relate to costs that may impact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color w:val="auto"/>
        </w:rPr>
        <w:t>Consolidated Results of Operations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provides selected financial information: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87"/>
              </w:rPr>
              <w:t>Year ended December 31,</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75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11"/>
                <w:szCs w:val="11"/>
                <w:color w:val="auto"/>
              </w:rPr>
            </w:pPr>
          </w:p>
        </w:tc>
        <w:tc>
          <w:tcPr>
            <w:tcW w:w="880" w:type="dxa"/>
            <w:vAlign w:val="bottom"/>
          </w:tcPr>
          <w:p>
            <w:pPr>
              <w:jc w:val="right"/>
              <w:ind w:right="376"/>
              <w:spacing w:after="0" w:line="133" w:lineRule="exact"/>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376"/>
              <w:spacing w:after="0" w:line="133"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ind w:right="376"/>
              <w:spacing w:after="0" w:line="133" w:lineRule="exact"/>
              <w:rPr>
                <w:sz w:val="20"/>
                <w:szCs w:val="20"/>
                <w:color w:val="auto"/>
              </w:rPr>
            </w:pPr>
            <w:r>
              <w:rPr>
                <w:rFonts w:ascii="Arial" w:cs="Arial" w:eastAsia="Arial" w:hAnsi="Arial"/>
                <w:sz w:val="13"/>
                <w:szCs w:val="13"/>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5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Operating Revenues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7500" w:type="dxa"/>
            <w:vAlign w:val="bottom"/>
            <w:gridSpan w:val="2"/>
          </w:tcPr>
          <w:p>
            <w:pPr>
              <w:ind w:left="100"/>
              <w:spacing w:after="0"/>
              <w:rPr>
                <w:sz w:val="20"/>
                <w:szCs w:val="20"/>
                <w:color w:val="auto"/>
              </w:rPr>
            </w:pPr>
            <w:r>
              <w:rPr>
                <w:rFonts w:ascii="Arial" w:cs="Arial" w:eastAsia="Arial" w:hAnsi="Arial"/>
                <w:sz w:val="13"/>
                <w:szCs w:val="13"/>
                <w:color w:val="auto"/>
              </w:rPr>
              <w:t>Energy and capacity revenues</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1,465</w:t>
            </w:r>
          </w:p>
        </w:tc>
        <w:tc>
          <w:tcPr>
            <w:tcW w:w="3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1,425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1,234</w:t>
            </w:r>
          </w:p>
        </w:tc>
      </w:tr>
      <w:tr>
        <w:trPr>
          <w:trHeight w:val="172"/>
        </w:trPr>
        <w:tc>
          <w:tcPr>
            <w:tcW w:w="20" w:type="dxa"/>
            <w:vAlign w:val="bottom"/>
            <w:shd w:val="clear" w:color="auto" w:fill="CCEEFF"/>
          </w:tcPr>
          <w:p>
            <w:pPr>
              <w:spacing w:after="0"/>
              <w:rPr>
                <w:sz w:val="14"/>
                <w:szCs w:val="14"/>
                <w:color w:val="auto"/>
              </w:rPr>
            </w:pPr>
          </w:p>
        </w:tc>
        <w:tc>
          <w:tcPr>
            <w:tcW w:w="75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 revenues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r>
      <w:tr>
        <w:trPr>
          <w:trHeight w:val="168"/>
        </w:trPr>
        <w:tc>
          <w:tcPr>
            <w:tcW w:w="20" w:type="dxa"/>
            <w:vAlign w:val="bottom"/>
          </w:tcPr>
          <w:p>
            <w:pPr>
              <w:spacing w:after="0"/>
              <w:rPr>
                <w:sz w:val="14"/>
                <w:szCs w:val="14"/>
                <w:color w:val="auto"/>
              </w:rPr>
            </w:pPr>
          </w:p>
        </w:tc>
        <w:tc>
          <w:tcPr>
            <w:tcW w:w="7500" w:type="dxa"/>
            <w:vAlign w:val="bottom"/>
            <w:gridSpan w:val="2"/>
          </w:tcPr>
          <w:p>
            <w:pPr>
              <w:ind w:left="100"/>
              <w:spacing w:after="0"/>
              <w:rPr>
                <w:sz w:val="20"/>
                <w:szCs w:val="20"/>
                <w:color w:val="auto"/>
              </w:rPr>
            </w:pPr>
            <w:r>
              <w:rPr>
                <w:rFonts w:ascii="Arial" w:cs="Arial" w:eastAsia="Arial" w:hAnsi="Arial"/>
                <w:sz w:val="13"/>
                <w:szCs w:val="13"/>
                <w:color w:val="auto"/>
              </w:rPr>
              <w:t>Contract amortization</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(88)</w:t>
            </w:r>
          </w:p>
        </w:tc>
      </w:tr>
      <w:tr>
        <w:trPr>
          <w:trHeight w:val="172"/>
        </w:trPr>
        <w:tc>
          <w:tcPr>
            <w:tcW w:w="20" w:type="dxa"/>
            <w:vAlign w:val="bottom"/>
            <w:shd w:val="clear" w:color="auto" w:fill="CCEEFF"/>
          </w:tcPr>
          <w:p>
            <w:pPr>
              <w:spacing w:after="0"/>
              <w:rPr>
                <w:sz w:val="14"/>
                <w:szCs w:val="14"/>
                <w:color w:val="auto"/>
              </w:rPr>
            </w:pPr>
          </w:p>
        </w:tc>
        <w:tc>
          <w:tcPr>
            <w:tcW w:w="75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Mark-to-market for economic hedges</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20" w:type="dxa"/>
            <w:vAlign w:val="bottom"/>
            <w:tcBorders>
              <w:bottom w:val="single" w:sz="8" w:color="CCEEFF"/>
            </w:tcBorders>
          </w:tcPr>
          <w:p>
            <w:pPr>
              <w:spacing w:after="0"/>
              <w:rPr>
                <w:sz w:val="13"/>
                <w:szCs w:val="13"/>
                <w:color w:val="auto"/>
              </w:rPr>
            </w:pPr>
          </w:p>
        </w:tc>
        <w:tc>
          <w:tcPr>
            <w:tcW w:w="750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Total operating revenues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1,286</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1,199</w:t>
            </w:r>
          </w:p>
        </w:tc>
      </w:tr>
      <w:tr>
        <w:trPr>
          <w:trHeight w:val="152"/>
        </w:trPr>
        <w:tc>
          <w:tcPr>
            <w:tcW w:w="20" w:type="dxa"/>
            <w:vAlign w:val="bottom"/>
            <w:shd w:val="clear" w:color="auto" w:fill="CCEEFF"/>
          </w:tcPr>
          <w:p>
            <w:pPr>
              <w:spacing w:after="0"/>
              <w:rPr>
                <w:sz w:val="13"/>
                <w:szCs w:val="13"/>
                <w:color w:val="auto"/>
              </w:rPr>
            </w:pPr>
          </w:p>
        </w:tc>
        <w:tc>
          <w:tcPr>
            <w:tcW w:w="7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Operating Costs and Expenses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7500" w:type="dxa"/>
            <w:vAlign w:val="bottom"/>
            <w:gridSpan w:val="2"/>
          </w:tcPr>
          <w:p>
            <w:pPr>
              <w:ind w:left="100"/>
              <w:spacing w:after="0"/>
              <w:rPr>
                <w:sz w:val="20"/>
                <w:szCs w:val="20"/>
                <w:color w:val="auto"/>
              </w:rPr>
            </w:pPr>
            <w:r>
              <w:rPr>
                <w:rFonts w:ascii="Arial" w:cs="Arial" w:eastAsia="Arial" w:hAnsi="Arial"/>
                <w:sz w:val="13"/>
                <w:szCs w:val="13"/>
                <w:color w:val="auto"/>
              </w:rPr>
              <w:t>Cost of fuels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72"/>
        </w:trPr>
        <w:tc>
          <w:tcPr>
            <w:tcW w:w="20" w:type="dxa"/>
            <w:vAlign w:val="bottom"/>
            <w:shd w:val="clear" w:color="auto" w:fill="CCEEFF"/>
          </w:tcPr>
          <w:p>
            <w:pPr>
              <w:spacing w:after="0"/>
              <w:rPr>
                <w:sz w:val="14"/>
                <w:szCs w:val="14"/>
                <w:color w:val="auto"/>
              </w:rPr>
            </w:pPr>
          </w:p>
        </w:tc>
        <w:tc>
          <w:tcPr>
            <w:tcW w:w="75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Operations and maintenance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r>
      <w:tr>
        <w:trPr>
          <w:trHeight w:val="168"/>
        </w:trPr>
        <w:tc>
          <w:tcPr>
            <w:tcW w:w="20" w:type="dxa"/>
            <w:vAlign w:val="bottom"/>
          </w:tcPr>
          <w:p>
            <w:pPr>
              <w:spacing w:after="0"/>
              <w:rPr>
                <w:sz w:val="14"/>
                <w:szCs w:val="14"/>
                <w:color w:val="auto"/>
              </w:rPr>
            </w:pPr>
          </w:p>
        </w:tc>
        <w:tc>
          <w:tcPr>
            <w:tcW w:w="7500" w:type="dxa"/>
            <w:vAlign w:val="bottom"/>
            <w:gridSpan w:val="2"/>
          </w:tcPr>
          <w:p>
            <w:pPr>
              <w:ind w:left="100"/>
              <w:spacing w:after="0"/>
              <w:rPr>
                <w:sz w:val="20"/>
                <w:szCs w:val="20"/>
                <w:color w:val="auto"/>
              </w:rPr>
            </w:pPr>
            <w:r>
              <w:rPr>
                <w:rFonts w:ascii="Arial" w:cs="Arial" w:eastAsia="Arial" w:hAnsi="Arial"/>
                <w:sz w:val="13"/>
                <w:szCs w:val="13"/>
                <w:color w:val="auto"/>
              </w:rPr>
              <w:t>Other costs of operations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72"/>
        </w:trPr>
        <w:tc>
          <w:tcPr>
            <w:tcW w:w="20" w:type="dxa"/>
            <w:vAlign w:val="bottom"/>
            <w:shd w:val="clear" w:color="auto" w:fill="CCEEFF"/>
          </w:tcPr>
          <w:p>
            <w:pPr>
              <w:spacing w:after="0"/>
              <w:rPr>
                <w:sz w:val="14"/>
                <w:szCs w:val="14"/>
                <w:color w:val="auto"/>
              </w:rPr>
            </w:pPr>
          </w:p>
        </w:tc>
        <w:tc>
          <w:tcPr>
            <w:tcW w:w="75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Depreciation, amortization and accretion</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r>
      <w:tr>
        <w:trPr>
          <w:trHeight w:val="168"/>
        </w:trPr>
        <w:tc>
          <w:tcPr>
            <w:tcW w:w="20" w:type="dxa"/>
            <w:vAlign w:val="bottom"/>
          </w:tcPr>
          <w:p>
            <w:pPr>
              <w:spacing w:after="0"/>
              <w:rPr>
                <w:sz w:val="14"/>
                <w:szCs w:val="14"/>
                <w:color w:val="auto"/>
              </w:rPr>
            </w:pPr>
          </w:p>
        </w:tc>
        <w:tc>
          <w:tcPr>
            <w:tcW w:w="7500" w:type="dxa"/>
            <w:vAlign w:val="bottom"/>
            <w:gridSpan w:val="2"/>
          </w:tcPr>
          <w:p>
            <w:pPr>
              <w:ind w:left="100"/>
              <w:spacing w:after="0"/>
              <w:rPr>
                <w:sz w:val="20"/>
                <w:szCs w:val="20"/>
                <w:color w:val="auto"/>
              </w:rPr>
            </w:pPr>
            <w:r>
              <w:rPr>
                <w:rFonts w:ascii="Arial" w:cs="Arial" w:eastAsia="Arial" w:hAnsi="Arial"/>
                <w:sz w:val="13"/>
                <w:szCs w:val="13"/>
                <w:color w:val="auto"/>
              </w:rPr>
              <w:t>Impairment losses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2"/>
        </w:trPr>
        <w:tc>
          <w:tcPr>
            <w:tcW w:w="20" w:type="dxa"/>
            <w:vAlign w:val="bottom"/>
            <w:shd w:val="clear" w:color="auto" w:fill="CCEEFF"/>
          </w:tcPr>
          <w:p>
            <w:pPr>
              <w:spacing w:after="0"/>
              <w:rPr>
                <w:sz w:val="14"/>
                <w:szCs w:val="14"/>
                <w:color w:val="auto"/>
              </w:rPr>
            </w:pPr>
          </w:p>
        </w:tc>
        <w:tc>
          <w:tcPr>
            <w:tcW w:w="75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General and administrative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68"/>
        </w:trPr>
        <w:tc>
          <w:tcPr>
            <w:tcW w:w="20" w:type="dxa"/>
            <w:vAlign w:val="bottom"/>
          </w:tcPr>
          <w:p>
            <w:pPr>
              <w:spacing w:after="0"/>
              <w:rPr>
                <w:sz w:val="14"/>
                <w:szCs w:val="14"/>
                <w:color w:val="auto"/>
              </w:rPr>
            </w:pPr>
          </w:p>
        </w:tc>
        <w:tc>
          <w:tcPr>
            <w:tcW w:w="7500" w:type="dxa"/>
            <w:vAlign w:val="bottom"/>
            <w:gridSpan w:val="2"/>
          </w:tcPr>
          <w:p>
            <w:pPr>
              <w:ind w:left="100"/>
              <w:spacing w:after="0"/>
              <w:rPr>
                <w:sz w:val="20"/>
                <w:szCs w:val="20"/>
                <w:color w:val="auto"/>
              </w:rPr>
            </w:pPr>
            <w:r>
              <w:rPr>
                <w:rFonts w:ascii="Arial" w:cs="Arial" w:eastAsia="Arial" w:hAnsi="Arial"/>
                <w:sz w:val="13"/>
                <w:szCs w:val="13"/>
                <w:color w:val="auto"/>
              </w:rPr>
              <w:t>Transaction and integration costs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2"/>
        </w:trPr>
        <w:tc>
          <w:tcPr>
            <w:tcW w:w="20" w:type="dxa"/>
            <w:vAlign w:val="bottom"/>
            <w:shd w:val="clear" w:color="auto" w:fill="CCEEFF"/>
          </w:tcPr>
          <w:p>
            <w:pPr>
              <w:spacing w:after="0"/>
              <w:rPr>
                <w:sz w:val="14"/>
                <w:szCs w:val="14"/>
                <w:color w:val="auto"/>
              </w:rPr>
            </w:pPr>
          </w:p>
        </w:tc>
        <w:tc>
          <w:tcPr>
            <w:tcW w:w="75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Development costs</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58"/>
        </w:trPr>
        <w:tc>
          <w:tcPr>
            <w:tcW w:w="20" w:type="dxa"/>
            <w:vAlign w:val="bottom"/>
            <w:tcBorders>
              <w:bottom w:val="single" w:sz="8" w:color="CCEEFF"/>
            </w:tcBorders>
          </w:tcPr>
          <w:p>
            <w:pPr>
              <w:spacing w:after="0"/>
              <w:rPr>
                <w:sz w:val="13"/>
                <w:szCs w:val="13"/>
                <w:color w:val="auto"/>
              </w:rPr>
            </w:pPr>
          </w:p>
        </w:tc>
        <w:tc>
          <w:tcPr>
            <w:tcW w:w="7500" w:type="dxa"/>
            <w:vAlign w:val="bottom"/>
            <w:tcBorders>
              <w:bottom w:val="single" w:sz="8" w:color="CCEEFF"/>
            </w:tcBorders>
            <w:gridSpan w:val="2"/>
          </w:tcPr>
          <w:p>
            <w:pPr>
              <w:ind w:left="260"/>
              <w:spacing w:after="0"/>
              <w:rPr>
                <w:sz w:val="20"/>
                <w:szCs w:val="20"/>
                <w:color w:val="auto"/>
              </w:rPr>
            </w:pPr>
            <w:r>
              <w:rPr>
                <w:rFonts w:ascii="Arial" w:cs="Arial" w:eastAsia="Arial" w:hAnsi="Arial"/>
                <w:sz w:val="13"/>
                <w:szCs w:val="13"/>
                <w:color w:val="auto"/>
              </w:rPr>
              <w:t>Total operating costs and expenses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1,017</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865</w:t>
            </w:r>
          </w:p>
        </w:tc>
      </w:tr>
      <w:tr>
        <w:trPr>
          <w:trHeight w:val="163"/>
        </w:trPr>
        <w:tc>
          <w:tcPr>
            <w:tcW w:w="20" w:type="dxa"/>
            <w:vAlign w:val="bottom"/>
            <w:shd w:val="clear" w:color="auto" w:fill="CCEEFF"/>
          </w:tcPr>
          <w:p>
            <w:pPr>
              <w:spacing w:after="0"/>
              <w:rPr>
                <w:sz w:val="14"/>
                <w:szCs w:val="14"/>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Gain on sale of business</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20" w:type="dxa"/>
            <w:vAlign w:val="bottom"/>
            <w:tcBorders>
              <w:bottom w:val="single" w:sz="8" w:color="CCEEFF"/>
            </w:tcBorders>
          </w:tcPr>
          <w:p>
            <w:pPr>
              <w:spacing w:after="0"/>
              <w:rPr>
                <w:sz w:val="13"/>
                <w:szCs w:val="13"/>
                <w:color w:val="auto"/>
              </w:rPr>
            </w:pPr>
          </w:p>
        </w:tc>
        <w:tc>
          <w:tcPr>
            <w:tcW w:w="75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Operating Income</w:t>
            </w: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1,472</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269</w:t>
            </w:r>
          </w:p>
        </w:tc>
        <w:tc>
          <w:tcPr>
            <w:tcW w:w="10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334</w:t>
            </w:r>
          </w:p>
        </w:tc>
      </w:tr>
      <w:tr>
        <w:trPr>
          <w:trHeight w:val="152"/>
        </w:trPr>
        <w:tc>
          <w:tcPr>
            <w:tcW w:w="20" w:type="dxa"/>
            <w:vAlign w:val="bottom"/>
            <w:shd w:val="clear" w:color="auto" w:fill="CCEEFF"/>
          </w:tcPr>
          <w:p>
            <w:pPr>
              <w:spacing w:after="0"/>
              <w:rPr>
                <w:sz w:val="13"/>
                <w:szCs w:val="13"/>
                <w:color w:val="auto"/>
              </w:rPr>
            </w:pPr>
          </w:p>
        </w:tc>
        <w:tc>
          <w:tcPr>
            <w:tcW w:w="750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Other Income (Expense)</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7500" w:type="dxa"/>
            <w:vAlign w:val="bottom"/>
            <w:gridSpan w:val="2"/>
          </w:tcPr>
          <w:p>
            <w:pPr>
              <w:ind w:left="100"/>
              <w:spacing w:after="0"/>
              <w:rPr>
                <w:sz w:val="20"/>
                <w:szCs w:val="20"/>
                <w:color w:val="auto"/>
              </w:rPr>
            </w:pPr>
            <w:r>
              <w:rPr>
                <w:rFonts w:ascii="Arial" w:cs="Arial" w:eastAsia="Arial" w:hAnsi="Arial"/>
                <w:sz w:val="13"/>
                <w:szCs w:val="13"/>
                <w:color w:val="auto"/>
              </w:rPr>
              <w:t>Equity in earnings of unconsolidated affiliates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2"/>
        </w:trPr>
        <w:tc>
          <w:tcPr>
            <w:tcW w:w="20" w:type="dxa"/>
            <w:vAlign w:val="bottom"/>
            <w:shd w:val="clear" w:color="auto" w:fill="CCEEFF"/>
          </w:tcPr>
          <w:p>
            <w:pPr>
              <w:spacing w:after="0"/>
              <w:rPr>
                <w:sz w:val="14"/>
                <w:szCs w:val="14"/>
                <w:color w:val="auto"/>
              </w:rPr>
            </w:pPr>
          </w:p>
        </w:tc>
        <w:tc>
          <w:tcPr>
            <w:tcW w:w="75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Impairment loss on investment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68"/>
        </w:trPr>
        <w:tc>
          <w:tcPr>
            <w:tcW w:w="20" w:type="dxa"/>
            <w:vAlign w:val="bottom"/>
          </w:tcPr>
          <w:p>
            <w:pPr>
              <w:spacing w:after="0"/>
              <w:rPr>
                <w:sz w:val="14"/>
                <w:szCs w:val="14"/>
                <w:color w:val="auto"/>
              </w:rPr>
            </w:pPr>
          </w:p>
        </w:tc>
        <w:tc>
          <w:tcPr>
            <w:tcW w:w="7500" w:type="dxa"/>
            <w:vAlign w:val="bottom"/>
            <w:gridSpan w:val="2"/>
          </w:tcPr>
          <w:p>
            <w:pPr>
              <w:ind w:left="100"/>
              <w:spacing w:after="0"/>
              <w:rPr>
                <w:sz w:val="20"/>
                <w:szCs w:val="20"/>
                <w:color w:val="auto"/>
              </w:rPr>
            </w:pPr>
            <w:r>
              <w:rPr>
                <w:rFonts w:ascii="Arial" w:cs="Arial" w:eastAsia="Arial" w:hAnsi="Arial"/>
                <w:sz w:val="13"/>
                <w:szCs w:val="13"/>
                <w:color w:val="auto"/>
              </w:rPr>
              <w:t>Gain on sale of unconsolidated affiliate</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72"/>
        </w:trPr>
        <w:tc>
          <w:tcPr>
            <w:tcW w:w="20" w:type="dxa"/>
            <w:vAlign w:val="bottom"/>
            <w:shd w:val="clear" w:color="auto" w:fill="CCEEFF"/>
          </w:tcPr>
          <w:p>
            <w:pPr>
              <w:spacing w:after="0"/>
              <w:rPr>
                <w:sz w:val="14"/>
                <w:szCs w:val="14"/>
                <w:color w:val="auto"/>
              </w:rPr>
            </w:pPr>
          </w:p>
        </w:tc>
        <w:tc>
          <w:tcPr>
            <w:tcW w:w="75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Other income, net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8"/>
        </w:trPr>
        <w:tc>
          <w:tcPr>
            <w:tcW w:w="20" w:type="dxa"/>
            <w:vAlign w:val="bottom"/>
          </w:tcPr>
          <w:p>
            <w:pPr>
              <w:spacing w:after="0"/>
              <w:rPr>
                <w:sz w:val="14"/>
                <w:szCs w:val="14"/>
                <w:color w:val="auto"/>
              </w:rPr>
            </w:pPr>
          </w:p>
        </w:tc>
        <w:tc>
          <w:tcPr>
            <w:tcW w:w="7500" w:type="dxa"/>
            <w:vAlign w:val="bottom"/>
            <w:gridSpan w:val="2"/>
          </w:tcPr>
          <w:p>
            <w:pPr>
              <w:ind w:left="100"/>
              <w:spacing w:after="0"/>
              <w:rPr>
                <w:sz w:val="20"/>
                <w:szCs w:val="20"/>
                <w:color w:val="auto"/>
              </w:rPr>
            </w:pPr>
            <w:r>
              <w:rPr>
                <w:rFonts w:ascii="Arial" w:cs="Arial" w:eastAsia="Arial" w:hAnsi="Arial"/>
                <w:sz w:val="13"/>
                <w:szCs w:val="13"/>
                <w:color w:val="auto"/>
              </w:rPr>
              <w:t>Loss on debt extinguishment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2"/>
        </w:trPr>
        <w:tc>
          <w:tcPr>
            <w:tcW w:w="20" w:type="dxa"/>
            <w:vAlign w:val="bottom"/>
            <w:shd w:val="clear" w:color="auto" w:fill="CCEEFF"/>
          </w:tcPr>
          <w:p>
            <w:pPr>
              <w:spacing w:after="0"/>
              <w:rPr>
                <w:sz w:val="14"/>
                <w:szCs w:val="14"/>
                <w:color w:val="auto"/>
              </w:rPr>
            </w:pPr>
          </w:p>
        </w:tc>
        <w:tc>
          <w:tcPr>
            <w:tcW w:w="75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Derivative interest income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68"/>
        </w:trPr>
        <w:tc>
          <w:tcPr>
            <w:tcW w:w="20" w:type="dxa"/>
            <w:vAlign w:val="bottom"/>
            <w:tcBorders>
              <w:bottom w:val="single" w:sz="8" w:color="CCEEFF"/>
            </w:tcBorders>
          </w:tcPr>
          <w:p>
            <w:pPr>
              <w:spacing w:after="0"/>
              <w:rPr>
                <w:sz w:val="14"/>
                <w:szCs w:val="14"/>
                <w:color w:val="auto"/>
              </w:rPr>
            </w:pPr>
          </w:p>
        </w:tc>
        <w:tc>
          <w:tcPr>
            <w:tcW w:w="750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Other interest expense</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(376)</w:t>
            </w:r>
          </w:p>
        </w:tc>
      </w:tr>
      <w:tr>
        <w:trPr>
          <w:trHeight w:val="163"/>
        </w:trPr>
        <w:tc>
          <w:tcPr>
            <w:tcW w:w="20" w:type="dxa"/>
            <w:vAlign w:val="bottom"/>
            <w:shd w:val="clear" w:color="auto" w:fill="CCEEFF"/>
          </w:tcPr>
          <w:p>
            <w:pPr>
              <w:spacing w:after="0"/>
              <w:rPr>
                <w:sz w:val="14"/>
                <w:szCs w:val="14"/>
                <w:color w:val="auto"/>
              </w:rPr>
            </w:pPr>
          </w:p>
        </w:tc>
        <w:tc>
          <w:tcPr>
            <w:tcW w:w="75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Total other expense, net</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w:t>
            </w:r>
          </w:p>
        </w:tc>
      </w:tr>
      <w:tr>
        <w:trPr>
          <w:trHeight w:val="158"/>
        </w:trPr>
        <w:tc>
          <w:tcPr>
            <w:tcW w:w="20" w:type="dxa"/>
            <w:vAlign w:val="bottom"/>
          </w:tcPr>
          <w:p>
            <w:pPr>
              <w:spacing w:after="0"/>
              <w:rPr>
                <w:sz w:val="13"/>
                <w:szCs w:val="13"/>
                <w:color w:val="auto"/>
              </w:rPr>
            </w:pPr>
          </w:p>
        </w:tc>
        <w:tc>
          <w:tcPr>
            <w:tcW w:w="7500" w:type="dxa"/>
            <w:vAlign w:val="bottom"/>
            <w:gridSpan w:val="2"/>
          </w:tcPr>
          <w:p>
            <w:pPr>
              <w:spacing w:after="0"/>
              <w:rPr>
                <w:sz w:val="20"/>
                <w:szCs w:val="20"/>
                <w:color w:val="auto"/>
              </w:rPr>
            </w:pPr>
            <w:r>
              <w:rPr>
                <w:rFonts w:ascii="Arial" w:cs="Arial" w:eastAsia="Arial" w:hAnsi="Arial"/>
                <w:sz w:val="13"/>
                <w:szCs w:val="13"/>
                <w:b w:val="1"/>
                <w:bCs w:val="1"/>
                <w:color w:val="auto"/>
              </w:rPr>
              <w:t>Income (Loss) Before Income Taxes</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1,284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72"/>
        </w:trPr>
        <w:tc>
          <w:tcPr>
            <w:tcW w:w="20" w:type="dxa"/>
            <w:vAlign w:val="bottom"/>
            <w:shd w:val="clear" w:color="auto" w:fill="CCEEFF"/>
          </w:tcPr>
          <w:p>
            <w:pPr>
              <w:spacing w:after="0"/>
              <w:rPr>
                <w:sz w:val="14"/>
                <w:szCs w:val="14"/>
                <w:color w:val="auto"/>
              </w:rPr>
            </w:pPr>
          </w:p>
        </w:tc>
        <w:tc>
          <w:tcPr>
            <w:tcW w:w="75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Income tax expense</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20" w:type="dxa"/>
            <w:vAlign w:val="bottom"/>
          </w:tcPr>
          <w:p>
            <w:pPr>
              <w:spacing w:after="0"/>
              <w:rPr>
                <w:sz w:val="13"/>
                <w:szCs w:val="13"/>
                <w:color w:val="auto"/>
              </w:rPr>
            </w:pPr>
          </w:p>
        </w:tc>
        <w:tc>
          <w:tcPr>
            <w:tcW w:w="7500" w:type="dxa"/>
            <w:vAlign w:val="bottom"/>
            <w:gridSpan w:val="2"/>
          </w:tcPr>
          <w:p>
            <w:pPr>
              <w:spacing w:after="0"/>
              <w:rPr>
                <w:sz w:val="20"/>
                <w:szCs w:val="20"/>
                <w:color w:val="auto"/>
              </w:rPr>
            </w:pPr>
            <w:r>
              <w:rPr>
                <w:rFonts w:ascii="Arial" w:cs="Arial" w:eastAsia="Arial" w:hAnsi="Arial"/>
                <w:sz w:val="13"/>
                <w:szCs w:val="13"/>
                <w:b w:val="1"/>
                <w:bCs w:val="1"/>
                <w:color w:val="auto"/>
              </w:rPr>
              <w:t>Net Loss</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1,282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70"/>
        </w:trPr>
        <w:tc>
          <w:tcPr>
            <w:tcW w:w="20" w:type="dxa"/>
            <w:vAlign w:val="bottom"/>
            <w:shd w:val="clear" w:color="auto" w:fill="CCEEFF"/>
          </w:tcPr>
          <w:p>
            <w:pPr>
              <w:spacing w:after="0"/>
              <w:rPr>
                <w:sz w:val="14"/>
                <w:szCs w:val="14"/>
                <w:color w:val="auto"/>
              </w:rPr>
            </w:pPr>
          </w:p>
        </w:tc>
        <w:tc>
          <w:tcPr>
            <w:tcW w:w="75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Less: Net loss attributable to noncontrolling interests and redeemable interests</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w:t>
            </w:r>
          </w:p>
        </w:tc>
      </w:tr>
      <w:tr>
        <w:trPr>
          <w:trHeight w:val="163"/>
        </w:trPr>
        <w:tc>
          <w:tcPr>
            <w:tcW w:w="20" w:type="dxa"/>
            <w:vAlign w:val="bottom"/>
          </w:tcPr>
          <w:p>
            <w:pPr>
              <w:spacing w:after="0"/>
              <w:rPr>
                <w:sz w:val="14"/>
                <w:szCs w:val="14"/>
                <w:color w:val="auto"/>
              </w:rPr>
            </w:pPr>
          </w:p>
        </w:tc>
        <w:tc>
          <w:tcPr>
            <w:tcW w:w="7500" w:type="dxa"/>
            <w:vAlign w:val="bottom"/>
            <w:gridSpan w:val="2"/>
          </w:tcPr>
          <w:p>
            <w:pPr>
              <w:spacing w:after="0"/>
              <w:rPr>
                <w:sz w:val="20"/>
                <w:szCs w:val="20"/>
                <w:color w:val="auto"/>
              </w:rPr>
            </w:pPr>
            <w:r>
              <w:rPr>
                <w:rFonts w:ascii="Arial" w:cs="Arial" w:eastAsia="Arial" w:hAnsi="Arial"/>
                <w:sz w:val="13"/>
                <w:szCs w:val="13"/>
                <w:b w:val="1"/>
                <w:bCs w:val="1"/>
                <w:color w:val="auto"/>
              </w:rPr>
              <w:t>Net Income Attributable to Clearway Energy LLC</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1,388</w:t>
            </w:r>
          </w:p>
        </w:tc>
        <w:tc>
          <w:tcPr>
            <w:tcW w:w="3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89"/>
              </w:rPr>
              <w:t>Year ended December 31,</w:t>
            </w: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Business metrics:</w:t>
            </w:r>
          </w:p>
        </w:tc>
        <w:tc>
          <w:tcPr>
            <w:tcW w:w="128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3"/>
        </w:trPr>
        <w:tc>
          <w:tcPr>
            <w:tcW w:w="7140" w:type="dxa"/>
            <w:vAlign w:val="bottom"/>
            <w:shd w:val="clear" w:color="auto" w:fill="CCEEFF"/>
          </w:tcPr>
          <w:p>
            <w:pPr>
              <w:ind w:left="80"/>
              <w:spacing w:after="0" w:line="163" w:lineRule="exact"/>
              <w:rPr>
                <w:sz w:val="20"/>
                <w:szCs w:val="20"/>
                <w:color w:val="auto"/>
              </w:rPr>
            </w:pPr>
            <w:r>
              <w:rPr>
                <w:rFonts w:ascii="Arial" w:cs="Arial" w:eastAsia="Arial" w:hAnsi="Arial"/>
                <w:sz w:val="13"/>
                <w:szCs w:val="13"/>
                <w:color w:val="auto"/>
              </w:rPr>
              <w:t xml:space="preserve">Solar MWh generated/sold (in thousands) </w:t>
            </w:r>
            <w:r>
              <w:rPr>
                <w:rFonts w:ascii="Arial" w:cs="Arial" w:eastAsia="Arial" w:hAnsi="Arial"/>
                <w:sz w:val="16"/>
                <w:szCs w:val="16"/>
                <w:color w:val="auto"/>
                <w:vertAlign w:val="superscript"/>
              </w:rPr>
              <w:t>(a)</w:t>
            </w: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4,991</w:t>
            </w:r>
          </w:p>
        </w:tc>
        <w:tc>
          <w:tcPr>
            <w:tcW w:w="13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3,585</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1,894</w:t>
            </w:r>
          </w:p>
        </w:tc>
        <w:tc>
          <w:tcPr>
            <w:tcW w:w="0" w:type="dxa"/>
            <w:vAlign w:val="bottom"/>
          </w:tcPr>
          <w:p>
            <w:pPr>
              <w:spacing w:after="0"/>
              <w:rPr>
                <w:sz w:val="1"/>
                <w:szCs w:val="1"/>
                <w:color w:val="auto"/>
              </w:rPr>
            </w:pPr>
          </w:p>
        </w:tc>
      </w:tr>
      <w:tr>
        <w:trPr>
          <w:trHeight w:val="170"/>
        </w:trPr>
        <w:tc>
          <w:tcPr>
            <w:tcW w:w="7140" w:type="dxa"/>
            <w:vAlign w:val="bottom"/>
            <w:tcBorders>
              <w:bottom w:val="single" w:sz="8" w:color="CCEEFF"/>
            </w:tcBorders>
          </w:tcPr>
          <w:p>
            <w:pPr>
              <w:ind w:left="80"/>
              <w:spacing w:after="0" w:line="170" w:lineRule="exact"/>
              <w:rPr>
                <w:sz w:val="20"/>
                <w:szCs w:val="20"/>
                <w:color w:val="auto"/>
              </w:rPr>
            </w:pPr>
            <w:r>
              <w:rPr>
                <w:rFonts w:ascii="Arial" w:cs="Arial" w:eastAsia="Arial" w:hAnsi="Arial"/>
                <w:sz w:val="13"/>
                <w:szCs w:val="13"/>
                <w:color w:val="auto"/>
              </w:rPr>
              <w:t xml:space="preserve">Wind MWh generated/sold (in thousands) </w:t>
            </w:r>
            <w:r>
              <w:rPr>
                <w:rFonts w:ascii="Arial" w:cs="Arial" w:eastAsia="Arial" w:hAnsi="Arial"/>
                <w:sz w:val="16"/>
                <w:szCs w:val="16"/>
                <w:color w:val="auto"/>
                <w:vertAlign w:val="superscript"/>
              </w:rPr>
              <w:t>(a)</w:t>
            </w: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9,343</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7,728</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5,566</w:t>
            </w: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20"/>
              <w:spacing w:after="0" w:line="161" w:lineRule="exact"/>
              <w:rPr>
                <w:sz w:val="20"/>
                <w:szCs w:val="20"/>
                <w:color w:val="auto"/>
              </w:rPr>
            </w:pPr>
            <w:r>
              <w:rPr>
                <w:rFonts w:ascii="Arial" w:cs="Arial" w:eastAsia="Arial" w:hAnsi="Arial"/>
                <w:sz w:val="13"/>
                <w:szCs w:val="13"/>
                <w:color w:val="auto"/>
              </w:rPr>
              <w:t xml:space="preserve">Renewables MWh generated/sold (in thousands) </w:t>
            </w:r>
            <w:r>
              <w:rPr>
                <w:rFonts w:ascii="Arial" w:cs="Arial" w:eastAsia="Arial" w:hAnsi="Arial"/>
                <w:sz w:val="16"/>
                <w:szCs w:val="16"/>
                <w:color w:val="auto"/>
                <w:vertAlign w:val="superscript"/>
              </w:rPr>
              <w:t>(a)</w:t>
            </w: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14,334</w:t>
            </w:r>
          </w:p>
        </w:tc>
        <w:tc>
          <w:tcPr>
            <w:tcW w:w="13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11,313</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7,460</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20"/>
              <w:spacing w:after="0" w:line="172" w:lineRule="exact"/>
              <w:rPr>
                <w:sz w:val="20"/>
                <w:szCs w:val="20"/>
                <w:color w:val="auto"/>
              </w:rPr>
            </w:pPr>
            <w:r>
              <w:rPr>
                <w:rFonts w:ascii="Arial" w:cs="Arial" w:eastAsia="Arial" w:hAnsi="Arial"/>
                <w:sz w:val="13"/>
                <w:szCs w:val="13"/>
                <w:color w:val="auto"/>
              </w:rPr>
              <w:t xml:space="preserve">Thermal MWt sold (in thousands) </w:t>
            </w:r>
            <w:r>
              <w:rPr>
                <w:rFonts w:ascii="Arial" w:cs="Arial" w:eastAsia="Arial" w:hAnsi="Arial"/>
                <w:sz w:val="16"/>
                <w:szCs w:val="16"/>
                <w:color w:val="auto"/>
                <w:vertAlign w:val="superscript"/>
              </w:rPr>
              <w:t>(b)</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140" w:type="dxa"/>
            <w:vAlign w:val="bottom"/>
            <w:vMerge w:val="continue"/>
          </w:tcPr>
          <w:p>
            <w:pPr>
              <w:spacing w:after="0"/>
              <w:rPr>
                <w:sz w:val="11"/>
                <w:szCs w:val="11"/>
                <w:color w:val="auto"/>
              </w:rPr>
            </w:pPr>
          </w:p>
        </w:tc>
        <w:tc>
          <w:tcPr>
            <w:tcW w:w="1280" w:type="dxa"/>
            <w:vAlign w:val="bottom"/>
          </w:tcPr>
          <w:p>
            <w:pPr>
              <w:jc w:val="right"/>
              <w:ind w:right="96"/>
              <w:spacing w:after="0" w:line="133" w:lineRule="exact"/>
              <w:rPr>
                <w:sz w:val="20"/>
                <w:szCs w:val="20"/>
                <w:color w:val="auto"/>
              </w:rPr>
            </w:pPr>
            <w:r>
              <w:rPr>
                <w:rFonts w:ascii="Arial" w:cs="Arial" w:eastAsia="Arial" w:hAnsi="Arial"/>
                <w:sz w:val="13"/>
                <w:szCs w:val="13"/>
                <w:color w:val="auto"/>
              </w:rPr>
              <w:t>835</w:t>
            </w:r>
          </w:p>
        </w:tc>
        <w:tc>
          <w:tcPr>
            <w:tcW w:w="1380" w:type="dxa"/>
            <w:vAlign w:val="bottom"/>
            <w:gridSpan w:val="2"/>
          </w:tcPr>
          <w:p>
            <w:pPr>
              <w:jc w:val="right"/>
              <w:ind w:right="96"/>
              <w:spacing w:after="0" w:line="133" w:lineRule="exact"/>
              <w:rPr>
                <w:sz w:val="20"/>
                <w:szCs w:val="20"/>
                <w:color w:val="auto"/>
              </w:rPr>
            </w:pPr>
            <w:r>
              <w:rPr>
                <w:rFonts w:ascii="Arial" w:cs="Arial" w:eastAsia="Arial" w:hAnsi="Arial"/>
                <w:sz w:val="13"/>
                <w:szCs w:val="13"/>
                <w:color w:val="auto"/>
              </w:rPr>
              <w:t>2,035</w:t>
            </w:r>
          </w:p>
        </w:tc>
        <w:tc>
          <w:tcPr>
            <w:tcW w:w="100" w:type="dxa"/>
            <w:vAlign w:val="bottom"/>
          </w:tcPr>
          <w:p>
            <w:pPr>
              <w:spacing w:after="0"/>
              <w:rPr>
                <w:sz w:val="11"/>
                <w:szCs w:val="11"/>
                <w:color w:val="auto"/>
              </w:rPr>
            </w:pPr>
          </w:p>
        </w:tc>
        <w:tc>
          <w:tcPr>
            <w:tcW w:w="1260" w:type="dxa"/>
            <w:vAlign w:val="bottom"/>
          </w:tcPr>
          <w:p>
            <w:pPr>
              <w:jc w:val="right"/>
              <w:ind w:right="96"/>
              <w:spacing w:after="0" w:line="133" w:lineRule="exact"/>
              <w:rPr>
                <w:sz w:val="20"/>
                <w:szCs w:val="20"/>
                <w:color w:val="auto"/>
              </w:rPr>
            </w:pPr>
            <w:r>
              <w:rPr>
                <w:rFonts w:ascii="Arial" w:cs="Arial" w:eastAsia="Arial" w:hAnsi="Arial"/>
                <w:sz w:val="13"/>
                <w:szCs w:val="13"/>
                <w:color w:val="auto"/>
              </w:rPr>
              <w:t>1,927</w:t>
            </w:r>
          </w:p>
        </w:tc>
        <w:tc>
          <w:tcPr>
            <w:tcW w:w="0" w:type="dxa"/>
            <w:vAlign w:val="bottom"/>
          </w:tcPr>
          <w:p>
            <w:pPr>
              <w:spacing w:after="0"/>
              <w:rPr>
                <w:sz w:val="1"/>
                <w:szCs w:val="1"/>
                <w:color w:val="auto"/>
              </w:rPr>
            </w:pPr>
          </w:p>
        </w:tc>
      </w:tr>
      <w:tr>
        <w:trPr>
          <w:trHeight w:val="170"/>
        </w:trPr>
        <w:tc>
          <w:tcPr>
            <w:tcW w:w="714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Thermal MWh sold (in thousands) </w:t>
            </w:r>
            <w:r>
              <w:rPr>
                <w:rFonts w:ascii="Arial" w:cs="Arial" w:eastAsia="Arial" w:hAnsi="Arial"/>
                <w:sz w:val="16"/>
                <w:szCs w:val="16"/>
                <w:color w:val="auto"/>
                <w:vertAlign w:val="superscript"/>
              </w:rPr>
              <w:t>(b)</w:t>
            </w: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w:t>
            </w:r>
          </w:p>
        </w:tc>
        <w:tc>
          <w:tcPr>
            <w:tcW w:w="1380" w:type="dxa"/>
            <w:vAlign w:val="bottom"/>
            <w:gridSpan w:val="2"/>
            <w:shd w:val="clear" w:color="auto" w:fill="CCEEFF"/>
          </w:tcPr>
          <w:p>
            <w:pPr>
              <w:jc w:val="right"/>
              <w:ind w:right="96"/>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70"/>
        </w:trPr>
        <w:tc>
          <w:tcPr>
            <w:tcW w:w="714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Conventional MWh generated (in thousands) </w:t>
            </w:r>
            <w:r>
              <w:rPr>
                <w:rFonts w:ascii="Arial" w:cs="Arial" w:eastAsia="Arial" w:hAnsi="Arial"/>
                <w:sz w:val="16"/>
                <w:szCs w:val="16"/>
                <w:color w:val="auto"/>
                <w:vertAlign w:val="superscript"/>
              </w:rPr>
              <w:t>(a)(c)</w:t>
            </w:r>
          </w:p>
        </w:tc>
        <w:tc>
          <w:tcPr>
            <w:tcW w:w="1280" w:type="dxa"/>
            <w:vAlign w:val="bottom"/>
          </w:tcPr>
          <w:p>
            <w:pPr>
              <w:jc w:val="right"/>
              <w:ind w:right="96"/>
              <w:spacing w:after="0"/>
              <w:rPr>
                <w:sz w:val="20"/>
                <w:szCs w:val="20"/>
                <w:color w:val="auto"/>
              </w:rPr>
            </w:pPr>
            <w:r>
              <w:rPr>
                <w:rFonts w:ascii="Arial" w:cs="Arial" w:eastAsia="Arial" w:hAnsi="Arial"/>
                <w:sz w:val="13"/>
                <w:szCs w:val="13"/>
                <w:color w:val="auto"/>
              </w:rPr>
              <w:t>1,236</w:t>
            </w:r>
          </w:p>
        </w:tc>
        <w:tc>
          <w:tcPr>
            <w:tcW w:w="1380" w:type="dxa"/>
            <w:vAlign w:val="bottom"/>
            <w:gridSpan w:val="2"/>
          </w:tcPr>
          <w:p>
            <w:pPr>
              <w:jc w:val="right"/>
              <w:ind w:right="96"/>
              <w:spacing w:after="0"/>
              <w:rPr>
                <w:sz w:val="20"/>
                <w:szCs w:val="20"/>
                <w:color w:val="auto"/>
              </w:rPr>
            </w:pPr>
            <w:r>
              <w:rPr>
                <w:rFonts w:ascii="Arial" w:cs="Arial" w:eastAsia="Arial" w:hAnsi="Arial"/>
                <w:sz w:val="13"/>
                <w:szCs w:val="13"/>
                <w:color w:val="auto"/>
              </w:rPr>
              <w:t>1,108</w:t>
            </w:r>
          </w:p>
        </w:tc>
        <w:tc>
          <w:tcPr>
            <w:tcW w:w="10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Arial" w:cs="Arial" w:eastAsia="Arial" w:hAnsi="Arial"/>
                <w:sz w:val="13"/>
                <w:szCs w:val="13"/>
                <w:color w:val="auto"/>
              </w:rPr>
              <w:t>1,475</w:t>
            </w:r>
          </w:p>
        </w:tc>
        <w:tc>
          <w:tcPr>
            <w:tcW w:w="0" w:type="dxa"/>
            <w:vAlign w:val="bottom"/>
          </w:tcPr>
          <w:p>
            <w:pPr>
              <w:spacing w:after="0"/>
              <w:rPr>
                <w:sz w:val="1"/>
                <w:szCs w:val="1"/>
                <w:color w:val="auto"/>
              </w:rPr>
            </w:pPr>
          </w:p>
        </w:tc>
      </w:tr>
      <w:tr>
        <w:trPr>
          <w:trHeight w:val="170"/>
        </w:trPr>
        <w:tc>
          <w:tcPr>
            <w:tcW w:w="7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Conventional equivalent availability factor</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94.7 %</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88" w:lineRule="exact"/>
        <w:rPr>
          <w:sz w:val="20"/>
          <w:szCs w:val="20"/>
          <w:color w:val="auto"/>
        </w:rPr>
      </w:pPr>
    </w:p>
    <w:p>
      <w:pPr>
        <w:ind w:left="100" w:hanging="95"/>
        <w:spacing w:after="0"/>
        <w:tabs>
          <w:tab w:leader="none" w:pos="100" w:val="left"/>
        </w:tabs>
        <w:numPr>
          <w:ilvl w:val="0"/>
          <w:numId w:val="21"/>
        </w:numPr>
        <w:rPr>
          <w:rFonts w:ascii="Arial" w:cs="Arial" w:eastAsia="Arial" w:hAnsi="Arial"/>
          <w:sz w:val="10"/>
          <w:szCs w:val="10"/>
          <w:color w:val="auto"/>
          <w:vertAlign w:val="superscript"/>
        </w:rPr>
      </w:pPr>
      <w:r>
        <w:rPr>
          <w:rFonts w:ascii="Arial" w:cs="Arial" w:eastAsia="Arial" w:hAnsi="Arial"/>
          <w:sz w:val="8"/>
          <w:szCs w:val="8"/>
          <w:color w:val="auto"/>
        </w:rPr>
        <w:t>Volumes do not include the MWh generated/sold by the Company’s equity method investments.</w:t>
      </w:r>
    </w:p>
    <w:p>
      <w:pPr>
        <w:spacing w:after="0" w:line="22" w:lineRule="exact"/>
        <w:rPr>
          <w:rFonts w:ascii="Arial" w:cs="Arial" w:eastAsia="Arial" w:hAnsi="Arial"/>
          <w:sz w:val="10"/>
          <w:szCs w:val="10"/>
          <w:color w:val="auto"/>
          <w:vertAlign w:val="superscript"/>
        </w:rPr>
      </w:pPr>
    </w:p>
    <w:p>
      <w:pPr>
        <w:ind w:left="100" w:hanging="95"/>
        <w:spacing w:after="0"/>
        <w:tabs>
          <w:tab w:leader="none" w:pos="100" w:val="left"/>
        </w:tabs>
        <w:numPr>
          <w:ilvl w:val="0"/>
          <w:numId w:val="21"/>
        </w:numPr>
        <w:rPr>
          <w:rFonts w:ascii="Arial" w:cs="Arial" w:eastAsia="Arial" w:hAnsi="Arial"/>
          <w:sz w:val="7"/>
          <w:szCs w:val="7"/>
          <w:color w:val="auto"/>
        </w:rPr>
      </w:pPr>
      <w:r>
        <w:rPr>
          <w:rFonts w:ascii="Arial" w:cs="Arial" w:eastAsia="Arial" w:hAnsi="Arial"/>
          <w:sz w:val="11"/>
          <w:szCs w:val="11"/>
          <w:color w:val="auto"/>
        </w:rPr>
        <w:t>On May 1, 2022, the Company completed the sale of 100% of its interests in the Thermal Business to KKR.</w:t>
      </w:r>
    </w:p>
    <w:p>
      <w:pPr>
        <w:spacing w:after="0" w:line="8" w:lineRule="exact"/>
        <w:rPr>
          <w:rFonts w:ascii="Arial" w:cs="Arial" w:eastAsia="Arial" w:hAnsi="Arial"/>
          <w:sz w:val="7"/>
          <w:szCs w:val="7"/>
          <w:color w:val="auto"/>
        </w:rPr>
      </w:pPr>
    </w:p>
    <w:p>
      <w:pPr>
        <w:ind w:left="100" w:hanging="95"/>
        <w:spacing w:after="0"/>
        <w:tabs>
          <w:tab w:leader="none" w:pos="100" w:val="left"/>
        </w:tabs>
        <w:numPr>
          <w:ilvl w:val="0"/>
          <w:numId w:val="21"/>
        </w:numPr>
        <w:rPr>
          <w:rFonts w:ascii="Arial" w:cs="Arial" w:eastAsia="Arial" w:hAnsi="Arial"/>
          <w:sz w:val="7"/>
          <w:szCs w:val="7"/>
          <w:color w:val="auto"/>
        </w:rPr>
      </w:pPr>
      <w:r>
        <w:rPr>
          <w:rFonts w:ascii="Arial" w:cs="Arial" w:eastAsia="Arial" w:hAnsi="Arial"/>
          <w:sz w:val="11"/>
          <w:szCs w:val="11"/>
          <w:color w:val="auto"/>
        </w:rPr>
        <w:t>Volumes generated are not sold as the Conventional facilities sell capacity rather than energy.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29" w:right="39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auto"/>
        </w:rPr>
        <w:t>Management’s discussion of the results of operations for the years ended December 31, 2022 and 2021</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Revenues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Operating revenues decreased by $96 million for the year ended December 31, 2022, compared to the same period in 2021, due to a combination of the drivers summarized in the table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Borders>
              <w:bottom w:val="single" w:sz="8" w:color="CCEEFF"/>
            </w:tcBorders>
          </w:tcPr>
          <w:p>
            <w:pPr>
              <w:spacing w:after="0"/>
              <w:rPr>
                <w:sz w:val="16"/>
                <w:szCs w:val="16"/>
                <w:color w:val="auto"/>
              </w:rPr>
            </w:pPr>
          </w:p>
        </w:tc>
        <w:tc>
          <w:tcPr>
            <w:tcW w:w="7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(In millions)</w:t>
            </w:r>
          </w:p>
        </w:tc>
      </w:tr>
      <w:tr>
        <w:trPr>
          <w:trHeight w:val="118"/>
        </w:trPr>
        <w:tc>
          <w:tcPr>
            <w:tcW w:w="23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b w:val="1"/>
                <w:bCs w:val="1"/>
                <w:color w:val="auto"/>
              </w:rPr>
              <w:t>Renewables Segment</w:t>
            </w:r>
          </w:p>
        </w:tc>
        <w:tc>
          <w:tcPr>
            <w:tcW w:w="7560" w:type="dxa"/>
            <w:vAlign w:val="bottom"/>
            <w:shd w:val="clear" w:color="auto" w:fill="CCEEFF"/>
          </w:tcPr>
          <w:p>
            <w:pPr>
              <w:ind w:left="300"/>
              <w:spacing w:after="0" w:line="118" w:lineRule="exact"/>
              <w:rPr>
                <w:sz w:val="20"/>
                <w:szCs w:val="20"/>
                <w:color w:val="auto"/>
              </w:rPr>
            </w:pPr>
            <w:r>
              <w:rPr>
                <w:rFonts w:ascii="Arial" w:cs="Arial" w:eastAsia="Arial" w:hAnsi="Arial"/>
                <w:sz w:val="13"/>
                <w:szCs w:val="13"/>
                <w:color w:val="auto"/>
              </w:rPr>
              <w:t>Increase for solar acquisitions due to the 2021 acquisitions of the Utah Solar Portfolio and Agua Caliente and the 2022</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191"/>
        </w:trPr>
        <w:tc>
          <w:tcPr>
            <w:tcW w:w="2360" w:type="dxa"/>
            <w:vAlign w:val="bottom"/>
            <w:shd w:val="clear" w:color="auto" w:fill="CCEEFF"/>
          </w:tcPr>
          <w:p>
            <w:pPr>
              <w:spacing w:after="0"/>
              <w:rPr>
                <w:sz w:val="16"/>
                <w:szCs w:val="16"/>
                <w:color w:val="auto"/>
              </w:rPr>
            </w:pPr>
          </w:p>
        </w:tc>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acquisition of Mililani I, slightly offset by the 2022 disposition of Kawailoa.</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r>
      <w:tr>
        <w:trPr>
          <w:trHeight w:val="138"/>
        </w:trPr>
        <w:tc>
          <w:tcPr>
            <w:tcW w:w="2360" w:type="dxa"/>
            <w:vAlign w:val="bottom"/>
          </w:tcPr>
          <w:p>
            <w:pPr>
              <w:spacing w:after="0"/>
              <w:rPr>
                <w:sz w:val="11"/>
                <w:szCs w:val="11"/>
                <w:color w:val="auto"/>
              </w:rPr>
            </w:pPr>
          </w:p>
        </w:tc>
        <w:tc>
          <w:tcPr>
            <w:tcW w:w="7560" w:type="dxa"/>
            <w:vAlign w:val="bottom"/>
          </w:tcPr>
          <w:p>
            <w:pPr>
              <w:ind w:left="300"/>
              <w:spacing w:after="0" w:line="138" w:lineRule="exact"/>
              <w:rPr>
                <w:sz w:val="20"/>
                <w:szCs w:val="20"/>
                <w:color w:val="auto"/>
              </w:rPr>
            </w:pPr>
            <w:r>
              <w:rPr>
                <w:rFonts w:ascii="Arial" w:cs="Arial" w:eastAsia="Arial" w:hAnsi="Arial"/>
                <w:sz w:val="14"/>
                <w:szCs w:val="14"/>
                <w:color w:val="auto"/>
              </w:rPr>
              <w:t>Increase for wind acquisitions due to the 2021 acquisitions of Mt. Storm, Mesquite Sky and Black Rock and the 2022</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91"/>
        </w:trPr>
        <w:tc>
          <w:tcPr>
            <w:tcW w:w="2360" w:type="dxa"/>
            <w:vAlign w:val="bottom"/>
          </w:tcPr>
          <w:p>
            <w:pPr>
              <w:spacing w:after="0"/>
              <w:rPr>
                <w:sz w:val="16"/>
                <w:szCs w:val="16"/>
                <w:color w:val="auto"/>
              </w:rPr>
            </w:pPr>
          </w:p>
        </w:tc>
        <w:tc>
          <w:tcPr>
            <w:tcW w:w="7560" w:type="dxa"/>
            <w:vAlign w:val="bottom"/>
          </w:tcPr>
          <w:p>
            <w:pPr>
              <w:ind w:left="300"/>
              <w:spacing w:after="0"/>
              <w:rPr>
                <w:sz w:val="20"/>
                <w:szCs w:val="20"/>
                <w:color w:val="auto"/>
              </w:rPr>
            </w:pPr>
            <w:r>
              <w:rPr>
                <w:rFonts w:ascii="Arial" w:cs="Arial" w:eastAsia="Arial" w:hAnsi="Arial"/>
                <w:sz w:val="14"/>
                <w:szCs w:val="14"/>
                <w:color w:val="auto"/>
              </w:rPr>
              <w:t>acquisition of the Capistrano Wind Portfolio, along with the 2021 repowering of the Pinnacle wind project.</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38"/>
        </w:trPr>
        <w:tc>
          <w:tcPr>
            <w:tcW w:w="2360" w:type="dxa"/>
            <w:vAlign w:val="bottom"/>
            <w:shd w:val="clear" w:color="auto" w:fill="CCEEFF"/>
          </w:tcPr>
          <w:p>
            <w:pPr>
              <w:spacing w:after="0"/>
              <w:rPr>
                <w:sz w:val="12"/>
                <w:szCs w:val="12"/>
                <w:color w:val="auto"/>
              </w:rPr>
            </w:pPr>
          </w:p>
        </w:tc>
        <w:tc>
          <w:tcPr>
            <w:tcW w:w="7560" w:type="dxa"/>
            <w:vAlign w:val="bottom"/>
            <w:shd w:val="clear" w:color="auto" w:fill="CCEEFF"/>
          </w:tcPr>
          <w:p>
            <w:pPr>
              <w:ind w:left="300"/>
              <w:spacing w:after="0" w:line="138" w:lineRule="exact"/>
              <w:rPr>
                <w:sz w:val="20"/>
                <w:szCs w:val="20"/>
                <w:color w:val="auto"/>
              </w:rPr>
            </w:pPr>
            <w:r>
              <w:rPr>
                <w:rFonts w:ascii="Arial" w:cs="Arial" w:eastAsia="Arial" w:hAnsi="Arial"/>
                <w:sz w:val="14"/>
                <w:szCs w:val="14"/>
                <w:color w:val="auto"/>
                <w:w w:val="93"/>
              </w:rPr>
              <w:t>Favorable impact from the loss in February 2021 related to net settlements of obligations for wind facilities that were unable to</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91"/>
        </w:trPr>
        <w:tc>
          <w:tcPr>
            <w:tcW w:w="2360" w:type="dxa"/>
            <w:vAlign w:val="bottom"/>
            <w:shd w:val="clear" w:color="auto" w:fill="CCEEFF"/>
          </w:tcPr>
          <w:p>
            <w:pPr>
              <w:spacing w:after="0"/>
              <w:rPr>
                <w:sz w:val="16"/>
                <w:szCs w:val="16"/>
                <w:color w:val="auto"/>
              </w:rPr>
            </w:pPr>
          </w:p>
        </w:tc>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produce the required output during extreme weather conditions in Texas.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80"/>
        </w:trPr>
        <w:tc>
          <w:tcPr>
            <w:tcW w:w="2360" w:type="dxa"/>
            <w:vAlign w:val="bottom"/>
          </w:tcPr>
          <w:p>
            <w:pPr>
              <w:spacing w:after="0"/>
              <w:rPr>
                <w:sz w:val="15"/>
                <w:szCs w:val="15"/>
                <w:color w:val="auto"/>
              </w:rPr>
            </w:pPr>
          </w:p>
        </w:tc>
        <w:tc>
          <w:tcPr>
            <w:tcW w:w="7560" w:type="dxa"/>
            <w:vAlign w:val="bottom"/>
          </w:tcPr>
          <w:p>
            <w:pPr>
              <w:ind w:left="300"/>
              <w:spacing w:after="0"/>
              <w:rPr>
                <w:sz w:val="20"/>
                <w:szCs w:val="20"/>
                <w:color w:val="auto"/>
              </w:rPr>
            </w:pPr>
            <w:r>
              <w:rPr>
                <w:rFonts w:ascii="Arial" w:cs="Arial" w:eastAsia="Arial" w:hAnsi="Arial"/>
                <w:sz w:val="14"/>
                <w:szCs w:val="14"/>
                <w:color w:val="auto"/>
              </w:rPr>
              <w:t>Increase primarily driven by higher average realized prices at the wind facilities.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1"/>
        </w:trPr>
        <w:tc>
          <w:tcPr>
            <w:tcW w:w="2360" w:type="dxa"/>
            <w:vAlign w:val="bottom"/>
            <w:shd w:val="clear" w:color="auto" w:fill="CCEEFF"/>
          </w:tcPr>
          <w:p>
            <w:pPr>
              <w:spacing w:after="0"/>
              <w:rPr>
                <w:sz w:val="15"/>
                <w:szCs w:val="15"/>
                <w:color w:val="auto"/>
              </w:rPr>
            </w:pPr>
          </w:p>
        </w:tc>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Decrease primarily driven by lower wind generation.</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0"/>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Thermal Segment</w:t>
            </w:r>
          </w:p>
        </w:tc>
        <w:tc>
          <w:tcPr>
            <w:tcW w:w="7560" w:type="dxa"/>
            <w:vAlign w:val="bottom"/>
          </w:tcPr>
          <w:p>
            <w:pPr>
              <w:ind w:left="300"/>
              <w:spacing w:after="0"/>
              <w:rPr>
                <w:sz w:val="20"/>
                <w:szCs w:val="20"/>
                <w:color w:val="auto"/>
              </w:rPr>
            </w:pPr>
            <w:r>
              <w:rPr>
                <w:rFonts w:ascii="Arial" w:cs="Arial" w:eastAsia="Arial" w:hAnsi="Arial"/>
                <w:sz w:val="14"/>
                <w:szCs w:val="14"/>
                <w:color w:val="auto"/>
              </w:rPr>
              <w:t>Decrease primarily driven by the sale of the Thermal Business on May 1, 2022.</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138"/>
        </w:trPr>
        <w:tc>
          <w:tcPr>
            <w:tcW w:w="236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b w:val="1"/>
                <w:bCs w:val="1"/>
                <w:color w:val="auto"/>
              </w:rPr>
              <w:t>Conventional Segment</w:t>
            </w:r>
          </w:p>
        </w:tc>
        <w:tc>
          <w:tcPr>
            <w:tcW w:w="7560" w:type="dxa"/>
            <w:vAlign w:val="bottom"/>
            <w:shd w:val="clear" w:color="auto" w:fill="CCEEFF"/>
          </w:tcPr>
          <w:p>
            <w:pPr>
              <w:ind w:left="300"/>
              <w:spacing w:after="0" w:line="138" w:lineRule="exact"/>
              <w:rPr>
                <w:sz w:val="20"/>
                <w:szCs w:val="20"/>
                <w:color w:val="auto"/>
              </w:rPr>
            </w:pPr>
            <w:r>
              <w:rPr>
                <w:rFonts w:ascii="Arial" w:cs="Arial" w:eastAsia="Arial" w:hAnsi="Arial"/>
                <w:sz w:val="14"/>
                <w:szCs w:val="14"/>
                <w:color w:val="auto"/>
                <w:w w:val="93"/>
              </w:rPr>
              <w:t>Decrease primarily driven by forced outages at the El Segundo and Walnut Creek facilities in 2022, resulting in lower capacity</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91"/>
        </w:trPr>
        <w:tc>
          <w:tcPr>
            <w:tcW w:w="2360" w:type="dxa"/>
            <w:vAlign w:val="bottom"/>
            <w:shd w:val="clear" w:color="auto" w:fill="CCEEFF"/>
          </w:tcPr>
          <w:p>
            <w:pPr>
              <w:spacing w:after="0"/>
              <w:rPr>
                <w:sz w:val="16"/>
                <w:szCs w:val="16"/>
                <w:color w:val="auto"/>
              </w:rPr>
            </w:pPr>
          </w:p>
        </w:tc>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revenue.</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38"/>
        </w:trPr>
        <w:tc>
          <w:tcPr>
            <w:tcW w:w="2360" w:type="dxa"/>
            <w:vAlign w:val="bottom"/>
          </w:tcPr>
          <w:p>
            <w:pPr>
              <w:ind w:left="20"/>
              <w:spacing w:after="0" w:line="138" w:lineRule="exact"/>
              <w:rPr>
                <w:sz w:val="20"/>
                <w:szCs w:val="20"/>
                <w:color w:val="auto"/>
              </w:rPr>
            </w:pPr>
            <w:r>
              <w:rPr>
                <w:rFonts w:ascii="Arial" w:cs="Arial" w:eastAsia="Arial" w:hAnsi="Arial"/>
                <w:sz w:val="14"/>
                <w:szCs w:val="14"/>
                <w:b w:val="1"/>
                <w:bCs w:val="1"/>
                <w:color w:val="auto"/>
              </w:rPr>
              <w:t>Mark-to-market economic hedges</w:t>
            </w:r>
          </w:p>
        </w:tc>
        <w:tc>
          <w:tcPr>
            <w:tcW w:w="7560" w:type="dxa"/>
            <w:vAlign w:val="bottom"/>
          </w:tcPr>
          <w:p>
            <w:pPr>
              <w:ind w:left="300"/>
              <w:spacing w:after="0" w:line="138" w:lineRule="exact"/>
              <w:rPr>
                <w:sz w:val="20"/>
                <w:szCs w:val="20"/>
                <w:color w:val="auto"/>
              </w:rPr>
            </w:pPr>
            <w:r>
              <w:rPr>
                <w:rFonts w:ascii="Arial" w:cs="Arial" w:eastAsia="Arial" w:hAnsi="Arial"/>
                <w:sz w:val="14"/>
                <w:szCs w:val="14"/>
                <w:color w:val="auto"/>
                <w:w w:val="95"/>
              </w:rPr>
              <w:t>Increase in unrealized losses due to changes in the fair value of commodity contracts, primarily driven by the acquisition of</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48"/>
        </w:trPr>
        <w:tc>
          <w:tcPr>
            <w:tcW w:w="2360" w:type="dxa"/>
            <w:vAlign w:val="bottom"/>
          </w:tcPr>
          <w:p>
            <w:pPr>
              <w:spacing w:after="0"/>
              <w:rPr>
                <w:sz w:val="12"/>
                <w:szCs w:val="12"/>
                <w:color w:val="auto"/>
              </w:rPr>
            </w:pPr>
          </w:p>
        </w:tc>
        <w:tc>
          <w:tcPr>
            <w:tcW w:w="7560" w:type="dxa"/>
            <w:vAlign w:val="bottom"/>
          </w:tcPr>
          <w:p>
            <w:pPr>
              <w:ind w:left="300"/>
              <w:spacing w:after="0" w:line="149" w:lineRule="exact"/>
              <w:rPr>
                <w:sz w:val="20"/>
                <w:szCs w:val="20"/>
                <w:color w:val="auto"/>
              </w:rPr>
            </w:pPr>
            <w:r>
              <w:rPr>
                <w:rFonts w:ascii="Arial" w:cs="Arial" w:eastAsia="Arial" w:hAnsi="Arial"/>
                <w:sz w:val="14"/>
                <w:szCs w:val="14"/>
                <w:color w:val="auto"/>
                <w:w w:val="98"/>
              </w:rPr>
              <w:t>Mesquite Sky in 2021 and mark-to-market losses of the Langford commodity contract, which previously qualified for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80"/>
        </w:trPr>
        <w:tc>
          <w:tcPr>
            <w:tcW w:w="2360" w:type="dxa"/>
            <w:vAlign w:val="bottom"/>
          </w:tcPr>
          <w:p>
            <w:pPr>
              <w:spacing w:after="0"/>
              <w:rPr>
                <w:sz w:val="15"/>
                <w:szCs w:val="15"/>
                <w:color w:val="auto"/>
              </w:rPr>
            </w:pPr>
          </w:p>
        </w:tc>
        <w:tc>
          <w:tcPr>
            <w:tcW w:w="7560" w:type="dxa"/>
            <w:vAlign w:val="bottom"/>
          </w:tcPr>
          <w:p>
            <w:pPr>
              <w:ind w:left="300"/>
              <w:spacing w:after="0"/>
              <w:rPr>
                <w:sz w:val="20"/>
                <w:szCs w:val="20"/>
                <w:color w:val="auto"/>
              </w:rPr>
            </w:pPr>
            <w:r>
              <w:rPr>
                <w:rFonts w:ascii="Arial" w:cs="Arial" w:eastAsia="Arial" w:hAnsi="Arial"/>
                <w:sz w:val="14"/>
                <w:szCs w:val="14"/>
                <w:color w:val="auto"/>
              </w:rPr>
              <w:t>NPNS exception.</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181"/>
        </w:trPr>
        <w:tc>
          <w:tcPr>
            <w:tcW w:w="2360" w:type="dxa"/>
            <w:vAlign w:val="bottom"/>
            <w:shd w:val="clear" w:color="auto" w:fill="CCEEFF"/>
          </w:tcPr>
          <w:p>
            <w:pPr>
              <w:spacing w:after="0"/>
              <w:rPr>
                <w:sz w:val="15"/>
                <w:szCs w:val="15"/>
                <w:color w:val="auto"/>
              </w:rPr>
            </w:pPr>
          </w:p>
        </w:tc>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Increase in unrealized losses due to increases in forward power prices in the ERCOT and PJM markets.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38"/>
        </w:trPr>
        <w:tc>
          <w:tcPr>
            <w:tcW w:w="2360" w:type="dxa"/>
            <w:vAlign w:val="bottom"/>
          </w:tcPr>
          <w:p>
            <w:pPr>
              <w:ind w:left="20"/>
              <w:spacing w:after="0" w:line="138" w:lineRule="exact"/>
              <w:rPr>
                <w:sz w:val="20"/>
                <w:szCs w:val="20"/>
                <w:color w:val="auto"/>
              </w:rPr>
            </w:pPr>
            <w:r>
              <w:rPr>
                <w:rFonts w:ascii="Arial" w:cs="Arial" w:eastAsia="Arial" w:hAnsi="Arial"/>
                <w:sz w:val="14"/>
                <w:szCs w:val="14"/>
                <w:b w:val="1"/>
                <w:bCs w:val="1"/>
                <w:color w:val="auto"/>
              </w:rPr>
              <w:t>Contract amortization</w:t>
            </w:r>
          </w:p>
        </w:tc>
        <w:tc>
          <w:tcPr>
            <w:tcW w:w="7560" w:type="dxa"/>
            <w:vAlign w:val="bottom"/>
          </w:tcPr>
          <w:p>
            <w:pPr>
              <w:ind w:left="300"/>
              <w:spacing w:after="0" w:line="138" w:lineRule="exact"/>
              <w:rPr>
                <w:sz w:val="20"/>
                <w:szCs w:val="20"/>
                <w:color w:val="auto"/>
              </w:rPr>
            </w:pPr>
            <w:r>
              <w:rPr>
                <w:rFonts w:ascii="Arial" w:cs="Arial" w:eastAsia="Arial" w:hAnsi="Arial"/>
                <w:sz w:val="14"/>
                <w:szCs w:val="14"/>
                <w:color w:val="auto"/>
                <w:w w:val="94"/>
              </w:rPr>
              <w:t>Increase primarily driven by amortization of the intangible assets for PPAs related to the 2021 acquisitions of Agua Caliente</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91"/>
        </w:trPr>
        <w:tc>
          <w:tcPr>
            <w:tcW w:w="2360" w:type="dxa"/>
            <w:vAlign w:val="bottom"/>
          </w:tcPr>
          <w:p>
            <w:pPr>
              <w:spacing w:after="0"/>
              <w:rPr>
                <w:sz w:val="16"/>
                <w:szCs w:val="16"/>
                <w:color w:val="auto"/>
              </w:rPr>
            </w:pPr>
          </w:p>
        </w:tc>
        <w:tc>
          <w:tcPr>
            <w:tcW w:w="7560" w:type="dxa"/>
            <w:vAlign w:val="bottom"/>
          </w:tcPr>
          <w:p>
            <w:pPr>
              <w:ind w:left="300"/>
              <w:spacing w:after="0"/>
              <w:rPr>
                <w:sz w:val="20"/>
                <w:szCs w:val="20"/>
                <w:color w:val="auto"/>
              </w:rPr>
            </w:pPr>
            <w:r>
              <w:rPr>
                <w:rFonts w:ascii="Arial" w:cs="Arial" w:eastAsia="Arial" w:hAnsi="Arial"/>
                <w:sz w:val="14"/>
                <w:szCs w:val="14"/>
                <w:color w:val="auto"/>
              </w:rPr>
              <w:t>and the Utah Solar Portfolio and the 2022 acquisition of the Capistrano Wind Portfolio.</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r>
      <w:tr>
        <w:trPr>
          <w:trHeight w:val="171"/>
        </w:trPr>
        <w:tc>
          <w:tcPr>
            <w:tcW w:w="236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r>
      <w:tr>
        <w:trPr>
          <w:trHeight w:val="20"/>
        </w:trPr>
        <w:tc>
          <w:tcPr>
            <w:tcW w:w="23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Fuels</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 xml:space="preserve">Cost of fuels decreased by $46 million during the year ended December 31, 2022, compared to the same period in 2021, primarily due to the sale of the Thermal Business on May 1, 2022, as further described in Item 15 — Note 3, </w:t>
      </w:r>
      <w:r>
        <w:rPr>
          <w:rFonts w:ascii="Arial" w:cs="Arial" w:eastAsia="Arial" w:hAnsi="Arial"/>
          <w:sz w:val="14"/>
          <w:szCs w:val="14"/>
          <w:i w:val="1"/>
          <w:iCs w:val="1"/>
          <w:color w:val="auto"/>
        </w:rPr>
        <w:t>Acquisitions and Dispositions</w:t>
      </w:r>
      <w:r>
        <w:rPr>
          <w:rFonts w:ascii="Arial" w:cs="Arial" w:eastAsia="Arial" w:hAnsi="Arial"/>
          <w:sz w:val="14"/>
          <w:szCs w:val="14"/>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Operations and Maintenance Expense</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Operations and maintenance expense increased by $16 million during the year ended December 31, 2022, compared to the same period in 2021, due to a combination of the drivers summarized in the table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20" w:type="dxa"/>
            <w:vAlign w:val="bottom"/>
            <w:tcBorders>
              <w:bottom w:val="single" w:sz="8" w:color="CCEEFF"/>
            </w:tcBorders>
          </w:tcPr>
          <w:p>
            <w:pPr>
              <w:spacing w:after="0"/>
              <w:rPr>
                <w:sz w:val="16"/>
                <w:szCs w:val="16"/>
                <w:color w:val="auto"/>
              </w:rPr>
            </w:pPr>
          </w:p>
        </w:tc>
        <w:tc>
          <w:tcPr>
            <w:tcW w:w="7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18"/>
        </w:trPr>
        <w:tc>
          <w:tcPr>
            <w:tcW w:w="202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b w:val="1"/>
                <w:bCs w:val="1"/>
                <w:color w:val="auto"/>
              </w:rPr>
              <w:t>Renewables Segment</w:t>
            </w:r>
          </w:p>
        </w:tc>
        <w:tc>
          <w:tcPr>
            <w:tcW w:w="7900" w:type="dxa"/>
            <w:vAlign w:val="bottom"/>
            <w:shd w:val="clear" w:color="auto" w:fill="CCEEFF"/>
          </w:tcPr>
          <w:p>
            <w:pPr>
              <w:ind w:left="640"/>
              <w:spacing w:after="0" w:line="118" w:lineRule="exact"/>
              <w:rPr>
                <w:sz w:val="20"/>
                <w:szCs w:val="20"/>
                <w:color w:val="auto"/>
              </w:rPr>
            </w:pPr>
            <w:r>
              <w:rPr>
                <w:rFonts w:ascii="Arial" w:cs="Arial" w:eastAsia="Arial" w:hAnsi="Arial"/>
                <w:sz w:val="13"/>
                <w:szCs w:val="13"/>
                <w:color w:val="auto"/>
              </w:rPr>
              <w:t>Increase for wind acquisitions due to the 2021 acquisitions of Mt Storm, Mesquite Sky and Black Rock and the 2022</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20" w:type="dxa"/>
            <w:vAlign w:val="bottom"/>
            <w:shd w:val="clear" w:color="auto" w:fill="CCEEFF"/>
          </w:tcPr>
          <w:p>
            <w:pPr>
              <w:spacing w:after="0"/>
              <w:rPr>
                <w:sz w:val="16"/>
                <w:szCs w:val="16"/>
                <w:color w:val="auto"/>
              </w:rPr>
            </w:pPr>
          </w:p>
        </w:tc>
        <w:tc>
          <w:tcPr>
            <w:tcW w:w="7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acquisition of the Capistrano Wind Portfolio.</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7900" w:type="dxa"/>
            <w:vAlign w:val="bottom"/>
          </w:tcPr>
          <w:p>
            <w:pPr>
              <w:ind w:left="640"/>
              <w:spacing w:after="0"/>
              <w:rPr>
                <w:sz w:val="20"/>
                <w:szCs w:val="20"/>
                <w:color w:val="auto"/>
              </w:rPr>
            </w:pPr>
            <w:r>
              <w:rPr>
                <w:rFonts w:ascii="Arial" w:cs="Arial" w:eastAsia="Arial" w:hAnsi="Arial"/>
                <w:sz w:val="14"/>
                <w:szCs w:val="14"/>
                <w:color w:val="auto"/>
                <w:w w:val="96"/>
              </w:rPr>
              <w:t>Increase for solar acquisitions due to the 2021 acquisition of the Utah Solar Portfolio and the 2022 acquisition of Mililani I.</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8"/>
        </w:trPr>
        <w:tc>
          <w:tcPr>
            <w:tcW w:w="2020" w:type="dxa"/>
            <w:vAlign w:val="bottom"/>
            <w:shd w:val="clear" w:color="auto" w:fill="CCEEFF"/>
          </w:tcPr>
          <w:p>
            <w:pPr>
              <w:spacing w:after="0"/>
              <w:rPr>
                <w:sz w:val="12"/>
                <w:szCs w:val="12"/>
                <w:color w:val="auto"/>
              </w:rPr>
            </w:pPr>
          </w:p>
        </w:tc>
        <w:tc>
          <w:tcPr>
            <w:tcW w:w="790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w w:val="93"/>
              </w:rPr>
              <w:t>Increase primarily driven by timing of maintenance activities, as well as increasing material costs largely at the solar and wind</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20" w:type="dxa"/>
            <w:vAlign w:val="bottom"/>
            <w:shd w:val="clear" w:color="auto" w:fill="CCEEFF"/>
          </w:tcPr>
          <w:p>
            <w:pPr>
              <w:spacing w:after="0"/>
              <w:rPr>
                <w:sz w:val="16"/>
                <w:szCs w:val="16"/>
                <w:color w:val="auto"/>
              </w:rPr>
            </w:pPr>
          </w:p>
        </w:tc>
        <w:tc>
          <w:tcPr>
            <w:tcW w:w="7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facilities.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0"/>
        </w:trPr>
        <w:tc>
          <w:tcPr>
            <w:tcW w:w="2020" w:type="dxa"/>
            <w:vAlign w:val="bottom"/>
          </w:tcPr>
          <w:p>
            <w:pPr>
              <w:ind w:left="20"/>
              <w:spacing w:after="0"/>
              <w:rPr>
                <w:sz w:val="20"/>
                <w:szCs w:val="20"/>
                <w:color w:val="auto"/>
              </w:rPr>
            </w:pPr>
            <w:r>
              <w:rPr>
                <w:rFonts w:ascii="Arial" w:cs="Arial" w:eastAsia="Arial" w:hAnsi="Arial"/>
                <w:sz w:val="14"/>
                <w:szCs w:val="14"/>
                <w:b w:val="1"/>
                <w:bCs w:val="1"/>
                <w:color w:val="auto"/>
              </w:rPr>
              <w:t>Conventional Segment</w:t>
            </w:r>
          </w:p>
        </w:tc>
        <w:tc>
          <w:tcPr>
            <w:tcW w:w="7900" w:type="dxa"/>
            <w:vAlign w:val="bottom"/>
          </w:tcPr>
          <w:p>
            <w:pPr>
              <w:ind w:left="640"/>
              <w:spacing w:after="0"/>
              <w:rPr>
                <w:sz w:val="20"/>
                <w:szCs w:val="20"/>
                <w:color w:val="auto"/>
              </w:rPr>
            </w:pPr>
            <w:r>
              <w:rPr>
                <w:rFonts w:ascii="Arial" w:cs="Arial" w:eastAsia="Arial" w:hAnsi="Arial"/>
                <w:sz w:val="14"/>
                <w:szCs w:val="14"/>
                <w:color w:val="auto"/>
              </w:rPr>
              <w:t>Increase due to the forced outages at El Segundo and Walnut Creek primarily in the third quarter of 2022.</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Thermal Segment</w:t>
            </w:r>
          </w:p>
        </w:tc>
        <w:tc>
          <w:tcPr>
            <w:tcW w:w="7900" w:type="dxa"/>
            <w:vAlign w:val="bottom"/>
            <w:shd w:val="clear" w:color="auto" w:fill="CCEEFF"/>
          </w:tcPr>
          <w:p>
            <w:pPr>
              <w:ind w:left="640"/>
              <w:spacing w:after="0"/>
              <w:rPr>
                <w:sz w:val="20"/>
                <w:szCs w:val="20"/>
                <w:color w:val="auto"/>
              </w:rPr>
            </w:pPr>
            <w:r>
              <w:rPr>
                <w:rFonts w:ascii="Arial" w:cs="Arial" w:eastAsia="Arial" w:hAnsi="Arial"/>
                <w:sz w:val="14"/>
                <w:szCs w:val="14"/>
                <w:color w:val="auto"/>
              </w:rPr>
              <w:t>Decrease primarily driven by the sale of the Thermal Business on May 1, 2022.</w:t>
            </w: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7900" w:type="dxa"/>
            <w:vAlign w:val="bottom"/>
            <w:vMerge w:val="restart"/>
          </w:tcPr>
          <w:p>
            <w:pPr>
              <w:ind w:left="3560"/>
              <w:spacing w:after="0"/>
              <w:rPr>
                <w:sz w:val="20"/>
                <w:szCs w:val="20"/>
                <w:color w:val="auto"/>
              </w:rPr>
            </w:pPr>
            <w:r>
              <w:rPr>
                <w:rFonts w:ascii="Arial" w:cs="Arial" w:eastAsia="Arial" w:hAnsi="Arial"/>
                <w:sz w:val="14"/>
                <w:szCs w:val="14"/>
                <w:color w:val="auto"/>
              </w:rPr>
              <w:t>41</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2"/>
        </w:trPr>
        <w:tc>
          <w:tcPr>
            <w:tcW w:w="2020" w:type="dxa"/>
            <w:vAlign w:val="bottom"/>
          </w:tcPr>
          <w:p>
            <w:pPr>
              <w:spacing w:after="0"/>
              <w:rPr>
                <w:sz w:val="24"/>
                <w:szCs w:val="24"/>
                <w:color w:val="auto"/>
              </w:rPr>
            </w:pPr>
          </w:p>
        </w:tc>
        <w:tc>
          <w:tcPr>
            <w:tcW w:w="7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20" w:type="dxa"/>
            <w:vAlign w:val="bottom"/>
            <w:tcBorders>
              <w:bottom w:val="single" w:sz="8" w:color="9A9A9A"/>
            </w:tcBorders>
          </w:tcPr>
          <w:p>
            <w:pPr>
              <w:spacing w:after="0"/>
              <w:rPr>
                <w:sz w:val="7"/>
                <w:szCs w:val="7"/>
                <w:color w:val="auto"/>
              </w:rPr>
            </w:pPr>
          </w:p>
        </w:tc>
        <w:tc>
          <w:tcPr>
            <w:tcW w:w="79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i w:val="1"/>
          <w:iCs w:val="1"/>
          <w:color w:val="auto"/>
        </w:rPr>
        <w:t>Other Costs of Operations Expense</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Other costs of operations expense, which primarily consists of insurance and property taxes, increased by $14 million during the year ended December 31, 2022, compared to the same period in 2021, primarily due an increase in property taxes due to the acquisitions of the Utah Solar Portfolio, Mesquite Sky and Black Rock in 2021 and the acquisition of the Capistrano Wind Portfolio in 2022, as well as an increase in property taxes at certain wind projects.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Losses</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 xml:space="preserve">The Company recorded impairment losses of $16 million and $6 million for the years ended December 31, 2022 and 2021, respectively, related to certain projects in the Renewables segment as further described in Item 15— Note 9, </w:t>
      </w:r>
      <w:r>
        <w:rPr>
          <w:rFonts w:ascii="Arial" w:cs="Arial" w:eastAsia="Arial" w:hAnsi="Arial"/>
          <w:sz w:val="14"/>
          <w:szCs w:val="14"/>
          <w:i w:val="1"/>
          <w:iCs w:val="1"/>
          <w:color w:val="auto"/>
        </w:rPr>
        <w:t>Asset Impairments.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Gain on Sale of Business</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 xml:space="preserve">On May 1, 2022, the Company completed the sale of 100% of its interests in the Thermal Business to KKR resulting in a gain on sale of business of approximately $1.29 billion, as further described in Item 15 — Note 3, </w:t>
      </w:r>
      <w:r>
        <w:rPr>
          <w:rFonts w:ascii="Arial" w:cs="Arial" w:eastAsia="Arial" w:hAnsi="Arial"/>
          <w:sz w:val="14"/>
          <w:szCs w:val="14"/>
          <w:i w:val="1"/>
          <w:iCs w:val="1"/>
          <w:color w:val="auto"/>
        </w:rPr>
        <w:t>Acquisitions and Dispositions</w:t>
      </w:r>
      <w:r>
        <w:rPr>
          <w:rFonts w:ascii="Arial" w:cs="Arial" w:eastAsia="Arial" w:hAnsi="Arial"/>
          <w:sz w:val="14"/>
          <w:szCs w:val="14"/>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Net</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Other income, net increased $14 million during the year ended December 31, 2022, compared to the same period in 2021, primarily due to higher interest income earned on larger cash balances with investments in money market and time deposit accounts.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on Debt Extinguishment</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 xml:space="preserve">The Company recorded loss on debt extinguishment of $2 million during the year ended December 31, 2022, which reflects the write-off of previously deferred finance costs related to the Laredo Ridge, Tapestry Wind LLC and Viento Funding II, LLC, as further described in Item 15 — Note 10, </w:t>
      </w:r>
      <w:r>
        <w:rPr>
          <w:rFonts w:ascii="Arial" w:cs="Arial" w:eastAsia="Arial" w:hAnsi="Arial"/>
          <w:sz w:val="14"/>
          <w:szCs w:val="14"/>
          <w:i w:val="1"/>
          <w:iCs w:val="1"/>
          <w:color w:val="auto"/>
        </w:rPr>
        <w:t>Long-term Debt.</w:t>
      </w:r>
    </w:p>
    <w:p>
      <w:pPr>
        <w:spacing w:after="0" w:line="9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 xml:space="preserve">The Company recorded loss on debt extinguishment of $53 million during the year ended December 31, 2021, primarily driven by the write-off of previously deferred finance costs and payment of premiums related to the redemption of the 2026 Senior Notes and the 2025 Senior Notes in 2021, as further described in Item 15 — Note 10, </w:t>
      </w:r>
      <w:r>
        <w:rPr>
          <w:rFonts w:ascii="Arial" w:cs="Arial" w:eastAsia="Arial" w:hAnsi="Arial"/>
          <w:sz w:val="14"/>
          <w:szCs w:val="14"/>
          <w:i w:val="1"/>
          <w:iCs w:val="1"/>
          <w:color w:val="auto"/>
        </w:rPr>
        <w:t>Long-term Debt.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900" w:type="dxa"/>
            <w:vAlign w:val="bottom"/>
          </w:tcPr>
          <w:p>
            <w:pPr>
              <w:spacing w:after="0"/>
              <w:rPr>
                <w:sz w:val="20"/>
                <w:szCs w:val="20"/>
                <w:color w:val="auto"/>
              </w:rPr>
            </w:pPr>
            <w:r>
              <w:rPr>
                <w:rFonts w:ascii="Arial" w:cs="Arial" w:eastAsia="Arial" w:hAnsi="Arial"/>
                <w:sz w:val="14"/>
                <w:szCs w:val="14"/>
                <w:b w:val="1"/>
                <w:bCs w:val="1"/>
                <w:i w:val="1"/>
                <w:iCs w:val="1"/>
                <w:color w:val="auto"/>
              </w:rPr>
              <w:t>Interest Expense</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97"/>
        </w:trPr>
        <w:tc>
          <w:tcPr>
            <w:tcW w:w="9900" w:type="dxa"/>
            <w:vAlign w:val="bottom"/>
          </w:tcPr>
          <w:p>
            <w:pPr>
              <w:ind w:left="320"/>
              <w:spacing w:after="0"/>
              <w:rPr>
                <w:sz w:val="20"/>
                <w:szCs w:val="20"/>
                <w:color w:val="auto"/>
              </w:rPr>
            </w:pPr>
            <w:r>
              <w:rPr>
                <w:rFonts w:ascii="Arial" w:cs="Arial" w:eastAsia="Arial" w:hAnsi="Arial"/>
                <w:sz w:val="14"/>
                <w:szCs w:val="14"/>
                <w:color w:val="auto"/>
              </w:rPr>
              <w:t>Interest expense decreased by $80 million during the year ended December 31, 2022, compared to the same period in 2021 primarily due to:</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4"/>
        </w:trPr>
        <w:tc>
          <w:tcPr>
            <w:tcW w:w="99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(In millions)</w:t>
            </w:r>
          </w:p>
        </w:tc>
      </w:tr>
      <w:tr>
        <w:trPr>
          <w:trHeight w:val="171"/>
        </w:trPr>
        <w:tc>
          <w:tcPr>
            <w:tcW w:w="9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interest rate swaps due to higher interest rates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80"/>
        </w:trPr>
        <w:tc>
          <w:tcPr>
            <w:tcW w:w="9900" w:type="dxa"/>
            <w:vAlign w:val="bottom"/>
          </w:tcPr>
          <w:p>
            <w:pPr>
              <w:ind w:left="20"/>
              <w:spacing w:after="0"/>
              <w:rPr>
                <w:sz w:val="20"/>
                <w:szCs w:val="20"/>
                <w:color w:val="auto"/>
              </w:rPr>
            </w:pPr>
            <w:r>
              <w:rPr>
                <w:rFonts w:ascii="Arial" w:cs="Arial" w:eastAsia="Arial" w:hAnsi="Arial"/>
                <w:sz w:val="14"/>
                <w:szCs w:val="14"/>
                <w:color w:val="auto"/>
              </w:rPr>
              <w:t>Decrease in interest expense due to decreased principal balances of project-level debt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1"/>
        </w:trPr>
        <w:tc>
          <w:tcPr>
            <w:tcW w:w="9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interest expense due to the sale of the Thermal Business on May 1, 2022</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38"/>
        </w:trPr>
        <w:tc>
          <w:tcPr>
            <w:tcW w:w="9900" w:type="dxa"/>
            <w:vAlign w:val="bottom"/>
          </w:tcPr>
          <w:p>
            <w:pPr>
              <w:ind w:left="20"/>
              <w:spacing w:after="0" w:line="138" w:lineRule="exact"/>
              <w:rPr>
                <w:sz w:val="20"/>
                <w:szCs w:val="20"/>
                <w:color w:val="auto"/>
              </w:rPr>
            </w:pPr>
            <w:r>
              <w:rPr>
                <w:rFonts w:ascii="Arial" w:cs="Arial" w:eastAsia="Arial" w:hAnsi="Arial"/>
                <w:sz w:val="14"/>
                <w:szCs w:val="14"/>
                <w:color w:val="auto"/>
                <w:w w:val="96"/>
              </w:rPr>
              <w:t>Decrease in interest expense due to decreased principal balances of Corporate debt, which includes repayment of the outstanding borrowings under the Bridge Loan</w:t>
            </w: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91"/>
        </w:trPr>
        <w:tc>
          <w:tcPr>
            <w:tcW w:w="9900" w:type="dxa"/>
            <w:vAlign w:val="bottom"/>
          </w:tcPr>
          <w:p>
            <w:pPr>
              <w:ind w:left="20"/>
              <w:spacing w:after="0"/>
              <w:rPr>
                <w:sz w:val="20"/>
                <w:szCs w:val="20"/>
                <w:color w:val="auto"/>
              </w:rPr>
            </w:pPr>
            <w:r>
              <w:rPr>
                <w:rFonts w:ascii="Arial" w:cs="Arial" w:eastAsia="Arial" w:hAnsi="Arial"/>
                <w:sz w:val="14"/>
                <w:szCs w:val="14"/>
                <w:color w:val="auto"/>
              </w:rPr>
              <w:t>Agreement and the revolving credit facility on May 3, 2022</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2"/>
        </w:trPr>
        <w:tc>
          <w:tcPr>
            <w:tcW w:w="9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 related to the Bridge Loan that was entered into during the fourth quarter of 2021 and paid in full on May 3, 2022</w:t>
            </w: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1"/>
        </w:trPr>
        <w:tc>
          <w:tcPr>
            <w:tcW w:w="99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r>
      <w:tr>
        <w:trPr>
          <w:trHeight w:val="20"/>
        </w:trPr>
        <w:tc>
          <w:tcPr>
            <w:tcW w:w="9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For the year ended December 31, 2022, the Company recorded income tax expense of $2 million on pretax income of $1,283 million. For the same period in 2021, the Company recorded an income tax expense of $2 million on pretax loss of $61 million. The Company is classified as a partnership for federal and state income tax purposes. Therefore, federal and most state income taxes are assessed at the partner level. The franchise tax imposed by the state of Texas, however, is being assessed at the level of certain project subsidiaries of the Company, and therefore reflected as an income tax expense of the Company.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2" w:name="page43"/>
    <w:bookmarkEnd w:id="42"/>
    <w:p>
      <w:pPr>
        <w:ind w:firstLine="318"/>
        <w:spacing w:after="0" w:line="281" w:lineRule="auto"/>
        <w:rPr>
          <w:sz w:val="20"/>
          <w:szCs w:val="20"/>
          <w:color w:val="auto"/>
        </w:rPr>
      </w:pPr>
      <w:r>
        <w:rPr>
          <w:rFonts w:ascii="Arial" w:cs="Arial" w:eastAsia="Arial" w:hAnsi="Arial"/>
          <w:sz w:val="14"/>
          <w:szCs w:val="14"/>
          <w:color w:val="auto"/>
        </w:rPr>
        <w:t>The Company is subject to examination by taxing authorities for income tax returns filed in the U.S. federal and various state jurisdictions. All tax returns filed by the Company for the year ended December 31, 2013 and forward remain subject to audit.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 Attributable to Noncontrolling Interests and Redeemable Noncontrolling Interests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For the year ended December 31, 2022, the Company had a net loss of $106 million attributable to noncontrolling interests and redeemable noncontrolling interests comprised of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(In millions)</w:t>
            </w:r>
          </w:p>
        </w:tc>
      </w:tr>
      <w:tr>
        <w:trPr>
          <w:trHeight w:val="171"/>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Losses attributable to tax equity financing arrangements and the application of HLBV</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80"/>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attributable to third-party partnerships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196"/>
        </w:trPr>
        <w:tc>
          <w:tcPr>
            <w:tcW w:w="99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For the year ended December 31, 2021, the Company had a net loss of $173 million attributable to noncontrolling interests and redeemable noncontrolling interests comprised of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Borders>
              <w:bottom w:val="single" w:sz="8" w:color="CCEEFF"/>
            </w:tcBorders>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Losses attributable to tax equity financing arrangements and the application of HLBV</w:t>
            </w:r>
          </w:p>
        </w:tc>
        <w:tc>
          <w:tcPr>
            <w:tcW w:w="47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Arial" w:cs="Arial" w:eastAsia="Arial" w:hAnsi="Arial"/>
                <w:sz w:val="14"/>
                <w:szCs w:val="14"/>
                <w:color w:val="auto"/>
              </w:rPr>
              <w:t>Losses attributable to CEG’s interest in partnerships</w:t>
            </w:r>
          </w:p>
        </w:tc>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attributable to third-party partnerships</w:t>
            </w:r>
          </w:p>
        </w:tc>
        <w:tc>
          <w:tcPr>
            <w:tcW w:w="47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4700" w:type="dxa"/>
            <w:vAlign w:val="bottom"/>
            <w:vMerge w:val="restart"/>
          </w:tcPr>
          <w:p>
            <w:pPr>
              <w:jc w:val="right"/>
              <w:ind w:right="4129"/>
              <w:spacing w:after="0"/>
              <w:rPr>
                <w:sz w:val="20"/>
                <w:szCs w:val="20"/>
                <w:color w:val="auto"/>
              </w:rPr>
            </w:pPr>
            <w:r>
              <w:rPr>
                <w:rFonts w:ascii="Arial" w:cs="Arial" w:eastAsia="Arial" w:hAnsi="Arial"/>
                <w:sz w:val="14"/>
                <w:szCs w:val="14"/>
                <w:color w:val="auto"/>
              </w:rPr>
              <w:t>43</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522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220" w:type="dxa"/>
            <w:vAlign w:val="bottom"/>
            <w:tcBorders>
              <w:bottom w:val="single" w:sz="8" w:color="9A9A9A"/>
            </w:tcBorders>
          </w:tcPr>
          <w:p>
            <w:pPr>
              <w:spacing w:after="0"/>
              <w:rPr>
                <w:sz w:val="7"/>
                <w:szCs w:val="7"/>
                <w:color w:val="auto"/>
              </w:rPr>
            </w:pPr>
          </w:p>
        </w:tc>
        <w:tc>
          <w:tcPr>
            <w:tcW w:w="47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4"/>
          <w:szCs w:val="14"/>
          <w:color w:val="000000"/>
        </w:rPr>
        <w:t>As a normal part of the Company’s business, depending on market conditions, the Company will from time to time consider opportunities to repay, redeem, repurchase or</w:t>
      </w:r>
      <w:r>
        <w:rPr>
          <w:rFonts w:ascii="Arial" w:cs="Arial" w:eastAsia="Arial" w:hAnsi="Arial"/>
          <w:sz w:val="14"/>
          <w:szCs w:val="14"/>
          <w:color w:val="231F20"/>
        </w:rPr>
        <w:t xml:space="preserve"> </w:t>
      </w:r>
      <w:r>
        <w:rPr>
          <w:rFonts w:ascii="Arial" w:cs="Arial" w:eastAsia="Arial" w:hAnsi="Arial"/>
          <w:sz w:val="14"/>
          <w:szCs w:val="14"/>
          <w:color w:val="000000"/>
        </w:rPr>
        <w:t>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Current Liquidity Position</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231F20"/>
        </w:rPr>
        <w:t xml:space="preserve">As of </w:t>
      </w:r>
      <w:r>
        <w:rPr>
          <w:rFonts w:ascii="Arial" w:cs="Arial" w:eastAsia="Arial" w:hAnsi="Arial"/>
          <w:sz w:val="14"/>
          <w:szCs w:val="14"/>
          <w:color w:val="000000"/>
        </w:rPr>
        <w:t>December 31, 2022</w:t>
      </w:r>
      <w:r>
        <w:rPr>
          <w:rFonts w:ascii="Arial" w:cs="Arial" w:eastAsia="Arial" w:hAnsi="Arial"/>
          <w:sz w:val="14"/>
          <w:szCs w:val="14"/>
          <w:color w:val="231F20"/>
        </w:rPr>
        <w:t xml:space="preserve"> and 2021, the Company’s liquidity was approximately $1.37 billion and $821 million, respectively, comprised of cash, restricted cash and availability under the Company’s revolving credit facility.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5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3"/>
              </w:rPr>
              <w:t>As of December 31,</w:t>
            </w:r>
          </w:p>
        </w:tc>
        <w:tc>
          <w:tcPr>
            <w:tcW w:w="840" w:type="dxa"/>
            <w:vAlign w:val="bottom"/>
            <w:tcBorders>
              <w:bottom w:val="single" w:sz="8" w:color="auto"/>
            </w:tcBorders>
          </w:tcPr>
          <w:p>
            <w:pPr>
              <w:spacing w:after="0"/>
              <w:rPr>
                <w:sz w:val="13"/>
                <w:szCs w:val="13"/>
                <w:color w:val="auto"/>
              </w:rPr>
            </w:pPr>
          </w:p>
        </w:tc>
      </w:tr>
      <w:tr>
        <w:trPr>
          <w:trHeight w:val="153"/>
        </w:trPr>
        <w:tc>
          <w:tcPr>
            <w:tcW w:w="8560" w:type="dxa"/>
            <w:vAlign w:val="bottom"/>
          </w:tcPr>
          <w:p>
            <w:pPr>
              <w:spacing w:after="0"/>
              <w:rPr>
                <w:sz w:val="13"/>
                <w:szCs w:val="1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rPr>
              <w:t>2021</w:t>
            </w:r>
          </w:p>
        </w:tc>
      </w:tr>
      <w:tr>
        <w:trPr>
          <w:trHeight w:val="150"/>
        </w:trPr>
        <w:tc>
          <w:tcPr>
            <w:tcW w:w="85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1"/>
                <w:szCs w:val="11"/>
                <w:b w:val="1"/>
                <w:bCs w:val="1"/>
                <w:color w:val="auto"/>
              </w:rPr>
              <w:t>(In millions)</w:t>
            </w:r>
          </w:p>
        </w:tc>
        <w:tc>
          <w:tcPr>
            <w:tcW w:w="840" w:type="dxa"/>
            <w:vAlign w:val="bottom"/>
            <w:tcBorders>
              <w:bottom w:val="single" w:sz="8" w:color="auto"/>
            </w:tcBorders>
          </w:tcPr>
          <w:p>
            <w:pPr>
              <w:spacing w:after="0"/>
              <w:rPr>
                <w:sz w:val="13"/>
                <w:szCs w:val="13"/>
                <w:color w:val="auto"/>
              </w:rPr>
            </w:pPr>
          </w:p>
        </w:tc>
      </w:tr>
      <w:tr>
        <w:trPr>
          <w:trHeight w:val="156"/>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8"/>
        </w:trPr>
        <w:tc>
          <w:tcPr>
            <w:tcW w:w="8560" w:type="dxa"/>
            <w:vAlign w:val="bottom"/>
          </w:tcPr>
          <w:p>
            <w:pPr>
              <w:ind w:left="180"/>
              <w:spacing w:after="0"/>
              <w:rPr>
                <w:sz w:val="20"/>
                <w:szCs w:val="20"/>
                <w:color w:val="auto"/>
              </w:rPr>
            </w:pPr>
            <w:r>
              <w:rPr>
                <w:rFonts w:ascii="Arial" w:cs="Arial" w:eastAsia="Arial" w:hAnsi="Arial"/>
                <w:sz w:val="13"/>
                <w:szCs w:val="13"/>
                <w:color w:val="auto"/>
              </w:rPr>
              <w:t>Clearway Energy LLC, excluding subsidiaries</w:t>
            </w:r>
          </w:p>
        </w:tc>
        <w:tc>
          <w:tcPr>
            <w:tcW w:w="840" w:type="dxa"/>
            <w:vAlign w:val="bottom"/>
          </w:tcPr>
          <w:p>
            <w:pPr>
              <w:jc w:val="right"/>
              <w:ind w:right="699"/>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536</w:t>
            </w:r>
          </w:p>
        </w:tc>
        <w:tc>
          <w:tcPr>
            <w:tcW w:w="8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72"/>
        </w:trPr>
        <w:tc>
          <w:tcPr>
            <w:tcW w:w="85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Subsidiaries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r>
      <w:tr>
        <w:trPr>
          <w:trHeight w:val="168"/>
        </w:trPr>
        <w:tc>
          <w:tcPr>
            <w:tcW w:w="8560" w:type="dxa"/>
            <w:vAlign w:val="bottom"/>
          </w:tcPr>
          <w:p>
            <w:pPr>
              <w:ind w:left="20"/>
              <w:spacing w:after="0"/>
              <w:rPr>
                <w:sz w:val="20"/>
                <w:szCs w:val="20"/>
                <w:color w:val="auto"/>
              </w:rPr>
            </w:pPr>
            <w:r>
              <w:rPr>
                <w:rFonts w:ascii="Arial" w:cs="Arial" w:eastAsia="Arial" w:hAnsi="Arial"/>
                <w:sz w:val="13"/>
                <w:szCs w:val="13"/>
                <w:b w:val="1"/>
                <w:bCs w:val="1"/>
                <w:color w:val="auto"/>
              </w:rPr>
              <w:t>Restricted cash:</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85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Operating accounts</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w:t>
            </w:r>
          </w:p>
        </w:tc>
      </w:tr>
      <w:tr>
        <w:trPr>
          <w:trHeight w:val="168"/>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Reserves, including debt service, distributions, performance obligations and other reserves</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w:t>
            </w:r>
          </w:p>
        </w:tc>
      </w:tr>
      <w:tr>
        <w:trPr>
          <w:trHeight w:val="163"/>
        </w:trPr>
        <w:tc>
          <w:tcPr>
            <w:tcW w:w="8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cash, cash equivalents and restricted cash</w:t>
            </w: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r>
      <w:tr>
        <w:trPr>
          <w:trHeight w:val="168"/>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Revolving credit facility availability</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w:t>
            </w:r>
          </w:p>
        </w:tc>
      </w:tr>
      <w:tr>
        <w:trPr>
          <w:trHeight w:val="18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liquidity</w:t>
            </w:r>
          </w:p>
        </w:tc>
        <w:tc>
          <w:tcPr>
            <w:tcW w:w="84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1,366</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821</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231F20"/>
        </w:rPr>
        <w:t xml:space="preserve">The Company’s liquidity includes $339 million and $475 million of restricted cash balances as of December 31, 2022 and </w:t>
      </w:r>
      <w:r>
        <w:rPr>
          <w:rFonts w:ascii="Arial" w:cs="Arial" w:eastAsia="Arial" w:hAnsi="Arial"/>
          <w:sz w:val="14"/>
          <w:szCs w:val="14"/>
          <w:color w:val="000000"/>
        </w:rPr>
        <w:t>2021</w:t>
      </w:r>
      <w:r>
        <w:rPr>
          <w:rFonts w:ascii="Arial" w:cs="Arial" w:eastAsia="Arial" w:hAnsi="Arial"/>
          <w:sz w:val="14"/>
          <w:szCs w:val="14"/>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4"/>
          <w:szCs w:val="14"/>
          <w:color w:val="000000"/>
        </w:rPr>
        <w:t>December 31, 2022, these restricted funds were comprised of</w:t>
      </w:r>
      <w:r>
        <w:rPr>
          <w:rFonts w:ascii="Arial" w:cs="Arial" w:eastAsia="Arial" w:hAnsi="Arial"/>
          <w:sz w:val="14"/>
          <w:szCs w:val="14"/>
          <w:color w:val="231F20"/>
        </w:rPr>
        <w:t xml:space="preserve"> </w:t>
      </w:r>
      <w:r>
        <w:rPr>
          <w:rFonts w:ascii="Arial" w:cs="Arial" w:eastAsia="Arial" w:hAnsi="Arial"/>
          <w:sz w:val="14"/>
          <w:szCs w:val="14"/>
          <w:color w:val="000000"/>
        </w:rPr>
        <w:t>$109 million designated to fund operating expenses, approximately $55 million designated for current debt service payments, and$105 million restricted for reserves including debt service, performance obligations and other reserves, as well as capital expenditures. The remaining $70 million is held in distribution reserve accounts.</w:t>
      </w:r>
    </w:p>
    <w:p>
      <w:pPr>
        <w:spacing w:after="0" w:line="103"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 xml:space="preserve">As of December 31, 2022, the Company had no outstanding borrowings under the revolving credit facility and $125 million in letters of credit outstanding. During the year ended December 31, 2022, the Company borrowed $80 million under the revolving credit facility, and subsequently repaid $325 million, $305 million of which was repaid on May 3, 2022, utilizing the proceeds received from the Thermal Disposition. </w:t>
      </w:r>
      <w:r>
        <w:rPr>
          <w:rFonts w:ascii="Arial" w:cs="Arial" w:eastAsia="Arial" w:hAnsi="Arial"/>
          <w:sz w:val="14"/>
          <w:szCs w:val="14"/>
          <w:color w:val="231F20"/>
        </w:rPr>
        <w:t>The facility, which the Company expects to refinance prior to its expiration in April 2023, will continue to be used for general corporate purposes including financing</w:t>
      </w:r>
      <w:r>
        <w:rPr>
          <w:rFonts w:ascii="Arial" w:cs="Arial" w:eastAsia="Arial" w:hAnsi="Arial"/>
          <w:sz w:val="14"/>
          <w:szCs w:val="14"/>
          <w:color w:val="auto"/>
        </w:rPr>
        <w:t xml:space="preserve"> </w:t>
      </w:r>
      <w:r>
        <w:rPr>
          <w:rFonts w:ascii="Arial" w:cs="Arial" w:eastAsia="Arial" w:hAnsi="Arial"/>
          <w:sz w:val="14"/>
          <w:szCs w:val="14"/>
          <w:color w:val="231F20"/>
        </w:rPr>
        <w:t>of future acquisitions and posting letters of credit.</w:t>
      </w:r>
    </w:p>
    <w:p>
      <w:pPr>
        <w:spacing w:after="0" w:line="10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Inc. and CEG. Management continues to regularly monitor the Company’s ability to finance the needs of its operating, financing and investing activity within the dictates of prudent balance sheet management.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Ratings</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December 31, 2022, the Company’s 2028 Senior Notes, 2031 Senior Notes and 2032 Senior Notes are rated BB by S&amp;P and Ba2 by Moody’s.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i w:val="1"/>
          <w:iCs w:val="1"/>
          <w:color w:val="231F20"/>
        </w:rPr>
        <w:t>Sources of Liquidity</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by Clearway, Inc. or the Company as appropriate given market conditions. As described in </w:t>
      </w:r>
      <w:r>
        <w:rPr>
          <w:rFonts w:ascii="Arial" w:cs="Arial" w:eastAsia="Arial" w:hAnsi="Arial"/>
          <w:sz w:val="14"/>
          <w:szCs w:val="14"/>
          <w:color w:val="000000"/>
        </w:rPr>
        <w:t>Item 15 — Note 10</w:t>
      </w:r>
      <w:r>
        <w:rPr>
          <w:rFonts w:ascii="Arial" w:cs="Arial" w:eastAsia="Arial" w:hAnsi="Arial"/>
          <w:sz w:val="14"/>
          <w:szCs w:val="14"/>
          <w:color w:val="231F20"/>
        </w:rPr>
        <w:t xml:space="preserve">, </w:t>
      </w:r>
      <w:r>
        <w:rPr>
          <w:rFonts w:ascii="Arial" w:cs="Arial" w:eastAsia="Arial" w:hAnsi="Arial"/>
          <w:sz w:val="14"/>
          <w:szCs w:val="14"/>
          <w:i w:val="1"/>
          <w:iCs w:val="1"/>
          <w:color w:val="000000"/>
        </w:rPr>
        <w:t>Long-term Debt</w:t>
      </w:r>
      <w:r>
        <w:rPr>
          <w:rFonts w:ascii="Arial" w:cs="Arial" w:eastAsia="Arial" w:hAnsi="Arial"/>
          <w:sz w:val="14"/>
          <w:szCs w:val="14"/>
          <w:color w:val="231F20"/>
        </w:rPr>
        <w:t>, the Company’s financing arrangements consist of corporate level debt, which includes Senior Notes, intercompany borrowings with Clearway, Inc. and the revolving credit facility, the ATM Program, and project-level financings for its various assets.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231F20"/>
        </w:rPr>
        <w:t>Thermal Disposition</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 xml:space="preserve">On May 1, 2022, the Company completed the sale of 100% of its interests in the Thermal Business to KKR for net proceeds of approximately $1.46 billion, inclusive of working capital adjustments, which excludes approximately $18 million in transaction expenses that were incurred in connection with the disposition. See </w:t>
      </w:r>
      <w:r>
        <w:rPr>
          <w:rFonts w:ascii="Arial" w:cs="Arial" w:eastAsia="Arial" w:hAnsi="Arial"/>
          <w:sz w:val="14"/>
          <w:szCs w:val="14"/>
          <w:color w:val="231F20"/>
        </w:rPr>
        <w:t>Item 15</w:t>
      </w:r>
      <w:r>
        <w:rPr>
          <w:rFonts w:ascii="Arial" w:cs="Arial" w:eastAsia="Arial" w:hAnsi="Arial"/>
          <w:sz w:val="14"/>
          <w:szCs w:val="14"/>
          <w:color w:val="auto"/>
        </w:rPr>
        <w:t xml:space="preserve"> — Note 3, </w:t>
      </w:r>
      <w:r>
        <w:rPr>
          <w:rFonts w:ascii="Arial" w:cs="Arial" w:eastAsia="Arial" w:hAnsi="Arial"/>
          <w:sz w:val="14"/>
          <w:szCs w:val="14"/>
          <w:i w:val="1"/>
          <w:iCs w:val="1"/>
          <w:color w:val="auto"/>
        </w:rPr>
        <w:t>Acquisitions and Dispositions</w:t>
      </w:r>
      <w:r>
        <w:rPr>
          <w:rFonts w:ascii="Arial" w:cs="Arial" w:eastAsia="Arial" w:hAnsi="Arial"/>
          <w:sz w:val="14"/>
          <w:szCs w:val="14"/>
          <w:color w:val="auto"/>
        </w:rPr>
        <w:t>, for further discussion.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Uses of Liquidity</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231F20"/>
        </w:rPr>
        <w:t xml:space="preserve">The Company’s requirements for liquidity and capital resources, other than for operating its facilities, are categorized as: (i) debt service obligations, as described more fully in Item 15 </w:t>
      </w:r>
      <w:r>
        <w:rPr>
          <w:rFonts w:ascii="Arial" w:cs="Arial" w:eastAsia="Arial" w:hAnsi="Arial"/>
          <w:sz w:val="14"/>
          <w:szCs w:val="14"/>
          <w:color w:val="000000"/>
        </w:rPr>
        <w:t>— Note</w:t>
      </w:r>
      <w:r>
        <w:rPr>
          <w:rFonts w:ascii="Arial" w:cs="Arial" w:eastAsia="Arial" w:hAnsi="Arial"/>
          <w:sz w:val="14"/>
          <w:szCs w:val="14"/>
          <w:color w:val="231F20"/>
        </w:rPr>
        <w:t xml:space="preserve"> </w:t>
      </w:r>
      <w:r>
        <w:rPr>
          <w:rFonts w:ascii="Arial" w:cs="Arial" w:eastAsia="Arial" w:hAnsi="Arial"/>
          <w:sz w:val="14"/>
          <w:szCs w:val="14"/>
          <w:color w:val="000000"/>
        </w:rPr>
        <w:t>10</w:t>
      </w:r>
      <w:r>
        <w:rPr>
          <w:rFonts w:ascii="Arial" w:cs="Arial" w:eastAsia="Arial" w:hAnsi="Arial"/>
          <w:sz w:val="14"/>
          <w:szCs w:val="14"/>
          <w:color w:val="231F20"/>
        </w:rPr>
        <w:t>,</w:t>
      </w:r>
      <w:r>
        <w:rPr>
          <w:rFonts w:ascii="Arial" w:cs="Arial" w:eastAsia="Arial" w:hAnsi="Arial"/>
          <w:sz w:val="14"/>
          <w:szCs w:val="14"/>
          <w:color w:val="000000"/>
        </w:rPr>
        <w:t xml:space="preserve"> </w:t>
      </w:r>
      <w:r>
        <w:rPr>
          <w:rFonts w:ascii="Arial" w:cs="Arial" w:eastAsia="Arial" w:hAnsi="Arial"/>
          <w:sz w:val="14"/>
          <w:szCs w:val="14"/>
          <w:i w:val="1"/>
          <w:iCs w:val="1"/>
          <w:color w:val="000000"/>
        </w:rPr>
        <w:t>Long-term Debt</w:t>
      </w:r>
      <w:r>
        <w:rPr>
          <w:rFonts w:ascii="Arial" w:cs="Arial" w:eastAsia="Arial" w:hAnsi="Arial"/>
          <w:sz w:val="14"/>
          <w:szCs w:val="14"/>
          <w:color w:val="231F20"/>
        </w:rPr>
        <w:t>; (ii) capital expenditures; (iii) off-balance sheet arrangements; (iv) acquisitions and investments, as described more fully in Item 15</w:t>
      </w:r>
      <w:r>
        <w:rPr>
          <w:rFonts w:ascii="Arial" w:cs="Arial" w:eastAsia="Arial" w:hAnsi="Arial"/>
          <w:sz w:val="14"/>
          <w:szCs w:val="14"/>
          <w:color w:val="000000"/>
        </w:rPr>
        <w:t xml:space="preserve"> — Note 3, </w:t>
      </w:r>
      <w:r>
        <w:rPr>
          <w:rFonts w:ascii="Arial" w:cs="Arial" w:eastAsia="Arial" w:hAnsi="Arial"/>
          <w:sz w:val="14"/>
          <w:szCs w:val="14"/>
          <w:i w:val="1"/>
          <w:iCs w:val="1"/>
          <w:color w:val="000000"/>
        </w:rPr>
        <w:t>Acquisitions and Dispositions</w:t>
      </w:r>
      <w:r>
        <w:rPr>
          <w:rFonts w:ascii="Arial" w:cs="Arial" w:eastAsia="Arial" w:hAnsi="Arial"/>
          <w:sz w:val="14"/>
          <w:szCs w:val="14"/>
          <w:color w:val="231F20"/>
        </w:rPr>
        <w:t>; and</w:t>
      </w:r>
      <w:r>
        <w:rPr>
          <w:rFonts w:ascii="Arial" w:cs="Arial" w:eastAsia="Arial" w:hAnsi="Arial"/>
          <w:sz w:val="14"/>
          <w:szCs w:val="14"/>
          <w:color w:val="000000"/>
        </w:rPr>
        <w:t xml:space="preserve"> </w:t>
      </w:r>
      <w:r>
        <w:rPr>
          <w:rFonts w:ascii="Arial" w:cs="Arial" w:eastAsia="Arial" w:hAnsi="Arial"/>
          <w:sz w:val="14"/>
          <w:szCs w:val="14"/>
          <w:color w:val="231F20"/>
        </w:rPr>
        <w:t>(v)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5" w:name="page46"/>
    <w:bookmarkEnd w:id="45"/>
    <w:p>
      <w:pPr>
        <w:ind w:left="320"/>
        <w:spacing w:after="0"/>
        <w:rPr>
          <w:sz w:val="20"/>
          <w:szCs w:val="20"/>
          <w:color w:val="auto"/>
        </w:rPr>
      </w:pPr>
      <w:r>
        <w:rPr>
          <w:rFonts w:ascii="Arial" w:cs="Arial" w:eastAsia="Arial" w:hAnsi="Arial"/>
          <w:sz w:val="14"/>
          <w:szCs w:val="14"/>
          <w:b w:val="1"/>
          <w:bCs w:val="1"/>
          <w:i w:val="1"/>
          <w:iCs w:val="1"/>
          <w:color w:val="auto"/>
        </w:rPr>
        <w:t>Debt Service Obligations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Principal payments on debt as of December 31, 2022, are due in the following periods: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Description</w:t>
            </w:r>
          </w:p>
        </w:tc>
        <w:tc>
          <w:tcPr>
            <w:tcW w:w="16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96"/>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97"/>
              <w:spacing w:after="0"/>
              <w:rPr>
                <w:sz w:val="20"/>
                <w:szCs w:val="20"/>
                <w:color w:val="auto"/>
              </w:rPr>
            </w:pPr>
            <w:r>
              <w:rPr>
                <w:rFonts w:ascii="Arial" w:cs="Arial" w:eastAsia="Arial" w:hAnsi="Arial"/>
                <w:sz w:val="13"/>
                <w:szCs w:val="13"/>
                <w:b w:val="1"/>
                <w:bCs w:val="1"/>
                <w:color w:val="auto"/>
              </w:rPr>
              <w:t>2026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76"/>
              <w:spacing w:after="0"/>
              <w:rPr>
                <w:sz w:val="20"/>
                <w:szCs w:val="20"/>
                <w:color w:val="auto"/>
              </w:rPr>
            </w:pPr>
            <w:r>
              <w:rPr>
                <w:rFonts w:ascii="Arial" w:cs="Arial" w:eastAsia="Arial" w:hAnsi="Arial"/>
                <w:sz w:val="13"/>
                <w:szCs w:val="13"/>
                <w:b w:val="1"/>
                <w:bCs w:val="1"/>
                <w:color w:val="auto"/>
              </w:rPr>
              <w:t>2027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 after</w:t>
            </w:r>
          </w:p>
        </w:tc>
        <w:tc>
          <w:tcPr>
            <w:tcW w:w="18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3"/>
                <w:szCs w:val="13"/>
                <w:b w:val="1"/>
                <w:bCs w:val="1"/>
                <w:color w:val="auto"/>
              </w:rPr>
              <w:t>Total</w:t>
            </w:r>
          </w:p>
        </w:tc>
      </w:tr>
      <w:tr>
        <w:trPr>
          <w:trHeight w:val="22"/>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w w:val="93"/>
              </w:rPr>
              <w:t>(In millions)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6"/>
        </w:trPr>
        <w:tc>
          <w:tcPr>
            <w:tcW w:w="20" w:type="dxa"/>
            <w:vAlign w:val="bottom"/>
            <w:shd w:val="clear" w:color="auto" w:fill="CCEEFF"/>
          </w:tcPr>
          <w:p>
            <w:pPr>
              <w:spacing w:after="0"/>
              <w:rPr>
                <w:sz w:val="15"/>
                <w:szCs w:val="15"/>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Corporate-level debt:</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3"/>
                <w:szCs w:val="13"/>
                <w:color w:val="auto"/>
              </w:rPr>
              <w:t>Intercompany Note with Clearway Energy, Inc.</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Clearway Energy Operating LLC Senior Notes, due 2028</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3"/>
                <w:szCs w:val="13"/>
                <w:color w:val="auto"/>
              </w:rPr>
              <w:t>Clearway Energy Operating LLC Senior Notes, due 2031</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925</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Clearway Energy Operating LLC Senior Notes, due 2032</w:t>
            </w: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w:t>
            </w:r>
          </w:p>
        </w:tc>
      </w:tr>
      <w:tr>
        <w:trPr>
          <w:trHeight w:val="158"/>
        </w:trPr>
        <w:tc>
          <w:tcPr>
            <w:tcW w:w="20" w:type="dxa"/>
            <w:vAlign w:val="bottom"/>
          </w:tcPr>
          <w:p>
            <w:pPr>
              <w:spacing w:after="0"/>
              <w:rPr>
                <w:sz w:val="13"/>
                <w:szCs w:val="13"/>
                <w:color w:val="auto"/>
              </w:rPr>
            </w:pPr>
          </w:p>
        </w:tc>
        <w:tc>
          <w:tcPr>
            <w:tcW w:w="520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 Corporate-level debt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2,127</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Project-level debt: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3"/>
                <w:szCs w:val="13"/>
                <w:color w:val="auto"/>
              </w:rPr>
              <w:t>Agua Caliente Solar LLC, due 2037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649</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Alta Wind Asset Management LLC, due 2031</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3"/>
                <w:szCs w:val="13"/>
                <w:color w:val="auto"/>
              </w:rPr>
              <w:t>Alta Wind I-V lease financing arrangements, due 2034 and 2035</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709</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Alta Wind Realty Investments LLC, due 2031</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3"/>
                <w:szCs w:val="13"/>
                <w:color w:val="auto"/>
              </w:rPr>
              <w:t>Borrego, due 2024 and 2038</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Buckthorn Solar, due 2025</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3"/>
                <w:szCs w:val="13"/>
                <w:color w:val="auto"/>
              </w:rPr>
              <w:t>Capistrano Wind Portfolio, due 2029 and 2031</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156</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Carlsbad Energy Holdings LLC, due 2027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3"/>
                <w:szCs w:val="13"/>
                <w:color w:val="auto"/>
              </w:rPr>
              <w:t>Carlsbad Energy Holdings LLC, due 2038</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407</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Carlsbad Holdco, LLC, due 2038</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3"/>
                <w:szCs w:val="13"/>
                <w:color w:val="auto"/>
              </w:rPr>
              <w:t>CVSR, due 2037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627</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CVSR Holdco Notes, due 2037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3"/>
                <w:szCs w:val="13"/>
                <w:color w:val="auto"/>
              </w:rPr>
              <w:t>DG-CS Master Borrower LLC, due 2040</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413</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Marsh Landing, due 2023</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3"/>
                <w:szCs w:val="13"/>
                <w:color w:val="auto"/>
              </w:rPr>
              <w:t>Mililani I, due 2027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NIMH Solar, due 2024</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3"/>
                <w:szCs w:val="13"/>
                <w:color w:val="auto"/>
              </w:rPr>
              <w:t>Oahu Solar Holdings LLC, due 2026</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Rosie Class B LLC, due 2027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3"/>
                <w:szCs w:val="13"/>
                <w:color w:val="auto"/>
              </w:rPr>
              <w:t>Utah Solar Holdings, due 2036</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257</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Viento Funding II, LLC, due 2029</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r>
      <w:tr>
        <w:trPr>
          <w:trHeight w:val="170"/>
        </w:trPr>
        <w:tc>
          <w:tcPr>
            <w:tcW w:w="20" w:type="dxa"/>
            <w:vAlign w:val="bottom"/>
          </w:tcPr>
          <w:p>
            <w:pPr>
              <w:spacing w:after="0"/>
              <w:rPr>
                <w:sz w:val="14"/>
                <w:szCs w:val="14"/>
                <w:color w:val="auto"/>
              </w:rPr>
            </w:pPr>
          </w:p>
        </w:tc>
        <w:tc>
          <w:tcPr>
            <w:tcW w:w="5200" w:type="dxa"/>
            <w:vAlign w:val="bottom"/>
            <w:gridSpan w:val="2"/>
          </w:tcPr>
          <w:p>
            <w:pPr>
              <w:spacing w:after="0" w:line="170" w:lineRule="exact"/>
              <w:rPr>
                <w:sz w:val="20"/>
                <w:szCs w:val="20"/>
                <w:color w:val="auto"/>
              </w:rPr>
            </w:pPr>
            <w:r>
              <w:rPr>
                <w:rFonts w:ascii="Arial" w:cs="Arial" w:eastAsia="Arial" w:hAnsi="Arial"/>
                <w:sz w:val="13"/>
                <w:szCs w:val="13"/>
                <w:color w:val="auto"/>
              </w:rPr>
              <w:t xml:space="preserve">Waiawa, due 2023 </w:t>
            </w:r>
            <w:r>
              <w:rPr>
                <w:rFonts w:ascii="Arial" w:cs="Arial" w:eastAsia="Arial" w:hAnsi="Arial"/>
                <w:sz w:val="16"/>
                <w:szCs w:val="16"/>
                <w:color w:val="auto"/>
                <w:vertAlign w:val="superscript"/>
              </w:rPr>
              <w:t>(a)</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97</w:t>
            </w:r>
          </w:p>
        </w:tc>
      </w:tr>
      <w:tr>
        <w:trPr>
          <w:trHeight w:val="170"/>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Walnut Creek, due 2023</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3"/>
                <w:szCs w:val="13"/>
                <w:color w:val="auto"/>
              </w:rPr>
              <w:t>WCEP Holdings, LLC, due 2023</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70"/>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w:t>
            </w:r>
          </w:p>
        </w:tc>
      </w:tr>
      <w:tr>
        <w:trPr>
          <w:trHeight w:val="163"/>
        </w:trPr>
        <w:tc>
          <w:tcPr>
            <w:tcW w:w="20" w:type="dxa"/>
            <w:vAlign w:val="bottom"/>
          </w:tcPr>
          <w:p>
            <w:pPr>
              <w:spacing w:after="0"/>
              <w:rPr>
                <w:sz w:val="14"/>
                <w:szCs w:val="14"/>
                <w:color w:val="auto"/>
              </w:rPr>
            </w:pPr>
          </w:p>
        </w:tc>
        <w:tc>
          <w:tcPr>
            <w:tcW w:w="520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 project-level debt</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419</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2,774</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4"/>
                <w:szCs w:val="14"/>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 debt</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4,899</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60" w:firstLine="9"/>
        <w:spacing w:after="0"/>
        <w:tabs>
          <w:tab w:leader="none" w:pos="180" w:val="left"/>
        </w:tabs>
        <w:numPr>
          <w:ilvl w:val="0"/>
          <w:numId w:val="22"/>
        </w:numPr>
        <w:rPr>
          <w:rFonts w:ascii="Arial" w:cs="Arial" w:eastAsia="Arial" w:hAnsi="Arial"/>
          <w:sz w:val="13"/>
          <w:szCs w:val="13"/>
          <w:color w:val="auto"/>
          <w:vertAlign w:val="superscript"/>
        </w:rPr>
      </w:pPr>
      <w:r>
        <w:rPr>
          <w:rFonts w:ascii="Arial" w:cs="Arial" w:eastAsia="Arial" w:hAnsi="Arial"/>
          <w:sz w:val="9"/>
          <w:szCs w:val="9"/>
          <w:color w:val="auto"/>
        </w:rPr>
        <w:t>At December 31, 2022, amount includes $97 million recorded in long-term debt on the Company’s consolidated balance sheet that is due in 2023 and is either being funded through long-term equity contributions or is converting to long-term debt.</w:t>
      </w:r>
    </w:p>
    <w:p>
      <w:pPr>
        <w:spacing w:after="0" w:line="258"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El Segundo Energy Center</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On December 15, 2022, the Company repaid the outstanding project-level debt of El Segundo Energy Center in the amount of approximately $130 million utilizing cash on hand.</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Bridge Loan Agreement</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On May 3, 2022, the Company repaid the $335 million in outstanding borrowings under the Bridge Loan Agreement utilizing proceeds received from the Thermal Disposition.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color w:val="auto"/>
        </w:rPr>
        <w:t>Capital Expenditures</w:t>
      </w:r>
    </w:p>
    <w:p>
      <w:pPr>
        <w:spacing w:after="0" w:line="14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spacing w:after="0" w:line="99"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231F20"/>
        </w:rPr>
        <w:t xml:space="preserve">For the years ended </w:t>
      </w:r>
      <w:r>
        <w:rPr>
          <w:rFonts w:ascii="Arial" w:cs="Arial" w:eastAsia="Arial" w:hAnsi="Arial"/>
          <w:sz w:val="13"/>
          <w:szCs w:val="13"/>
          <w:color w:val="000000"/>
        </w:rPr>
        <w:t>December 31, 2022</w:t>
      </w:r>
      <w:r>
        <w:rPr>
          <w:rFonts w:ascii="Arial" w:cs="Arial" w:eastAsia="Arial" w:hAnsi="Arial"/>
          <w:sz w:val="13"/>
          <w:szCs w:val="13"/>
          <w:color w:val="231F20"/>
        </w:rPr>
        <w:t xml:space="preserve"> and 2021, the Company used approximately $112 million, and $151 million, respectively, to fund capital expenditures, including </w:t>
      </w:r>
      <w:r>
        <w:rPr>
          <w:rFonts w:ascii="Arial" w:cs="Arial" w:eastAsia="Arial" w:hAnsi="Arial"/>
          <w:sz w:val="13"/>
          <w:szCs w:val="13"/>
          <w:color w:val="000000"/>
        </w:rPr>
        <w:t>maintenance capital</w:t>
      </w:r>
      <w:r>
        <w:rPr>
          <w:rFonts w:ascii="Arial" w:cs="Arial" w:eastAsia="Arial" w:hAnsi="Arial"/>
          <w:sz w:val="13"/>
          <w:szCs w:val="13"/>
          <w:color w:val="231F20"/>
        </w:rPr>
        <w:t xml:space="preserve"> expenditures </w:t>
      </w:r>
      <w:r>
        <w:rPr>
          <w:rFonts w:ascii="Arial" w:cs="Arial" w:eastAsia="Arial" w:hAnsi="Arial"/>
          <w:sz w:val="13"/>
          <w:szCs w:val="13"/>
          <w:color w:val="000000"/>
        </w:rPr>
        <w:t>of $25 million for both years.</w:t>
      </w:r>
      <w:r>
        <w:rPr>
          <w:rFonts w:ascii="Arial" w:cs="Arial" w:eastAsia="Arial" w:hAnsi="Arial"/>
          <w:sz w:val="13"/>
          <w:szCs w:val="13"/>
          <w:color w:val="231F20"/>
        </w:rPr>
        <w:t xml:space="preserve"> Growth capital expenditures in 2022 </w:t>
      </w:r>
      <w:r>
        <w:rPr>
          <w:rFonts w:ascii="Arial" w:cs="Arial" w:eastAsia="Arial" w:hAnsi="Arial"/>
          <w:sz w:val="13"/>
          <w:szCs w:val="13"/>
          <w:color w:val="000000"/>
        </w:rPr>
        <w:t>of $83 million in the Renewables segment were funded through construction-related financing. Renewables segment</w:t>
      </w:r>
      <w:r>
        <w:rPr>
          <w:rFonts w:ascii="Arial" w:cs="Arial" w:eastAsia="Arial" w:hAnsi="Arial"/>
          <w:sz w:val="13"/>
          <w:szCs w:val="13"/>
          <w:color w:val="231F20"/>
        </w:rPr>
        <w:t xml:space="preserve"> </w:t>
      </w:r>
      <w:r>
        <w:rPr>
          <w:rFonts w:ascii="Arial" w:cs="Arial" w:eastAsia="Arial" w:hAnsi="Arial"/>
          <w:sz w:val="13"/>
          <w:szCs w:val="13"/>
          <w:color w:val="000000"/>
        </w:rPr>
        <w:t>capital expenditures included $34 million incurred in connection with the Mililani I solar project, $26 million incurred in connection with the Mesquite Sky wind project, $10 million incurred in connection with the Black Rock wind project, $5 million incurred in connection with the Rattlesnake wind project and $8 million incurred by other wind and solar projects. Prior to the sale of the Thermal Business on May 1, 2022, the Company incurred $4 million of growth capital expenditures in the Thermal segment in connection with various development projects.</w:t>
      </w:r>
    </w:p>
    <w:p>
      <w:pPr>
        <w:spacing w:after="0" w:line="92"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231F20"/>
        </w:rPr>
        <w:t xml:space="preserve">The Company estimates $35 million of maintenance capital expenditures for 2023. </w:t>
      </w:r>
      <w:r>
        <w:rPr>
          <w:rFonts w:ascii="Arial" w:cs="Arial" w:eastAsia="Arial" w:hAnsi="Arial"/>
          <w:sz w:val="14"/>
          <w:szCs w:val="14"/>
          <w:color w:val="000000"/>
        </w:rPr>
        <w:t>These estimates are subject to continuing review and adjustment and actual capital expenditures may vary</w:t>
      </w:r>
      <w:r>
        <w:rPr>
          <w:rFonts w:ascii="Arial" w:cs="Arial" w:eastAsia="Arial" w:hAnsi="Arial"/>
          <w:sz w:val="14"/>
          <w:szCs w:val="14"/>
          <w:color w:val="231F20"/>
        </w:rPr>
        <w:t xml:space="preserve"> </w:t>
      </w:r>
      <w:r>
        <w:rPr>
          <w:rFonts w:ascii="Arial" w:cs="Arial" w:eastAsia="Arial" w:hAnsi="Arial"/>
          <w:sz w:val="14"/>
          <w:szCs w:val="14"/>
          <w:color w:val="000000"/>
        </w:rPr>
        <w:t>from these estimates.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Off-Balance Sheet Arrangements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Obligations under Certain Guarantee Contracts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231F20"/>
        </w:rPr>
        <w:t>The Company may enter into guarantee arrangements in the normal course of business to facilitate commercial transactions with third parties.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Retained or Contingent Interests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does not have any material retained or contingent interests in assets transferred to an unconsolidated entity.</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Obligations Arising Out of a Variable Interest in an Unconsolidated Entity</w:t>
      </w:r>
    </w:p>
    <w:p>
      <w:pPr>
        <w:spacing w:after="0" w:line="12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i w:val="1"/>
          <w:iCs w:val="1"/>
          <w:color w:val="auto"/>
        </w:rPr>
        <w:t xml:space="preserve">Variable interest in equity investments </w:t>
      </w:r>
      <w:r>
        <w:rPr>
          <w:rFonts w:ascii="Arial" w:cs="Arial" w:eastAsia="Arial" w:hAnsi="Arial"/>
          <w:sz w:val="14"/>
          <w:szCs w:val="14"/>
          <w:color w:val="auto"/>
        </w:rPr>
        <w:t>— As of December 31, 2022, the Company has several investments with an ownership interest percentage of 50% or less. GenConn is a variable interest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entity for which the Company is not the primary beneficiary. The Company’s pro-rata share of non-recourse debt held by unconsolidated affiliates was approximately $325 million as of December 31, 2022. This indebtedness may restrict the ability of these subsidiaries to issue dividends or distributions to the Company. See also Item 15 — Note 5, </w:t>
      </w:r>
      <w:r>
        <w:rPr>
          <w:rFonts w:ascii="Arial" w:cs="Arial" w:eastAsia="Arial" w:hAnsi="Arial"/>
          <w:sz w:val="14"/>
          <w:szCs w:val="14"/>
          <w:i w:val="1"/>
          <w:iCs w:val="1"/>
          <w:color w:val="auto"/>
        </w:rPr>
        <w:t>Investments Accounted for by the Equity Method</w:t>
      </w:r>
      <w:r>
        <w:rPr>
          <w:rFonts w:ascii="Arial" w:cs="Arial" w:eastAsia="Arial" w:hAnsi="Arial"/>
          <w:sz w:val="14"/>
          <w:szCs w:val="14"/>
          <w:color w:val="auto"/>
        </w:rPr>
        <w:t xml:space="preserve"> </w:t>
      </w:r>
      <w:r>
        <w:rPr>
          <w:rFonts w:ascii="Arial" w:cs="Arial" w:eastAsia="Arial" w:hAnsi="Arial"/>
          <w:sz w:val="14"/>
          <w:szCs w:val="14"/>
          <w:i w:val="1"/>
          <w:iCs w:val="1"/>
          <w:color w:val="auto"/>
        </w:rPr>
        <w:t>and Variable Interest Entities</w:t>
      </w:r>
      <w:r>
        <w:rPr>
          <w:rFonts w:ascii="Arial" w:cs="Arial" w:eastAsia="Arial" w:hAnsi="Arial"/>
          <w:sz w:val="14"/>
          <w:szCs w:val="14"/>
          <w:color w:val="auto"/>
        </w:rPr>
        <w:t>.</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Contractual Obligations and Commercial Commitments</w:t>
      </w:r>
    </w:p>
    <w:p>
      <w:pPr>
        <w:spacing w:after="0" w:line="14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 xml:space="preserve">In addition to the Company’s capital expenditure programs, the Company has a variety of contractual obligations and other commercial commitments that represent prospective cash requirements. The following table summarizes the Company’s contractual obligations. See Item 15 </w:t>
      </w:r>
      <w:r>
        <w:rPr>
          <w:rFonts w:ascii="Arial" w:cs="Arial" w:eastAsia="Arial" w:hAnsi="Arial"/>
          <w:sz w:val="14"/>
          <w:szCs w:val="14"/>
          <w:i w:val="1"/>
          <w:iCs w:val="1"/>
          <w:color w:val="auto"/>
        </w:rPr>
        <w:t>—</w:t>
      </w:r>
      <w:r>
        <w:rPr>
          <w:rFonts w:ascii="Arial" w:cs="Arial" w:eastAsia="Arial" w:hAnsi="Arial"/>
          <w:sz w:val="14"/>
          <w:szCs w:val="14"/>
          <w:color w:val="auto"/>
        </w:rPr>
        <w:t xml:space="preserve"> Note 10</w:t>
      </w:r>
      <w:r>
        <w:rPr>
          <w:rFonts w:ascii="Arial" w:cs="Arial" w:eastAsia="Arial" w:hAnsi="Arial"/>
          <w:sz w:val="14"/>
          <w:szCs w:val="14"/>
          <w:i w:val="1"/>
          <w:iCs w:val="1"/>
          <w:color w:val="231F20"/>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Long-term Debt,</w:t>
      </w:r>
      <w:r>
        <w:rPr>
          <w:rFonts w:ascii="Arial" w:cs="Arial" w:eastAsia="Arial" w:hAnsi="Arial"/>
          <w:sz w:val="14"/>
          <w:szCs w:val="14"/>
          <w:color w:val="auto"/>
        </w:rPr>
        <w:t xml:space="preserve"> Note 14</w:t>
      </w:r>
      <w:r>
        <w:rPr>
          <w:rFonts w:ascii="Arial" w:cs="Arial" w:eastAsia="Arial" w:hAnsi="Arial"/>
          <w:sz w:val="14"/>
          <w:szCs w:val="14"/>
          <w:i w:val="1"/>
          <w:iCs w:val="1"/>
          <w:color w:val="auto"/>
        </w:rPr>
        <w:t>, Commitments and Contingencies,</w:t>
      </w:r>
      <w:r>
        <w:rPr>
          <w:rFonts w:ascii="Arial" w:cs="Arial" w:eastAsia="Arial" w:hAnsi="Arial"/>
          <w:sz w:val="14"/>
          <w:szCs w:val="14"/>
          <w:color w:val="auto"/>
        </w:rPr>
        <w:t xml:space="preserve"> and Note 15</w:t>
      </w:r>
      <w:r>
        <w:rPr>
          <w:rFonts w:ascii="Arial" w:cs="Arial" w:eastAsia="Arial" w:hAnsi="Arial"/>
          <w:sz w:val="14"/>
          <w:szCs w:val="14"/>
          <w:i w:val="1"/>
          <w:iCs w:val="1"/>
          <w:color w:val="auto"/>
        </w:rPr>
        <w:t>, Leases,</w:t>
      </w:r>
      <w:r>
        <w:rPr>
          <w:rFonts w:ascii="Arial" w:cs="Arial" w:eastAsia="Arial" w:hAnsi="Arial"/>
          <w:sz w:val="14"/>
          <w:szCs w:val="14"/>
          <w:color w:val="auto"/>
        </w:rPr>
        <w:t xml:space="preserve"> for additional discussion.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rPr>
              <w:t>By Remaining Maturity at December 31,</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4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Contractual Cash Obligations</w:t>
            </w:r>
          </w:p>
        </w:tc>
        <w:tc>
          <w:tcPr>
            <w:tcW w:w="240" w:type="dxa"/>
            <w:vAlign w:val="bottom"/>
          </w:tcPr>
          <w:p>
            <w:pPr>
              <w:spacing w:after="0"/>
              <w:rPr>
                <w:sz w:val="8"/>
                <w:szCs w:val="8"/>
                <w:color w:val="auto"/>
              </w:rPr>
            </w:pPr>
          </w:p>
        </w:tc>
        <w:tc>
          <w:tcPr>
            <w:tcW w:w="900" w:type="dxa"/>
            <w:vAlign w:val="bottom"/>
            <w:gridSpan w:val="2"/>
          </w:tcPr>
          <w:p>
            <w:pPr>
              <w:ind w:left="140"/>
              <w:spacing w:after="0" w:line="103" w:lineRule="exact"/>
              <w:rPr>
                <w:sz w:val="20"/>
                <w:szCs w:val="20"/>
                <w:color w:val="auto"/>
              </w:rPr>
            </w:pPr>
            <w:r>
              <w:rPr>
                <w:rFonts w:ascii="Arial" w:cs="Arial" w:eastAsia="Arial" w:hAnsi="Arial"/>
                <w:sz w:val="11"/>
                <w:szCs w:val="11"/>
                <w:b w:val="1"/>
                <w:bCs w:val="1"/>
                <w:color w:val="auto"/>
              </w:rPr>
              <w:t>Under</w:t>
            </w:r>
          </w:p>
        </w:tc>
        <w:tc>
          <w:tcPr>
            <w:tcW w:w="200" w:type="dxa"/>
            <w:vAlign w:val="bottom"/>
          </w:tcPr>
          <w:p>
            <w:pPr>
              <w:spacing w:after="0"/>
              <w:rPr>
                <w:sz w:val="8"/>
                <w:szCs w:val="8"/>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1-3 Years</w:t>
            </w:r>
          </w:p>
        </w:tc>
        <w:tc>
          <w:tcPr>
            <w:tcW w:w="100" w:type="dxa"/>
            <w:vAlign w:val="bottom"/>
          </w:tcPr>
          <w:p>
            <w:pPr>
              <w:spacing w:after="0"/>
              <w:rPr>
                <w:sz w:val="8"/>
                <w:szCs w:val="8"/>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3-5 Years</w:t>
            </w:r>
          </w:p>
        </w:tc>
        <w:tc>
          <w:tcPr>
            <w:tcW w:w="300" w:type="dxa"/>
            <w:vAlign w:val="bottom"/>
          </w:tcPr>
          <w:p>
            <w:pPr>
              <w:spacing w:after="0"/>
              <w:rPr>
                <w:sz w:val="8"/>
                <w:szCs w:val="8"/>
                <w:color w:val="auto"/>
              </w:rPr>
            </w:pPr>
          </w:p>
        </w:tc>
        <w:tc>
          <w:tcPr>
            <w:tcW w:w="840" w:type="dxa"/>
            <w:vAlign w:val="bottom"/>
            <w:gridSpan w:val="2"/>
          </w:tcPr>
          <w:p>
            <w:pPr>
              <w:jc w:val="center"/>
              <w:ind w:right="400"/>
              <w:spacing w:after="0" w:line="103" w:lineRule="exact"/>
              <w:rPr>
                <w:sz w:val="20"/>
                <w:szCs w:val="20"/>
                <w:color w:val="auto"/>
              </w:rPr>
            </w:pPr>
            <w:r>
              <w:rPr>
                <w:rFonts w:ascii="Arial" w:cs="Arial" w:eastAsia="Arial" w:hAnsi="Arial"/>
                <w:sz w:val="11"/>
                <w:szCs w:val="11"/>
                <w:b w:val="1"/>
                <w:bCs w:val="1"/>
                <w:color w:val="auto"/>
                <w:w w:val="95"/>
              </w:rPr>
              <w:t>Over</w:t>
            </w:r>
          </w:p>
        </w:tc>
        <w:tc>
          <w:tcPr>
            <w:tcW w:w="260" w:type="dxa"/>
            <w:vAlign w:val="bottom"/>
          </w:tcPr>
          <w:p>
            <w:pPr>
              <w:spacing w:after="0"/>
              <w:rPr>
                <w:sz w:val="8"/>
                <w:szCs w:val="8"/>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Total</w:t>
            </w:r>
          </w:p>
        </w:tc>
        <w:tc>
          <w:tcPr>
            <w:tcW w:w="240" w:type="dxa"/>
            <w:vAlign w:val="bottom"/>
          </w:tcPr>
          <w:p>
            <w:pPr>
              <w:spacing w:after="0"/>
              <w:rPr>
                <w:sz w:val="8"/>
                <w:szCs w:val="8"/>
                <w:color w:val="auto"/>
              </w:rPr>
            </w:pPr>
          </w:p>
        </w:tc>
        <w:tc>
          <w:tcPr>
            <w:tcW w:w="800" w:type="dxa"/>
            <w:vAlign w:val="bottom"/>
            <w:vMerge w:val="restart"/>
          </w:tcPr>
          <w:p>
            <w:pPr>
              <w:jc w:val="right"/>
              <w:ind w:right="33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ind w:left="140"/>
              <w:spacing w:after="0" w:line="117" w:lineRule="exact"/>
              <w:rPr>
                <w:sz w:val="20"/>
                <w:szCs w:val="20"/>
                <w:color w:val="auto"/>
              </w:rPr>
            </w:pPr>
            <w:r>
              <w:rPr>
                <w:rFonts w:ascii="Arial" w:cs="Arial" w:eastAsia="Arial" w:hAnsi="Arial"/>
                <w:sz w:val="11"/>
                <w:szCs w:val="11"/>
                <w:b w:val="1"/>
                <w:bCs w:val="1"/>
                <w:color w:val="auto"/>
              </w:rPr>
              <w:t>1 Year</w:t>
            </w: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center"/>
              <w:ind w:right="400"/>
              <w:spacing w:after="0" w:line="117" w:lineRule="exact"/>
              <w:rPr>
                <w:sz w:val="20"/>
                <w:szCs w:val="20"/>
                <w:color w:val="auto"/>
              </w:rPr>
            </w:pPr>
            <w:r>
              <w:rPr>
                <w:rFonts w:ascii="Arial" w:cs="Arial" w:eastAsia="Arial" w:hAnsi="Arial"/>
                <w:sz w:val="11"/>
                <w:szCs w:val="11"/>
                <w:b w:val="1"/>
                <w:bCs w:val="1"/>
                <w:color w:val="auto"/>
                <w:w w:val="91"/>
              </w:rPr>
              <w:t>5 Years</w:t>
            </w:r>
          </w:p>
        </w:tc>
        <w:tc>
          <w:tcPr>
            <w:tcW w:w="2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Long-term debt (including estimated interest)</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gridSpan w:val="2"/>
          </w:tcPr>
          <w:p>
            <w:pPr>
              <w:spacing w:after="0"/>
              <w:rPr>
                <w:sz w:val="20"/>
                <w:szCs w:val="20"/>
                <w:color w:val="auto"/>
              </w:rPr>
            </w:pPr>
            <w:r>
              <w:rPr>
                <w:rFonts w:ascii="Arial" w:cs="Arial" w:eastAsia="Arial" w:hAnsi="Arial"/>
                <w:sz w:val="14"/>
                <w:szCs w:val="14"/>
                <w:color w:val="auto"/>
              </w:rPr>
              <w:t>Operating leases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480" w:type="dxa"/>
            <w:vAlign w:val="bottom"/>
            <w:gridSpan w:val="2"/>
            <w:shd w:val="clear" w:color="auto" w:fill="CCEEFF"/>
          </w:tcPr>
          <w:p>
            <w:pPr>
              <w:spacing w:after="0" w:line="181" w:lineRule="exact"/>
              <w:rPr>
                <w:sz w:val="20"/>
                <w:szCs w:val="20"/>
                <w:color w:val="auto"/>
              </w:rPr>
            </w:pPr>
            <w:r>
              <w:rPr>
                <w:rFonts w:ascii="Arial" w:cs="Arial" w:eastAsia="Arial" w:hAnsi="Arial"/>
                <w:sz w:val="14"/>
                <w:szCs w:val="14"/>
                <w:color w:val="auto"/>
              </w:rPr>
              <w:t xml:space="preserve">Fuel purchase and transportation obligations </w:t>
            </w:r>
            <w:r>
              <w:rPr>
                <w:rFonts w:ascii="Arial" w:cs="Arial" w:eastAsia="Arial" w:hAnsi="Arial"/>
                <w:sz w:val="18"/>
                <w:szCs w:val="18"/>
                <w:color w:val="auto"/>
                <w:vertAlign w:val="superscript"/>
              </w:rPr>
              <w:t>(a)</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480" w:type="dxa"/>
            <w:vAlign w:val="bottom"/>
            <w:tcBorders>
              <w:bottom w:val="single" w:sz="8" w:color="CCEEFF"/>
            </w:tcBorders>
            <w:gridSpan w:val="2"/>
          </w:tcPr>
          <w:p>
            <w:pPr>
              <w:spacing w:after="0" w:line="181" w:lineRule="exact"/>
              <w:rPr>
                <w:sz w:val="20"/>
                <w:szCs w:val="20"/>
                <w:color w:val="auto"/>
              </w:rPr>
            </w:pPr>
            <w:r>
              <w:rPr>
                <w:rFonts w:ascii="Arial" w:cs="Arial" w:eastAsia="Arial" w:hAnsi="Arial"/>
                <w:sz w:val="14"/>
                <w:szCs w:val="14"/>
                <w:color w:val="auto"/>
              </w:rPr>
              <w:t xml:space="preserve">Other liabilities </w:t>
            </w:r>
            <w:r>
              <w:rPr>
                <w:rFonts w:ascii="Arial" w:cs="Arial" w:eastAsia="Arial" w:hAnsi="Arial"/>
                <w:sz w:val="18"/>
                <w:szCs w:val="18"/>
                <w:color w:val="auto"/>
                <w:vertAlign w:val="superscript"/>
              </w:rPr>
              <w:t>(b)</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120" w:hanging="115"/>
        <w:spacing w:after="0"/>
        <w:tabs>
          <w:tab w:leader="none" w:pos="120" w:val="left"/>
        </w:tabs>
        <w:numPr>
          <w:ilvl w:val="0"/>
          <w:numId w:val="23"/>
        </w:numPr>
        <w:rPr>
          <w:rFonts w:ascii="Arial" w:cs="Arial" w:eastAsia="Arial" w:hAnsi="Arial"/>
          <w:sz w:val="14"/>
          <w:szCs w:val="14"/>
          <w:color w:val="auto"/>
          <w:vertAlign w:val="superscript"/>
        </w:rPr>
      </w:pPr>
      <w:r>
        <w:rPr>
          <w:rFonts w:ascii="Arial" w:cs="Arial" w:eastAsia="Arial" w:hAnsi="Arial"/>
          <w:sz w:val="9"/>
          <w:szCs w:val="9"/>
          <w:color w:val="auto"/>
        </w:rPr>
        <w:t>These contractual cash obligations were related to the Thermal Business, which was sold on May 1, 2022.</w:t>
      </w:r>
    </w:p>
    <w:p>
      <w:pPr>
        <w:spacing w:after="0" w:line="45" w:lineRule="exact"/>
        <w:rPr>
          <w:rFonts w:ascii="Arial" w:cs="Arial" w:eastAsia="Arial" w:hAnsi="Arial"/>
          <w:sz w:val="14"/>
          <w:szCs w:val="14"/>
          <w:color w:val="auto"/>
          <w:vertAlign w:val="superscript"/>
        </w:rPr>
      </w:pPr>
    </w:p>
    <w:p>
      <w:pPr>
        <w:ind w:left="140" w:hanging="135"/>
        <w:spacing w:after="0" w:line="187" w:lineRule="auto"/>
        <w:tabs>
          <w:tab w:leader="none" w:pos="140" w:val="left"/>
        </w:tabs>
        <w:numPr>
          <w:ilvl w:val="0"/>
          <w:numId w:val="23"/>
        </w:numPr>
        <w:rPr>
          <w:rFonts w:ascii="Arial" w:cs="Arial" w:eastAsia="Arial" w:hAnsi="Arial"/>
          <w:sz w:val="15"/>
          <w:szCs w:val="15"/>
          <w:color w:val="auto"/>
          <w:vertAlign w:val="superscript"/>
        </w:rPr>
      </w:pPr>
      <w:r>
        <w:rPr>
          <w:rFonts w:ascii="Arial" w:cs="Arial" w:eastAsia="Arial" w:hAnsi="Arial"/>
          <w:sz w:val="10"/>
          <w:szCs w:val="10"/>
          <w:color w:val="auto"/>
        </w:rPr>
        <w:t>Includes water right agreements, service and maintenance agreements, and LTSA commitments.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7" w:name="page48"/>
    <w:bookmarkEnd w:id="47"/>
    <w:p>
      <w:pPr>
        <w:ind w:left="320"/>
        <w:spacing w:after="0"/>
        <w:rPr>
          <w:sz w:val="20"/>
          <w:szCs w:val="20"/>
          <w:color w:val="auto"/>
        </w:rPr>
      </w:pPr>
      <w:r>
        <w:rPr>
          <w:rFonts w:ascii="Arial" w:cs="Arial" w:eastAsia="Arial" w:hAnsi="Arial"/>
          <w:sz w:val="14"/>
          <w:szCs w:val="14"/>
          <w:b w:val="1"/>
          <w:bCs w:val="1"/>
          <w:i w:val="1"/>
          <w:iCs w:val="1"/>
          <w:color w:val="auto"/>
        </w:rPr>
        <w:t>Acquisitions and Investments</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9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i w:val="1"/>
          <w:iCs w:val="1"/>
          <w:color w:val="auto"/>
        </w:rPr>
        <w:t xml:space="preserve">Daggett 3 Drop Down </w:t>
      </w:r>
      <w:r>
        <w:rPr>
          <w:rFonts w:ascii="Arial" w:cs="Arial" w:eastAsia="Arial" w:hAnsi="Arial"/>
          <w:sz w:val="14"/>
          <w:szCs w:val="14"/>
          <w:color w:val="auto"/>
        </w:rPr>
        <w:t>— On February 17, 2023, the Company, through a partnership with a third-party investor, acquired an interest in Daggett TargetCo LLC from Clearway Renew LLC for</w:t>
      </w:r>
      <w:r>
        <w:rPr>
          <w:rFonts w:ascii="Arial" w:cs="Arial" w:eastAsia="Arial" w:hAnsi="Arial"/>
          <w:sz w:val="14"/>
          <w:szCs w:val="14"/>
          <w:i w:val="1"/>
          <w:iCs w:val="1"/>
          <w:color w:val="auto"/>
        </w:rPr>
        <w:t xml:space="preserve"> </w:t>
      </w:r>
      <w:r>
        <w:rPr>
          <w:rFonts w:ascii="Arial" w:cs="Arial" w:eastAsia="Arial" w:hAnsi="Arial"/>
          <w:sz w:val="14"/>
          <w:szCs w:val="14"/>
          <w:color w:val="auto"/>
        </w:rPr>
        <w:t>cash consideration of $21 million. Daggett TargetCo LLC is the primary beneficiary and consolidates its interest in a tax equity fund, Daggett TE Holdco LLC, the owner of the Daggett 3 solar project. Daggett 3 has PPAs with investment-grade counterparties that have a 15-year weighted average contract duration that commence when the project reaches commercial operations, which is expected to occur in the first half of 2023. The acquisition was funded with existing sources of liquidity.</w:t>
      </w:r>
    </w:p>
    <w:p>
      <w:pPr>
        <w:spacing w:after="0" w:line="103"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i w:val="1"/>
          <w:iCs w:val="1"/>
          <w:color w:val="auto"/>
        </w:rPr>
        <w:t xml:space="preserve">Waiawa Drop Down </w:t>
      </w:r>
      <w:r>
        <w:rPr>
          <w:rFonts w:ascii="Arial" w:cs="Arial" w:eastAsia="Arial" w:hAnsi="Arial"/>
          <w:sz w:val="13"/>
          <w:szCs w:val="13"/>
          <w:b w:val="1"/>
          <w:bCs w:val="1"/>
          <w:i w:val="1"/>
          <w:iCs w:val="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On October 3, 2022, the Company, through a partnership with a third-party investor, acquired Waiawa BL Borrower Holdco LLC, the indirect owner, through its</w:t>
      </w:r>
      <w:r>
        <w:rPr>
          <w:rFonts w:ascii="Arial" w:cs="Arial" w:eastAsia="Arial" w:hAnsi="Arial"/>
          <w:sz w:val="13"/>
          <w:szCs w:val="13"/>
          <w:i w:val="1"/>
          <w:iCs w:val="1"/>
          <w:color w:val="auto"/>
        </w:rPr>
        <w:t xml:space="preserve"> </w:t>
      </w:r>
      <w:r>
        <w:rPr>
          <w:rFonts w:ascii="Arial" w:cs="Arial" w:eastAsia="Arial" w:hAnsi="Arial"/>
          <w:sz w:val="13"/>
          <w:szCs w:val="13"/>
          <w:color w:val="auto"/>
        </w:rPr>
        <w:t>ownership interests in and consolidation of a tax equity fund, of the Waiawa solar project, from Clearway Renew LLC for cash consideration of $20 million. Waiawa has a 20-year PPA with an investment-grade utility that commenced in January 2023. The acquisition was funded with existing sources of liquidity. As part of the acquisition, the Company assumed the project’s financing agreement, which includes a construction loan that converts to a term loan upon the project reaching substantial completion, which is expected to occur in the first half of 2023, a tax equity bridge loan that will be repaid upon the project reaching substantial completion and a sponsor equity bridge loan that was repaid at acquisition date.</w:t>
      </w:r>
    </w:p>
    <w:p>
      <w:pPr>
        <w:spacing w:after="0" w:line="92"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i w:val="1"/>
          <w:iCs w:val="1"/>
          <w:color w:val="auto"/>
        </w:rPr>
        <w:t xml:space="preserve">Capistrano Wind Portfolio Acquisition </w:t>
      </w:r>
      <w:r>
        <w:rPr>
          <w:rFonts w:ascii="Arial" w:cs="Arial" w:eastAsia="Arial" w:hAnsi="Arial"/>
          <w:sz w:val="13"/>
          <w:szCs w:val="13"/>
          <w:b w:val="1"/>
          <w:bCs w:val="1"/>
          <w:i w:val="1"/>
          <w:iCs w:val="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On August 22, 2022, the Company acquired the Capistrano Wind Portfolio from Capistrano Wind Partners LLC for total net consideration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$239 million. The assets within the portfolio sell power under PPAs with investment-grade counterparties that have a weighted average remaining contract duration of approximately 10 years. The acquisition was funded with existing sources of liquidity. As part of the acquisition, the Company assumed non-recourse project-level debt held by the projects in the portfolio.</w:t>
      </w:r>
    </w:p>
    <w:p>
      <w:pPr>
        <w:spacing w:after="0" w:line="8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i w:val="1"/>
          <w:iCs w:val="1"/>
          <w:color w:val="auto"/>
        </w:rPr>
        <w:t xml:space="preserve">Mililani I Drop Down </w:t>
      </w: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On March 25, 2022, the Company, through a partnership with a third-party investor, acquired Mililani BL Borrower Holdco LLC, the indirect owner, through its</w:t>
      </w:r>
      <w:r>
        <w:rPr>
          <w:rFonts w:ascii="Arial" w:cs="Arial" w:eastAsia="Arial" w:hAnsi="Arial"/>
          <w:sz w:val="14"/>
          <w:szCs w:val="14"/>
          <w:i w:val="1"/>
          <w:iCs w:val="1"/>
          <w:color w:val="auto"/>
        </w:rPr>
        <w:t xml:space="preserve"> </w:t>
      </w:r>
      <w:r>
        <w:rPr>
          <w:rFonts w:ascii="Arial" w:cs="Arial" w:eastAsia="Arial" w:hAnsi="Arial"/>
          <w:sz w:val="14"/>
          <w:szCs w:val="14"/>
          <w:color w:val="auto"/>
        </w:rPr>
        <w:t>ownership interests in and consolidation of a tax equity fund, of the Mililani I solar project from Clearway Renew LLC for cash consideration of $22 million. Mililani I has a 20-year PPA with an investment-grade utility that commenced in July 2022. The acquisition was funded with existing sources of liquidity. As part of the acquisition, the Company assumed the project’s financing agreement, which includes a construction loan that converted to a term loan on December 7, 2022 upon the project reaching substantial completion, a tax equity bridge loan that was repaid on December 7, 2022 and a sponsor equity bridge loan that was repaid at acquisition date.</w:t>
      </w:r>
    </w:p>
    <w:p>
      <w:pPr>
        <w:spacing w:after="0" w:line="104"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i w:val="1"/>
          <w:iCs w:val="1"/>
          <w:color w:val="auto"/>
        </w:rPr>
        <w:t xml:space="preserve">Black Rock Drop Down </w:t>
      </w:r>
      <w:r>
        <w:rPr>
          <w:rFonts w:ascii="Arial" w:cs="Arial" w:eastAsia="Arial" w:hAnsi="Arial"/>
          <w:sz w:val="14"/>
          <w:szCs w:val="14"/>
          <w:b w:val="1"/>
          <w:bCs w:val="1"/>
          <w:i w:val="1"/>
          <w:iCs w:val="1"/>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In February 2022, in connection with the 2021 Black Rock Drop Down, the Company paid an additional $23 million to Clearway Renew, LLC as final funding after</w:t>
      </w:r>
      <w:r>
        <w:rPr>
          <w:rFonts w:ascii="Arial" w:cs="Arial" w:eastAsia="Arial" w:hAnsi="Arial"/>
          <w:sz w:val="14"/>
          <w:szCs w:val="14"/>
          <w:i w:val="1"/>
          <w:iCs w:val="1"/>
          <w:color w:val="auto"/>
        </w:rPr>
        <w:t xml:space="preserve"> </w:t>
      </w:r>
      <w:r>
        <w:rPr>
          <w:rFonts w:ascii="Arial" w:cs="Arial" w:eastAsia="Arial" w:hAnsi="Arial"/>
          <w:sz w:val="14"/>
          <w:szCs w:val="14"/>
          <w:color w:val="auto"/>
        </w:rPr>
        <w:t>all remaining turbines of the project became operational.</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Cash Distributions to Clearway, Inc. and CEG</w:t>
      </w:r>
    </w:p>
    <w:p>
      <w:pPr>
        <w:spacing w:after="0" w:line="14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231F20"/>
        </w:rPr>
        <w:t xml:space="preserve">The Company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assets. Distributions on units </w:t>
      </w:r>
      <w:r>
        <w:rPr>
          <w:rFonts w:ascii="Arial" w:cs="Arial" w:eastAsia="Arial" w:hAnsi="Arial"/>
          <w:sz w:val="14"/>
          <w:szCs w:val="14"/>
          <w:color w:val="000000"/>
        </w:rPr>
        <w:t>are subject to available capital, market conditions and compliance</w:t>
      </w:r>
      <w:r>
        <w:rPr>
          <w:rFonts w:ascii="Arial" w:cs="Arial" w:eastAsia="Arial" w:hAnsi="Arial"/>
          <w:sz w:val="14"/>
          <w:szCs w:val="14"/>
          <w:color w:val="231F20"/>
        </w:rPr>
        <w:t xml:space="preserve"> </w:t>
      </w:r>
      <w:r>
        <w:rPr>
          <w:rFonts w:ascii="Arial" w:cs="Arial" w:eastAsia="Arial" w:hAnsi="Arial"/>
          <w:sz w:val="14"/>
          <w:szCs w:val="14"/>
          <w:color w:val="000000"/>
        </w:rPr>
        <w:t>with associated laws, regulations and other contractual obligations. The Company expects that, based on current circumstances, comparable distributions will continue to be paid in the foreseeable future.</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lists the distributions paid on the Company’s Class A, Class B, Class C and Class D units during the year ended December 31, 2022: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Fourth Quarter 2022</w:t>
            </w:r>
          </w:p>
        </w:tc>
        <w:tc>
          <w:tcPr>
            <w:tcW w:w="14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Third Quarter 2022</w:t>
            </w:r>
          </w:p>
        </w:tc>
        <w:tc>
          <w:tcPr>
            <w:tcW w:w="12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Second Quarter 2022</w:t>
            </w:r>
          </w:p>
        </w:tc>
        <w:tc>
          <w:tcPr>
            <w:tcW w:w="140" w:type="dxa"/>
            <w:vAlign w:val="bottom"/>
          </w:tcPr>
          <w:p>
            <w:pPr>
              <w:spacing w:after="0"/>
              <w:rPr>
                <w:sz w:val="13"/>
                <w:szCs w:val="13"/>
                <w:color w:val="auto"/>
              </w:rPr>
            </w:pPr>
          </w:p>
        </w:tc>
        <w:tc>
          <w:tcPr>
            <w:tcW w:w="1180" w:type="dxa"/>
            <w:vAlign w:val="bottom"/>
          </w:tcPr>
          <w:p>
            <w:pPr>
              <w:jc w:val="right"/>
              <w:ind w:right="134"/>
              <w:spacing w:after="0"/>
              <w:rPr>
                <w:sz w:val="20"/>
                <w:szCs w:val="20"/>
                <w:color w:val="auto"/>
              </w:rPr>
            </w:pPr>
            <w:r>
              <w:rPr>
                <w:rFonts w:ascii="Arial" w:cs="Arial" w:eastAsia="Arial" w:hAnsi="Arial"/>
                <w:sz w:val="11"/>
                <w:szCs w:val="11"/>
                <w:b w:val="1"/>
                <w:bCs w:val="1"/>
                <w:color w:val="auto"/>
              </w:rPr>
              <w:t>First Quarter 2022</w:t>
            </w:r>
          </w:p>
        </w:tc>
      </w:tr>
      <w:tr>
        <w:trPr>
          <w:trHeight w:val="180"/>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Distributions per Class A and Class B units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0.3672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0.3536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0.3468</w:t>
            </w:r>
          </w:p>
        </w:tc>
      </w:tr>
      <w:tr>
        <w:trPr>
          <w:trHeight w:val="184"/>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Distributions per Class C and Class D units</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0.3672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0.3604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0.3536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0.3468</w:t>
            </w: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On February 15, 2023, the Company declared a quarterly distribution on its Class A, Class B, Class C and Class D units of $0.3745 per unit payable on March 15, 2023.</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auto"/>
        </w:rPr>
        <w:t>Cash Flow Discussion</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Year Ended December 31, 2022 Compared to Year Ended December 31, 2021</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reflects the changes in cash flows for the year ended December 31, 2022 compared to 2021: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40" w:type="dxa"/>
            <w:vAlign w:val="bottom"/>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1"/>
                <w:szCs w:val="11"/>
                <w:b w:val="1"/>
                <w:bCs w:val="1"/>
                <w:color w:val="auto"/>
              </w:rPr>
              <w:t>2022</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1"/>
                <w:szCs w:val="11"/>
                <w:b w:val="1"/>
                <w:bCs w:val="1"/>
                <w:color w:val="auto"/>
              </w:rPr>
              <w:t>2021</w:t>
            </w: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1"/>
                <w:szCs w:val="11"/>
                <w:b w:val="1"/>
                <w:bCs w:val="1"/>
                <w:color w:val="auto"/>
              </w:rPr>
              <w:t>Change</w:t>
            </w:r>
          </w:p>
        </w:tc>
        <w:tc>
          <w:tcPr>
            <w:tcW w:w="20" w:type="dxa"/>
            <w:vAlign w:val="bottom"/>
          </w:tcPr>
          <w:p>
            <w:pPr>
              <w:spacing w:after="0"/>
              <w:rPr>
                <w:sz w:val="13"/>
                <w:szCs w:val="13"/>
                <w:color w:val="auto"/>
              </w:rPr>
            </w:pPr>
          </w:p>
        </w:tc>
      </w:tr>
      <w:tr>
        <w:trPr>
          <w:trHeight w:val="153"/>
        </w:trPr>
        <w:tc>
          <w:tcPr>
            <w:tcW w:w="8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109"/>
              <w:spacing w:after="0"/>
              <w:rPr>
                <w:sz w:val="20"/>
                <w:szCs w:val="20"/>
                <w:color w:val="auto"/>
              </w:rPr>
            </w:pPr>
            <w:r>
              <w:rPr>
                <w:rFonts w:ascii="Arial" w:cs="Arial" w:eastAsia="Arial" w:hAnsi="Arial"/>
                <w:sz w:val="11"/>
                <w:szCs w:val="11"/>
                <w:b w:val="1"/>
                <w:bCs w:val="1"/>
                <w:color w:val="auto"/>
                <w:w w:val="97"/>
              </w:rPr>
              <w:t>(In millions)</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797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701</w:t>
            </w:r>
          </w:p>
        </w:tc>
        <w:tc>
          <w:tcPr>
            <w:tcW w:w="2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20" w:type="dxa"/>
            <w:vAlign w:val="bottom"/>
          </w:tcPr>
          <w:p>
            <w:pPr>
              <w:spacing w:after="0"/>
              <w:rPr>
                <w:sz w:val="16"/>
                <w:szCs w:val="16"/>
                <w:color w:val="auto"/>
              </w:rPr>
            </w:pP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24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color w:val="auto"/>
              </w:rPr>
              <w:t>1,065</w:t>
            </w:r>
          </w:p>
        </w:tc>
        <w:tc>
          <w:tcPr>
            <w:tcW w:w="200" w:type="dxa"/>
            <w:vAlign w:val="bottom"/>
          </w:tcPr>
          <w:p>
            <w:pPr>
              <w:spacing w:after="0"/>
              <w:rPr>
                <w:sz w:val="15"/>
                <w:szCs w:val="15"/>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color w:val="auto"/>
              </w:rPr>
              <w:t>(865)</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1,930</w:t>
            </w:r>
          </w:p>
        </w:tc>
        <w:tc>
          <w:tcPr>
            <w:tcW w:w="20" w:type="dxa"/>
            <w:vAlign w:val="bottom"/>
          </w:tcPr>
          <w:p>
            <w:pPr>
              <w:spacing w:after="0"/>
              <w:rPr>
                <w:sz w:val="15"/>
                <w:szCs w:val="15"/>
                <w:color w:val="auto"/>
              </w:rPr>
            </w:pPr>
          </w:p>
        </w:tc>
      </w:tr>
      <w:tr>
        <w:trPr>
          <w:trHeight w:val="18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(1,520)</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367</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w:t>
            </w:r>
          </w:p>
        </w:tc>
        <w:tc>
          <w:tcPr>
            <w:tcW w:w="20" w:type="dxa"/>
            <w:vAlign w:val="bottom"/>
          </w:tcPr>
          <w:p>
            <w:pPr>
              <w:spacing w:after="0"/>
              <w:rPr>
                <w:sz w:val="15"/>
                <w:szCs w:val="15"/>
                <w:color w:val="auto"/>
              </w:rPr>
            </w:pPr>
          </w:p>
        </w:tc>
      </w:tr>
      <w:tr>
        <w:trPr>
          <w:trHeight w:val="371"/>
        </w:trPr>
        <w:tc>
          <w:tcPr>
            <w:tcW w:w="8040" w:type="dxa"/>
            <w:vAlign w:val="bottom"/>
          </w:tcPr>
          <w:p>
            <w:pPr>
              <w:ind w:left="320"/>
              <w:spacing w:after="0"/>
              <w:rPr>
                <w:sz w:val="20"/>
                <w:szCs w:val="20"/>
                <w:color w:val="auto"/>
              </w:rPr>
            </w:pPr>
            <w:r>
              <w:rPr>
                <w:rFonts w:ascii="Arial" w:cs="Arial" w:eastAsia="Arial" w:hAnsi="Arial"/>
                <w:sz w:val="14"/>
                <w:szCs w:val="14"/>
                <w:b w:val="1"/>
                <w:bCs w:val="1"/>
                <w:i w:val="1"/>
                <w:iCs w:val="1"/>
                <w:color w:val="auto"/>
              </w:rPr>
              <w:t>Net Cash Provided by Operating Activities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4"/>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Changes to net cash provided by operating activities were driven by:</w:t>
            </w:r>
          </w:p>
        </w:tc>
        <w:tc>
          <w:tcPr>
            <w:tcW w:w="2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3"/>
                <w:szCs w:val="13"/>
                <w:b w:val="1"/>
                <w:bCs w:val="1"/>
                <w:color w:val="auto"/>
              </w:rPr>
              <w:t>(In millions)</w:t>
            </w:r>
          </w:p>
        </w:tc>
        <w:tc>
          <w:tcPr>
            <w:tcW w:w="20" w:type="dxa"/>
            <w:vAlign w:val="bottom"/>
            <w:tcBorders>
              <w:bottom w:val="single" w:sz="8" w:color="auto"/>
            </w:tcBorders>
          </w:tcPr>
          <w:p>
            <w:pPr>
              <w:spacing w:after="0"/>
              <w:rPr>
                <w:sz w:val="21"/>
                <w:szCs w:val="21"/>
                <w:color w:val="auto"/>
              </w:rPr>
            </w:pPr>
          </w:p>
        </w:tc>
      </w:tr>
      <w:tr>
        <w:trPr>
          <w:trHeight w:val="171"/>
        </w:trPr>
        <w:tc>
          <w:tcPr>
            <w:tcW w:w="8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Increase in operating income adjusted for non-cash items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0" w:type="dxa"/>
            <w:vAlign w:val="bottom"/>
            <w:shd w:val="clear" w:color="auto" w:fill="CCEEFF"/>
          </w:tcPr>
          <w:p>
            <w:pPr>
              <w:spacing w:after="0"/>
              <w:rPr>
                <w:sz w:val="14"/>
                <w:szCs w:val="14"/>
                <w:color w:val="auto"/>
              </w:rPr>
            </w:pPr>
          </w:p>
        </w:tc>
      </w:tr>
      <w:tr>
        <w:trPr>
          <w:trHeight w:val="180"/>
        </w:trPr>
        <w:tc>
          <w:tcPr>
            <w:tcW w:w="8040" w:type="dxa"/>
            <w:vAlign w:val="bottom"/>
          </w:tcPr>
          <w:p>
            <w:pPr>
              <w:ind w:left="100"/>
              <w:spacing w:after="0"/>
              <w:rPr>
                <w:sz w:val="20"/>
                <w:szCs w:val="20"/>
                <w:color w:val="auto"/>
              </w:rPr>
            </w:pPr>
            <w:r>
              <w:rPr>
                <w:rFonts w:ascii="Arial" w:cs="Arial" w:eastAsia="Arial" w:hAnsi="Arial"/>
                <w:sz w:val="14"/>
                <w:szCs w:val="14"/>
                <w:color w:val="auto"/>
              </w:rPr>
              <w:t>Increase in working capital primarily driven by the timing of accounts receivable collections and payments of accounts payable</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5"/>
                <w:szCs w:val="15"/>
                <w:color w:val="auto"/>
              </w:rPr>
            </w:pPr>
          </w:p>
        </w:tc>
      </w:tr>
      <w:tr>
        <w:trPr>
          <w:trHeight w:val="181"/>
        </w:trPr>
        <w:tc>
          <w:tcPr>
            <w:tcW w:w="8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Transaction expenses paid on May 1, 2022 in connection with the sale of the Thermal Business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5"/>
                <w:szCs w:val="15"/>
                <w:color w:val="auto"/>
              </w:rPr>
            </w:pPr>
          </w:p>
        </w:tc>
      </w:tr>
      <w:tr>
        <w:trPr>
          <w:trHeight w:val="180"/>
        </w:trPr>
        <w:tc>
          <w:tcPr>
            <w:tcW w:w="80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Decrease in distributions from unconsolidated affiliates</w:t>
            </w:r>
          </w:p>
        </w:tc>
        <w:tc>
          <w:tcPr>
            <w:tcW w:w="2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uto"/>
            </w:tcBorders>
          </w:tcPr>
          <w:p>
            <w:pPr>
              <w:spacing w:after="0"/>
              <w:rPr>
                <w:sz w:val="15"/>
                <w:szCs w:val="15"/>
                <w:color w:val="auto"/>
              </w:rPr>
            </w:pPr>
          </w:p>
        </w:tc>
      </w:tr>
      <w:tr>
        <w:trPr>
          <w:trHeight w:val="196"/>
        </w:trPr>
        <w:tc>
          <w:tcPr>
            <w:tcW w:w="80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20" w:type="dxa"/>
            <w:vAlign w:val="bottom"/>
            <w:tcBorders>
              <w:bottom w:val="single" w:sz="8" w:color="auto"/>
            </w:tcBorders>
            <w:shd w:val="clear" w:color="auto" w:fill="CCEEFF"/>
          </w:tcPr>
          <w:p>
            <w:pPr>
              <w:spacing w:after="0"/>
              <w:rPr>
                <w:sz w:val="16"/>
                <w:szCs w:val="16"/>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Net Cash Provided by (Used In) Investing Activities</w:t>
      </w:r>
    </w:p>
    <w:p>
      <w:pPr>
        <w:sectPr>
          <w:pgSz w:w="11900" w:h="16838" w:orient="portrait"/>
          <w:cols w:equalWidth="0" w:num="1">
            <w:col w:w="11280"/>
          </w:cols>
          <w:pgMar w:left="300" w:top="730" w:right="319" w:bottom="1440" w:gutter="0" w:footer="0" w:header="0"/>
        </w:sectPr>
      </w:pPr>
    </w:p>
    <w:p>
      <w:pPr>
        <w:spacing w:after="0" w:line="83" w:lineRule="exact"/>
        <w:rPr>
          <w:sz w:val="20"/>
          <w:szCs w:val="20"/>
          <w:color w:val="auto"/>
        </w:rPr>
      </w:pPr>
    </w:p>
    <w:p>
      <w:pPr>
        <w:ind w:left="20"/>
        <w:spacing w:after="0"/>
        <w:rPr>
          <w:sz w:val="20"/>
          <w:szCs w:val="20"/>
          <w:color w:val="auto"/>
        </w:rPr>
      </w:pPr>
      <w:r>
        <w:rPr>
          <w:rFonts w:ascii="Arial" w:cs="Arial" w:eastAsia="Arial" w:hAnsi="Arial"/>
          <w:sz w:val="13"/>
          <w:szCs w:val="13"/>
          <w:color w:val="auto"/>
        </w:rPr>
        <w:t>Changes to net cash provided by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1212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Proceeds from the sale of the Thermal Business</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Cash paid for acquisitions, net of cash acquired, in 2021</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Decrease in cash paid for Drop Down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Decrease in capital expenditures</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2"/>
          <w:szCs w:val="12"/>
          <w:color w:val="auto"/>
        </w:rPr>
        <w:t>Cash paid to CEG in 2021 for equipment for the Pinnacle wind project repowering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61530" cy="114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Cash paid to CEG in 2022 for Capistrano Wind Portfolio</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Decrease in the 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134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Net Cash (Used In) Provided by Financing Activities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(In millions)</w:t>
      </w:r>
    </w:p>
    <w:p>
      <w:pPr>
        <w:spacing w:after="0" w:line="31" w:lineRule="exact"/>
        <w:rPr>
          <w:sz w:val="20"/>
          <w:szCs w:val="20"/>
          <w:color w:val="auto"/>
        </w:rPr>
      </w:pPr>
    </w:p>
    <w:p>
      <w:pPr>
        <w:ind w:left="880" w:hanging="876"/>
        <w:spacing w:after="0"/>
        <w:tabs>
          <w:tab w:leader="none" w:pos="8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1,457</w:t>
      </w:r>
    </w:p>
    <w:p>
      <w:pPr>
        <w:spacing w:after="0" w:line="19" w:lineRule="exact"/>
        <w:rPr>
          <w:rFonts w:ascii="Arial" w:cs="Arial" w:eastAsia="Arial" w:hAnsi="Arial"/>
          <w:sz w:val="14"/>
          <w:szCs w:val="14"/>
          <w:color w:val="auto"/>
        </w:rPr>
      </w:pPr>
    </w:p>
    <w:p>
      <w:pPr>
        <w:ind w:left="980"/>
        <w:spacing w:after="0"/>
        <w:rPr>
          <w:rFonts w:ascii="Arial" w:cs="Arial" w:eastAsia="Arial" w:hAnsi="Arial"/>
          <w:sz w:val="14"/>
          <w:szCs w:val="14"/>
          <w:color w:val="auto"/>
        </w:rPr>
      </w:pPr>
      <w:r>
        <w:rPr>
          <w:rFonts w:ascii="Arial" w:cs="Arial" w:eastAsia="Arial" w:hAnsi="Arial"/>
          <w:sz w:val="14"/>
          <w:szCs w:val="14"/>
          <w:color w:val="auto"/>
        </w:rPr>
        <w:t>533</w:t>
      </w:r>
    </w:p>
    <w:p>
      <w:pPr>
        <w:spacing w:after="0" w:line="19" w:lineRule="exact"/>
        <w:rPr>
          <w:rFonts w:ascii="Arial" w:cs="Arial" w:eastAsia="Arial" w:hAnsi="Arial"/>
          <w:sz w:val="14"/>
          <w:szCs w:val="14"/>
          <w:color w:val="auto"/>
        </w:rPr>
      </w:pPr>
    </w:p>
    <w:p>
      <w:pPr>
        <w:ind w:left="980"/>
        <w:spacing w:after="0"/>
        <w:rPr>
          <w:rFonts w:ascii="Arial" w:cs="Arial" w:eastAsia="Arial" w:hAnsi="Arial"/>
          <w:sz w:val="14"/>
          <w:szCs w:val="14"/>
          <w:color w:val="auto"/>
        </w:rPr>
      </w:pPr>
      <w:r>
        <w:rPr>
          <w:rFonts w:ascii="Arial" w:cs="Arial" w:eastAsia="Arial" w:hAnsi="Arial"/>
          <w:sz w:val="14"/>
          <w:szCs w:val="14"/>
          <w:color w:val="auto"/>
        </w:rPr>
        <w:t>158</w:t>
      </w:r>
    </w:p>
    <w:p>
      <w:pPr>
        <w:spacing w:after="0" w:line="19" w:lineRule="exact"/>
        <w:rPr>
          <w:rFonts w:ascii="Arial" w:cs="Arial" w:eastAsia="Arial" w:hAnsi="Arial"/>
          <w:sz w:val="14"/>
          <w:szCs w:val="14"/>
          <w:color w:val="auto"/>
        </w:rPr>
      </w:pPr>
    </w:p>
    <w:p>
      <w:pPr>
        <w:ind w:left="1060"/>
        <w:spacing w:after="0"/>
        <w:rPr>
          <w:rFonts w:ascii="Arial" w:cs="Arial" w:eastAsia="Arial" w:hAnsi="Arial"/>
          <w:sz w:val="14"/>
          <w:szCs w:val="14"/>
          <w:color w:val="auto"/>
        </w:rPr>
      </w:pPr>
      <w:r>
        <w:rPr>
          <w:rFonts w:ascii="Arial" w:cs="Arial" w:eastAsia="Arial" w:hAnsi="Arial"/>
          <w:sz w:val="14"/>
          <w:szCs w:val="14"/>
          <w:color w:val="auto"/>
        </w:rPr>
        <w:t>39</w:t>
      </w:r>
    </w:p>
    <w:p>
      <w:pPr>
        <w:spacing w:after="0" w:line="19" w:lineRule="exact"/>
        <w:rPr>
          <w:rFonts w:ascii="Arial" w:cs="Arial" w:eastAsia="Arial" w:hAnsi="Arial"/>
          <w:sz w:val="14"/>
          <w:szCs w:val="14"/>
          <w:color w:val="auto"/>
        </w:rPr>
      </w:pPr>
    </w:p>
    <w:p>
      <w:pPr>
        <w:ind w:left="1060"/>
        <w:spacing w:after="0"/>
        <w:rPr>
          <w:rFonts w:ascii="Arial" w:cs="Arial" w:eastAsia="Arial" w:hAnsi="Arial"/>
          <w:sz w:val="14"/>
          <w:szCs w:val="14"/>
          <w:color w:val="auto"/>
        </w:rPr>
      </w:pPr>
      <w:r>
        <w:rPr>
          <w:rFonts w:ascii="Arial" w:cs="Arial" w:eastAsia="Arial" w:hAnsi="Arial"/>
          <w:sz w:val="14"/>
          <w:szCs w:val="14"/>
          <w:color w:val="auto"/>
        </w:rPr>
        <w:t>21</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(223)</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(34)</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(21)</w:t>
      </w:r>
    </w:p>
    <w:p>
      <w:pPr>
        <w:spacing w:after="0" w:line="30" w:lineRule="exact"/>
        <w:rPr>
          <w:sz w:val="20"/>
          <w:szCs w:val="20"/>
          <w:color w:val="auto"/>
        </w:rPr>
      </w:pPr>
    </w:p>
    <w:p>
      <w:pPr>
        <w:ind w:left="880" w:hanging="876"/>
        <w:spacing w:after="0"/>
        <w:tabs>
          <w:tab w:leader="none" w:pos="8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1,930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80835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496" w:lineRule="exact"/>
        <w:rPr>
          <w:sz w:val="20"/>
          <w:szCs w:val="20"/>
          <w:color w:val="auto"/>
        </w:rPr>
      </w:pPr>
    </w:p>
    <w:p>
      <w:pPr>
        <w:sectPr>
          <w:pgSz w:w="11900" w:h="16838" w:orient="portrait"/>
          <w:cols w:equalWidth="0" w:num="2">
            <w:col w:w="9300" w:space="720"/>
            <w:col w:w="1260"/>
          </w:cols>
          <w:pgMar w:left="300" w:top="730" w:right="31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10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Changes in net cash (used in) provided by financing activities were driven by:</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(In millions)</w:t>
            </w:r>
          </w:p>
        </w:tc>
      </w:tr>
      <w:tr>
        <w:trPr>
          <w:trHeight w:val="171"/>
        </w:trPr>
        <w:tc>
          <w:tcPr>
            <w:tcW w:w="10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Decrease in contributions from noncontrolling interests and CEG, net of distributions</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w:t>
            </w:r>
          </w:p>
        </w:tc>
      </w:tr>
      <w:tr>
        <w:trPr>
          <w:trHeight w:val="180"/>
        </w:trPr>
        <w:tc>
          <w:tcPr>
            <w:tcW w:w="10000" w:type="dxa"/>
            <w:vAlign w:val="bottom"/>
          </w:tcPr>
          <w:p>
            <w:pPr>
              <w:ind w:left="100"/>
              <w:spacing w:after="0"/>
              <w:rPr>
                <w:sz w:val="20"/>
                <w:szCs w:val="20"/>
                <w:color w:val="auto"/>
              </w:rPr>
            </w:pPr>
            <w:r>
              <w:rPr>
                <w:rFonts w:ascii="Arial" w:cs="Arial" w:eastAsia="Arial" w:hAnsi="Arial"/>
                <w:sz w:val="14"/>
                <w:szCs w:val="14"/>
                <w:color w:val="auto"/>
              </w:rPr>
              <w:t>Decrease in proceeds from the revolving credit facility, net of payments</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(490)</w:t>
            </w:r>
          </w:p>
        </w:tc>
      </w:tr>
      <w:tr>
        <w:trPr>
          <w:trHeight w:val="181"/>
        </w:trPr>
        <w:tc>
          <w:tcPr>
            <w:tcW w:w="10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Decrease in payments for long-term debt, net of proceeds</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r>
      <w:tr>
        <w:trPr>
          <w:trHeight w:val="180"/>
        </w:trPr>
        <w:tc>
          <w:tcPr>
            <w:tcW w:w="10000" w:type="dxa"/>
            <w:vAlign w:val="bottom"/>
          </w:tcPr>
          <w:p>
            <w:pPr>
              <w:ind w:left="100"/>
              <w:spacing w:after="0"/>
              <w:rPr>
                <w:sz w:val="20"/>
                <w:szCs w:val="20"/>
                <w:color w:val="auto"/>
              </w:rPr>
            </w:pPr>
            <w:r>
              <w:rPr>
                <w:rFonts w:ascii="Arial" w:cs="Arial" w:eastAsia="Arial" w:hAnsi="Arial"/>
                <w:sz w:val="14"/>
                <w:szCs w:val="14"/>
                <w:color w:val="auto"/>
              </w:rPr>
              <w:t>Cash released from escrow distributed to CEG in 2022</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1"/>
        </w:trPr>
        <w:tc>
          <w:tcPr>
            <w:tcW w:w="10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Increase in distributions paid to unit holders in 2022</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80"/>
        </w:trPr>
        <w:tc>
          <w:tcPr>
            <w:tcW w:w="10000" w:type="dxa"/>
            <w:vAlign w:val="bottom"/>
          </w:tcPr>
          <w:p>
            <w:pPr>
              <w:ind w:left="100"/>
              <w:spacing w:after="0"/>
              <w:rPr>
                <w:sz w:val="20"/>
                <w:szCs w:val="20"/>
                <w:color w:val="auto"/>
              </w:rPr>
            </w:pPr>
            <w:r>
              <w:rPr>
                <w:rFonts w:ascii="Arial" w:cs="Arial" w:eastAsia="Arial" w:hAnsi="Arial"/>
                <w:sz w:val="14"/>
                <w:szCs w:val="14"/>
                <w:color w:val="auto"/>
              </w:rPr>
              <w:t>Tax-related distributions in 2022</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80"/>
        </w:trPr>
        <w:tc>
          <w:tcPr>
            <w:tcW w:w="10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71"/>
        </w:trPr>
        <w:tc>
          <w:tcPr>
            <w:tcW w:w="100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(1,887)</w:t>
            </w:r>
          </w:p>
        </w:tc>
      </w:tr>
      <w:tr>
        <w:trPr>
          <w:trHeight w:val="20"/>
        </w:trPr>
        <w:tc>
          <w:tcPr>
            <w:tcW w:w="10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b w:val="1"/>
          <w:bCs w:val="1"/>
          <w:color w:val="auto"/>
        </w:rPr>
        <w:t>Fair Value of Derivative Instruments</w:t>
      </w:r>
    </w:p>
    <w:p>
      <w:pPr>
        <w:spacing w:after="0" w:line="14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231F20"/>
        </w:rPr>
        <w:t>The Company may enter into commodity purchase contracts and other energy-related financial instruments to mitigate variability in earnings due to fluctuations in spot market prices. In addition, in order to mitigate interest rate risk associated with the issuance of variable rate debt, the Company enters into interest rate swap agreements.</w:t>
      </w:r>
    </w:p>
    <w:p>
      <w:pPr>
        <w:spacing w:after="0" w:line="9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4"/>
          <w:szCs w:val="14"/>
          <w:color w:val="000000"/>
        </w:rPr>
        <w:t>December 31, 2022</w:t>
      </w:r>
      <w:r>
        <w:rPr>
          <w:rFonts w:ascii="Arial" w:cs="Arial" w:eastAsia="Arial" w:hAnsi="Arial"/>
          <w:sz w:val="14"/>
          <w:szCs w:val="14"/>
          <w:color w:val="231F20"/>
        </w:rPr>
        <w:t xml:space="preserve">, based on their level within the fair value hierarchy defined in ASC 820; and indicate the maturities of contracts at </w:t>
      </w:r>
      <w:r>
        <w:rPr>
          <w:rFonts w:ascii="Arial" w:cs="Arial" w:eastAsia="Arial" w:hAnsi="Arial"/>
          <w:sz w:val="14"/>
          <w:szCs w:val="14"/>
          <w:color w:val="000000"/>
        </w:rPr>
        <w:t>December 31, 2022</w:t>
      </w:r>
      <w:r>
        <w:rPr>
          <w:rFonts w:ascii="Arial" w:cs="Arial" w:eastAsia="Arial" w:hAnsi="Arial"/>
          <w:sz w:val="14"/>
          <w:szCs w:val="14"/>
          <w:color w:val="231F20"/>
        </w:rPr>
        <w:t>. For a full discussion of the Company’s valuation methodology of its contracts, see</w:t>
      </w:r>
      <w:r>
        <w:rPr>
          <w:rFonts w:ascii="Arial" w:cs="Arial" w:eastAsia="Arial" w:hAnsi="Arial"/>
          <w:sz w:val="14"/>
          <w:szCs w:val="14"/>
          <w:color w:val="000000"/>
        </w:rPr>
        <w:t xml:space="preserve"> </w:t>
      </w:r>
      <w:r>
        <w:rPr>
          <w:rFonts w:ascii="Arial" w:cs="Arial" w:eastAsia="Arial" w:hAnsi="Arial"/>
          <w:sz w:val="14"/>
          <w:szCs w:val="14"/>
          <w:i w:val="1"/>
          <w:iCs w:val="1"/>
          <w:color w:val="231F20"/>
        </w:rPr>
        <w:t>Derivative Fair Value Measurements</w:t>
      </w:r>
      <w:r>
        <w:rPr>
          <w:rFonts w:ascii="Arial" w:cs="Arial" w:eastAsia="Arial" w:hAnsi="Arial"/>
          <w:sz w:val="14"/>
          <w:szCs w:val="14"/>
          <w:color w:val="000000"/>
        </w:rPr>
        <w:t xml:space="preserve"> </w:t>
      </w:r>
      <w:r>
        <w:rPr>
          <w:rFonts w:ascii="Arial" w:cs="Arial" w:eastAsia="Arial" w:hAnsi="Arial"/>
          <w:sz w:val="14"/>
          <w:szCs w:val="14"/>
          <w:color w:val="231F20"/>
        </w:rPr>
        <w:t>in Item 15</w:t>
      </w:r>
      <w:r>
        <w:rPr>
          <w:rFonts w:ascii="Arial" w:cs="Arial" w:eastAsia="Arial" w:hAnsi="Arial"/>
          <w:sz w:val="14"/>
          <w:szCs w:val="14"/>
          <w:color w:val="000000"/>
        </w:rPr>
        <w:t xml:space="preserve"> — Note 6</w:t>
      </w:r>
      <w:r>
        <w:rPr>
          <w:rFonts w:ascii="Arial" w:cs="Arial" w:eastAsia="Arial" w:hAnsi="Arial"/>
          <w:sz w:val="14"/>
          <w:szCs w:val="14"/>
          <w:color w:val="231F20"/>
        </w:rPr>
        <w:t>,</w:t>
      </w:r>
      <w:r>
        <w:rPr>
          <w:rFonts w:ascii="Arial" w:cs="Arial" w:eastAsia="Arial" w:hAnsi="Arial"/>
          <w:sz w:val="14"/>
          <w:szCs w:val="14"/>
          <w:color w:val="000000"/>
        </w:rPr>
        <w:t xml:space="preserve"> </w:t>
      </w:r>
      <w:r>
        <w:rPr>
          <w:rFonts w:ascii="Arial" w:cs="Arial" w:eastAsia="Arial" w:hAnsi="Arial"/>
          <w:sz w:val="14"/>
          <w:szCs w:val="14"/>
          <w:i w:val="1"/>
          <w:iCs w:val="1"/>
          <w:color w:val="000000"/>
        </w:rPr>
        <w:t>Fair Value of Financial</w:t>
      </w:r>
      <w:r>
        <w:rPr>
          <w:rFonts w:ascii="Arial" w:cs="Arial" w:eastAsia="Arial" w:hAnsi="Arial"/>
          <w:sz w:val="14"/>
          <w:szCs w:val="14"/>
          <w:color w:val="000000"/>
        </w:rPr>
        <w:t xml:space="preserve"> </w:t>
      </w:r>
      <w:r>
        <w:rPr>
          <w:rFonts w:ascii="Arial" w:cs="Arial" w:eastAsia="Arial" w:hAnsi="Arial"/>
          <w:sz w:val="14"/>
          <w:szCs w:val="14"/>
          <w:i w:val="1"/>
          <w:iCs w:val="1"/>
          <w:color w:val="000000"/>
        </w:rPr>
        <w:t>Instruments.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660" w:type="dxa"/>
            <w:vAlign w:val="bottom"/>
            <w:gridSpan w:val="3"/>
          </w:tcPr>
          <w:p>
            <w:pPr>
              <w:spacing w:after="0"/>
              <w:rPr>
                <w:sz w:val="20"/>
                <w:szCs w:val="20"/>
                <w:color w:val="auto"/>
              </w:rPr>
            </w:pPr>
            <w:r>
              <w:rPr>
                <w:rFonts w:ascii="Arial" w:cs="Arial" w:eastAsia="Arial" w:hAnsi="Arial"/>
                <w:sz w:val="11"/>
                <w:szCs w:val="11"/>
                <w:b w:val="1"/>
                <w:bCs w:val="1"/>
                <w:color w:val="auto"/>
              </w:rPr>
              <w:t>Derivative Activity ( Losses)/Gains</w:t>
            </w: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right"/>
              <w:ind w:right="193"/>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Fair value of contracts as of December 31, 2021</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ind w:left="160"/>
              <w:spacing w:after="0"/>
              <w:rPr>
                <w:sz w:val="20"/>
                <w:szCs w:val="20"/>
                <w:color w:val="auto"/>
              </w:rPr>
            </w:pPr>
            <w:r>
              <w:rPr>
                <w:rFonts w:ascii="Arial" w:cs="Arial" w:eastAsia="Arial" w:hAnsi="Arial"/>
                <w:sz w:val="14"/>
                <w:szCs w:val="14"/>
                <w:color w:val="auto"/>
              </w:rPr>
              <w:t>Contracts realized or otherwise settled during the period</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Contracts acquired during the period</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gridSpan w:val="3"/>
          </w:tcPr>
          <w:p>
            <w:pPr>
              <w:ind w:left="160"/>
              <w:spacing w:after="0"/>
              <w:rPr>
                <w:sz w:val="20"/>
                <w:szCs w:val="20"/>
                <w:color w:val="auto"/>
              </w:rPr>
            </w:pPr>
            <w:r>
              <w:rPr>
                <w:rFonts w:ascii="Arial" w:cs="Arial" w:eastAsia="Arial" w:hAnsi="Arial"/>
                <w:sz w:val="14"/>
                <w:szCs w:val="14"/>
                <w:color w:val="auto"/>
              </w:rPr>
              <w:t>Contracts added due to loss of NPNS exception</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Contracts removed during the period</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66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Changes in fair value</w:t>
            </w:r>
          </w:p>
        </w:tc>
        <w:tc>
          <w:tcPr>
            <w:tcW w:w="1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Fair value of contracts as of December 31, 2022</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1"/>
                <w:szCs w:val="11"/>
                <w:b w:val="1"/>
                <w:bCs w:val="1"/>
                <w:color w:val="auto"/>
                <w:w w:val="91"/>
              </w:rPr>
              <w:t>Fair value of contracts as of December 31, 2022</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Maturity</w:t>
            </w: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Fair Value Hierarchy Losses</w:t>
            </w:r>
          </w:p>
        </w:tc>
        <w:tc>
          <w:tcPr>
            <w:tcW w:w="16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1 Year or Less</w:t>
            </w: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17" w:lineRule="exact"/>
              <w:rPr>
                <w:sz w:val="20"/>
                <w:szCs w:val="20"/>
                <w:color w:val="auto"/>
              </w:rPr>
            </w:pPr>
            <w:r>
              <w:rPr>
                <w:rFonts w:ascii="Arial" w:cs="Arial" w:eastAsia="Arial" w:hAnsi="Arial"/>
                <w:sz w:val="11"/>
                <w:szCs w:val="11"/>
                <w:b w:val="1"/>
                <w:bCs w:val="1"/>
                <w:color w:val="auto"/>
                <w:w w:val="96"/>
              </w:rPr>
              <w:t>Greater Than</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7" w:lineRule="exact"/>
              <w:rPr>
                <w:sz w:val="20"/>
                <w:szCs w:val="20"/>
                <w:color w:val="auto"/>
              </w:rPr>
            </w:pPr>
            <w:r>
              <w:rPr>
                <w:rFonts w:ascii="Arial" w:cs="Arial" w:eastAsia="Arial" w:hAnsi="Arial"/>
                <w:sz w:val="11"/>
                <w:szCs w:val="11"/>
                <w:b w:val="1"/>
                <w:bCs w:val="1"/>
                <w:color w:val="auto"/>
                <w:w w:val="99"/>
              </w:rPr>
              <w:t>Greater Than</w:t>
            </w:r>
          </w:p>
        </w:tc>
        <w:tc>
          <w:tcPr>
            <w:tcW w:w="180" w:type="dxa"/>
            <w:vAlign w:val="bottom"/>
          </w:tcPr>
          <w:p>
            <w:pPr>
              <w:spacing w:after="0"/>
              <w:rPr>
                <w:sz w:val="10"/>
                <w:szCs w:val="10"/>
                <w:color w:val="auto"/>
              </w:rPr>
            </w:pPr>
          </w:p>
        </w:tc>
        <w:tc>
          <w:tcPr>
            <w:tcW w:w="1160" w:type="dxa"/>
            <w:vAlign w:val="bottom"/>
            <w:gridSpan w:val="2"/>
          </w:tcPr>
          <w:p>
            <w:pPr>
              <w:jc w:val="center"/>
              <w:ind w:right="300"/>
              <w:spacing w:after="0" w:line="117" w:lineRule="exact"/>
              <w:rPr>
                <w:sz w:val="20"/>
                <w:szCs w:val="20"/>
                <w:color w:val="auto"/>
              </w:rPr>
            </w:pPr>
            <w:r>
              <w:rPr>
                <w:rFonts w:ascii="Arial" w:cs="Arial" w:eastAsia="Arial" w:hAnsi="Arial"/>
                <w:sz w:val="11"/>
                <w:szCs w:val="11"/>
                <w:b w:val="1"/>
                <w:bCs w:val="1"/>
                <w:color w:val="auto"/>
                <w:w w:val="96"/>
              </w:rPr>
              <w:t>Greater Than</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right"/>
              <w:ind w:right="293"/>
              <w:spacing w:after="0" w:line="117" w:lineRule="exact"/>
              <w:rPr>
                <w:sz w:val="20"/>
                <w:szCs w:val="20"/>
                <w:color w:val="auto"/>
              </w:rPr>
            </w:pPr>
            <w:r>
              <w:rPr>
                <w:rFonts w:ascii="Arial" w:cs="Arial" w:eastAsia="Arial" w:hAnsi="Arial"/>
                <w:sz w:val="11"/>
                <w:szCs w:val="11"/>
                <w:b w:val="1"/>
                <w:bCs w:val="1"/>
                <w:color w:val="auto"/>
              </w:rPr>
              <w:t>Total Fair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6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1 Year to 3 Years</w:t>
            </w:r>
          </w:p>
        </w:tc>
        <w:tc>
          <w:tcPr>
            <w:tcW w:w="140" w:type="dxa"/>
            <w:vAlign w:val="bottom"/>
          </w:tcPr>
          <w:p>
            <w:pPr>
              <w:spacing w:after="0"/>
              <w:rPr>
                <w:sz w:val="9"/>
                <w:szCs w:val="9"/>
                <w:color w:val="auto"/>
              </w:rPr>
            </w:pPr>
          </w:p>
        </w:tc>
        <w:tc>
          <w:tcPr>
            <w:tcW w:w="1220" w:type="dxa"/>
            <w:vAlign w:val="bottom"/>
            <w:gridSpan w:val="2"/>
          </w:tcPr>
          <w:p>
            <w:pPr>
              <w:jc w:val="center"/>
              <w:ind w:right="280"/>
              <w:spacing w:after="0" w:line="93" w:lineRule="exact"/>
              <w:rPr>
                <w:sz w:val="20"/>
                <w:szCs w:val="20"/>
                <w:color w:val="auto"/>
              </w:rPr>
            </w:pPr>
            <w:r>
              <w:rPr>
                <w:rFonts w:ascii="Arial" w:cs="Arial" w:eastAsia="Arial" w:hAnsi="Arial"/>
                <w:sz w:val="10"/>
                <w:szCs w:val="10"/>
                <w:b w:val="1"/>
                <w:bCs w:val="1"/>
                <w:color w:val="auto"/>
                <w:w w:val="99"/>
              </w:rPr>
              <w:t>3 Years to 5 Years</w:t>
            </w:r>
          </w:p>
        </w:tc>
        <w:tc>
          <w:tcPr>
            <w:tcW w:w="180" w:type="dxa"/>
            <w:vAlign w:val="bottom"/>
          </w:tcPr>
          <w:p>
            <w:pPr>
              <w:spacing w:after="0"/>
              <w:rPr>
                <w:sz w:val="9"/>
                <w:szCs w:val="9"/>
                <w:color w:val="auto"/>
              </w:rPr>
            </w:pPr>
          </w:p>
        </w:tc>
        <w:tc>
          <w:tcPr>
            <w:tcW w:w="1160" w:type="dxa"/>
            <w:vAlign w:val="bottom"/>
            <w:gridSpan w:val="2"/>
          </w:tcPr>
          <w:p>
            <w:pPr>
              <w:jc w:val="center"/>
              <w:ind w:right="320"/>
              <w:spacing w:after="0" w:line="93" w:lineRule="exact"/>
              <w:rPr>
                <w:sz w:val="20"/>
                <w:szCs w:val="20"/>
                <w:color w:val="auto"/>
              </w:rPr>
            </w:pPr>
            <w:r>
              <w:rPr>
                <w:rFonts w:ascii="Arial" w:cs="Arial" w:eastAsia="Arial" w:hAnsi="Arial"/>
                <w:sz w:val="10"/>
                <w:szCs w:val="10"/>
                <w:b w:val="1"/>
                <w:bCs w:val="1"/>
                <w:color w:val="auto"/>
              </w:rPr>
              <w:t>5 Years</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jc w:val="right"/>
              <w:ind w:right="413"/>
              <w:spacing w:after="0" w:line="93" w:lineRule="exact"/>
              <w:rPr>
                <w:sz w:val="20"/>
                <w:szCs w:val="20"/>
                <w:color w:val="auto"/>
              </w:rPr>
            </w:pPr>
            <w:r>
              <w:rPr>
                <w:rFonts w:ascii="Arial" w:cs="Arial" w:eastAsia="Arial" w:hAnsi="Arial"/>
                <w:sz w:val="10"/>
                <w:szCs w:val="10"/>
                <w:b w:val="1"/>
                <w:bCs w:val="1"/>
                <w:color w:val="auto"/>
              </w:rPr>
              <w:t>Value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(In millions)</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Level 2</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center"/>
              <w:ind w:left="733"/>
              <w:spacing w:after="0"/>
              <w:rPr>
                <w:sz w:val="20"/>
                <w:szCs w:val="20"/>
                <w:color w:val="auto"/>
              </w:rPr>
            </w:pPr>
            <w:r>
              <w:rPr>
                <w:rFonts w:ascii="Arial" w:cs="Arial" w:eastAsia="Arial" w:hAnsi="Arial"/>
                <w:sz w:val="14"/>
                <w:szCs w:val="14"/>
                <w:color w:val="auto"/>
                <w:w w:val="89"/>
              </w:rPr>
              <w:t>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center"/>
              <w:ind w:left="757"/>
              <w:spacing w:after="0"/>
              <w:rPr>
                <w:sz w:val="20"/>
                <w:szCs w:val="20"/>
                <w:color w:val="auto"/>
              </w:rPr>
            </w:pPr>
            <w:r>
              <w:rPr>
                <w:rFonts w:ascii="Arial" w:cs="Arial" w:eastAsia="Arial" w:hAnsi="Arial"/>
                <w:sz w:val="14"/>
                <w:szCs w:val="14"/>
                <w:color w:val="auto"/>
                <w:w w:val="89"/>
              </w:rPr>
              <w:t>36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center"/>
              <w:ind w:left="798"/>
              <w:spacing w:after="0"/>
              <w:rPr>
                <w:sz w:val="20"/>
                <w:szCs w:val="20"/>
                <w:color w:val="auto"/>
              </w:rPr>
            </w:pPr>
            <w:r>
              <w:rPr>
                <w:rFonts w:ascii="Arial" w:cs="Arial" w:eastAsia="Arial" w:hAnsi="Arial"/>
                <w:sz w:val="14"/>
                <w:szCs w:val="14"/>
                <w:color w:val="auto"/>
                <w:w w:val="89"/>
              </w:rPr>
              <w:t>16</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6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Level 3</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left="713"/>
              <w:spacing w:after="0"/>
              <w:rPr>
                <w:sz w:val="20"/>
                <w:szCs w:val="20"/>
                <w:color w:val="auto"/>
              </w:rPr>
            </w:pPr>
            <w:r>
              <w:rPr>
                <w:rFonts w:ascii="Arial" w:cs="Arial" w:eastAsia="Arial" w:hAnsi="Arial"/>
                <w:sz w:val="14"/>
                <w:szCs w:val="14"/>
                <w:color w:val="auto"/>
                <w:w w:val="96"/>
              </w:rPr>
              <w:t>(50)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left="737"/>
              <w:spacing w:after="0"/>
              <w:rPr>
                <w:sz w:val="20"/>
                <w:szCs w:val="20"/>
                <w:color w:val="auto"/>
              </w:rPr>
            </w:pPr>
            <w:r>
              <w:rPr>
                <w:rFonts w:ascii="Arial" w:cs="Arial" w:eastAsia="Arial" w:hAnsi="Arial"/>
                <w:sz w:val="14"/>
                <w:szCs w:val="14"/>
                <w:color w:val="auto"/>
                <w:w w:val="96"/>
              </w:rPr>
              <w:t>(92)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left="758"/>
              <w:spacing w:after="0"/>
              <w:rPr>
                <w:sz w:val="20"/>
                <w:szCs w:val="20"/>
                <w:color w:val="auto"/>
              </w:rPr>
            </w:pPr>
            <w:r>
              <w:rPr>
                <w:rFonts w:ascii="Arial" w:cs="Arial" w:eastAsia="Arial" w:hAnsi="Arial"/>
                <w:sz w:val="14"/>
                <w:szCs w:val="14"/>
                <w:color w:val="auto"/>
                <w:w w:val="88"/>
              </w:rPr>
              <w:t>(76)</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6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center"/>
              <w:ind w:left="713"/>
              <w:spacing w:after="0"/>
              <w:rPr>
                <w:sz w:val="20"/>
                <w:szCs w:val="20"/>
                <w:color w:val="auto"/>
              </w:rPr>
            </w:pPr>
            <w:r>
              <w:rPr>
                <w:rFonts w:ascii="Arial" w:cs="Arial" w:eastAsia="Arial" w:hAnsi="Arial"/>
                <w:sz w:val="14"/>
                <w:szCs w:val="14"/>
                <w:color w:val="auto"/>
                <w:w w:val="96"/>
              </w:rPr>
              <w:t>(24)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center"/>
              <w:ind w:left="737"/>
              <w:spacing w:after="0"/>
              <w:rPr>
                <w:sz w:val="20"/>
                <w:szCs w:val="20"/>
                <w:color w:val="auto"/>
              </w:rPr>
            </w:pPr>
            <w:r>
              <w:rPr>
                <w:rFonts w:ascii="Arial" w:cs="Arial" w:eastAsia="Arial" w:hAnsi="Arial"/>
                <w:sz w:val="14"/>
                <w:szCs w:val="14"/>
                <w:color w:val="auto"/>
                <w:w w:val="96"/>
              </w:rPr>
              <w:t>(56)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center"/>
              <w:ind w:left="758"/>
              <w:spacing w:after="0"/>
              <w:rPr>
                <w:sz w:val="20"/>
                <w:szCs w:val="20"/>
                <w:color w:val="auto"/>
              </w:rPr>
            </w:pPr>
            <w:r>
              <w:rPr>
                <w:rFonts w:ascii="Arial" w:cs="Arial" w:eastAsia="Arial" w:hAnsi="Arial"/>
                <w:sz w:val="14"/>
                <w:szCs w:val="14"/>
                <w:color w:val="auto"/>
                <w:w w:val="88"/>
              </w:rPr>
              <w:t>(60)</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4"/>
          <w:szCs w:val="14"/>
          <w:color w:val="231F20"/>
        </w:rPr>
        <w:t>The Company has elected to disclose derivative assets and liabilities on a trade-by-trade basis and does not offset amounts at the counterparty master agreement level.</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40"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9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9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 xml:space="preserve">The Company’s significant accounting policies are summarized in Item 15 —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accounting utilizing Hypothetical Liquidation at Book Value, or HLBV, acquisition accounting and determining the fair value of financial instruments.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0" w:name="page51"/>
    <w:bookmarkEnd w:id="50"/>
    <w:tbl>
      <w:tblPr>
        <w:tblLayout w:type="fixed"/>
        <w:tblInd w:w="20" w:type="dxa"/>
        <w:tblCellMar>
          <w:top w:w="0" w:type="dxa"/>
          <w:left w:w="0" w:type="dxa"/>
          <w:bottom w:w="0" w:type="dxa"/>
          <w:right w:w="0" w:type="dxa"/>
        </w:tblCellMar>
      </w:tblPr>
      <w:tr>
        <w:trPr>
          <w:trHeight w:val="126"/>
        </w:trPr>
        <w:tc>
          <w:tcPr>
            <w:tcW w:w="5680" w:type="dxa"/>
            <w:vAlign w:val="bottom"/>
            <w:gridSpan w:val="2"/>
          </w:tcPr>
          <w:p>
            <w:pPr>
              <w:spacing w:after="0"/>
              <w:rPr>
                <w:sz w:val="20"/>
                <w:szCs w:val="20"/>
                <w:color w:val="auto"/>
              </w:rPr>
            </w:pPr>
            <w:r>
              <w:rPr>
                <w:rFonts w:ascii="Arial" w:cs="Arial" w:eastAsia="Arial" w:hAnsi="Arial"/>
                <w:sz w:val="11"/>
                <w:szCs w:val="11"/>
                <w:b w:val="1"/>
                <w:bCs w:val="1"/>
                <w:color w:val="auto"/>
              </w:rPr>
              <w:t>Accounting Policy</w:t>
            </w:r>
          </w:p>
        </w:tc>
        <w:tc>
          <w:tcPr>
            <w:tcW w:w="5580" w:type="dxa"/>
            <w:vAlign w:val="bottom"/>
          </w:tcPr>
          <w:p>
            <w:pPr>
              <w:spacing w:after="0"/>
              <w:rPr>
                <w:sz w:val="20"/>
                <w:szCs w:val="20"/>
                <w:color w:val="auto"/>
              </w:rPr>
            </w:pPr>
            <w:r>
              <w:rPr>
                <w:rFonts w:ascii="Arial" w:cs="Arial" w:eastAsia="Arial" w:hAnsi="Arial"/>
                <w:sz w:val="11"/>
                <w:szCs w:val="11"/>
                <w:b w:val="1"/>
                <w:bCs w:val="1"/>
                <w:color w:val="auto"/>
              </w:rPr>
              <w:t>Judgments/Uncertainties Affecting Application</w:t>
            </w:r>
          </w:p>
        </w:tc>
      </w:tr>
      <w:tr>
        <w:trPr>
          <w:trHeight w:val="22"/>
        </w:trPr>
        <w:tc>
          <w:tcPr>
            <w:tcW w:w="88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r>
      <w:tr>
        <w:trPr>
          <w:trHeight w:val="245"/>
        </w:trPr>
        <w:tc>
          <w:tcPr>
            <w:tcW w:w="5680" w:type="dxa"/>
            <w:vAlign w:val="bottom"/>
            <w:gridSpan w:val="2"/>
          </w:tcPr>
          <w:p>
            <w:pPr>
              <w:spacing w:after="0"/>
              <w:rPr>
                <w:sz w:val="20"/>
                <w:szCs w:val="20"/>
                <w:color w:val="auto"/>
              </w:rPr>
            </w:pPr>
            <w:r>
              <w:rPr>
                <w:rFonts w:ascii="Arial" w:cs="Arial" w:eastAsia="Arial" w:hAnsi="Arial"/>
                <w:sz w:val="14"/>
                <w:szCs w:val="14"/>
                <w:color w:val="auto"/>
              </w:rPr>
              <w:t>Hypothetical Liquidation at Book Value (HLBV)</w:t>
            </w:r>
          </w:p>
        </w:tc>
        <w:tc>
          <w:tcPr>
            <w:tcW w:w="5580" w:type="dxa"/>
            <w:vAlign w:val="bottom"/>
          </w:tcPr>
          <w:p>
            <w:pPr>
              <w:spacing w:after="0"/>
              <w:rPr>
                <w:sz w:val="20"/>
                <w:szCs w:val="20"/>
                <w:color w:val="auto"/>
              </w:rPr>
            </w:pPr>
            <w:r>
              <w:rPr>
                <w:rFonts w:ascii="Arial" w:cs="Arial" w:eastAsia="Arial" w:hAnsi="Arial"/>
                <w:sz w:val="14"/>
                <w:szCs w:val="14"/>
                <w:color w:val="auto"/>
              </w:rPr>
              <w:t>Estimates of taxable income (loss) and tax capital accounts</w:t>
            </w:r>
          </w:p>
        </w:tc>
      </w:tr>
      <w:tr>
        <w:trPr>
          <w:trHeight w:val="180"/>
        </w:trPr>
        <w:tc>
          <w:tcPr>
            <w:tcW w:w="8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Estimated calculation of specified target investor returns</w:t>
            </w:r>
          </w:p>
        </w:tc>
      </w:tr>
      <w:tr>
        <w:trPr>
          <w:trHeight w:val="180"/>
        </w:trPr>
        <w:tc>
          <w:tcPr>
            <w:tcW w:w="8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Application of liquidation provisions of operating agreements</w:t>
            </w:r>
          </w:p>
        </w:tc>
      </w:tr>
      <w:tr>
        <w:trPr>
          <w:trHeight w:val="180"/>
        </w:trPr>
        <w:tc>
          <w:tcPr>
            <w:tcW w:w="5680" w:type="dxa"/>
            <w:vAlign w:val="bottom"/>
            <w:gridSpan w:val="2"/>
          </w:tcPr>
          <w:p>
            <w:pPr>
              <w:spacing w:after="0"/>
              <w:rPr>
                <w:sz w:val="20"/>
                <w:szCs w:val="20"/>
                <w:color w:val="auto"/>
              </w:rPr>
            </w:pPr>
            <w:r>
              <w:rPr>
                <w:rFonts w:ascii="Arial" w:cs="Arial" w:eastAsia="Arial" w:hAnsi="Arial"/>
                <w:sz w:val="14"/>
                <w:szCs w:val="14"/>
                <w:color w:val="auto"/>
              </w:rPr>
              <w:t>Acquisition Accounting</w:t>
            </w:r>
          </w:p>
        </w:tc>
        <w:tc>
          <w:tcPr>
            <w:tcW w:w="5580" w:type="dxa"/>
            <w:vAlign w:val="bottom"/>
          </w:tcPr>
          <w:p>
            <w:pPr>
              <w:spacing w:after="0"/>
              <w:rPr>
                <w:sz w:val="20"/>
                <w:szCs w:val="20"/>
                <w:color w:val="auto"/>
              </w:rPr>
            </w:pPr>
            <w:r>
              <w:rPr>
                <w:rFonts w:ascii="Arial" w:cs="Arial" w:eastAsia="Arial" w:hAnsi="Arial"/>
                <w:sz w:val="14"/>
                <w:szCs w:val="14"/>
                <w:color w:val="auto"/>
              </w:rPr>
              <w:t>Identification of assets acquired</w:t>
            </w:r>
          </w:p>
        </w:tc>
      </w:tr>
      <w:tr>
        <w:trPr>
          <w:trHeight w:val="180"/>
        </w:trPr>
        <w:tc>
          <w:tcPr>
            <w:tcW w:w="8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Inputs for fair values of assets and liabilities acquired</w:t>
            </w:r>
          </w:p>
        </w:tc>
      </w:tr>
      <w:tr>
        <w:trPr>
          <w:trHeight w:val="180"/>
        </w:trPr>
        <w:tc>
          <w:tcPr>
            <w:tcW w:w="8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Application of appropriate fair value methodologies</w:t>
            </w:r>
          </w:p>
        </w:tc>
      </w:tr>
      <w:tr>
        <w:trPr>
          <w:trHeight w:val="138"/>
        </w:trPr>
        <w:tc>
          <w:tcPr>
            <w:tcW w:w="5680" w:type="dxa"/>
            <w:vAlign w:val="bottom"/>
            <w:gridSpan w:val="2"/>
          </w:tcPr>
          <w:p>
            <w:pPr>
              <w:spacing w:after="0" w:line="139" w:lineRule="exact"/>
              <w:rPr>
                <w:sz w:val="20"/>
                <w:szCs w:val="20"/>
                <w:color w:val="auto"/>
              </w:rPr>
            </w:pPr>
            <w:r>
              <w:rPr>
                <w:rFonts w:ascii="Arial" w:cs="Arial" w:eastAsia="Arial" w:hAnsi="Arial"/>
                <w:sz w:val="14"/>
                <w:szCs w:val="14"/>
                <w:color w:val="auto"/>
              </w:rPr>
              <w:t>Financial Instruments</w:t>
            </w:r>
          </w:p>
        </w:tc>
        <w:tc>
          <w:tcPr>
            <w:tcW w:w="5580" w:type="dxa"/>
            <w:vAlign w:val="bottom"/>
          </w:tcPr>
          <w:p>
            <w:pPr>
              <w:spacing w:after="0" w:line="139" w:lineRule="exact"/>
              <w:rPr>
                <w:sz w:val="20"/>
                <w:szCs w:val="20"/>
                <w:color w:val="auto"/>
              </w:rPr>
            </w:pPr>
            <w:r>
              <w:rPr>
                <w:rFonts w:ascii="Arial" w:cs="Arial" w:eastAsia="Arial" w:hAnsi="Arial"/>
                <w:sz w:val="14"/>
                <w:szCs w:val="14"/>
                <w:color w:val="auto"/>
                <w:w w:val="98"/>
              </w:rPr>
              <w:t>Use of unobservable market inputs such as future electricity prices, future interest rates and</w:t>
            </w:r>
          </w:p>
        </w:tc>
      </w:tr>
      <w:tr>
        <w:trPr>
          <w:trHeight w:val="180"/>
        </w:trPr>
        <w:tc>
          <w:tcPr>
            <w:tcW w:w="8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discount rates</w:t>
            </w:r>
          </w:p>
        </w:tc>
      </w:tr>
    </w:tbl>
    <w:p>
      <w:pPr>
        <w:spacing w:after="0" w:line="276"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Hypothetical Liquidation at Book Value (HLBV)</w:t>
      </w:r>
    </w:p>
    <w:p>
      <w:pPr>
        <w:spacing w:after="0" w:line="13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2"/>
          <w:szCs w:val="12"/>
          <w:color w:val="auto"/>
        </w:rPr>
        <w:t>Certain portions of the Company’s redeemable noncontrolling interest and noncontrolling interest represent third-party interests in the net assets under certain tax equity arrangements, which are consolidated by the Company, that were established to finance the cost of facilities eligible for certain tax credits and benefits. The Company has determined that the provisions in the contractual agreements of these structures represent substantive profit sharing arrangements. Further, the Company has determined that the appropriate methodology for calculating the redeemable noncontrolling interest and noncontrolling interest that reflects the substantive profit sharing arrangements is a balance sheet approach utilizing the HLBV method. Under the HLBV method, the amounts reported as redeemable noncontrolling interest and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redeemable noncontrolling interest and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as well as estimated calculations of tax capital accounts based on the relevant provisions of each agreement and the related tax guidance. In addition, these calculations often take into account the stipulated targeted investor return specified in the subsidiaries’ operating agreement and agreed by the members of the arrangement.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 of income using a systematic and rational method over the period during which the investor is expected to achieve its target return. In certain cases, the Company must apply judgment in determining the methodology for applying these concepts in the HLBV method and changes in certain factors may have a significant impact on the amounts that an investor would receive upon a hypothetical liquidation. The use of the HLBV method to allocate income (loss) to the noncontrolling interest holders may create volatility in the consolidated statements of income.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Acquisition Accounting</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 xml:space="preserve">The Company applies ASC 805, </w:t>
      </w:r>
      <w:r>
        <w:rPr>
          <w:rFonts w:ascii="Arial" w:cs="Arial" w:eastAsia="Arial" w:hAnsi="Arial"/>
          <w:sz w:val="14"/>
          <w:szCs w:val="14"/>
          <w:i w:val="1"/>
          <w:iCs w:val="1"/>
          <w:color w:val="auto"/>
        </w:rPr>
        <w:t>Business Combinations</w:t>
      </w:r>
      <w:r>
        <w:rPr>
          <w:rFonts w:ascii="Arial" w:cs="Arial" w:eastAsia="Arial" w:hAnsi="Arial"/>
          <w:sz w:val="14"/>
          <w:szCs w:val="14"/>
          <w:color w:val="auto"/>
        </w:rPr>
        <w:t>, when accounting for acquisitions, with identifiable assets acquired and liabilities assumed recorded at their estimated fair values at acquisition date. For many of the Company’s acquisitions, the Company applies ASC 805-50, which provides that acquisitions of entities under common control are recorded at historical cost, except in the case where the ultimate parent has a different basis, such as when an acquiree did not elect to apply pushdown accounting. In those circumstances, the Company may also be required to record its acquired assets and liabilities at acquisition date fair value.</w:t>
      </w:r>
    </w:p>
    <w:p>
      <w:pPr>
        <w:spacing w:after="0" w:line="103"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color w:val="auto"/>
        </w:rPr>
        <w:t>Significant judgment is required in determining the acquisition date fair value of the assets acquired and liabilities assumed, predominantly with respect to property, plant and equipment, power purchase agreements, asset retirement obligations and other contractual arrangements for third-party acquisitions. Evaluations include numerous inputs including forecasted cash flows that incorporate the specific attributes of each asset including age, useful life, equipment condition and technology as well as current replacement costs for similar assets. Other key inputs that require judgment include discount rates, comparable market transactions, estimated useful lives and probability of future transactions. The Company evaluates all available information as well as all appropriate methodologies, when determining the fair value of assets acquired and liabilities assumed in a business combination. In addition, once the appropriate fair values are determined, the Company must determine the remaining useful life for property, plant and equipment and the amortization period and method of amortization for each finite-lived intangible asset.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51" w:name="page52"/>
    <w:bookmarkEnd w:id="51"/>
    <w:p>
      <w:pPr>
        <w:ind w:left="320"/>
        <w:spacing w:after="0"/>
        <w:rPr>
          <w:sz w:val="20"/>
          <w:szCs w:val="20"/>
          <w:color w:val="auto"/>
        </w:rPr>
      </w:pPr>
      <w:r>
        <w:rPr>
          <w:rFonts w:ascii="Arial" w:cs="Arial" w:eastAsia="Arial" w:hAnsi="Arial"/>
          <w:sz w:val="14"/>
          <w:szCs w:val="14"/>
          <w:b w:val="1"/>
          <w:bCs w:val="1"/>
          <w:i w:val="1"/>
          <w:iCs w:val="1"/>
          <w:color w:val="auto"/>
        </w:rPr>
        <w:t>Financial Instruments</w:t>
      </w:r>
    </w:p>
    <w:p>
      <w:pPr>
        <w:spacing w:after="0" w:line="13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The Company records its financial instruments, which primarily consist of derivative financial instruments, at fair value. The Company determines the fair value of its financial instruments using discounted cash flow models that require the use of assumptions concerning the amount of estimated future cash flows. The assumptions are determined using external, observable market inputs when available. When observable market inputs are not available, the Company must apply significant judgment to determine market participant assumptions such as future electricity prices, future interest rates and discount rates. As these inputs are based on estimates, fair values may not reflect the amounts actually realized from the related transaction.</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Recent Accounting Developments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See Item 15 —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for a discussion of recent accounting developments.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auto"/>
        </w:rPr>
        <w:t>Item 7A — Quantitative and Qualitative Disclosures About Market Risk</w:t>
      </w:r>
    </w:p>
    <w:p>
      <w:pPr>
        <w:spacing w:after="0" w:line="14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Commodity Price Risk</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231F20"/>
        </w:rPr>
        <w:t xml:space="preserve">Commodity price risks result from exposures to changes in spot prices, forward prices, volatilities, and correlations between various commodities, such as electricity and emissions credits. The Company manages the commodity price risk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 See Item 15 — </w:t>
      </w:r>
      <w:r>
        <w:rPr>
          <w:rFonts w:ascii="Arial" w:cs="Arial" w:eastAsia="Arial" w:hAnsi="Arial"/>
          <w:sz w:val="14"/>
          <w:szCs w:val="14"/>
          <w:color w:val="000000"/>
        </w:rPr>
        <w:t>Note 7</w:t>
      </w:r>
      <w:r>
        <w:rPr>
          <w:rFonts w:ascii="Arial" w:cs="Arial" w:eastAsia="Arial" w:hAnsi="Arial"/>
          <w:sz w:val="14"/>
          <w:szCs w:val="14"/>
          <w:color w:val="231F20"/>
        </w:rPr>
        <w:t xml:space="preserve">, </w:t>
      </w:r>
      <w:r>
        <w:rPr>
          <w:rFonts w:ascii="Arial" w:cs="Arial" w:eastAsia="Arial" w:hAnsi="Arial"/>
          <w:sz w:val="14"/>
          <w:szCs w:val="14"/>
          <w:i w:val="1"/>
          <w:iCs w:val="1"/>
          <w:color w:val="000000"/>
        </w:rPr>
        <w:t xml:space="preserve">Accounting for Derivative Instruments and Hedging Activities, </w:t>
      </w:r>
      <w:r>
        <w:rPr>
          <w:rFonts w:ascii="Arial" w:cs="Arial" w:eastAsia="Arial" w:hAnsi="Arial"/>
          <w:sz w:val="14"/>
          <w:szCs w:val="14"/>
          <w:color w:val="000000"/>
        </w:rPr>
        <w:t>for more information.</w:t>
      </w:r>
    </w:p>
    <w:p>
      <w:pPr>
        <w:spacing w:after="0" w:line="10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231F20"/>
        </w:rPr>
        <w:t>Based on a sensitivity analysis using simplified assumptions, the impact of a $0.50 per MWh increase or decrease in power prices across the term of the derivative contracts would cause a change of approximately $7 million to the net value of power derivatives as of December 31, 2022.</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Interest Rate Risk</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w:t>
      </w:r>
      <w:r>
        <w:rPr>
          <w:rFonts w:ascii="Arial" w:cs="Arial" w:eastAsia="Arial" w:hAnsi="Arial"/>
          <w:sz w:val="14"/>
          <w:szCs w:val="14"/>
          <w:color w:val="000000"/>
        </w:rPr>
        <w:t>Note 7</w:t>
      </w:r>
      <w:r>
        <w:rPr>
          <w:rFonts w:ascii="Arial" w:cs="Arial" w:eastAsia="Arial" w:hAnsi="Arial"/>
          <w:sz w:val="14"/>
          <w:szCs w:val="14"/>
          <w:color w:val="231F20"/>
        </w:rPr>
        <w:t xml:space="preserve">, </w:t>
      </w:r>
      <w:r>
        <w:rPr>
          <w:rFonts w:ascii="Arial" w:cs="Arial" w:eastAsia="Arial" w:hAnsi="Arial"/>
          <w:sz w:val="14"/>
          <w:szCs w:val="14"/>
          <w:i w:val="1"/>
          <w:iCs w:val="1"/>
          <w:color w:val="000000"/>
        </w:rPr>
        <w:t>Accounting for Derivative Instruments and Hedging Activities</w:t>
      </w:r>
      <w:r>
        <w:rPr>
          <w:rFonts w:ascii="Arial" w:cs="Arial" w:eastAsia="Arial" w:hAnsi="Arial"/>
          <w:sz w:val="14"/>
          <w:szCs w:val="14"/>
          <w:color w:val="231F20"/>
        </w:rPr>
        <w:t>, for more information.</w:t>
      </w:r>
    </w:p>
    <w:p>
      <w:pPr>
        <w:spacing w:after="0" w:line="10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4"/>
          <w:szCs w:val="14"/>
          <w:color w:val="000000"/>
        </w:rPr>
        <w:t>Note 10</w:t>
      </w:r>
      <w:r>
        <w:rPr>
          <w:rFonts w:ascii="Arial" w:cs="Arial" w:eastAsia="Arial" w:hAnsi="Arial"/>
          <w:sz w:val="14"/>
          <w:szCs w:val="14"/>
          <w:color w:val="231F20"/>
        </w:rPr>
        <w:t xml:space="preserve">, </w:t>
      </w:r>
      <w:r>
        <w:rPr>
          <w:rFonts w:ascii="Arial" w:cs="Arial" w:eastAsia="Arial" w:hAnsi="Arial"/>
          <w:sz w:val="14"/>
          <w:szCs w:val="14"/>
          <w:i w:val="1"/>
          <w:iCs w:val="1"/>
          <w:color w:val="000000"/>
        </w:rPr>
        <w:t>Long-term Debt</w:t>
      </w:r>
      <w:r>
        <w:rPr>
          <w:rFonts w:ascii="Arial" w:cs="Arial" w:eastAsia="Arial" w:hAnsi="Arial"/>
          <w:sz w:val="14"/>
          <w:szCs w:val="14"/>
          <w:color w:val="231F20"/>
        </w:rPr>
        <w:t>, for more information about interest rate swaps of the Company’s project subsidiaries.</w:t>
      </w:r>
    </w:p>
    <w:p>
      <w:pPr>
        <w:spacing w:after="0" w:line="9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231F20"/>
        </w:rPr>
        <w:t xml:space="preserve">If all of the above swaps had been discontinued on </w:t>
      </w:r>
      <w:r>
        <w:rPr>
          <w:rFonts w:ascii="Arial" w:cs="Arial" w:eastAsia="Arial" w:hAnsi="Arial"/>
          <w:sz w:val="14"/>
          <w:szCs w:val="14"/>
          <w:color w:val="000000"/>
        </w:rPr>
        <w:t>December 31, 2022</w:t>
      </w:r>
      <w:r>
        <w:rPr>
          <w:rFonts w:ascii="Arial" w:cs="Arial" w:eastAsia="Arial" w:hAnsi="Arial"/>
          <w:sz w:val="14"/>
          <w:szCs w:val="14"/>
          <w:color w:val="231F20"/>
        </w:rPr>
        <w:t>, the counterparties would have owed the Company $93 million. Based on the credit ratings of the counterparties, the Company believes its exposure to credit risk due to nonperformance by counterparties to its hedge contracts to be insignificant.</w:t>
      </w:r>
    </w:p>
    <w:p>
      <w:pPr>
        <w:spacing w:after="0" w:line="9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231F20"/>
        </w:rPr>
        <w:t xml:space="preserve">The Company has long-term debt instruments that subject it to the risk of loss associated with movements in market interest rates. As of </w:t>
      </w:r>
      <w:r>
        <w:rPr>
          <w:rFonts w:ascii="Arial" w:cs="Arial" w:eastAsia="Arial" w:hAnsi="Arial"/>
          <w:sz w:val="14"/>
          <w:szCs w:val="14"/>
          <w:color w:val="000000"/>
        </w:rPr>
        <w:t>December 31, 2022</w:t>
      </w:r>
      <w:r>
        <w:rPr>
          <w:rFonts w:ascii="Arial" w:cs="Arial" w:eastAsia="Arial" w:hAnsi="Arial"/>
          <w:sz w:val="14"/>
          <w:szCs w:val="14"/>
          <w:color w:val="231F20"/>
        </w:rPr>
        <w:t>, a 1% change in interest rates would result in an approximately $1 million change in interest expense on a rolling twelve-month basis.</w:t>
      </w:r>
    </w:p>
    <w:p>
      <w:pPr>
        <w:spacing w:after="0" w:line="9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231F20"/>
        </w:rPr>
        <w:t xml:space="preserve">As of </w:t>
      </w:r>
      <w:r>
        <w:rPr>
          <w:rFonts w:ascii="Arial" w:cs="Arial" w:eastAsia="Arial" w:hAnsi="Arial"/>
          <w:sz w:val="14"/>
          <w:szCs w:val="14"/>
          <w:color w:val="000000"/>
        </w:rPr>
        <w:t>December 31, 2022</w:t>
      </w:r>
      <w:r>
        <w:rPr>
          <w:rFonts w:ascii="Arial" w:cs="Arial" w:eastAsia="Arial" w:hAnsi="Arial"/>
          <w:sz w:val="14"/>
          <w:szCs w:val="14"/>
          <w:color w:val="231F20"/>
        </w:rPr>
        <w:t>, the fair value of the Company’s debt was $6,288 million and the carrying value was $6,874 million. The Company estimates that a 1% decrease in market interest rates would have increased the fair value of its long-term debt by $358 million.</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Liquidity Risk</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231F20"/>
        </w:rPr>
        <w:t>Liquidity risk arises from the general funding needs of the Company’s activities and in the management of the Company’s assets and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Counterparty Credit Risk</w:t>
      </w:r>
    </w:p>
    <w:p>
      <w:pPr>
        <w:spacing w:after="0" w:line="13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Arial" w:cs="Arial" w:eastAsia="Arial" w:hAnsi="Arial"/>
          <w:sz w:val="13"/>
          <w:szCs w:val="13"/>
          <w:color w:val="000000"/>
        </w:rPr>
        <w:t>Note 6</w:t>
      </w:r>
      <w:r>
        <w:rPr>
          <w:rFonts w:ascii="Arial" w:cs="Arial" w:eastAsia="Arial" w:hAnsi="Arial"/>
          <w:sz w:val="13"/>
          <w:szCs w:val="13"/>
          <w:color w:val="231F20"/>
        </w:rPr>
        <w:t xml:space="preserve">, </w:t>
      </w:r>
      <w:r>
        <w:rPr>
          <w:rFonts w:ascii="Arial" w:cs="Arial" w:eastAsia="Arial" w:hAnsi="Arial"/>
          <w:sz w:val="13"/>
          <w:szCs w:val="13"/>
          <w:i w:val="1"/>
          <w:iCs w:val="1"/>
          <w:color w:val="000000"/>
        </w:rPr>
        <w:t>Fair Value of Financial Instruments</w:t>
      </w:r>
      <w:r>
        <w:rPr>
          <w:rFonts w:ascii="Arial" w:cs="Arial" w:eastAsia="Arial" w:hAnsi="Arial"/>
          <w:sz w:val="13"/>
          <w:szCs w:val="13"/>
          <w:color w:val="231F20"/>
        </w:rPr>
        <w:t>, for more information about concentration of credit risk.</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 Financial Statements and Supplementary Data</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financial statements and schedules are listed in Part IV, Item 15 of this Form 10-K.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color w:val="auto"/>
        </w:rPr>
        <w:t>Item 9 — Changes in and Disagreements with Accountants on Accounting and Financial Disclosure</w:t>
      </w:r>
    </w:p>
    <w:p>
      <w:pPr>
        <w:spacing w:after="0" w:line="14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As previously reported in the Company’s Current Report on Form 8-K filed on March 15, 2021, on March 9, 2021, the Audit Committee of the Board of Directors of the Company dismissed KPMG LLP as the Company’s independent registered public accounting firm and appointed Ernst &amp; Young LLP, an independent registered public accounting firm, to audit the consolidated financial statements of the Company and its subsidiaries for the fiscal year ending December 31, 2021. For more information, please refer to the Company’s Current Report on Form 8-K filed on March 15, 2021.</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 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Conclusion Regarding the Effectiveness of Disclosure Controls and Procedures and Internal Control Over Financial Reporting</w:t>
      </w:r>
    </w:p>
    <w:p>
      <w:pPr>
        <w:spacing w:after="0" w:line="14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4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There were no changes in the Company’s internal control over financial reporting (as such term is defined in Rule 13a-15(f) under the Exchange Act) during the quarter ended December 31, 2022, that materially affected, or are reasonably likely to materially affect, the Company’s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Inherent Limitations over Internal Controls</w:t>
      </w:r>
    </w:p>
    <w:p>
      <w:pPr>
        <w:spacing w:after="0" w:line="14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90" w:lineRule="exact"/>
        <w:rPr>
          <w:sz w:val="20"/>
          <w:szCs w:val="20"/>
          <w:color w:val="auto"/>
        </w:rPr>
      </w:pPr>
    </w:p>
    <w:p>
      <w:pPr>
        <w:ind w:left="460" w:hanging="137"/>
        <w:spacing w:after="0"/>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Company’s assets;</w:t>
      </w:r>
    </w:p>
    <w:p>
      <w:pPr>
        <w:spacing w:after="0" w:line="136" w:lineRule="exact"/>
        <w:rPr>
          <w:rFonts w:ascii="Arial" w:cs="Arial" w:eastAsia="Arial" w:hAnsi="Arial"/>
          <w:sz w:val="14"/>
          <w:szCs w:val="14"/>
          <w:color w:val="auto"/>
        </w:rPr>
      </w:pPr>
    </w:p>
    <w:p>
      <w:pPr>
        <w:ind w:firstLine="323"/>
        <w:spacing w:after="0" w:line="281" w:lineRule="auto"/>
        <w:tabs>
          <w:tab w:leader="none" w:pos="461"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89" w:lineRule="exact"/>
        <w:rPr>
          <w:rFonts w:ascii="Arial" w:cs="Arial" w:eastAsia="Arial" w:hAnsi="Arial"/>
          <w:sz w:val="14"/>
          <w:szCs w:val="14"/>
          <w:color w:val="auto"/>
        </w:rPr>
      </w:pPr>
    </w:p>
    <w:p>
      <w:pPr>
        <w:ind w:firstLine="323"/>
        <w:spacing w:after="0" w:line="281" w:lineRule="auto"/>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Provide reasonable assurance regarding prevention or timely detection of unauthorized acquisition, use or disposition of the Company’s assets that could have a material effect on the consolidated financial statements.</w:t>
      </w:r>
    </w:p>
    <w:p>
      <w:pPr>
        <w:spacing w:after="0" w:line="9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4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Based on the Company’s evaluation under the framework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the Company’s management concluded that its internal control over financial reporting was effective as of December 31, 2022.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color w:val="auto"/>
        </w:rPr>
        <w:t>Item 9B — Other Information</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71"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57"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 Information about Directors, Executive Officers and Corporate Governance</w:t>
      </w:r>
    </w:p>
    <w:p>
      <w:pPr>
        <w:spacing w:after="0" w:line="14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Company is a limited liability company that is managed by Clearway, Inc., as its sole managing member. As a limited liability company managed by Clearway, Inc., the Company does not have a board of directors. References herein to the Company’s board of directors are references to the board of directors (the “Board”) of Clearway, Inc. Pursuant to the Fourth Amended and Restated Limited Liability Company Agreement of the Company, Clearway, Inc. has appointed officers of the Company and designated certain of such officers as “Executive Officers.” These executive officers are the same as the executive officers of Clearway, Inc.</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shows information for the Company’s executive officers. Executive officers serve until their successors are duly appointed or elected.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640" w:type="dxa"/>
            <w:vAlign w:val="bottom"/>
            <w:tcBorders>
              <w:bottom w:val="single" w:sz="8" w:color="auto"/>
            </w:tcBorders>
          </w:tcPr>
          <w:p>
            <w:pPr>
              <w:jc w:val="center"/>
              <w:ind w:left="936"/>
              <w:spacing w:after="0"/>
              <w:rPr>
                <w:sz w:val="20"/>
                <w:szCs w:val="20"/>
                <w:color w:val="auto"/>
              </w:rPr>
            </w:pPr>
            <w:r>
              <w:rPr>
                <w:rFonts w:ascii="Arial" w:cs="Arial" w:eastAsia="Arial" w:hAnsi="Arial"/>
                <w:sz w:val="13"/>
                <w:szCs w:val="13"/>
                <w:b w:val="1"/>
                <w:bCs w:val="1"/>
                <w:color w:val="auto"/>
                <w:w w:val="81"/>
              </w:rPr>
              <w:t>Age</w:t>
            </w:r>
          </w:p>
        </w:tc>
        <w:tc>
          <w:tcPr>
            <w:tcW w:w="7340" w:type="dxa"/>
            <w:vAlign w:val="bottom"/>
            <w:tcBorders>
              <w:bottom w:val="single" w:sz="8" w:color="auto"/>
            </w:tcBorders>
          </w:tcPr>
          <w:p>
            <w:pPr>
              <w:ind w:left="3660"/>
              <w:spacing w:after="0"/>
              <w:rPr>
                <w:sz w:val="20"/>
                <w:szCs w:val="20"/>
                <w:color w:val="auto"/>
              </w:rPr>
            </w:pPr>
            <w:r>
              <w:rPr>
                <w:rFonts w:ascii="Arial" w:cs="Arial" w:eastAsia="Arial" w:hAnsi="Arial"/>
                <w:sz w:val="13"/>
                <w:szCs w:val="13"/>
                <w:b w:val="1"/>
                <w:bCs w:val="1"/>
                <w:color w:val="auto"/>
              </w:rPr>
              <w:t>Title</w:t>
            </w:r>
          </w:p>
        </w:tc>
      </w:tr>
      <w:tr>
        <w:trPr>
          <w:trHeight w:val="163"/>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Christopher S. Sotos</w:t>
            </w:r>
          </w:p>
        </w:tc>
        <w:tc>
          <w:tcPr>
            <w:tcW w:w="1640" w:type="dxa"/>
            <w:vAlign w:val="bottom"/>
            <w:shd w:val="clear" w:color="auto" w:fill="CCEEFF"/>
          </w:tcPr>
          <w:p>
            <w:pPr>
              <w:jc w:val="center"/>
              <w:ind w:left="936"/>
              <w:spacing w:after="0"/>
              <w:rPr>
                <w:sz w:val="20"/>
                <w:szCs w:val="20"/>
                <w:color w:val="auto"/>
              </w:rPr>
            </w:pPr>
            <w:r>
              <w:rPr>
                <w:rFonts w:ascii="Arial" w:cs="Arial" w:eastAsia="Arial" w:hAnsi="Arial"/>
                <w:sz w:val="13"/>
                <w:szCs w:val="13"/>
                <w:color w:val="auto"/>
                <w:w w:val="82"/>
              </w:rPr>
              <w:t>51</w:t>
            </w:r>
          </w:p>
        </w:tc>
        <w:tc>
          <w:tcPr>
            <w:tcW w:w="7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President and Chief Executive Officer</w:t>
            </w:r>
          </w:p>
        </w:tc>
      </w:tr>
      <w:tr>
        <w:trPr>
          <w:trHeight w:val="168"/>
        </w:trPr>
        <w:tc>
          <w:tcPr>
            <w:tcW w:w="2300" w:type="dxa"/>
            <w:vAlign w:val="bottom"/>
          </w:tcPr>
          <w:p>
            <w:pPr>
              <w:ind w:left="20"/>
              <w:spacing w:after="0"/>
              <w:rPr>
                <w:sz w:val="20"/>
                <w:szCs w:val="20"/>
                <w:color w:val="auto"/>
              </w:rPr>
            </w:pPr>
            <w:r>
              <w:rPr>
                <w:rFonts w:ascii="Arial" w:cs="Arial" w:eastAsia="Arial" w:hAnsi="Arial"/>
                <w:sz w:val="13"/>
                <w:szCs w:val="13"/>
                <w:color w:val="auto"/>
              </w:rPr>
              <w:t>Sarah Rubenstein</w:t>
            </w:r>
          </w:p>
        </w:tc>
        <w:tc>
          <w:tcPr>
            <w:tcW w:w="1640" w:type="dxa"/>
            <w:vAlign w:val="bottom"/>
          </w:tcPr>
          <w:p>
            <w:pPr>
              <w:jc w:val="center"/>
              <w:ind w:left="936"/>
              <w:spacing w:after="0"/>
              <w:rPr>
                <w:sz w:val="20"/>
                <w:szCs w:val="20"/>
                <w:color w:val="auto"/>
              </w:rPr>
            </w:pPr>
            <w:r>
              <w:rPr>
                <w:rFonts w:ascii="Arial" w:cs="Arial" w:eastAsia="Arial" w:hAnsi="Arial"/>
                <w:sz w:val="13"/>
                <w:szCs w:val="13"/>
                <w:color w:val="auto"/>
                <w:w w:val="82"/>
              </w:rPr>
              <w:t>45</w:t>
            </w:r>
          </w:p>
        </w:tc>
        <w:tc>
          <w:tcPr>
            <w:tcW w:w="7340" w:type="dxa"/>
            <w:vAlign w:val="bottom"/>
          </w:tcPr>
          <w:p>
            <w:pPr>
              <w:ind w:left="220"/>
              <w:spacing w:after="0"/>
              <w:rPr>
                <w:sz w:val="20"/>
                <w:szCs w:val="20"/>
                <w:color w:val="auto"/>
              </w:rPr>
            </w:pPr>
            <w:r>
              <w:rPr>
                <w:rFonts w:ascii="Arial" w:cs="Arial" w:eastAsia="Arial" w:hAnsi="Arial"/>
                <w:sz w:val="13"/>
                <w:szCs w:val="13"/>
                <w:color w:val="auto"/>
              </w:rPr>
              <w:t>Senior Vice President, Chief Accounting Officer</w:t>
            </w:r>
          </w:p>
        </w:tc>
      </w:tr>
      <w:tr>
        <w:trPr>
          <w:trHeight w:val="172"/>
        </w:trPr>
        <w:tc>
          <w:tcPr>
            <w:tcW w:w="2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Kevin P. Malcarney</w:t>
            </w:r>
          </w:p>
        </w:tc>
        <w:tc>
          <w:tcPr>
            <w:tcW w:w="1640" w:type="dxa"/>
            <w:vAlign w:val="bottom"/>
            <w:shd w:val="clear" w:color="auto" w:fill="CCEEFF"/>
          </w:tcPr>
          <w:p>
            <w:pPr>
              <w:jc w:val="center"/>
              <w:ind w:left="936"/>
              <w:spacing w:after="0"/>
              <w:rPr>
                <w:sz w:val="20"/>
                <w:szCs w:val="20"/>
                <w:color w:val="auto"/>
              </w:rPr>
            </w:pPr>
            <w:r>
              <w:rPr>
                <w:rFonts w:ascii="Arial" w:cs="Arial" w:eastAsia="Arial" w:hAnsi="Arial"/>
                <w:sz w:val="13"/>
                <w:szCs w:val="13"/>
                <w:color w:val="auto"/>
                <w:w w:val="82"/>
              </w:rPr>
              <w:t>56</w:t>
            </w:r>
          </w:p>
        </w:tc>
        <w:tc>
          <w:tcPr>
            <w:tcW w:w="7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Senior Vice President, General Counsel and Corporate Secretary</w:t>
            </w:r>
          </w:p>
        </w:tc>
      </w:tr>
    </w:tbl>
    <w:p>
      <w:pPr>
        <w:spacing w:after="0" w:line="191"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i w:val="1"/>
          <w:iCs w:val="1"/>
          <w:color w:val="auto"/>
        </w:rPr>
        <w:t xml:space="preserve">Christopher S. Sotos </w:t>
      </w:r>
      <w:r>
        <w:rPr>
          <w:rFonts w:ascii="Arial" w:cs="Arial" w:eastAsia="Arial" w:hAnsi="Arial"/>
          <w:sz w:val="14"/>
          <w:szCs w:val="14"/>
          <w:color w:val="auto"/>
        </w:rPr>
        <w:t>has served as President and Chief Executive Officer since May 2016, and as a member of the Board of Clearway, Inc. since May 2013. Mr. Sotos had also served in various</w:t>
      </w:r>
      <w:r>
        <w:rPr>
          <w:rFonts w:ascii="Arial" w:cs="Arial" w:eastAsia="Arial" w:hAnsi="Arial"/>
          <w:sz w:val="14"/>
          <w:szCs w:val="14"/>
          <w:i w:val="1"/>
          <w:iCs w:val="1"/>
          <w:color w:val="auto"/>
        </w:rPr>
        <w:t xml:space="preserve"> </w:t>
      </w:r>
      <w:r>
        <w:rPr>
          <w:rFonts w:ascii="Arial" w:cs="Arial" w:eastAsia="Arial" w:hAnsi="Arial"/>
          <w:sz w:val="14"/>
          <w:szCs w:val="14"/>
          <w:color w:val="auto"/>
        </w:rPr>
        <w:t>positions at NRG, including most recently as Executive Vice President-Strategy and Mergers and Acquisitions from February 2016 through May 2016 and Senior Vice President-Strategy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previously served as a director of FuelCell Energy, Inc. from September 2014 to April 2019. As President and Chief Executive Officer of the Company, Mr. Sotos provides the Board of Clearway, Inc. with management’s perspective regarding the Company’s day to day operations and overall strategic plan. Mr. Sotos also brings strong financial and accounting skills to the Board of Clearway, Inc.</w:t>
      </w:r>
    </w:p>
    <w:p>
      <w:pPr>
        <w:spacing w:after="0" w:line="10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i w:val="1"/>
          <w:iCs w:val="1"/>
          <w:color w:val="auto"/>
        </w:rPr>
        <w:t xml:space="preserve">Sarah Rubenstein </w:t>
      </w:r>
      <w:r>
        <w:rPr>
          <w:rFonts w:ascii="Arial" w:cs="Arial" w:eastAsia="Arial" w:hAnsi="Arial"/>
          <w:sz w:val="14"/>
          <w:szCs w:val="14"/>
          <w:color w:val="auto"/>
        </w:rPr>
        <w:t>has served as Senior Vice President and Chief Accounting Officer of the Company since January 2022 and previously served as Vice President and Controller from November</w:t>
      </w:r>
      <w:r>
        <w:rPr>
          <w:rFonts w:ascii="Arial" w:cs="Arial" w:eastAsia="Arial" w:hAnsi="Arial"/>
          <w:sz w:val="14"/>
          <w:szCs w:val="14"/>
          <w:i w:val="1"/>
          <w:iCs w:val="1"/>
          <w:color w:val="auto"/>
        </w:rPr>
        <w:t xml:space="preserve"> </w:t>
      </w:r>
      <w:r>
        <w:rPr>
          <w:rFonts w:ascii="Arial" w:cs="Arial" w:eastAsia="Arial" w:hAnsi="Arial"/>
          <w:sz w:val="14"/>
          <w:szCs w:val="14"/>
          <w:color w:val="auto"/>
        </w:rPr>
        <w:t>2020 through December 2021. Ms. Rubenstein previously served as Assistant Controller of the Company since August 2018, where she was responsible for managing corporate accounting and financial reporting activities, and immediately prior to that, as Director of Accounting Research and Financial Reporting at NRG Energy, Inc. from August 2012 through August 2018. Ms. Rubenstein’s prior roles include Director of Finance at EPV Solar, Inc. and Senior Director of Financial Reporting at Warner Music Group. Ms. Rubenstein began her career as an auditor with PricewaterhouseCoopers.</w:t>
      </w:r>
    </w:p>
    <w:p>
      <w:pPr>
        <w:spacing w:after="0" w:line="10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i w:val="1"/>
          <w:iCs w:val="1"/>
          <w:color w:val="auto"/>
        </w:rPr>
        <w:t xml:space="preserve">Kevin P. Malcarney </w:t>
      </w:r>
      <w:r>
        <w:rPr>
          <w:rFonts w:ascii="Arial" w:cs="Arial" w:eastAsia="Arial" w:hAnsi="Arial"/>
          <w:sz w:val="14"/>
          <w:szCs w:val="14"/>
          <w:color w:val="auto"/>
        </w:rPr>
        <w:t>has served as the Company’s General Counsel and Corporate Secretary since May 11, 2018, and was promoted from Senior Vice President to Executive Vice President in</w:t>
      </w:r>
      <w:r>
        <w:rPr>
          <w:rFonts w:ascii="Arial" w:cs="Arial" w:eastAsia="Arial" w:hAnsi="Arial"/>
          <w:sz w:val="14"/>
          <w:szCs w:val="14"/>
          <w:i w:val="1"/>
          <w:iCs w:val="1"/>
          <w:color w:val="auto"/>
        </w:rPr>
        <w:t xml:space="preserve"> </w:t>
      </w:r>
      <w:r>
        <w:rPr>
          <w:rFonts w:ascii="Arial" w:cs="Arial" w:eastAsia="Arial" w:hAnsi="Arial"/>
          <w:sz w:val="14"/>
          <w:szCs w:val="14"/>
          <w:color w:val="auto"/>
        </w:rPr>
        <w:t>January 2022. Mr. Malcarney served as Interim General Counsel of the Company from March 16, 2018 to May 11, 2018. Mr. Malcarney was previously Vice President and Deputy General Counsel and served in various other roles at NRG since September 2008. Prior to NRG, Mr. Malcarney worked at two major law firms in Princeton, New Jersey and Philadelphia, Pennsylvania, and handled mergers and acquisitions, project financing and general corporate matters.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Ethics</w:t>
      </w:r>
    </w:p>
    <w:p>
      <w:pPr>
        <w:spacing w:after="0" w:line="14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 xml:space="preserve">The Company has not adopted a separate code of ethics because all of the officers of the Company are subject to the Code of Conduct adopted by the Board of Clearway, Inc. The Code of Conduct of Clearway, Inc. applies to all of its directors and employees, including its and the Company’s officers (e.g., the Company’s CEO, CFO, and Principal Accounting Officer). Clearway, Inc.’s Code of Conduct is available on its website, </w:t>
      </w:r>
      <w:r>
        <w:rPr>
          <w:rFonts w:ascii="Arial" w:cs="Arial" w:eastAsia="Arial" w:hAnsi="Arial"/>
          <w:sz w:val="14"/>
          <w:szCs w:val="14"/>
          <w:i w:val="1"/>
          <w:iCs w:val="1"/>
          <w:color w:val="auto"/>
        </w:rPr>
        <w:t>www.clearwayenergy.com</w:t>
      </w:r>
      <w:r>
        <w:rPr>
          <w:rFonts w:ascii="Arial" w:cs="Arial" w:eastAsia="Arial" w:hAnsi="Arial"/>
          <w:sz w:val="14"/>
          <w:szCs w:val="14"/>
          <w:color w:val="auto"/>
        </w:rPr>
        <w: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color w:val="auto"/>
        </w:rPr>
        <w:t>Item 11 — Executive Compensation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 Report</w:t>
      </w:r>
    </w:p>
    <w:p>
      <w:pPr>
        <w:spacing w:after="0" w:line="140" w:lineRule="exact"/>
        <w:rPr>
          <w:sz w:val="20"/>
          <w:szCs w:val="20"/>
          <w:color w:val="auto"/>
        </w:rPr>
      </w:pPr>
    </w:p>
    <w:p>
      <w:pPr>
        <w:jc w:val="both"/>
        <w:ind w:firstLine="318"/>
        <w:spacing w:after="0" w:line="319" w:lineRule="auto"/>
        <w:rPr>
          <w:sz w:val="20"/>
          <w:szCs w:val="20"/>
          <w:color w:val="auto"/>
        </w:rPr>
      </w:pPr>
      <w:r>
        <w:rPr>
          <w:rFonts w:ascii="Arial" w:cs="Arial" w:eastAsia="Arial" w:hAnsi="Arial"/>
          <w:sz w:val="12"/>
          <w:szCs w:val="12"/>
          <w:color w:val="auto"/>
        </w:rPr>
        <w:t>The Company’s named executive officers are also named executive officers of Clearway, Inc., and the compensation of the named executive officers disclosed herein reflects total compensation for services with respect to Clearway, Inc. and all of its subsidiaries, including the Company. The Compensation Committee of the Board of Clearway, Inc. (the “Compensation Committee”) has reviewed and discussed the Compensation Discussion and Analysis included in this Annual Report on Form 10-K required by Item 402(b) of Regulation S-K with management and, based upon such review and discussion, the Compensation Committee has recommended to the Board that the Compensation Discussion and Analysis be included in this Annual Report on Form 10-K.</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Compensation Committee: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 Stanley O’Neal,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color w:val="auto"/>
        </w:rPr>
        <w:t>Jonathan Bram</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Brian 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color w:val="auto"/>
        </w:rPr>
        <w:t>Jennifer Lowry</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Discussion and Analysis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Summary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Executive Compensation Program</w:t>
      </w:r>
    </w:p>
    <w:p>
      <w:pPr>
        <w:spacing w:after="0" w:line="136"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Clearway, Inc. is a publicly-traded energy infrastructure investor and owner of modern, sustainable and long-term contracted assets across North America. The Company is sponsored by GIP and TotalEnergies through the portfolio company, CEG, and, together, GIP and TotalEnergies hold all of Clearway, Inc.’s Class B common stock and Class D common stock and thus collectively have the majority voting interest in the Company. This Compensation Discussion and Analysis (this “CD&amp;A”) describes the philosophy, elements, implementation and results of Clearway, Inc.’s 2022 executive compensation program as it applies to the executive team. As discussed above, Clearway, Inc.’s named executive officers are also named executive officers of Clearway Energy LLC, and the compensation of the named executive officers (“NEOs”) discussed below reflects total compensation for services with respect to Clearway, Inc. and all of its subsidiaries, including Clearway Energy LLC. In this CD&amp;A, the term “Company,” as well as the terms “our,” “we,” “us” or like terms, are used to refer to Clearway, Inc. and its consolidated subsidiaries, including Clearway Energy LLC and its consolidated subsidiaries.</w:t>
      </w:r>
    </w:p>
    <w:p>
      <w:pPr>
        <w:spacing w:after="0" w:line="109"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The Compensation Committee’s objectives are to design a simple yet competitive program, which is aligned with the interests of our stockholders. This program is designed to align short-term and long-term compensation with the Company’s annual performance and three-year total stockholder return (“TSR”), respectively. Our annual incentive program (“AIP”) is primarily based on objective criteria that support the achievement of our short-term objectives, which we believe create long-term stockholder value. Our long-term incentives are comprised of 67% Relative Performance Stock Units (“RPSUs”), which vest based on relative TSR measured over three years and 33% Restricted Stock Units (“RSUs”), which vest based on continued service over three years. The program incorporates many best practices in compensation design, while being tailored to our business needs and compensation objectives.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 2022, the Compensation Committee reviewed and did not modify its philosophy related to the compensation program. Thus, NEO compensation continued to be delivered through a mix of</w:t>
      </w:r>
    </w:p>
    <w:p>
      <w:pPr>
        <w:spacing w:after="0" w:line="31" w:lineRule="exact"/>
        <w:rPr>
          <w:sz w:val="20"/>
          <w:szCs w:val="20"/>
          <w:color w:val="auto"/>
        </w:rPr>
      </w:pPr>
    </w:p>
    <w:p>
      <w:pPr>
        <w:ind w:firstLine="5"/>
        <w:spacing w:after="0" w:line="266" w:lineRule="auto"/>
        <w:tabs>
          <w:tab w:leader="none" w:pos="171"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 salary, (ii) an annual incentive bonus opportunity under the AIP and (iii) long-term incentive compensation under our Amended and Restated 2013 Equity Incentive Plan (“LTIP”) in the form of RPSUs and RSUs.</w:t>
      </w:r>
    </w:p>
    <w:p>
      <w:pPr>
        <w:spacing w:after="0" w:line="100"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At our 2022 Annual Meeting of Stockholders, we received approximately 99% support for our say on pay proposal. We believe these results demonstrate our stockholders support our pay practices and that our compensation program is aligned with their interests.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color w:val="auto"/>
        </w:rPr>
        <w:t>Key Governance Features of Our Executive Compensation Program</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compensation program and practices incorporate several key governance features as highlighted in the table below.</w:t>
      </w:r>
    </w:p>
    <w:p>
      <w:pPr>
        <w:spacing w:after="0" w:line="76" w:lineRule="exact"/>
        <w:rPr>
          <w:sz w:val="20"/>
          <w:szCs w:val="20"/>
          <w:color w:val="auto"/>
        </w:rPr>
      </w:pPr>
    </w:p>
    <w:p>
      <w:pPr>
        <w:jc w:val="right"/>
        <w:ind w:right="2400"/>
        <w:spacing w:after="0"/>
        <w:tabs>
          <w:tab w:leader="none" w:pos="940" w:val="left"/>
        </w:tabs>
        <w:rPr>
          <w:sz w:val="20"/>
          <w:szCs w:val="20"/>
          <w:color w:val="auto"/>
        </w:rPr>
      </w:pPr>
      <w:r>
        <w:rPr>
          <w:rFonts w:ascii="Arial" w:cs="Arial" w:eastAsia="Arial" w:hAnsi="Arial"/>
          <w:sz w:val="11"/>
          <w:szCs w:val="11"/>
          <w:b w:val="1"/>
          <w:bCs w:val="1"/>
          <w:color w:val="auto"/>
        </w:rPr>
        <w:t>What We Do:</w:t>
      </w:r>
      <w:r>
        <w:rPr>
          <w:sz w:val="20"/>
          <w:szCs w:val="20"/>
          <w:color w:val="auto"/>
        </w:rPr>
        <w:tab/>
      </w:r>
      <w:r>
        <w:rPr>
          <w:rFonts w:ascii="Arial" w:cs="Arial" w:eastAsia="Arial" w:hAnsi="Arial"/>
          <w:sz w:val="10"/>
          <w:szCs w:val="10"/>
          <w:b w:val="1"/>
          <w:bCs w:val="1"/>
          <w:color w:val="auto"/>
        </w:rPr>
        <w:t>What We Don’t Do:</w:t>
      </w:r>
    </w:p>
    <w:p>
      <w:pPr>
        <w:sectPr>
          <w:pgSz w:w="11900" w:h="16838" w:orient="portrait"/>
          <w:cols w:equalWidth="0" w:num="1">
            <w:col w:w="11280"/>
          </w:cols>
          <w:pgMar w:left="300" w:top="734" w:right="319" w:bottom="1440" w:gutter="0" w:footer="0" w:header="0"/>
        </w:sectPr>
      </w:pPr>
    </w:p>
    <w:p>
      <w:pPr>
        <w:spacing w:after="0" w:line="39" w:lineRule="exact"/>
        <w:rPr>
          <w:sz w:val="20"/>
          <w:szCs w:val="20"/>
          <w:color w:val="auto"/>
        </w:rPr>
      </w:pPr>
    </w:p>
    <w:p>
      <w:pPr>
        <w:ind w:left="520" w:right="100" w:hanging="246"/>
        <w:spacing w:after="0" w:line="236"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Pay for performance by delivering a substantial majority of our President and CEO’s compensation through equity</w:t>
      </w:r>
    </w:p>
    <w:p>
      <w:pPr>
        <w:spacing w:after="0" w:line="12" w:lineRule="exact"/>
        <w:rPr>
          <w:rFonts w:ascii="Arial" w:cs="Arial" w:eastAsia="Arial" w:hAnsi="Arial"/>
          <w:sz w:val="14"/>
          <w:szCs w:val="14"/>
          <w:color w:val="auto"/>
        </w:rPr>
      </w:pPr>
    </w:p>
    <w:p>
      <w:pPr>
        <w:ind w:left="520" w:hanging="246"/>
        <w:spacing w:after="0" w:line="159" w:lineRule="exact"/>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large majority of our equity compensation for Senior Vice Presidents and above is performance</w:t>
      </w:r>
      <w:r>
        <w:rPr>
          <w:rFonts w:ascii="MS PGothic" w:cs="MS PGothic" w:eastAsia="MS PGothic" w:hAnsi="MS PGothic"/>
          <w:sz w:val="14"/>
          <w:szCs w:val="14"/>
          <w:color w:val="auto"/>
        </w:rPr>
        <w:t>‑</w:t>
      </w:r>
      <w:r>
        <w:rPr>
          <w:rFonts w:ascii="Arial" w:cs="Arial" w:eastAsia="Arial" w:hAnsi="Arial"/>
          <w:sz w:val="14"/>
          <w:szCs w:val="14"/>
          <w:color w:val="auto"/>
        </w:rPr>
        <w:t>based</w:t>
      </w:r>
    </w:p>
    <w:p>
      <w:pPr>
        <w:spacing w:after="0" w:line="160" w:lineRule="exact"/>
        <w:rPr>
          <w:rFonts w:ascii="Arial" w:cs="Arial" w:eastAsia="Arial" w:hAnsi="Arial"/>
          <w:sz w:val="14"/>
          <w:szCs w:val="14"/>
          <w:color w:val="auto"/>
        </w:rPr>
      </w:pPr>
    </w:p>
    <w:p>
      <w:pPr>
        <w:ind w:left="520" w:hanging="246"/>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Target our peer group median for total direct compensation</w:t>
      </w:r>
    </w:p>
    <w:p>
      <w:pPr>
        <w:spacing w:after="0" w:line="19" w:lineRule="exact"/>
        <w:rPr>
          <w:rFonts w:ascii="Arial" w:cs="Arial" w:eastAsia="Arial" w:hAnsi="Arial"/>
          <w:sz w:val="14"/>
          <w:szCs w:val="14"/>
          <w:color w:val="auto"/>
        </w:rPr>
      </w:pPr>
    </w:p>
    <w:p>
      <w:pPr>
        <w:ind w:left="520" w:right="220" w:hanging="246"/>
        <w:spacing w:after="0" w:line="159" w:lineRule="exact"/>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Require a double trigger for the acceleration of equity vesting in connection with a change</w:t>
      </w:r>
      <w:r>
        <w:rPr>
          <w:rFonts w:ascii="MS PGothic" w:cs="MS PGothic" w:eastAsia="MS PGothic" w:hAnsi="MS PGothic"/>
          <w:sz w:val="14"/>
          <w:szCs w:val="14"/>
          <w:color w:val="auto"/>
        </w:rPr>
        <w:t>‑</w:t>
      </w:r>
      <w:r>
        <w:rPr>
          <w:rFonts w:ascii="Arial" w:cs="Arial" w:eastAsia="Arial" w:hAnsi="Arial"/>
          <w:sz w:val="14"/>
          <w:szCs w:val="14"/>
          <w:color w:val="auto"/>
        </w:rPr>
        <w:t>in</w:t>
      </w:r>
      <w:r>
        <w:rPr>
          <w:rFonts w:ascii="MS PGothic" w:cs="MS PGothic" w:eastAsia="MS PGothic" w:hAnsi="MS PGothic"/>
          <w:sz w:val="14"/>
          <w:szCs w:val="14"/>
          <w:color w:val="auto"/>
        </w:rPr>
        <w:t>‑</w:t>
      </w:r>
      <w:r>
        <w:rPr>
          <w:rFonts w:ascii="Arial" w:cs="Arial" w:eastAsia="Arial" w:hAnsi="Arial"/>
          <w:sz w:val="14"/>
          <w:szCs w:val="14"/>
          <w:color w:val="auto"/>
        </w:rPr>
        <w:t>control</w:t>
      </w:r>
    </w:p>
    <w:p>
      <w:pPr>
        <w:spacing w:after="0" w:line="12" w:lineRule="exact"/>
        <w:rPr>
          <w:rFonts w:ascii="Arial" w:cs="Arial" w:eastAsia="Arial" w:hAnsi="Arial"/>
          <w:sz w:val="14"/>
          <w:szCs w:val="14"/>
          <w:color w:val="auto"/>
        </w:rPr>
      </w:pPr>
    </w:p>
    <w:p>
      <w:pPr>
        <w:ind w:left="520" w:right="260" w:hanging="246"/>
        <w:spacing w:after="0" w:line="236"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Prevent undue risk taking in our compensation practices and engage in robust risk monitoring</w:t>
      </w:r>
    </w:p>
    <w:p>
      <w:pPr>
        <w:spacing w:after="0" w:line="12" w:lineRule="exact"/>
        <w:rPr>
          <w:rFonts w:ascii="Arial" w:cs="Arial" w:eastAsia="Arial" w:hAnsi="Arial"/>
          <w:sz w:val="14"/>
          <w:szCs w:val="14"/>
          <w:color w:val="auto"/>
        </w:rPr>
      </w:pPr>
    </w:p>
    <w:p>
      <w:pPr>
        <w:ind w:left="520" w:hanging="246"/>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 clawback policies in our compensation plans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249" w:right="80" w:hanging="249"/>
        <w:spacing w:after="0" w:line="159" w:lineRule="exact"/>
        <w:tabs>
          <w:tab w:leader="none" w:pos="246"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 excise tax gross</w:t>
      </w:r>
      <w:r>
        <w:rPr>
          <w:rFonts w:ascii="MS PGothic" w:cs="MS PGothic" w:eastAsia="MS PGothic" w:hAnsi="MS PGothic"/>
          <w:sz w:val="14"/>
          <w:szCs w:val="14"/>
          <w:color w:val="auto"/>
        </w:rPr>
        <w:t>‑</w:t>
      </w:r>
      <w:r>
        <w:rPr>
          <w:rFonts w:ascii="Arial" w:cs="Arial" w:eastAsia="Arial" w:hAnsi="Arial"/>
          <w:sz w:val="14"/>
          <w:szCs w:val="14"/>
          <w:color w:val="auto"/>
        </w:rPr>
        <w:t>ups on change</w:t>
      </w:r>
      <w:r>
        <w:rPr>
          <w:rFonts w:ascii="MS PGothic" w:cs="MS PGothic" w:eastAsia="MS PGothic" w:hAnsi="MS PGothic"/>
          <w:sz w:val="14"/>
          <w:szCs w:val="14"/>
          <w:color w:val="auto"/>
        </w:rPr>
        <w:t>‑</w:t>
      </w:r>
      <w:r>
        <w:rPr>
          <w:rFonts w:ascii="Arial" w:cs="Arial" w:eastAsia="Arial" w:hAnsi="Arial"/>
          <w:sz w:val="14"/>
          <w:szCs w:val="14"/>
          <w:color w:val="auto"/>
        </w:rPr>
        <w:t>in</w:t>
      </w:r>
      <w:r>
        <w:rPr>
          <w:rFonts w:ascii="MS PGothic" w:cs="MS PGothic" w:eastAsia="MS PGothic" w:hAnsi="MS PGothic"/>
          <w:sz w:val="14"/>
          <w:szCs w:val="14"/>
          <w:color w:val="auto"/>
        </w:rPr>
        <w:t>‑</w:t>
      </w:r>
      <w:r>
        <w:rPr>
          <w:rFonts w:ascii="Arial" w:cs="Arial" w:eastAsia="Arial" w:hAnsi="Arial"/>
          <w:sz w:val="14"/>
          <w:szCs w:val="14"/>
          <w:color w:val="auto"/>
        </w:rPr>
        <w:t>control payments and no tax gross</w:t>
      </w:r>
      <w:r>
        <w:rPr>
          <w:rFonts w:ascii="MS PGothic" w:cs="MS PGothic" w:eastAsia="MS PGothic" w:hAnsi="MS PGothic"/>
          <w:sz w:val="14"/>
          <w:szCs w:val="14"/>
          <w:color w:val="auto"/>
        </w:rPr>
        <w:t>‑</w:t>
      </w:r>
      <w:r>
        <w:rPr>
          <w:rFonts w:ascii="Arial" w:cs="Arial" w:eastAsia="Arial" w:hAnsi="Arial"/>
          <w:sz w:val="14"/>
          <w:szCs w:val="14"/>
          <w:color w:val="auto"/>
        </w:rPr>
        <w:t>ups on perquisites or benefits</w:t>
      </w:r>
    </w:p>
    <w:p>
      <w:pPr>
        <w:spacing w:after="0" w:line="160" w:lineRule="exact"/>
        <w:rPr>
          <w:rFonts w:ascii="Arial" w:cs="Arial" w:eastAsia="Arial" w:hAnsi="Arial"/>
          <w:sz w:val="14"/>
          <w:szCs w:val="14"/>
          <w:color w:val="auto"/>
        </w:rPr>
      </w:pPr>
    </w:p>
    <w:p>
      <w:pPr>
        <w:ind w:left="249" w:hanging="249"/>
        <w:spacing w:after="0"/>
        <w:tabs>
          <w:tab w:leader="none" w:pos="249"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 pledging or hedging of the Company’s stock by NEOs or directors</w:t>
      </w:r>
    </w:p>
    <w:p>
      <w:pPr>
        <w:spacing w:after="0" w:line="19" w:lineRule="exact"/>
        <w:rPr>
          <w:rFonts w:ascii="Arial" w:cs="Arial" w:eastAsia="Arial" w:hAnsi="Arial"/>
          <w:sz w:val="14"/>
          <w:szCs w:val="14"/>
          <w:color w:val="auto"/>
        </w:rPr>
      </w:pPr>
    </w:p>
    <w:p>
      <w:pPr>
        <w:ind w:left="249" w:hanging="249"/>
        <w:spacing w:after="0"/>
        <w:tabs>
          <w:tab w:leader="none" w:pos="249" w:val="left"/>
        </w:tabs>
        <w:numPr>
          <w:ilvl w:val="0"/>
          <w:numId w:val="29"/>
        </w:numPr>
        <w:rPr>
          <w:rFonts w:ascii="Arial" w:cs="Arial" w:eastAsia="Arial" w:hAnsi="Arial"/>
          <w:sz w:val="13"/>
          <w:szCs w:val="13"/>
          <w:color w:val="auto"/>
        </w:rPr>
      </w:pPr>
      <w:r>
        <w:rPr>
          <w:rFonts w:ascii="Arial" w:cs="Arial" w:eastAsia="Arial" w:hAnsi="Arial"/>
          <w:sz w:val="13"/>
          <w:szCs w:val="13"/>
          <w:color w:val="auto"/>
        </w:rPr>
        <w:t>No employment agreements for executive officers with the exception of our President and</w:t>
      </w:r>
    </w:p>
    <w:p>
      <w:pPr>
        <w:ind w:left="249"/>
        <w:spacing w:after="0"/>
        <w:rPr>
          <w:rFonts w:ascii="Arial" w:cs="Arial" w:eastAsia="Arial" w:hAnsi="Arial"/>
          <w:sz w:val="13"/>
          <w:szCs w:val="13"/>
          <w:color w:val="auto"/>
        </w:rPr>
      </w:pPr>
      <w:r>
        <w:rPr>
          <w:rFonts w:ascii="Arial" w:cs="Arial" w:eastAsia="Arial" w:hAnsi="Arial"/>
          <w:sz w:val="14"/>
          <w:szCs w:val="14"/>
          <w:color w:val="auto"/>
        </w:rPr>
        <w:t>CEO</w:t>
      </w:r>
    </w:p>
    <w:p>
      <w:pPr>
        <w:spacing w:after="0" w:line="166" w:lineRule="exact"/>
        <w:rPr>
          <w:rFonts w:ascii="Arial" w:cs="Arial" w:eastAsia="Arial" w:hAnsi="Arial"/>
          <w:sz w:val="13"/>
          <w:szCs w:val="13"/>
          <w:color w:val="auto"/>
        </w:rPr>
      </w:pPr>
    </w:p>
    <w:p>
      <w:pPr>
        <w:ind w:left="249" w:hanging="249"/>
        <w:spacing w:after="0"/>
        <w:tabs>
          <w:tab w:leader="none" w:pos="249"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 guaranteed bonus payments for our NEOs</w:t>
      </w:r>
    </w:p>
    <w:p>
      <w:pPr>
        <w:spacing w:after="0" w:line="167" w:lineRule="exact"/>
        <w:rPr>
          <w:rFonts w:ascii="Arial" w:cs="Arial" w:eastAsia="Arial" w:hAnsi="Arial"/>
          <w:sz w:val="14"/>
          <w:szCs w:val="14"/>
          <w:color w:val="auto"/>
        </w:rPr>
      </w:pPr>
    </w:p>
    <w:p>
      <w:pPr>
        <w:ind w:left="249" w:hanging="249"/>
        <w:spacing w:after="0"/>
        <w:tabs>
          <w:tab w:leader="none" w:pos="249"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 supplemental executive retirement plans</w:t>
      </w:r>
    </w:p>
    <w:p>
      <w:pPr>
        <w:spacing w:after="0" w:line="19" w:lineRule="exact"/>
        <w:rPr>
          <w:rFonts w:ascii="Arial" w:cs="Arial" w:eastAsia="Arial" w:hAnsi="Arial"/>
          <w:sz w:val="14"/>
          <w:szCs w:val="14"/>
          <w:color w:val="auto"/>
        </w:rPr>
      </w:pPr>
    </w:p>
    <w:p>
      <w:pPr>
        <w:ind w:left="249" w:right="60" w:hanging="249"/>
        <w:spacing w:after="0" w:line="159" w:lineRule="exact"/>
        <w:tabs>
          <w:tab w:leader="none" w:pos="246"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 re</w:t>
      </w:r>
      <w:r>
        <w:rPr>
          <w:rFonts w:ascii="MS PGothic" w:cs="MS PGothic" w:eastAsia="MS PGothic" w:hAnsi="MS PGothic"/>
          <w:sz w:val="14"/>
          <w:szCs w:val="14"/>
          <w:color w:val="auto"/>
        </w:rPr>
        <w:t>‑</w:t>
      </w:r>
      <w:r>
        <w:rPr>
          <w:rFonts w:ascii="Arial" w:cs="Arial" w:eastAsia="Arial" w:hAnsi="Arial"/>
          <w:sz w:val="14"/>
          <w:szCs w:val="14"/>
          <w:color w:val="auto"/>
        </w:rPr>
        <w:t>pricing of underwater stock options and no stock option grants with an exercise price below 100% of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-1244600</wp:posOffset>
            </wp:positionV>
            <wp:extent cx="7161530" cy="2089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-826770</wp:posOffset>
            </wp:positionV>
            <wp:extent cx="7161530" cy="2089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-408940</wp:posOffset>
            </wp:positionV>
            <wp:extent cx="7161530" cy="2089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5420" w:space="371"/>
            <w:col w:w="5489"/>
          </w:cols>
          <w:pgMar w:left="300" w:top="734" w:right="319" w:bottom="1440" w:gutter="0" w:footer="0" w:header="0"/>
          <w:type w:val="continuous"/>
        </w:sectPr>
      </w:pPr>
    </w:p>
    <w:p>
      <w:pPr>
        <w:ind w:left="520" w:hanging="246"/>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Maintain robust stock ownership guidelines for our NEOs</w:t>
      </w:r>
    </w:p>
    <w:p>
      <w:pPr>
        <w:spacing w:after="0" w:line="19" w:lineRule="exact"/>
        <w:rPr>
          <w:rFonts w:ascii="Arial" w:cs="Arial" w:eastAsia="Arial" w:hAnsi="Arial"/>
          <w:sz w:val="14"/>
          <w:szCs w:val="14"/>
          <w:color w:val="auto"/>
        </w:rPr>
      </w:pPr>
    </w:p>
    <w:p>
      <w:pPr>
        <w:ind w:left="520" w:hanging="246"/>
        <w:spacing w:after="0" w:line="161" w:lineRule="exact"/>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Provide market</w:t>
      </w:r>
      <w:r>
        <w:rPr>
          <w:rFonts w:ascii="MS PGothic" w:cs="MS PGothic" w:eastAsia="MS PGothic" w:hAnsi="MS PGothic"/>
          <w:sz w:val="14"/>
          <w:szCs w:val="14"/>
          <w:color w:val="auto"/>
        </w:rPr>
        <w:t>‑</w:t>
      </w:r>
      <w:r>
        <w:rPr>
          <w:rFonts w:ascii="Arial" w:cs="Arial" w:eastAsia="Arial" w:hAnsi="Arial"/>
          <w:sz w:val="14"/>
          <w:szCs w:val="14"/>
          <w:color w:val="auto"/>
        </w:rPr>
        <w:t>level retirement benefits and limited perquisites</w:t>
      </w:r>
    </w:p>
    <w:p>
      <w:pPr>
        <w:spacing w:after="0" w:line="19" w:lineRule="exact"/>
        <w:rPr>
          <w:rFonts w:ascii="Arial" w:cs="Arial" w:eastAsia="Arial" w:hAnsi="Arial"/>
          <w:sz w:val="14"/>
          <w:szCs w:val="14"/>
          <w:color w:val="auto"/>
        </w:rPr>
      </w:pPr>
    </w:p>
    <w:p>
      <w:pPr>
        <w:ind w:left="520" w:right="5780" w:hanging="246"/>
        <w:spacing w:after="0" w:line="236"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Engage an independent compensation consultant to provide advice to the Compensation Committee with respect to our compensation program</w:t>
      </w:r>
    </w:p>
    <w:p>
      <w:pPr>
        <w:spacing w:after="0" w:line="12" w:lineRule="exact"/>
        <w:rPr>
          <w:rFonts w:ascii="Arial" w:cs="Arial" w:eastAsia="Arial" w:hAnsi="Arial"/>
          <w:sz w:val="14"/>
          <w:szCs w:val="14"/>
          <w:color w:val="auto"/>
        </w:rPr>
      </w:pPr>
    </w:p>
    <w:p>
      <w:pPr>
        <w:ind w:left="520" w:hanging="246"/>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Conduct an annual 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-539750</wp:posOffset>
            </wp:positionV>
            <wp:extent cx="7161530" cy="114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-310515</wp:posOffset>
            </wp:positionV>
            <wp:extent cx="7161530" cy="2089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Business Strategy and Company Performance</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Company’s primary business strategy is to focus on the acquisition and ownership of assets with predictable, long-term cash flows that allow the Company to increase the cash dividends paid to holders of the Company’s Class A and Class C common stock over time without compromising the ongoing stability of the business. The Company’s plan for executing this strategy includes the following key components: focusing on contracted renewable energy and conventional generation; growing our business through acquisitions of contracted operating assets primarily in North America; and maintaining sound financial practices to grow our dividend.</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execution of the Company’s business strategy produced the following results in 2022:</w:t>
      </w:r>
    </w:p>
    <w:p>
      <w:pPr>
        <w:spacing w:after="0" w:line="136" w:lineRule="exact"/>
        <w:rPr>
          <w:sz w:val="20"/>
          <w:szCs w:val="20"/>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Closed the sale of its Thermal Business to KKR for $1.9 billion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Invested approximately $255 million in the acquisition of the Capistrano Wind Portfolio, which consists of five wind projects representing 413 MW of capacity</w:t>
      </w:r>
    </w:p>
    <w:p>
      <w:pPr>
        <w:spacing w:after="0" w:line="93" w:lineRule="exact"/>
        <w:rPr>
          <w:rFonts w:ascii="Arial" w:cs="Arial" w:eastAsia="Arial" w:hAnsi="Arial"/>
          <w:sz w:val="14"/>
          <w:szCs w:val="14"/>
          <w:color w:val="auto"/>
        </w:rPr>
      </w:pPr>
    </w:p>
    <w:p>
      <w:pPr>
        <w:ind w:left="520" w:right="80" w:hanging="260"/>
        <w:spacing w:after="0" w:line="321" w:lineRule="auto"/>
        <w:tabs>
          <w:tab w:leader="none" w:pos="516"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Invested or committed approximately $309 million in new growth investments with CEG, including the commitment to acquire Victory Pass and Arica solar and energy storage projects and funding the Company’s interest in the Mililani and Waiawa solar projects, as well as incremental fundings for the Black Rock, Mesquite Sky and Pinnacle wind projects</w:t>
      </w:r>
    </w:p>
    <w:p>
      <w:pPr>
        <w:spacing w:after="0" w:line="24" w:lineRule="exact"/>
        <w:rPr>
          <w:rFonts w:ascii="Arial" w:cs="Arial" w:eastAsia="Arial" w:hAnsi="Arial"/>
          <w:sz w:val="13"/>
          <w:szCs w:val="13"/>
          <w:color w:val="auto"/>
        </w:rPr>
      </w:pPr>
    </w:p>
    <w:p>
      <w:pPr>
        <w:ind w:left="520" w:right="60" w:hanging="260"/>
        <w:spacing w:after="0" w:line="28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Entered into resource adequacy contracts for El Segundo and Marsh Landing, resulting in both assets having capacity sales fully contracted on a weighted average basis through the majority of 2026</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Such results were taken into account by the Compensation Committee in making determinations with respect to the compensation for our NEOs under the 2022 compensation program.</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b w:val="1"/>
          <w:bCs w:val="1"/>
          <w:i w:val="1"/>
          <w:iCs w:val="1"/>
          <w:color w:val="auto"/>
        </w:rPr>
        <w:t>Executive Compensation Program</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2022 Named Executive Officers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This CD&amp;A describes the material components of our compensation program for our NEOs in 2022. For the year ending December 31, 2022, our NEOs included the following individuals: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60" w:type="dxa"/>
            <w:vAlign w:val="bottom"/>
            <w:gridSpan w:val="2"/>
          </w:tcPr>
          <w:p>
            <w:pPr>
              <w:ind w:left="20"/>
              <w:spacing w:after="0"/>
              <w:rPr>
                <w:sz w:val="20"/>
                <w:szCs w:val="20"/>
                <w:color w:val="auto"/>
              </w:rPr>
            </w:pPr>
            <w:r>
              <w:rPr>
                <w:rFonts w:ascii="Arial" w:cs="Arial" w:eastAsia="Arial" w:hAnsi="Arial"/>
                <w:sz w:val="11"/>
                <w:szCs w:val="11"/>
                <w:b w:val="1"/>
                <w:bCs w:val="1"/>
                <w:color w:val="auto"/>
              </w:rPr>
              <w:t>NEO</w:t>
            </w:r>
          </w:p>
        </w:tc>
        <w:tc>
          <w:tcPr>
            <w:tcW w:w="6920" w:type="dxa"/>
            <w:vAlign w:val="bottom"/>
          </w:tcPr>
          <w:p>
            <w:pPr>
              <w:ind w:left="3220"/>
              <w:spacing w:after="0"/>
              <w:rPr>
                <w:sz w:val="20"/>
                <w:szCs w:val="20"/>
                <w:color w:val="auto"/>
              </w:rPr>
            </w:pPr>
            <w:r>
              <w:rPr>
                <w:rFonts w:ascii="Arial" w:cs="Arial" w:eastAsia="Arial" w:hAnsi="Arial"/>
                <w:sz w:val="11"/>
                <w:szCs w:val="11"/>
                <w:b w:val="1"/>
                <w:bCs w:val="1"/>
                <w:color w:val="auto"/>
              </w:rPr>
              <w:t>2022 Title</w:t>
            </w:r>
          </w:p>
        </w:tc>
      </w:tr>
      <w:tr>
        <w:trPr>
          <w:trHeight w:val="180"/>
        </w:trPr>
        <w:tc>
          <w:tcPr>
            <w:tcW w:w="4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Christopher S. Sotos</w:t>
            </w:r>
          </w:p>
        </w:tc>
        <w:tc>
          <w:tcPr>
            <w:tcW w:w="100" w:type="dxa"/>
            <w:vAlign w:val="bottom"/>
            <w:tcBorders>
              <w:top w:val="single" w:sz="8" w:color="CCEEFF"/>
            </w:tcBorders>
            <w:shd w:val="clear" w:color="auto" w:fill="CCEEFF"/>
          </w:tcPr>
          <w:p>
            <w:pPr>
              <w:spacing w:after="0"/>
              <w:rPr>
                <w:sz w:val="15"/>
                <w:szCs w:val="15"/>
                <w:color w:val="auto"/>
              </w:rPr>
            </w:pPr>
          </w:p>
        </w:tc>
        <w:tc>
          <w:tcPr>
            <w:tcW w:w="69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President and Chief Executive Officer</w:t>
            </w:r>
          </w:p>
        </w:tc>
      </w:tr>
      <w:tr>
        <w:trPr>
          <w:trHeight w:val="180"/>
        </w:trPr>
        <w:tc>
          <w:tcPr>
            <w:tcW w:w="4360" w:type="dxa"/>
            <w:vAlign w:val="bottom"/>
            <w:gridSpan w:val="2"/>
          </w:tcPr>
          <w:p>
            <w:pPr>
              <w:ind w:left="120"/>
              <w:spacing w:after="0"/>
              <w:rPr>
                <w:sz w:val="20"/>
                <w:szCs w:val="20"/>
                <w:color w:val="auto"/>
              </w:rPr>
            </w:pPr>
            <w:r>
              <w:rPr>
                <w:rFonts w:ascii="Arial" w:cs="Arial" w:eastAsia="Arial" w:hAnsi="Arial"/>
                <w:sz w:val="14"/>
                <w:szCs w:val="14"/>
                <w:color w:val="auto"/>
              </w:rPr>
              <w:t>Sarah Rubenstein</w:t>
            </w:r>
          </w:p>
        </w:tc>
        <w:tc>
          <w:tcPr>
            <w:tcW w:w="6920" w:type="dxa"/>
            <w:vAlign w:val="bottom"/>
          </w:tcPr>
          <w:p>
            <w:pPr>
              <w:ind w:left="100"/>
              <w:spacing w:after="0" w:line="181" w:lineRule="exact"/>
              <w:rPr>
                <w:sz w:val="20"/>
                <w:szCs w:val="20"/>
                <w:color w:val="auto"/>
              </w:rPr>
            </w:pPr>
            <w:r>
              <w:rPr>
                <w:rFonts w:ascii="Arial" w:cs="Arial" w:eastAsia="Arial" w:hAnsi="Arial"/>
                <w:sz w:val="14"/>
                <w:szCs w:val="14"/>
                <w:color w:val="auto"/>
              </w:rPr>
              <w:t>Senior Vice President and Chief Accounting Officer</w:t>
            </w:r>
            <w:r>
              <w:rPr>
                <w:rFonts w:ascii="Arial" w:cs="Arial" w:eastAsia="Arial" w:hAnsi="Arial"/>
                <w:sz w:val="18"/>
                <w:szCs w:val="18"/>
                <w:color w:val="auto"/>
                <w:vertAlign w:val="superscript"/>
              </w:rPr>
              <w:t>(1)</w:t>
            </w:r>
          </w:p>
        </w:tc>
      </w:tr>
      <w:tr>
        <w:trPr>
          <w:trHeight w:val="180"/>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Kevin P. Malcarney</w:t>
            </w:r>
          </w:p>
        </w:tc>
        <w:tc>
          <w:tcPr>
            <w:tcW w:w="6920" w:type="dxa"/>
            <w:vAlign w:val="bottom"/>
            <w:shd w:val="clear" w:color="auto" w:fill="CCEEFF"/>
          </w:tcPr>
          <w:p>
            <w:pPr>
              <w:ind w:left="100"/>
              <w:spacing w:after="0" w:line="181" w:lineRule="exact"/>
              <w:rPr>
                <w:sz w:val="20"/>
                <w:szCs w:val="20"/>
                <w:color w:val="auto"/>
              </w:rPr>
            </w:pPr>
            <w:r>
              <w:rPr>
                <w:rFonts w:ascii="Arial" w:cs="Arial" w:eastAsia="Arial" w:hAnsi="Arial"/>
                <w:sz w:val="14"/>
                <w:szCs w:val="14"/>
                <w:color w:val="auto"/>
              </w:rPr>
              <w:t>Executive Vice President, General Counsel and Corporate Secretary</w:t>
            </w:r>
            <w:r>
              <w:rPr>
                <w:rFonts w:ascii="Arial" w:cs="Arial" w:eastAsia="Arial" w:hAnsi="Arial"/>
                <w:sz w:val="18"/>
                <w:szCs w:val="18"/>
                <w:color w:val="auto"/>
                <w:vertAlign w:val="superscript"/>
              </w:rPr>
              <w:t>(2)</w:t>
            </w:r>
          </w:p>
        </w:tc>
      </w:tr>
      <w:tr>
        <w:trPr>
          <w:trHeight w:val="239"/>
        </w:trPr>
        <w:tc>
          <w:tcPr>
            <w:tcW w:w="4360" w:type="dxa"/>
            <w:vAlign w:val="bottom"/>
            <w:gridSpan w:val="2"/>
          </w:tcPr>
          <w:p>
            <w:pPr>
              <w:ind w:left="120"/>
              <w:spacing w:after="0"/>
              <w:rPr>
                <w:sz w:val="20"/>
                <w:szCs w:val="20"/>
                <w:color w:val="auto"/>
              </w:rPr>
            </w:pPr>
            <w:r>
              <w:rPr>
                <w:rFonts w:ascii="Arial" w:cs="Arial" w:eastAsia="Arial" w:hAnsi="Arial"/>
                <w:sz w:val="14"/>
                <w:szCs w:val="14"/>
                <w:color w:val="auto"/>
              </w:rPr>
              <w:t>Chad Plotkin</w:t>
            </w:r>
          </w:p>
        </w:tc>
        <w:tc>
          <w:tcPr>
            <w:tcW w:w="6920" w:type="dxa"/>
            <w:vAlign w:val="bottom"/>
          </w:tcPr>
          <w:p>
            <w:pPr>
              <w:ind w:left="100"/>
              <w:spacing w:after="0"/>
              <w:rPr>
                <w:sz w:val="20"/>
                <w:szCs w:val="20"/>
                <w:color w:val="auto"/>
              </w:rPr>
            </w:pPr>
            <w:r>
              <w:rPr>
                <w:rFonts w:ascii="Arial" w:cs="Arial" w:eastAsia="Arial" w:hAnsi="Arial"/>
                <w:sz w:val="14"/>
                <w:szCs w:val="14"/>
                <w:color w:val="auto"/>
              </w:rPr>
              <w:t>Executive Vice President and Chief Financial Officer</w:t>
            </w:r>
            <w:r>
              <w:rPr>
                <w:rFonts w:ascii="Arial" w:cs="Arial" w:eastAsia="Arial" w:hAnsi="Arial"/>
                <w:sz w:val="18"/>
                <w:szCs w:val="18"/>
                <w:color w:val="auto"/>
                <w:vertAlign w:val="superscript"/>
              </w:rPr>
              <w:t>(3)</w:t>
            </w:r>
          </w:p>
        </w:tc>
      </w:tr>
    </w:tbl>
    <w:p>
      <w:pPr>
        <w:spacing w:after="0" w:line="29" w:lineRule="exact"/>
        <w:rPr>
          <w:sz w:val="20"/>
          <w:szCs w:val="20"/>
          <w:color w:val="auto"/>
        </w:rPr>
      </w:pPr>
    </w:p>
    <w:p>
      <w:pPr>
        <w:ind w:left="200" w:hanging="131"/>
        <w:spacing w:after="0"/>
        <w:tabs>
          <w:tab w:leader="none" w:pos="200"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Ms. Rubenstein was promoted to Senior Vice President and Chief Accounting Officer in January 2022 and appointed as the principal financial officer for the Company in August 2022.</w:t>
      </w:r>
    </w:p>
    <w:p>
      <w:pPr>
        <w:spacing w:after="0" w:line="39" w:lineRule="exact"/>
        <w:rPr>
          <w:rFonts w:ascii="Arial" w:cs="Arial" w:eastAsia="Arial" w:hAnsi="Arial"/>
          <w:sz w:val="16"/>
          <w:szCs w:val="16"/>
          <w:color w:val="auto"/>
          <w:vertAlign w:val="superscript"/>
        </w:rPr>
      </w:pPr>
    </w:p>
    <w:p>
      <w:pPr>
        <w:ind w:left="200" w:hanging="131"/>
        <w:spacing w:after="0" w:line="197" w:lineRule="auto"/>
        <w:tabs>
          <w:tab w:leader="none" w:pos="200"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Mr. Malcarney was promoted to Executive Vice President, General Counsel and Corporate Secretary in January 2022.</w:t>
      </w:r>
    </w:p>
    <w:p>
      <w:pPr>
        <w:spacing w:after="0" w:line="39" w:lineRule="exact"/>
        <w:rPr>
          <w:rFonts w:ascii="Arial" w:cs="Arial" w:eastAsia="Arial" w:hAnsi="Arial"/>
          <w:sz w:val="16"/>
          <w:szCs w:val="16"/>
          <w:color w:val="auto"/>
          <w:vertAlign w:val="superscript"/>
        </w:rPr>
      </w:pPr>
    </w:p>
    <w:p>
      <w:pPr>
        <w:ind w:left="200" w:hanging="131"/>
        <w:spacing w:after="0" w:line="197" w:lineRule="auto"/>
        <w:tabs>
          <w:tab w:leader="none" w:pos="200"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Mr. Plotkin was promoted to Executive Vice President and Chief Financial Officer in January 2022. Mr. Plotkin voluntarily resigned from his employment with the Company in August 2022.</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Goals and Objectives of the Program</w:t>
      </w:r>
    </w:p>
    <w:p>
      <w:pPr>
        <w:spacing w:after="0" w:line="13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The Compensation Committee is responsible for the development and implementation of the Company’s executive compensation program, subject to Board approval for equity awards to certain officers, and references to Compensation Committee actions described below should be read in a manner that contemplates the requisite Board approval, as applicable, is in effect (see “Board Committees—Compensation Committee” above). The intent of the program is to reward the achievement of the Company’s annual goals and objectives while supporting the Company’s long-term business strategy. The Compensation Committee is committed to aligning executives’ compensation with performance. Our Compensation Committee has designed an executive compensation program that:</w:t>
      </w:r>
    </w:p>
    <w:p>
      <w:pPr>
        <w:spacing w:after="0" w:line="19" w:lineRule="exact"/>
        <w:rPr>
          <w:sz w:val="20"/>
          <w:szCs w:val="20"/>
          <w:color w:val="auto"/>
        </w:rPr>
      </w:pPr>
    </w:p>
    <w:p>
      <w:pPr>
        <w:ind w:left="520" w:hanging="260"/>
        <w:spacing w:after="0"/>
        <w:tabs>
          <w:tab w:leader="none" w:pos="5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closely aligns our executive compensation with stockholder value creation, avoiding plans that encourage executives to take excessive risk, while driving long-term value to stockholders;</w:t>
      </w:r>
    </w:p>
    <w:p>
      <w:pPr>
        <w:spacing w:after="0" w:line="62"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supports the Company’s long-term business strategy, while rewarding our executive team for their individual accomplishments with tailored individual executive compensation metrics and incentives; and</w:t>
      </w:r>
    </w:p>
    <w:p>
      <w:pPr>
        <w:spacing w:after="0" w:line="4"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provides a competitive compensation opportunity while aligning with market standards for compensation.</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Compensation Committee’s objectives are achieved through the use of both short-term and long-term incentives. The Company currently targets total direct compensation at the median of our Compensation Peer Group (defined below), as described below under “Elements of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Compensation Process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Compensation Consultant</w:t>
      </w:r>
    </w:p>
    <w:p>
      <w:pPr>
        <w:spacing w:after="0" w:line="136" w:lineRule="exact"/>
        <w:rPr>
          <w:sz w:val="20"/>
          <w:szCs w:val="20"/>
          <w:color w:val="auto"/>
        </w:rPr>
      </w:pPr>
    </w:p>
    <w:p>
      <w:pPr>
        <w:jc w:val="both"/>
        <w:ind w:firstLine="318"/>
        <w:spacing w:after="0" w:line="279" w:lineRule="auto"/>
        <w:rPr>
          <w:sz w:val="20"/>
          <w:szCs w:val="20"/>
          <w:color w:val="auto"/>
        </w:rPr>
      </w:pPr>
      <w:r>
        <w:rPr>
          <w:rFonts w:ascii="Arial" w:cs="Arial" w:eastAsia="Arial" w:hAnsi="Arial"/>
          <w:sz w:val="13"/>
          <w:szCs w:val="13"/>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Pay Governance has been the Compensation Committee’s independent compensation consultant since August 2020, and Pay Governance has continued to serve in that capacity to the present date. Pay Governance worked with the Compensation Committee to formulate the design of the executive and director compensation programs for 2022. As part of its work with the Compensation Committee, Pay Governance provided reports to the Compensation Committee containing research, market data, survey information and information regarding trends and developments in executive and director compensation, and Pay Governance reported directly to the Compensation Committee. Neither Pay Governance, nor any of their affiliates provided any other services for us or any of our affiliates in 2022. In accordance with SEC rules and requirements, the Company has affirmatively determined that no conflicts of interest exist between the Company and Pay Governance (or any individuals working on the Company’s account on behalf of Pay Governance).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color w:val="auto"/>
        </w:rPr>
        <w:t>Compensation Peer Group Analysis</w:t>
      </w:r>
    </w:p>
    <w:p>
      <w:pPr>
        <w:spacing w:after="0" w:line="136" w:lineRule="exact"/>
        <w:rPr>
          <w:sz w:val="20"/>
          <w:szCs w:val="20"/>
          <w:color w:val="auto"/>
        </w:rPr>
      </w:pPr>
    </w:p>
    <w:p>
      <w:pPr>
        <w:jc w:val="both"/>
        <w:ind w:firstLine="318"/>
        <w:spacing w:after="0" w:line="172" w:lineRule="exact"/>
        <w:rPr>
          <w:sz w:val="20"/>
          <w:szCs w:val="20"/>
          <w:color w:val="auto"/>
        </w:rPr>
      </w:pPr>
      <w:r>
        <w:rPr>
          <w:rFonts w:ascii="Arial" w:cs="Arial" w:eastAsia="Arial" w:hAnsi="Arial"/>
          <w:sz w:val="13"/>
          <w:szCs w:val="13"/>
          <w:color w:val="auto"/>
        </w:rPr>
        <w:t>The Compensation Committee, with support from its independent compensation consultant, identifies the most appropriate comparator group within relevant industries for purposes of benchmarking compensation. The Compensation Committee aims to compare our compensation program to a consistent peer group year-to</w:t>
      </w:r>
      <w:r>
        <w:rPr>
          <w:rFonts w:ascii="MS PGothic" w:cs="MS PGothic" w:eastAsia="MS PGothic" w:hAnsi="MS PGothic"/>
          <w:sz w:val="13"/>
          <w:szCs w:val="13"/>
          <w:color w:val="auto"/>
        </w:rPr>
        <w:t>‑</w:t>
      </w:r>
      <w:r>
        <w:rPr>
          <w:rFonts w:ascii="Arial" w:cs="Arial" w:eastAsia="Arial" w:hAnsi="Arial"/>
          <w:sz w:val="13"/>
          <w:szCs w:val="13"/>
          <w:color w:val="auto"/>
        </w:rPr>
        <w:t>year but given the dynamic nature of our industry and the companies that constitute it, the Compensation Committee annually examines the peer group for appropriateness in terms of size, complexity, and industry. As a result of such annual review, the Compensation Committee identified a new peer group for compensation benchmarking purposes in 2022 (the “Compensation Peer Group”).</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these purposes, the Compensation Peer Group, comprised of similarly sized publicly-owned energy and utility companies, is identified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60" w:type="dxa"/>
            <w:vAlign w:val="bottom"/>
            <w:gridSpan w:val="2"/>
          </w:tcPr>
          <w:p>
            <w:pPr>
              <w:ind w:left="20"/>
              <w:spacing w:after="0"/>
              <w:rPr>
                <w:sz w:val="20"/>
                <w:szCs w:val="20"/>
                <w:color w:val="auto"/>
              </w:rPr>
            </w:pPr>
            <w:r>
              <w:rPr>
                <w:rFonts w:ascii="Arial" w:cs="Arial" w:eastAsia="Arial" w:hAnsi="Arial"/>
                <w:sz w:val="11"/>
                <w:szCs w:val="11"/>
                <w:b w:val="1"/>
                <w:bCs w:val="1"/>
                <w:color w:val="auto"/>
              </w:rPr>
              <w:t>Company</w:t>
            </w:r>
          </w:p>
        </w:tc>
        <w:tc>
          <w:tcPr>
            <w:tcW w:w="1760" w:type="dxa"/>
            <w:vAlign w:val="bottom"/>
            <w:gridSpan w:val="2"/>
          </w:tcPr>
          <w:p>
            <w:pPr>
              <w:ind w:left="20"/>
              <w:spacing w:after="0"/>
              <w:rPr>
                <w:sz w:val="20"/>
                <w:szCs w:val="20"/>
                <w:color w:val="auto"/>
              </w:rPr>
            </w:pPr>
            <w:r>
              <w:rPr>
                <w:rFonts w:ascii="Arial" w:cs="Arial" w:eastAsia="Arial" w:hAnsi="Arial"/>
                <w:sz w:val="11"/>
                <w:szCs w:val="11"/>
                <w:b w:val="1"/>
                <w:bCs w:val="1"/>
                <w:color w:val="auto"/>
              </w:rPr>
              <w:t>Ticker</w:t>
            </w:r>
          </w:p>
        </w:tc>
        <w:tc>
          <w:tcPr>
            <w:tcW w:w="3200" w:type="dxa"/>
            <w:vAlign w:val="bottom"/>
            <w:gridSpan w:val="2"/>
          </w:tcPr>
          <w:p>
            <w:pPr>
              <w:ind w:left="20"/>
              <w:spacing w:after="0"/>
              <w:rPr>
                <w:sz w:val="20"/>
                <w:szCs w:val="20"/>
                <w:color w:val="auto"/>
              </w:rPr>
            </w:pPr>
            <w:r>
              <w:rPr>
                <w:rFonts w:ascii="Arial" w:cs="Arial" w:eastAsia="Arial" w:hAnsi="Arial"/>
                <w:sz w:val="11"/>
                <w:szCs w:val="11"/>
                <w:b w:val="1"/>
                <w:bCs w:val="1"/>
                <w:color w:val="auto"/>
              </w:rPr>
              <w:t>Company</w:t>
            </w:r>
          </w:p>
        </w:tc>
        <w:tc>
          <w:tcPr>
            <w:tcW w:w="2760" w:type="dxa"/>
            <w:vAlign w:val="bottom"/>
          </w:tcPr>
          <w:p>
            <w:pPr>
              <w:spacing w:after="0"/>
              <w:rPr>
                <w:sz w:val="20"/>
                <w:szCs w:val="20"/>
                <w:color w:val="auto"/>
              </w:rPr>
            </w:pPr>
            <w:r>
              <w:rPr>
                <w:rFonts w:ascii="Arial" w:cs="Arial" w:eastAsia="Arial" w:hAnsi="Arial"/>
                <w:sz w:val="11"/>
                <w:szCs w:val="11"/>
                <w:b w:val="1"/>
                <w:bCs w:val="1"/>
                <w:color w:val="auto"/>
              </w:rPr>
              <w:t>Ticker</w:t>
            </w:r>
          </w:p>
        </w:tc>
      </w:tr>
      <w:tr>
        <w:trPr>
          <w:trHeight w:val="180"/>
        </w:trPr>
        <w:tc>
          <w:tcPr>
            <w:tcW w:w="34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Algonquin Power &amp; Utilities Corp.</w:t>
            </w:r>
          </w:p>
        </w:tc>
        <w:tc>
          <w:tcPr>
            <w:tcW w:w="10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NYSE: AQN</w:t>
            </w:r>
          </w:p>
        </w:tc>
        <w:tc>
          <w:tcPr>
            <w:tcW w:w="100" w:type="dxa"/>
            <w:vAlign w:val="bottom"/>
            <w:tcBorders>
              <w:top w:val="single" w:sz="8" w:color="CCEEFF"/>
            </w:tcBorders>
            <w:shd w:val="clear" w:color="auto" w:fill="CCEEFF"/>
          </w:tcPr>
          <w:p>
            <w:pPr>
              <w:spacing w:after="0"/>
              <w:rPr>
                <w:sz w:val="15"/>
                <w:szCs w:val="15"/>
                <w:color w:val="auto"/>
              </w:rPr>
            </w:pPr>
          </w:p>
        </w:tc>
        <w:tc>
          <w:tcPr>
            <w:tcW w:w="3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MGE Energy, Inc.</w:t>
            </w:r>
          </w:p>
        </w:tc>
        <w:tc>
          <w:tcPr>
            <w:tcW w:w="100" w:type="dxa"/>
            <w:vAlign w:val="bottom"/>
            <w:tcBorders>
              <w:top w:val="single" w:sz="8" w:color="CCEEFF"/>
            </w:tcBorders>
            <w:shd w:val="clear" w:color="auto" w:fill="CCEEFF"/>
          </w:tcPr>
          <w:p>
            <w:pPr>
              <w:spacing w:after="0"/>
              <w:rPr>
                <w:sz w:val="15"/>
                <w:szCs w:val="15"/>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NASDAQ: MGEE</w:t>
            </w:r>
          </w:p>
        </w:tc>
      </w:tr>
      <w:tr>
        <w:trPr>
          <w:trHeight w:val="180"/>
        </w:trPr>
        <w:tc>
          <w:tcPr>
            <w:tcW w:w="3560" w:type="dxa"/>
            <w:vAlign w:val="bottom"/>
            <w:gridSpan w:val="2"/>
          </w:tcPr>
          <w:p>
            <w:pPr>
              <w:ind w:left="120"/>
              <w:spacing w:after="0"/>
              <w:rPr>
                <w:sz w:val="20"/>
                <w:szCs w:val="20"/>
                <w:color w:val="auto"/>
              </w:rPr>
            </w:pPr>
            <w:r>
              <w:rPr>
                <w:rFonts w:ascii="Arial" w:cs="Arial" w:eastAsia="Arial" w:hAnsi="Arial"/>
                <w:sz w:val="14"/>
                <w:szCs w:val="14"/>
                <w:color w:val="auto"/>
              </w:rPr>
              <w:t>Alliant Energy Corporation</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NASDAQ: LNT</w:t>
            </w:r>
          </w:p>
        </w:tc>
        <w:tc>
          <w:tcPr>
            <w:tcW w:w="3200" w:type="dxa"/>
            <w:vAlign w:val="bottom"/>
            <w:gridSpan w:val="2"/>
          </w:tcPr>
          <w:p>
            <w:pPr>
              <w:ind w:left="20"/>
              <w:spacing w:after="0"/>
              <w:rPr>
                <w:sz w:val="20"/>
                <w:szCs w:val="20"/>
                <w:color w:val="auto"/>
              </w:rPr>
            </w:pPr>
            <w:r>
              <w:rPr>
                <w:rFonts w:ascii="Arial" w:cs="Arial" w:eastAsia="Arial" w:hAnsi="Arial"/>
                <w:sz w:val="14"/>
                <w:szCs w:val="14"/>
                <w:color w:val="auto"/>
              </w:rPr>
              <w:t>Northland Power Inc.</w:t>
            </w:r>
          </w:p>
        </w:tc>
        <w:tc>
          <w:tcPr>
            <w:tcW w:w="2760" w:type="dxa"/>
            <w:vAlign w:val="bottom"/>
          </w:tcPr>
          <w:p>
            <w:pPr>
              <w:spacing w:after="0"/>
              <w:rPr>
                <w:sz w:val="20"/>
                <w:szCs w:val="20"/>
                <w:color w:val="auto"/>
              </w:rPr>
            </w:pPr>
            <w:r>
              <w:rPr>
                <w:rFonts w:ascii="Arial" w:cs="Arial" w:eastAsia="Arial" w:hAnsi="Arial"/>
                <w:sz w:val="14"/>
                <w:szCs w:val="14"/>
                <w:color w:val="auto"/>
              </w:rPr>
              <w:t>TSX: NPI</w:t>
            </w:r>
          </w:p>
        </w:tc>
      </w:tr>
      <w:tr>
        <w:trPr>
          <w:trHeight w:val="202"/>
        </w:trPr>
        <w:tc>
          <w:tcPr>
            <w:tcW w:w="3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Atmos Energy Corporation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NYSE: ATO</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NorthWestern Corporation</w:t>
            </w: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NYSE: NWE</w:t>
            </w:r>
          </w:p>
        </w:tc>
      </w:tr>
      <w:tr>
        <w:trPr>
          <w:trHeight w:val="201"/>
        </w:trPr>
        <w:tc>
          <w:tcPr>
            <w:tcW w:w="3560" w:type="dxa"/>
            <w:vAlign w:val="bottom"/>
            <w:gridSpan w:val="2"/>
          </w:tcPr>
          <w:p>
            <w:pPr>
              <w:ind w:left="120"/>
              <w:spacing w:after="0"/>
              <w:rPr>
                <w:sz w:val="20"/>
                <w:szCs w:val="20"/>
                <w:color w:val="auto"/>
              </w:rPr>
            </w:pPr>
            <w:r>
              <w:rPr>
                <w:rFonts w:ascii="Arial" w:cs="Arial" w:eastAsia="Arial" w:hAnsi="Arial"/>
                <w:sz w:val="14"/>
                <w:szCs w:val="14"/>
                <w:color w:val="auto"/>
              </w:rPr>
              <w:t>Avista Corporation</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NYSE: AVA</w:t>
            </w:r>
          </w:p>
        </w:tc>
        <w:tc>
          <w:tcPr>
            <w:tcW w:w="3200" w:type="dxa"/>
            <w:vAlign w:val="bottom"/>
            <w:gridSpan w:val="2"/>
          </w:tcPr>
          <w:p>
            <w:pPr>
              <w:ind w:left="20"/>
              <w:spacing w:after="0"/>
              <w:rPr>
                <w:sz w:val="20"/>
                <w:szCs w:val="20"/>
                <w:color w:val="auto"/>
              </w:rPr>
            </w:pPr>
            <w:r>
              <w:rPr>
                <w:rFonts w:ascii="Arial" w:cs="Arial" w:eastAsia="Arial" w:hAnsi="Arial"/>
                <w:sz w:val="14"/>
                <w:szCs w:val="14"/>
                <w:color w:val="auto"/>
              </w:rPr>
              <w:t>Ormat Technologies, Inc.</w:t>
            </w:r>
          </w:p>
        </w:tc>
        <w:tc>
          <w:tcPr>
            <w:tcW w:w="2760" w:type="dxa"/>
            <w:vAlign w:val="bottom"/>
          </w:tcPr>
          <w:p>
            <w:pPr>
              <w:spacing w:after="0"/>
              <w:rPr>
                <w:sz w:val="20"/>
                <w:szCs w:val="20"/>
                <w:color w:val="auto"/>
              </w:rPr>
            </w:pPr>
            <w:r>
              <w:rPr>
                <w:rFonts w:ascii="Arial" w:cs="Arial" w:eastAsia="Arial" w:hAnsi="Arial"/>
                <w:sz w:val="14"/>
                <w:szCs w:val="14"/>
                <w:color w:val="auto"/>
              </w:rPr>
              <w:t>NYSE: ORA</w:t>
            </w:r>
          </w:p>
        </w:tc>
      </w:tr>
      <w:tr>
        <w:trPr>
          <w:trHeight w:val="181"/>
        </w:trPr>
        <w:tc>
          <w:tcPr>
            <w:tcW w:w="3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Black Hills Corporation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NYSE: BKH</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Portland General Electric Company</w:t>
            </w: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NYSE: POR</w:t>
            </w:r>
          </w:p>
        </w:tc>
      </w:tr>
      <w:tr>
        <w:trPr>
          <w:trHeight w:val="202"/>
        </w:trPr>
        <w:tc>
          <w:tcPr>
            <w:tcW w:w="3560" w:type="dxa"/>
            <w:vAlign w:val="bottom"/>
            <w:gridSpan w:val="2"/>
          </w:tcPr>
          <w:p>
            <w:pPr>
              <w:ind w:left="120"/>
              <w:spacing w:after="0" w:line="201" w:lineRule="exact"/>
              <w:rPr>
                <w:sz w:val="20"/>
                <w:szCs w:val="20"/>
                <w:color w:val="auto"/>
              </w:rPr>
            </w:pPr>
            <w:r>
              <w:rPr>
                <w:rFonts w:ascii="Arial" w:cs="Arial" w:eastAsia="Arial" w:hAnsi="Arial"/>
                <w:sz w:val="14"/>
                <w:szCs w:val="14"/>
                <w:color w:val="auto"/>
              </w:rPr>
              <w:t>Covanta Holding Corporation</w:t>
            </w:r>
            <w:r>
              <w:rPr>
                <w:rFonts w:ascii="Arial" w:cs="Arial" w:eastAsia="Arial" w:hAnsi="Arial"/>
                <w:sz w:val="18"/>
                <w:szCs w:val="18"/>
                <w:color w:val="auto"/>
                <w:vertAlign w:val="superscript"/>
              </w:rPr>
              <w:t>(1)</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NYSE: CVA</w:t>
            </w:r>
          </w:p>
        </w:tc>
        <w:tc>
          <w:tcPr>
            <w:tcW w:w="3200" w:type="dxa"/>
            <w:vAlign w:val="bottom"/>
            <w:gridSpan w:val="2"/>
          </w:tcPr>
          <w:p>
            <w:pPr>
              <w:ind w:left="20"/>
              <w:spacing w:after="0"/>
              <w:rPr>
                <w:sz w:val="20"/>
                <w:szCs w:val="20"/>
                <w:color w:val="auto"/>
              </w:rPr>
            </w:pPr>
            <w:r>
              <w:rPr>
                <w:rFonts w:ascii="Arial" w:cs="Arial" w:eastAsia="Arial" w:hAnsi="Arial"/>
                <w:sz w:val="14"/>
                <w:szCs w:val="14"/>
                <w:color w:val="auto"/>
              </w:rPr>
              <w:t>South Jersey Industries, Inc.</w:t>
            </w:r>
          </w:p>
        </w:tc>
        <w:tc>
          <w:tcPr>
            <w:tcW w:w="2760" w:type="dxa"/>
            <w:vAlign w:val="bottom"/>
          </w:tcPr>
          <w:p>
            <w:pPr>
              <w:spacing w:after="0"/>
              <w:rPr>
                <w:sz w:val="20"/>
                <w:szCs w:val="20"/>
                <w:color w:val="auto"/>
              </w:rPr>
            </w:pPr>
            <w:r>
              <w:rPr>
                <w:rFonts w:ascii="Arial" w:cs="Arial" w:eastAsia="Arial" w:hAnsi="Arial"/>
                <w:sz w:val="14"/>
                <w:szCs w:val="14"/>
                <w:color w:val="auto"/>
              </w:rPr>
              <w:t>NYSE: SJI</w:t>
            </w:r>
          </w:p>
        </w:tc>
      </w:tr>
      <w:tr>
        <w:trPr>
          <w:trHeight w:val="180"/>
        </w:trPr>
        <w:tc>
          <w:tcPr>
            <w:tcW w:w="3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Equitrans Midstream Corporation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NYSE: ETRN</w:t>
            </w: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TransAltaCorporation.</w:t>
            </w: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NYSE:TAC</w:t>
            </w:r>
          </w:p>
        </w:tc>
      </w:tr>
      <w:tr>
        <w:trPr>
          <w:trHeight w:val="180"/>
        </w:trPr>
        <w:tc>
          <w:tcPr>
            <w:tcW w:w="3560" w:type="dxa"/>
            <w:vAlign w:val="bottom"/>
            <w:gridSpan w:val="2"/>
          </w:tcPr>
          <w:p>
            <w:pPr>
              <w:ind w:left="120"/>
              <w:spacing w:after="0"/>
              <w:rPr>
                <w:sz w:val="20"/>
                <w:szCs w:val="20"/>
                <w:color w:val="auto"/>
              </w:rPr>
            </w:pPr>
            <w:r>
              <w:rPr>
                <w:rFonts w:ascii="Arial" w:cs="Arial" w:eastAsia="Arial" w:hAnsi="Arial"/>
                <w:sz w:val="14"/>
                <w:szCs w:val="14"/>
                <w:color w:val="auto"/>
              </w:rPr>
              <w:t>Genesis Energy, L.P.</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NYSE: GEL</w:t>
            </w:r>
          </w:p>
        </w:tc>
        <w:tc>
          <w:tcPr>
            <w:tcW w:w="3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181"/>
        </w:trPr>
        <w:tc>
          <w:tcPr>
            <w:tcW w:w="35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Innergex Renewable Energy Inc.</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TSX: INE</w:t>
            </w:r>
          </w:p>
        </w:tc>
        <w:tc>
          <w:tcPr>
            <w:tcW w:w="3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85" w:lineRule="exact"/>
        <w:rPr>
          <w:sz w:val="20"/>
          <w:szCs w:val="20"/>
          <w:color w:val="auto"/>
        </w:rPr>
      </w:pPr>
    </w:p>
    <w:p>
      <w:pPr>
        <w:ind w:left="60" w:firstLine="9"/>
        <w:spacing w:after="0" w:line="357" w:lineRule="auto"/>
        <w:tabs>
          <w:tab w:leader="none" w:pos="177" w:val="left"/>
        </w:tabs>
        <w:numPr>
          <w:ilvl w:val="0"/>
          <w:numId w:val="34"/>
        </w:numPr>
        <w:rPr>
          <w:rFonts w:ascii="Arial" w:cs="Arial" w:eastAsia="Arial" w:hAnsi="Arial"/>
          <w:sz w:val="13"/>
          <w:szCs w:val="13"/>
          <w:color w:val="auto"/>
          <w:vertAlign w:val="superscript"/>
        </w:rPr>
      </w:pPr>
      <w:r>
        <w:rPr>
          <w:rFonts w:ascii="Arial" w:cs="Arial" w:eastAsia="Arial" w:hAnsi="Arial"/>
          <w:sz w:val="10"/>
          <w:szCs w:val="10"/>
          <w:color w:val="auto"/>
        </w:rPr>
        <w:t>Covanta Holding Corporation was acquired by the EQT Infrastructure V Fund in November 2021 and was delisted, but was included by Pay Governance as part of its 2022 compensation benchmarking analysis, and for that reason, Covanta Holding Corporation is included in the Compensation Peer Group for 2022 but will not be part of the Compensation Peer Group for 2023 or going forward.</w:t>
      </w:r>
    </w:p>
    <w:p>
      <w:pPr>
        <w:spacing w:after="0" w:line="38"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For the purposes of determining appropriate NEO pay levels for 2022, the Compensation Committee reviewed NEO compensation from peers, where available and appropriate (e.g., based on an NEO’s position and duties). To supplement this analysis, the Compensation Committee reviewed relevant third-party survey data and considered the recommendations of the CEO on NEO and employee compensation matters not involving the CEO. The Compensation Committee may accept or adjust such CEO recommendations at its discretion. The NEOs did not participate in Compensation Committee discussions regarding their own compensation.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Elements of Compensation</w:t>
      </w:r>
    </w:p>
    <w:p>
      <w:pPr>
        <w:spacing w:after="0" w:line="13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Our compensation program for our NEOs consists of fixed compensation (base salary), performance-based compensation (AIP bonus and RPSUs) and time-based compensation (RSUs). We use the median percentile of our Compensation Peer Group as a guidepost in establishing the targeted levels of total direct compensation (cash and equity) for our NEOs. We expect that, over time, targeted total direct compensation for our NEOs will continue to approximate the median of our Compensation Peer Group. Realized pay in a given year depends on the achievement of defined performance-based compensation metrics. While a portion of our NEOs’ compensation is fixed, a significant percentage is at-risk and payable and/or realizable only if certain performance objectives are met.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color w:val="auto"/>
        </w:rPr>
        <w:t>Base Salary</w:t>
      </w:r>
    </w:p>
    <w:p>
      <w:pPr>
        <w:spacing w:after="0" w:line="13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Base salary compensates NEOs for their level of experience and position responsibilities and for the continued expectation of superior performance. Recommendations on increases to base salary take into account, among other factors, the NEO’s individual performance, the general contributions of the NEO to overall corporate performance, the level of responsibility of the NEO with respect to his or her specific position, and the NEO’s current base salary level compared to the market median. Mr. Sotos received a base salary increase in 2022 based on his performance and peer group benchmarking. Messrs. Malcarney and Plotkin and Ms. Rubenstein received base salary increases in 2022 based on their promotions, performance and peer group benchmarking. The base salary for each NEO for fiscal year 2022 is set forth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tcPr>
          <w:p>
            <w:pPr>
              <w:ind w:left="340"/>
              <w:spacing w:after="0"/>
              <w:rPr>
                <w:sz w:val="20"/>
                <w:szCs w:val="20"/>
                <w:color w:val="auto"/>
              </w:rPr>
            </w:pPr>
            <w:r>
              <w:rPr>
                <w:rFonts w:ascii="Arial" w:cs="Arial" w:eastAsia="Arial" w:hAnsi="Arial"/>
                <w:sz w:val="11"/>
                <w:szCs w:val="11"/>
                <w:b w:val="1"/>
                <w:bCs w:val="1"/>
                <w:color w:val="auto"/>
              </w:rPr>
              <w:t>2022 Annualized</w:t>
            </w:r>
          </w:p>
        </w:tc>
        <w:tc>
          <w:tcPr>
            <w:tcW w:w="1760" w:type="dxa"/>
            <w:vAlign w:val="bottom"/>
          </w:tcPr>
          <w:p>
            <w:pPr>
              <w:jc w:val="right"/>
              <w:ind w:right="334"/>
              <w:spacing w:after="0"/>
              <w:rPr>
                <w:sz w:val="20"/>
                <w:szCs w:val="20"/>
                <w:color w:val="auto"/>
              </w:rPr>
            </w:pPr>
            <w:r>
              <w:rPr>
                <w:rFonts w:ascii="Arial" w:cs="Arial" w:eastAsia="Arial" w:hAnsi="Arial"/>
                <w:sz w:val="11"/>
                <w:szCs w:val="11"/>
                <w:b w:val="1"/>
                <w:bCs w:val="1"/>
                <w:color w:val="auto"/>
              </w:rPr>
              <w:t>Percentage Increase</w:t>
            </w:r>
          </w:p>
        </w:tc>
      </w:tr>
      <w:tr>
        <w:trPr>
          <w:trHeight w:val="180"/>
        </w:trPr>
        <w:tc>
          <w:tcPr>
            <w:tcW w:w="7940" w:type="dxa"/>
            <w:vAlign w:val="bottom"/>
            <w:gridSpan w:val="2"/>
          </w:tcPr>
          <w:p>
            <w:pPr>
              <w:ind w:left="20"/>
              <w:spacing w:after="0"/>
              <w:rPr>
                <w:sz w:val="20"/>
                <w:szCs w:val="20"/>
                <w:color w:val="auto"/>
              </w:rPr>
            </w:pPr>
            <w:r>
              <w:rPr>
                <w:rFonts w:ascii="Arial" w:cs="Arial" w:eastAsia="Arial" w:hAnsi="Arial"/>
                <w:sz w:val="11"/>
                <w:szCs w:val="11"/>
                <w:b w:val="1"/>
                <w:bCs w:val="1"/>
                <w:color w:val="auto"/>
              </w:rPr>
              <w:t>Named Executive Officer</w:t>
            </w:r>
          </w:p>
        </w:tc>
        <w:tc>
          <w:tcPr>
            <w:tcW w:w="1580" w:type="dxa"/>
            <w:vAlign w:val="bottom"/>
            <w:gridSpan w:val="2"/>
          </w:tcPr>
          <w:p>
            <w:pPr>
              <w:ind w:left="340"/>
              <w:spacing w:after="0"/>
              <w:rPr>
                <w:sz w:val="20"/>
                <w:szCs w:val="20"/>
                <w:color w:val="auto"/>
              </w:rPr>
            </w:pPr>
            <w:r>
              <w:rPr>
                <w:rFonts w:ascii="Arial" w:cs="Arial" w:eastAsia="Arial" w:hAnsi="Arial"/>
                <w:sz w:val="11"/>
                <w:szCs w:val="11"/>
                <w:b w:val="1"/>
                <w:bCs w:val="1"/>
                <w:color w:val="auto"/>
              </w:rPr>
              <w:t>Base Salary ($)</w:t>
            </w:r>
            <w:r>
              <w:rPr>
                <w:rFonts w:ascii="Arial" w:cs="Arial" w:eastAsia="Arial" w:hAnsi="Arial"/>
                <w:sz w:val="14"/>
                <w:szCs w:val="14"/>
                <w:b w:val="1"/>
                <w:bCs w:val="1"/>
                <w:color w:val="auto"/>
                <w:vertAlign w:val="superscript"/>
              </w:rPr>
              <w:t>(1)</w:t>
            </w:r>
          </w:p>
        </w:tc>
        <w:tc>
          <w:tcPr>
            <w:tcW w:w="1760" w:type="dxa"/>
            <w:vAlign w:val="bottom"/>
          </w:tcPr>
          <w:p>
            <w:pPr>
              <w:jc w:val="right"/>
              <w:ind w:right="414"/>
              <w:spacing w:after="0"/>
              <w:rPr>
                <w:sz w:val="20"/>
                <w:szCs w:val="20"/>
                <w:color w:val="auto"/>
              </w:rPr>
            </w:pPr>
            <w:r>
              <w:rPr>
                <w:rFonts w:ascii="Arial" w:cs="Arial" w:eastAsia="Arial" w:hAnsi="Arial"/>
                <w:sz w:val="11"/>
                <w:szCs w:val="11"/>
                <w:b w:val="1"/>
                <w:bCs w:val="1"/>
                <w:color w:val="auto"/>
              </w:rPr>
              <w:t>Over 2021 (%)</w:t>
            </w:r>
            <w:r>
              <w:rPr>
                <w:rFonts w:ascii="Arial" w:cs="Arial" w:eastAsia="Arial" w:hAnsi="Arial"/>
                <w:sz w:val="14"/>
                <w:szCs w:val="14"/>
                <w:b w:val="1"/>
                <w:bCs w:val="1"/>
                <w:color w:val="auto"/>
                <w:vertAlign w:val="superscript"/>
              </w:rPr>
              <w:t>(2)</w:t>
            </w:r>
          </w:p>
        </w:tc>
      </w:tr>
      <w:tr>
        <w:trPr>
          <w:trHeight w:val="171"/>
        </w:trPr>
        <w:tc>
          <w:tcPr>
            <w:tcW w:w="7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Christopher S. Sotos</w:t>
            </w: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665,201</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0"/>
        </w:trPr>
        <w:tc>
          <w:tcPr>
            <w:tcW w:w="794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Sarah Rubenstein</w:t>
            </w:r>
            <w:r>
              <w:rPr>
                <w:rFonts w:ascii="Arial" w:cs="Arial" w:eastAsia="Arial" w:hAnsi="Arial"/>
                <w:sz w:val="18"/>
                <w:szCs w:val="18"/>
                <w:color w:val="auto"/>
                <w:vertAlign w:val="superscript"/>
              </w:rPr>
              <w:t>(3)</w:t>
            </w:r>
          </w:p>
        </w:tc>
        <w:tc>
          <w:tcPr>
            <w:tcW w:w="1480" w:type="dxa"/>
            <w:vAlign w:val="bottom"/>
          </w:tcPr>
          <w:p>
            <w:pPr>
              <w:jc w:val="right"/>
              <w:spacing w:after="0"/>
              <w:rPr>
                <w:sz w:val="20"/>
                <w:szCs w:val="20"/>
                <w:color w:val="auto"/>
              </w:rPr>
            </w:pPr>
            <w:r>
              <w:rPr>
                <w:rFonts w:ascii="Arial" w:cs="Arial" w:eastAsia="Arial" w:hAnsi="Arial"/>
                <w:sz w:val="14"/>
                <w:szCs w:val="14"/>
                <w:color w:val="auto"/>
              </w:rPr>
              <w:t>325,000</w:t>
            </w:r>
          </w:p>
        </w:tc>
        <w:tc>
          <w:tcPr>
            <w:tcW w:w="10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80"/>
        </w:trPr>
        <w:tc>
          <w:tcPr>
            <w:tcW w:w="794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Kevin P. Malcarney</w:t>
            </w:r>
            <w:r>
              <w:rPr>
                <w:rFonts w:ascii="Arial" w:cs="Arial" w:eastAsia="Arial" w:hAnsi="Arial"/>
                <w:sz w:val="18"/>
                <w:szCs w:val="18"/>
                <w:color w:val="auto"/>
                <w:vertAlign w:val="superscript"/>
              </w:rPr>
              <w:t>(4)</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39"/>
        </w:trPr>
        <w:tc>
          <w:tcPr>
            <w:tcW w:w="7940" w:type="dxa"/>
            <w:vAlign w:val="bottom"/>
            <w:gridSpan w:val="2"/>
          </w:tcPr>
          <w:p>
            <w:pPr>
              <w:ind w:left="20"/>
              <w:spacing w:after="0"/>
              <w:rPr>
                <w:sz w:val="20"/>
                <w:szCs w:val="20"/>
                <w:color w:val="auto"/>
              </w:rPr>
            </w:pPr>
            <w:r>
              <w:rPr>
                <w:rFonts w:ascii="Arial" w:cs="Arial" w:eastAsia="Arial" w:hAnsi="Arial"/>
                <w:sz w:val="14"/>
                <w:szCs w:val="14"/>
                <w:color w:val="auto"/>
              </w:rPr>
              <w:t>Chad Plotkin</w:t>
            </w:r>
            <w:r>
              <w:rPr>
                <w:rFonts w:ascii="Arial" w:cs="Arial" w:eastAsia="Arial" w:hAnsi="Arial"/>
                <w:sz w:val="18"/>
                <w:szCs w:val="18"/>
                <w:color w:val="auto"/>
                <w:vertAlign w:val="superscript"/>
              </w:rPr>
              <w:t>(5)</w:t>
            </w:r>
          </w:p>
        </w:tc>
        <w:tc>
          <w:tcPr>
            <w:tcW w:w="1480" w:type="dxa"/>
            <w:vAlign w:val="bottom"/>
          </w:tcPr>
          <w:p>
            <w:pPr>
              <w:jc w:val="right"/>
              <w:spacing w:after="0"/>
              <w:rPr>
                <w:sz w:val="20"/>
                <w:szCs w:val="20"/>
                <w:color w:val="auto"/>
              </w:rPr>
            </w:pPr>
            <w:r>
              <w:rPr>
                <w:rFonts w:ascii="Arial" w:cs="Arial" w:eastAsia="Arial" w:hAnsi="Arial"/>
                <w:sz w:val="14"/>
                <w:szCs w:val="14"/>
                <w:color w:val="auto"/>
              </w:rPr>
              <w:t>460,000</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138811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36" w:lineRule="exact"/>
        <w:rPr>
          <w:sz w:val="20"/>
          <w:szCs w:val="20"/>
          <w:color w:val="auto"/>
        </w:rPr>
      </w:pPr>
    </w:p>
    <w:p>
      <w:pPr>
        <w:ind w:left="200" w:hanging="131"/>
        <w:spacing w:after="0"/>
        <w:tabs>
          <w:tab w:leader="none" w:pos="200"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Actual 2022 base salary earnings are presented in the Summary Compensation Table.</w:t>
      </w:r>
    </w:p>
    <w:p>
      <w:pPr>
        <w:spacing w:after="0" w:line="28" w:lineRule="exact"/>
        <w:rPr>
          <w:rFonts w:ascii="Arial" w:cs="Arial" w:eastAsia="Arial" w:hAnsi="Arial"/>
          <w:sz w:val="16"/>
          <w:szCs w:val="16"/>
          <w:color w:val="auto"/>
          <w:vertAlign w:val="superscript"/>
        </w:rPr>
      </w:pPr>
    </w:p>
    <w:p>
      <w:pPr>
        <w:ind w:left="200" w:hanging="131"/>
        <w:spacing w:after="0" w:line="197" w:lineRule="auto"/>
        <w:tabs>
          <w:tab w:leader="none" w:pos="200"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As compared to the December 31, 2021 annualized base salary.</w:t>
      </w:r>
    </w:p>
    <w:p>
      <w:pPr>
        <w:spacing w:after="0" w:line="29" w:lineRule="exact"/>
        <w:rPr>
          <w:rFonts w:ascii="Arial" w:cs="Arial" w:eastAsia="Arial" w:hAnsi="Arial"/>
          <w:sz w:val="16"/>
          <w:szCs w:val="16"/>
          <w:color w:val="auto"/>
          <w:vertAlign w:val="superscript"/>
        </w:rPr>
      </w:pPr>
    </w:p>
    <w:p>
      <w:pPr>
        <w:ind w:left="200" w:hanging="131"/>
        <w:spacing w:after="0" w:line="197" w:lineRule="auto"/>
        <w:tabs>
          <w:tab w:leader="none" w:pos="200"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Ms. Rubenstein was promoted to Senior Vice President and Chief Accounting Officer in January 2022 and appointed as the principal financial officer for the Company in August 2022.</w:t>
      </w:r>
    </w:p>
    <w:p>
      <w:pPr>
        <w:spacing w:after="0" w:line="29" w:lineRule="exact"/>
        <w:rPr>
          <w:rFonts w:ascii="Arial" w:cs="Arial" w:eastAsia="Arial" w:hAnsi="Arial"/>
          <w:sz w:val="16"/>
          <w:szCs w:val="16"/>
          <w:color w:val="auto"/>
          <w:vertAlign w:val="superscript"/>
        </w:rPr>
      </w:pPr>
    </w:p>
    <w:p>
      <w:pPr>
        <w:ind w:left="200" w:hanging="131"/>
        <w:spacing w:after="0" w:line="197" w:lineRule="auto"/>
        <w:tabs>
          <w:tab w:leader="none" w:pos="200"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Mr. Malcarney was promoted to Executive Vice President, General Counsel and Corporate Secretary in January 2022.</w:t>
      </w:r>
    </w:p>
    <w:p>
      <w:pPr>
        <w:spacing w:after="0" w:line="29" w:lineRule="exact"/>
        <w:rPr>
          <w:rFonts w:ascii="Arial" w:cs="Arial" w:eastAsia="Arial" w:hAnsi="Arial"/>
          <w:sz w:val="16"/>
          <w:szCs w:val="16"/>
          <w:color w:val="auto"/>
          <w:vertAlign w:val="superscript"/>
        </w:rPr>
      </w:pPr>
    </w:p>
    <w:p>
      <w:pPr>
        <w:ind w:left="60" w:firstLine="9"/>
        <w:spacing w:after="0" w:line="283" w:lineRule="auto"/>
        <w:tabs>
          <w:tab w:leader="none" w:pos="199" w:val="left"/>
        </w:tabs>
        <w:numPr>
          <w:ilvl w:val="0"/>
          <w:numId w:val="35"/>
        </w:numPr>
        <w:rPr>
          <w:rFonts w:ascii="Arial" w:cs="Arial" w:eastAsia="Arial" w:hAnsi="Arial"/>
          <w:sz w:val="14"/>
          <w:szCs w:val="14"/>
          <w:color w:val="auto"/>
          <w:vertAlign w:val="superscript"/>
        </w:rPr>
      </w:pPr>
      <w:r>
        <w:rPr>
          <w:rFonts w:ascii="Arial" w:cs="Arial" w:eastAsia="Arial" w:hAnsi="Arial"/>
          <w:sz w:val="11"/>
          <w:szCs w:val="11"/>
          <w:color w:val="auto"/>
        </w:rPr>
        <w:t>Mr. Plotkin was promoted to Executive Vice President and Chief Financial Officer in January 2022. Mr. Plotkin voluntarily resigned from his employment with the Company in August 2022. Mr. Plotkin earned $278,219 prior to his departure.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Annual Incentive Compensation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Overview</w:t>
      </w:r>
    </w:p>
    <w:p>
      <w:pPr>
        <w:spacing w:after="0" w:line="136"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Annual incentive compensation awards (AIP bonuses) are made under our AIP. AIP bonuses represent short-term compensation designed to compensate NEOs for meeting annual Company goals and for their individual performance over the course of the year. The Compensation Committee establishes these annual Company goals after reviewing the Company’s business strategy and other matters. As further discussed below, the annual goals for 2022 relate to: (a) CAFD and (b) key performance milestones. In addition, the overall bonus payout is negatively adjusted for any OSHA recordable injuries that occur during the year, and each NEO’s individual performance may (negatively or positively) affect the bonus amount that he or she ultimately receives under our AIP. However, notwithstanding individual performance or the extent to which the Company goals are achieved, the Compensation Committee retains sole discretion under the AIP to reduce the amount of or eliminate any AIP bonuses that are otherwise payable under the AIP.</w:t>
      </w:r>
    </w:p>
    <w:p>
      <w:pPr>
        <w:spacing w:after="0" w:line="10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AIP bonus opportunities are expressed in terms of threshold, target and maximum bonus opportunities. Different percentages of each NEO’s annual base salary relate to these threshold, target and maximum AIP bonus opportunities. However, in the event threshold performance for 2022 was not achieved with respect to one of the AIP performance metrics, no AIP bonuses would have been payable for that component for 2022.</w:t>
      </w:r>
    </w:p>
    <w:p>
      <w:pPr>
        <w:spacing w:after="0" w:line="9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AIP provides NEOs (other than Mr. Sotos whose severance is governed by his amended and restated employment agreement) eligibility for a pro-rated target bonus payment for the year of a qualifying severance termination, based on the portion of the performance period that the NEO was employed.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color w:val="auto"/>
        </w:rPr>
        <w:t>2022 AIP Bonus Performance Criteria</w:t>
      </w:r>
    </w:p>
    <w:p>
      <w:pPr>
        <w:spacing w:after="0" w:line="136" w:lineRule="exact"/>
        <w:rPr>
          <w:sz w:val="20"/>
          <w:szCs w:val="20"/>
          <w:color w:val="auto"/>
        </w:rPr>
      </w:pPr>
    </w:p>
    <w:p>
      <w:pPr>
        <w:jc w:val="both"/>
        <w:ind w:right="80" w:firstLine="318"/>
        <w:spacing w:after="0" w:line="262" w:lineRule="auto"/>
        <w:rPr>
          <w:sz w:val="20"/>
          <w:szCs w:val="20"/>
          <w:color w:val="auto"/>
        </w:rPr>
      </w:pPr>
      <w:r>
        <w:rPr>
          <w:rFonts w:ascii="Arial" w:cs="Arial" w:eastAsia="Arial" w:hAnsi="Arial"/>
          <w:sz w:val="14"/>
          <w:szCs w:val="14"/>
          <w:color w:val="auto"/>
        </w:rPr>
        <w:t>The 2022 AIP bonus performance criteria applicable to all NEOs are based upon the two Company goals described above and adjusted, as discussed, based on OSHA recordable injuries and individual performance, as applicable. As a result of the announcement of Company’s sale of its Thermal Business to KKR in the fourth quarter of 2021, and the closing of such sale in the second quarter of 2022, the 2021 AIP metrics that related to the Thermal Plan were removed for 2022. The table below sets forth the 2022 AIP performance criteria and weightings applicable to all NEOs, assuming the achievement of each goal at target.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220" w:type="dxa"/>
            <w:vAlign w:val="bottom"/>
            <w:gridSpan w:val="2"/>
          </w:tcPr>
          <w:p>
            <w:pPr>
              <w:spacing w:after="0"/>
              <w:rPr>
                <w:sz w:val="20"/>
                <w:szCs w:val="20"/>
                <w:color w:val="auto"/>
              </w:rPr>
            </w:pPr>
            <w:r>
              <w:rPr>
                <w:rFonts w:ascii="Arial" w:cs="Arial" w:eastAsia="Arial" w:hAnsi="Arial"/>
                <w:sz w:val="11"/>
                <w:szCs w:val="11"/>
                <w:b w:val="1"/>
                <w:bCs w:val="1"/>
                <w:color w:val="auto"/>
              </w:rPr>
              <w:t>Goal</w:t>
            </w:r>
          </w:p>
        </w:tc>
        <w:tc>
          <w:tcPr>
            <w:tcW w:w="5040" w:type="dxa"/>
            <w:vAlign w:val="bottom"/>
          </w:tcPr>
          <w:p>
            <w:pPr>
              <w:jc w:val="right"/>
              <w:ind w:right="892"/>
              <w:spacing w:after="0"/>
              <w:rPr>
                <w:sz w:val="20"/>
                <w:szCs w:val="20"/>
                <w:color w:val="auto"/>
              </w:rPr>
            </w:pPr>
            <w:r>
              <w:rPr>
                <w:rFonts w:ascii="Arial" w:cs="Arial" w:eastAsia="Arial" w:hAnsi="Arial"/>
                <w:sz w:val="11"/>
                <w:szCs w:val="11"/>
                <w:b w:val="1"/>
                <w:bCs w:val="1"/>
                <w:color w:val="auto"/>
              </w:rPr>
              <w:t>Weight</w:t>
            </w:r>
          </w:p>
        </w:tc>
      </w:tr>
      <w:tr>
        <w:trPr>
          <w:trHeight w:val="22"/>
        </w:trPr>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line="181" w:lineRule="exact"/>
              <w:rPr>
                <w:sz w:val="20"/>
                <w:szCs w:val="20"/>
                <w:color w:val="auto"/>
              </w:rPr>
            </w:pPr>
            <w:r>
              <w:rPr>
                <w:rFonts w:ascii="Arial" w:cs="Arial" w:eastAsia="Arial" w:hAnsi="Arial"/>
                <w:sz w:val="14"/>
                <w:szCs w:val="14"/>
                <w:color w:val="auto"/>
              </w:rPr>
              <w:t>CAFD</w:t>
            </w:r>
            <w:r>
              <w:rPr>
                <w:rFonts w:ascii="Arial" w:cs="Arial" w:eastAsia="Arial" w:hAnsi="Arial"/>
                <w:sz w:val="18"/>
                <w:szCs w:val="18"/>
                <w:color w:val="auto"/>
                <w:vertAlign w:val="superscript"/>
              </w:rPr>
              <w:t>(1)</w:t>
            </w:r>
          </w:p>
        </w:tc>
        <w:tc>
          <w:tcPr>
            <w:tcW w:w="5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80"/>
        </w:trPr>
        <w:tc>
          <w:tcPr>
            <w:tcW w:w="20" w:type="dxa"/>
            <w:vAlign w:val="bottom"/>
          </w:tcPr>
          <w:p>
            <w:pPr>
              <w:spacing w:after="0"/>
              <w:rPr>
                <w:sz w:val="15"/>
                <w:szCs w:val="15"/>
                <w:color w:val="auto"/>
              </w:rPr>
            </w:pPr>
          </w:p>
        </w:tc>
        <w:tc>
          <w:tcPr>
            <w:tcW w:w="6220" w:type="dxa"/>
            <w:vAlign w:val="bottom"/>
            <w:gridSpan w:val="2"/>
          </w:tcPr>
          <w:p>
            <w:pPr>
              <w:spacing w:after="0"/>
              <w:rPr>
                <w:sz w:val="20"/>
                <w:szCs w:val="20"/>
                <w:color w:val="auto"/>
              </w:rPr>
            </w:pPr>
            <w:r>
              <w:rPr>
                <w:rFonts w:ascii="Arial" w:cs="Arial" w:eastAsia="Arial" w:hAnsi="Arial"/>
                <w:sz w:val="14"/>
                <w:szCs w:val="14"/>
                <w:color w:val="auto"/>
              </w:rPr>
              <w:t>Key Performance Milestones</w:t>
            </w:r>
          </w:p>
        </w:tc>
        <w:tc>
          <w:tcPr>
            <w:tcW w:w="504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1"/>
        </w:trPr>
        <w:tc>
          <w:tcPr>
            <w:tcW w:w="2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Overall Funding</w:t>
            </w:r>
          </w:p>
        </w:tc>
        <w:tc>
          <w:tcPr>
            <w:tcW w:w="504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100%</w:t>
            </w:r>
          </w:p>
        </w:tc>
      </w:tr>
      <w:tr>
        <w:trPr>
          <w:trHeight w:val="180"/>
        </w:trPr>
        <w:tc>
          <w:tcPr>
            <w:tcW w:w="20" w:type="dxa"/>
            <w:vAlign w:val="bottom"/>
          </w:tcPr>
          <w:p>
            <w:pPr>
              <w:spacing w:after="0"/>
              <w:rPr>
                <w:sz w:val="15"/>
                <w:szCs w:val="15"/>
                <w:color w:val="auto"/>
              </w:rPr>
            </w:pPr>
          </w:p>
        </w:tc>
        <w:tc>
          <w:tcPr>
            <w:tcW w:w="6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OSHA Recordables (per recordable injury)</w:t>
            </w:r>
          </w:p>
        </w:tc>
        <w:tc>
          <w:tcPr>
            <w:tcW w:w="50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-5%</w:t>
            </w:r>
          </w:p>
        </w:tc>
      </w:tr>
      <w:tr>
        <w:trPr>
          <w:trHeight w:val="181"/>
        </w:trPr>
        <w:tc>
          <w:tcPr>
            <w:tcW w:w="2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Individual Performance</w:t>
            </w:r>
          </w:p>
        </w:tc>
        <w:tc>
          <w:tcPr>
            <w:tcW w:w="5040" w:type="dxa"/>
            <w:vAlign w:val="bottom"/>
            <w:shd w:val="clear" w:color="auto" w:fill="CCEEFF"/>
          </w:tcPr>
          <w:p>
            <w:pPr>
              <w:jc w:val="right"/>
              <w:spacing w:after="0"/>
              <w:rPr>
                <w:sz w:val="20"/>
                <w:szCs w:val="20"/>
                <w:color w:val="auto"/>
              </w:rPr>
            </w:pPr>
            <w:r>
              <w:rPr>
                <w:rFonts w:ascii="Arial" w:cs="Arial" w:eastAsia="Arial" w:hAnsi="Arial"/>
                <w:sz w:val="14"/>
                <w:szCs w:val="14"/>
                <w:b w:val="1"/>
                <w:bCs w:val="1"/>
                <w:i w:val="1"/>
                <w:iCs w:val="1"/>
                <w:color w:val="auto"/>
              </w:rPr>
              <w:t>+/- 20%</w:t>
            </w:r>
          </w:p>
        </w:tc>
      </w:tr>
    </w:tbl>
    <w:p>
      <w:pPr>
        <w:spacing w:after="0" w:line="110" w:lineRule="exact"/>
        <w:rPr>
          <w:sz w:val="20"/>
          <w:szCs w:val="20"/>
          <w:color w:val="auto"/>
        </w:rPr>
      </w:pPr>
    </w:p>
    <w:p>
      <w:pPr>
        <w:jc w:val="both"/>
        <w:ind w:left="60" w:right="80" w:firstLine="9"/>
        <w:spacing w:after="0" w:line="284" w:lineRule="auto"/>
        <w:tabs>
          <w:tab w:leader="none" w:pos="188" w:val="left"/>
        </w:tabs>
        <w:numPr>
          <w:ilvl w:val="1"/>
          <w:numId w:val="36"/>
        </w:numPr>
        <w:rPr>
          <w:rFonts w:ascii="Arial" w:cs="Arial" w:eastAsia="Arial" w:hAnsi="Arial"/>
          <w:sz w:val="14"/>
          <w:szCs w:val="14"/>
          <w:color w:val="auto"/>
          <w:vertAlign w:val="superscript"/>
        </w:rPr>
      </w:pPr>
      <w:r>
        <w:rPr>
          <w:rFonts w:ascii="Arial" w:cs="Arial" w:eastAsia="Arial" w:hAnsi="Arial"/>
          <w:sz w:val="11"/>
          <w:szCs w:val="11"/>
          <w:color w:val="auto"/>
        </w:rPr>
        <w:t>A non-GAAP measure, CAFD is defined as adjusted earnings before interest, taxes, depreciation and amortization (Adjusted EBITDA) plus cash distributions/return of investment from unconsolidated affiliates,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p>
      <w:pPr>
        <w:spacing w:after="0" w:line="88" w:lineRule="exact"/>
        <w:rPr>
          <w:rFonts w:ascii="Arial" w:cs="Arial" w:eastAsia="Arial" w:hAnsi="Arial"/>
          <w:sz w:val="14"/>
          <w:szCs w:val="14"/>
          <w:color w:val="auto"/>
          <w:vertAlign w:val="superscript"/>
        </w:rPr>
      </w:pPr>
    </w:p>
    <w:p>
      <w:pPr>
        <w:ind w:left="260" w:right="80" w:hanging="255"/>
        <w:spacing w:after="0" w:line="321" w:lineRule="auto"/>
        <w:tabs>
          <w:tab w:leader="none" w:pos="256" w:val="left"/>
        </w:tabs>
        <w:numPr>
          <w:ilvl w:val="0"/>
          <w:numId w:val="36"/>
        </w:numPr>
        <w:rPr>
          <w:rFonts w:ascii="Arial" w:cs="Arial" w:eastAsia="Arial" w:hAnsi="Arial"/>
          <w:sz w:val="13"/>
          <w:szCs w:val="13"/>
          <w:color w:val="auto"/>
        </w:rPr>
      </w:pPr>
      <w:r>
        <w:rPr>
          <w:rFonts w:ascii="Arial" w:cs="Arial" w:eastAsia="Arial" w:hAnsi="Arial"/>
          <w:sz w:val="13"/>
          <w:szCs w:val="13"/>
          <w:color w:val="auto"/>
        </w:rPr>
        <w:t>CAFD. The Compensation Committee set the 2022 threshold, target and maximum CAFD performance metric at $292 million, $365 million and $438 million, respectively. For 2022, the CAFD goals and the achieved level are set forth in the chart below. The Company achieved CAFD of approximately $326 million, surpassing the CAFD threshold but less than the CAFD target.</w:t>
      </w:r>
    </w:p>
    <w:p>
      <w:pPr>
        <w:spacing w:after="0" w:line="92" w:lineRule="exact"/>
        <w:rPr>
          <w:sz w:val="20"/>
          <w:szCs w:val="20"/>
          <w:color w:val="auto"/>
        </w:rPr>
      </w:pPr>
    </w:p>
    <w:tbl>
      <w:tblPr>
        <w:tblLayout w:type="fixed"/>
        <w:tblInd w:w="260" w:type="dxa"/>
        <w:tblCellMar>
          <w:top w:w="0" w:type="dxa"/>
          <w:left w:w="0" w:type="dxa"/>
          <w:bottom w:w="0" w:type="dxa"/>
          <w:right w:w="0" w:type="dxa"/>
        </w:tblCellMar>
      </w:tblPr>
      <w:tr>
        <w:trPr>
          <w:trHeight w:val="147"/>
        </w:trPr>
        <w:tc>
          <w:tcPr>
            <w:tcW w:w="2820" w:type="dxa"/>
            <w:vAlign w:val="bottom"/>
          </w:tcPr>
          <w:p>
            <w:pPr>
              <w:jc w:val="center"/>
              <w:spacing w:after="0"/>
              <w:rPr>
                <w:sz w:val="20"/>
                <w:szCs w:val="20"/>
                <w:color w:val="auto"/>
              </w:rPr>
            </w:pPr>
            <w:r>
              <w:rPr>
                <w:rFonts w:ascii="Arial" w:cs="Arial" w:eastAsia="Arial" w:hAnsi="Arial"/>
                <w:sz w:val="11"/>
                <w:szCs w:val="11"/>
                <w:b w:val="1"/>
                <w:bCs w:val="1"/>
                <w:color w:val="auto"/>
              </w:rPr>
              <w:t>CAFD</w:t>
            </w:r>
          </w:p>
        </w:tc>
        <w:tc>
          <w:tcPr>
            <w:tcW w:w="2820" w:type="dxa"/>
            <w:vAlign w:val="bottom"/>
          </w:tcPr>
          <w:p>
            <w:pPr>
              <w:jc w:val="center"/>
              <w:spacing w:after="0"/>
              <w:rPr>
                <w:sz w:val="20"/>
                <w:szCs w:val="20"/>
                <w:color w:val="auto"/>
              </w:rPr>
            </w:pPr>
            <w:r>
              <w:rPr>
                <w:rFonts w:ascii="Arial" w:cs="Arial" w:eastAsia="Arial" w:hAnsi="Arial"/>
                <w:sz w:val="11"/>
                <w:szCs w:val="11"/>
                <w:b w:val="1"/>
                <w:bCs w:val="1"/>
                <w:color w:val="auto"/>
              </w:rPr>
              <w:t>CAFD</w:t>
            </w:r>
          </w:p>
        </w:tc>
        <w:tc>
          <w:tcPr>
            <w:tcW w:w="2820" w:type="dxa"/>
            <w:vAlign w:val="bottom"/>
          </w:tcPr>
          <w:p>
            <w:pPr>
              <w:jc w:val="center"/>
              <w:spacing w:after="0"/>
              <w:rPr>
                <w:sz w:val="20"/>
                <w:szCs w:val="20"/>
                <w:color w:val="auto"/>
              </w:rPr>
            </w:pPr>
            <w:r>
              <w:rPr>
                <w:rFonts w:ascii="Arial" w:cs="Arial" w:eastAsia="Arial" w:hAnsi="Arial"/>
                <w:sz w:val="11"/>
                <w:szCs w:val="11"/>
                <w:b w:val="1"/>
                <w:bCs w:val="1"/>
                <w:color w:val="auto"/>
              </w:rPr>
              <w:t>CAFD</w:t>
            </w:r>
          </w:p>
        </w:tc>
        <w:tc>
          <w:tcPr>
            <w:tcW w:w="2640" w:type="dxa"/>
            <w:vAlign w:val="bottom"/>
          </w:tcPr>
          <w:p>
            <w:pPr>
              <w:jc w:val="center"/>
              <w:ind w:left="99"/>
              <w:spacing w:after="0"/>
              <w:rPr>
                <w:sz w:val="20"/>
                <w:szCs w:val="20"/>
                <w:color w:val="auto"/>
              </w:rPr>
            </w:pPr>
            <w:r>
              <w:rPr>
                <w:rFonts w:ascii="Arial" w:cs="Arial" w:eastAsia="Arial" w:hAnsi="Arial"/>
                <w:sz w:val="11"/>
                <w:szCs w:val="11"/>
                <w:b w:val="1"/>
                <w:bCs w:val="1"/>
                <w:color w:val="auto"/>
              </w:rPr>
              <w:t>CAFD</w:t>
            </w:r>
          </w:p>
        </w:tc>
      </w:tr>
      <w:tr>
        <w:trPr>
          <w:trHeight w:val="212"/>
        </w:trPr>
        <w:tc>
          <w:tcPr>
            <w:tcW w:w="2820" w:type="dxa"/>
            <w:vAlign w:val="bottom"/>
          </w:tcPr>
          <w:p>
            <w:pPr>
              <w:jc w:val="center"/>
              <w:spacing w:after="0"/>
              <w:rPr>
                <w:sz w:val="20"/>
                <w:szCs w:val="20"/>
                <w:color w:val="auto"/>
              </w:rPr>
            </w:pPr>
            <w:r>
              <w:rPr>
                <w:rFonts w:ascii="Arial" w:cs="Arial" w:eastAsia="Arial" w:hAnsi="Arial"/>
                <w:sz w:val="11"/>
                <w:szCs w:val="11"/>
                <w:b w:val="1"/>
                <w:bCs w:val="1"/>
                <w:color w:val="auto"/>
                <w:w w:val="93"/>
              </w:rPr>
              <w:t>Threshold</w:t>
            </w:r>
          </w:p>
        </w:tc>
        <w:tc>
          <w:tcPr>
            <w:tcW w:w="2820" w:type="dxa"/>
            <w:vAlign w:val="bottom"/>
          </w:tcPr>
          <w:p>
            <w:pPr>
              <w:jc w:val="center"/>
              <w:spacing w:after="0"/>
              <w:rPr>
                <w:sz w:val="20"/>
                <w:szCs w:val="20"/>
                <w:color w:val="auto"/>
              </w:rPr>
            </w:pPr>
            <w:r>
              <w:rPr>
                <w:rFonts w:ascii="Arial" w:cs="Arial" w:eastAsia="Arial" w:hAnsi="Arial"/>
                <w:sz w:val="11"/>
                <w:szCs w:val="11"/>
                <w:b w:val="1"/>
                <w:bCs w:val="1"/>
                <w:color w:val="auto"/>
                <w:w w:val="95"/>
              </w:rPr>
              <w:t>Target</w:t>
            </w:r>
          </w:p>
        </w:tc>
        <w:tc>
          <w:tcPr>
            <w:tcW w:w="2820" w:type="dxa"/>
            <w:vAlign w:val="bottom"/>
          </w:tcPr>
          <w:p>
            <w:pPr>
              <w:jc w:val="center"/>
              <w:spacing w:after="0"/>
              <w:rPr>
                <w:sz w:val="20"/>
                <w:szCs w:val="20"/>
                <w:color w:val="auto"/>
              </w:rPr>
            </w:pPr>
            <w:r>
              <w:rPr>
                <w:rFonts w:ascii="Arial" w:cs="Arial" w:eastAsia="Arial" w:hAnsi="Arial"/>
                <w:sz w:val="11"/>
                <w:szCs w:val="11"/>
                <w:b w:val="1"/>
                <w:bCs w:val="1"/>
                <w:color w:val="auto"/>
                <w:w w:val="98"/>
              </w:rPr>
              <w:t>Maximum</w:t>
            </w:r>
          </w:p>
        </w:tc>
        <w:tc>
          <w:tcPr>
            <w:tcW w:w="2640" w:type="dxa"/>
            <w:vAlign w:val="bottom"/>
          </w:tcPr>
          <w:p>
            <w:pPr>
              <w:jc w:val="center"/>
              <w:ind w:left="99"/>
              <w:spacing w:after="0"/>
              <w:rPr>
                <w:sz w:val="20"/>
                <w:szCs w:val="20"/>
                <w:color w:val="auto"/>
              </w:rPr>
            </w:pPr>
            <w:r>
              <w:rPr>
                <w:rFonts w:ascii="Arial" w:cs="Arial" w:eastAsia="Arial" w:hAnsi="Arial"/>
                <w:sz w:val="11"/>
                <w:szCs w:val="11"/>
                <w:b w:val="1"/>
                <w:bCs w:val="1"/>
                <w:color w:val="auto"/>
                <w:w w:val="95"/>
              </w:rPr>
              <w:t>Actual</w:t>
            </w:r>
          </w:p>
        </w:tc>
      </w:tr>
      <w:tr>
        <w:trPr>
          <w:trHeight w:val="72"/>
        </w:trPr>
        <w:tc>
          <w:tcPr>
            <w:tcW w:w="282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r>
      <w:tr>
        <w:trPr>
          <w:trHeight w:val="171"/>
        </w:trPr>
        <w:tc>
          <w:tcPr>
            <w:tcW w:w="2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$292 million</w:t>
            </w:r>
          </w:p>
        </w:tc>
        <w:tc>
          <w:tcPr>
            <w:tcW w:w="2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$365 million</w:t>
            </w:r>
          </w:p>
        </w:tc>
        <w:tc>
          <w:tcPr>
            <w:tcW w:w="2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$438 million</w:t>
            </w:r>
          </w:p>
        </w:tc>
        <w:tc>
          <w:tcPr>
            <w:tcW w:w="2640" w:type="dxa"/>
            <w:vAlign w:val="bottom"/>
            <w:shd w:val="clear" w:color="auto" w:fill="CCEEFF"/>
          </w:tcPr>
          <w:p>
            <w:pPr>
              <w:jc w:val="center"/>
              <w:ind w:left="119"/>
              <w:spacing w:after="0"/>
              <w:rPr>
                <w:sz w:val="20"/>
                <w:szCs w:val="20"/>
                <w:color w:val="auto"/>
              </w:rPr>
            </w:pPr>
            <w:r>
              <w:rPr>
                <w:rFonts w:ascii="Arial" w:cs="Arial" w:eastAsia="Arial" w:hAnsi="Arial"/>
                <w:sz w:val="14"/>
                <w:szCs w:val="14"/>
                <w:color w:val="auto"/>
                <w:w w:val="99"/>
              </w:rPr>
              <w:t>$326 million</w:t>
            </w:r>
          </w:p>
        </w:tc>
      </w:tr>
    </w:tbl>
    <w:p>
      <w:pPr>
        <w:spacing w:after="0" w:line="148" w:lineRule="exact"/>
        <w:rPr>
          <w:sz w:val="20"/>
          <w:szCs w:val="20"/>
          <w:color w:val="auto"/>
        </w:rPr>
      </w:pPr>
    </w:p>
    <w:p>
      <w:pPr>
        <w:jc w:val="both"/>
        <w:ind w:left="260" w:right="80" w:hanging="255"/>
        <w:spacing w:after="0" w:line="284" w:lineRule="auto"/>
        <w:tabs>
          <w:tab w:leader="none" w:pos="256" w:val="left"/>
        </w:tabs>
        <w:numPr>
          <w:ilvl w:val="0"/>
          <w:numId w:val="37"/>
        </w:numPr>
        <w:rPr>
          <w:rFonts w:ascii="Arial" w:cs="Arial" w:eastAsia="Arial" w:hAnsi="Arial"/>
          <w:sz w:val="13"/>
          <w:szCs w:val="13"/>
          <w:color w:val="auto"/>
        </w:rPr>
      </w:pPr>
      <w:r>
        <w:rPr>
          <w:rFonts w:ascii="Arial" w:cs="Arial" w:eastAsia="Arial" w:hAnsi="Arial"/>
          <w:sz w:val="13"/>
          <w:szCs w:val="13"/>
          <w:color w:val="auto"/>
        </w:rPr>
        <w:t>Key Performance Milestones. “Key performance milestones” performance metrics are established as a defined annual incentive category. The Compensation Committee establishes threshold, target and maximum levels of performance for this category based on the number of milestones achieved. For 2022, a total of seven milestones were established relating to ESG matters, adherence to budget, CAFD per share goals, ratio of administrative costs to CAFD and natural gas strategic plan and execution. For 2022, threshold performance required the achievement of two out of the seven milestones, target performance required the achievement of four out of the seven milestones, and maximum performance required the achievement of all seven milestones. Ultimately, above target performance was attained with the achievement of five out of the seven milestones in 2022.</w:t>
      </w:r>
    </w:p>
    <w:p>
      <w:pPr>
        <w:spacing w:after="0" w:line="6" w:lineRule="exact"/>
        <w:rPr>
          <w:rFonts w:ascii="Arial" w:cs="Arial" w:eastAsia="Arial" w:hAnsi="Arial"/>
          <w:sz w:val="13"/>
          <w:szCs w:val="13"/>
          <w:color w:val="auto"/>
        </w:rPr>
      </w:pPr>
    </w:p>
    <w:p>
      <w:pPr>
        <w:jc w:val="both"/>
        <w:ind w:left="260" w:right="80" w:hanging="255"/>
        <w:spacing w:after="0" w:line="282" w:lineRule="auto"/>
        <w:tabs>
          <w:tab w:leader="none" w:pos="256"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Individual Performance. As indicated above, an NEO’s individual performance may (negatively or positively) affect his or her AIP bonus by up to 20%, although no AIP bonus payments can exceed 200% of the target award. Such individual performance is determined on a subjective basis based on the Compensation Committee’s assessment of the NEO’s contributions in supporting adherence to budget, support towards the achievement of key milestones, and other contributions towards the successful execution of the Company’s business strategy. The Compensation Committee recommended to the full Board that the CEO’s AIP bonus be paid based on the overall 2022 AIP achievement without additional modification. Similarly, the CEO recommended to the Compensation Committee that the AIP bonus for the other NEOs be based on the overall 2022 AIP achievement without additional modification. The full board approved the above recommendation of the Compensation Committee for the CEO and the Compensation Committee approved the above recommendation of the CEO for the other NEOs.</w:t>
      </w:r>
    </w:p>
    <w:p>
      <w:pPr>
        <w:spacing w:after="0" w:line="200" w:lineRule="exact"/>
        <w:rPr>
          <w:sz w:val="20"/>
          <w:szCs w:val="20"/>
          <w:color w:val="auto"/>
        </w:rPr>
      </w:pPr>
    </w:p>
    <w:p>
      <w:pPr>
        <w:spacing w:after="0" w:line="32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734" w:right="23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color w:val="auto"/>
        </w:rPr>
        <w:t>2022 Annual Incentive Bonus Opportunity</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threshold, target and maximum AIP bonus opportunities for NEOs for 2022, expressed as a percentage of base salary, were: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140" w:type="dxa"/>
            <w:vAlign w:val="bottom"/>
          </w:tcPr>
          <w:p>
            <w:pPr>
              <w:ind w:left="340"/>
              <w:spacing w:after="0"/>
              <w:rPr>
                <w:sz w:val="20"/>
                <w:szCs w:val="20"/>
                <w:color w:val="auto"/>
              </w:rPr>
            </w:pPr>
            <w:r>
              <w:rPr>
                <w:rFonts w:ascii="Arial" w:cs="Arial" w:eastAsia="Arial" w:hAnsi="Arial"/>
                <w:sz w:val="11"/>
                <w:szCs w:val="11"/>
                <w:b w:val="1"/>
                <w:bCs w:val="1"/>
                <w:color w:val="auto"/>
              </w:rPr>
              <w:t>Threshold</w:t>
            </w:r>
          </w:p>
        </w:tc>
        <w:tc>
          <w:tcPr>
            <w:tcW w:w="860" w:type="dxa"/>
            <w:vAlign w:val="bottom"/>
          </w:tcPr>
          <w:p>
            <w:pPr>
              <w:ind w:left="300"/>
              <w:spacing w:after="0"/>
              <w:rPr>
                <w:sz w:val="20"/>
                <w:szCs w:val="20"/>
                <w:color w:val="auto"/>
              </w:rPr>
            </w:pPr>
            <w:r>
              <w:rPr>
                <w:rFonts w:ascii="Arial" w:cs="Arial" w:eastAsia="Arial" w:hAnsi="Arial"/>
                <w:sz w:val="11"/>
                <w:szCs w:val="11"/>
                <w:b w:val="1"/>
                <w:bCs w:val="1"/>
                <w:color w:val="auto"/>
              </w:rPr>
              <w:t>Target</w:t>
            </w:r>
          </w:p>
        </w:tc>
        <w:tc>
          <w:tcPr>
            <w:tcW w:w="1220" w:type="dxa"/>
            <w:vAlign w:val="bottom"/>
          </w:tcPr>
          <w:p>
            <w:pPr>
              <w:ind w:left="260"/>
              <w:spacing w:after="0"/>
              <w:rPr>
                <w:sz w:val="20"/>
                <w:szCs w:val="20"/>
                <w:color w:val="auto"/>
              </w:rPr>
            </w:pPr>
            <w:r>
              <w:rPr>
                <w:rFonts w:ascii="Arial" w:cs="Arial" w:eastAsia="Arial" w:hAnsi="Arial"/>
                <w:sz w:val="11"/>
                <w:szCs w:val="11"/>
                <w:b w:val="1"/>
                <w:bCs w:val="1"/>
                <w:color w:val="auto"/>
              </w:rPr>
              <w:t>Maximum</w:t>
            </w:r>
          </w:p>
        </w:tc>
        <w:tc>
          <w:tcPr>
            <w:tcW w:w="1740" w:type="dxa"/>
            <w:vAlign w:val="bottom"/>
          </w:tcPr>
          <w:p>
            <w:pPr>
              <w:jc w:val="center"/>
              <w:ind w:right="154"/>
              <w:spacing w:after="0"/>
              <w:rPr>
                <w:sz w:val="20"/>
                <w:szCs w:val="20"/>
                <w:color w:val="auto"/>
              </w:rPr>
            </w:pPr>
            <w:r>
              <w:rPr>
                <w:rFonts w:ascii="Arial" w:cs="Arial" w:eastAsia="Arial" w:hAnsi="Arial"/>
                <w:sz w:val="11"/>
                <w:szCs w:val="11"/>
                <w:b w:val="1"/>
                <w:bCs w:val="1"/>
                <w:color w:val="auto"/>
                <w:w w:val="95"/>
              </w:rPr>
              <w:t>Target</w:t>
            </w:r>
          </w:p>
        </w:tc>
      </w:tr>
      <w:tr>
        <w:trPr>
          <w:trHeight w:val="134"/>
        </w:trPr>
        <w:tc>
          <w:tcPr>
            <w:tcW w:w="20" w:type="dxa"/>
            <w:vAlign w:val="bottom"/>
          </w:tcPr>
          <w:p>
            <w:pPr>
              <w:spacing w:after="0"/>
              <w:rPr>
                <w:sz w:val="11"/>
                <w:szCs w:val="11"/>
                <w:color w:val="auto"/>
              </w:rPr>
            </w:pPr>
          </w:p>
        </w:tc>
        <w:tc>
          <w:tcPr>
            <w:tcW w:w="6300" w:type="dxa"/>
            <w:vAlign w:val="bottom"/>
            <w:gridSpan w:val="2"/>
          </w:tcPr>
          <w:p>
            <w:pPr>
              <w:spacing w:after="0"/>
              <w:rPr>
                <w:sz w:val="20"/>
                <w:szCs w:val="20"/>
                <w:color w:val="auto"/>
              </w:rPr>
            </w:pPr>
            <w:r>
              <w:rPr>
                <w:rFonts w:ascii="Arial" w:cs="Arial" w:eastAsia="Arial" w:hAnsi="Arial"/>
                <w:sz w:val="11"/>
                <w:szCs w:val="11"/>
                <w:b w:val="1"/>
                <w:bCs w:val="1"/>
                <w:color w:val="auto"/>
              </w:rPr>
              <w:t>Named Executive Officer</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7"/>
                <w:szCs w:val="7"/>
                <w:b w:val="1"/>
                <w:bCs w:val="1"/>
                <w:color w:val="auto"/>
              </w:rPr>
              <w:t>(1)</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7"/>
                <w:szCs w:val="7"/>
                <w:b w:val="1"/>
                <w:bCs w:val="1"/>
                <w:color w:val="auto"/>
              </w:rPr>
              <w:t>(1)</w:t>
            </w:r>
          </w:p>
        </w:tc>
        <w:tc>
          <w:tcPr>
            <w:tcW w:w="1220" w:type="dxa"/>
            <w:vAlign w:val="bottom"/>
          </w:tcPr>
          <w:p>
            <w:pPr>
              <w:jc w:val="center"/>
              <w:ind w:right="134"/>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7"/>
                <w:szCs w:val="7"/>
                <w:b w:val="1"/>
                <w:bCs w:val="1"/>
                <w:color w:val="auto"/>
              </w:rPr>
              <w:t>(1)</w:t>
            </w:r>
          </w:p>
        </w:tc>
        <w:tc>
          <w:tcPr>
            <w:tcW w:w="1740" w:type="dxa"/>
            <w:vAlign w:val="bottom"/>
          </w:tcPr>
          <w:p>
            <w:pPr>
              <w:jc w:val="center"/>
              <w:ind w:right="154"/>
              <w:spacing w:after="0"/>
              <w:rPr>
                <w:sz w:val="20"/>
                <w:szCs w:val="20"/>
                <w:color w:val="auto"/>
              </w:rPr>
            </w:pPr>
            <w:r>
              <w:rPr>
                <w:rFonts w:ascii="Arial" w:cs="Arial" w:eastAsia="Arial" w:hAnsi="Arial"/>
                <w:sz w:val="11"/>
                <w:szCs w:val="11"/>
                <w:b w:val="1"/>
                <w:bCs w:val="1"/>
                <w:color w:val="auto"/>
                <w:w w:val="96"/>
              </w:rPr>
              <w:t>Amount ($)</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Christopher S. Sotos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4"/>
                <w:szCs w:val="14"/>
                <w:color w:val="auto"/>
                <w:w w:val="94"/>
              </w:rPr>
              <w:t>100</w:t>
            </w:r>
          </w:p>
        </w:tc>
        <w:tc>
          <w:tcPr>
            <w:tcW w:w="1220" w:type="dxa"/>
            <w:vAlign w:val="bottom"/>
            <w:shd w:val="clear" w:color="auto" w:fill="CCEEFF"/>
          </w:tcPr>
          <w:p>
            <w:pPr>
              <w:jc w:val="center"/>
              <w:ind w:right="134"/>
              <w:spacing w:after="0"/>
              <w:rPr>
                <w:sz w:val="20"/>
                <w:szCs w:val="20"/>
                <w:color w:val="auto"/>
              </w:rPr>
            </w:pPr>
            <w:r>
              <w:rPr>
                <w:rFonts w:ascii="Arial" w:cs="Arial" w:eastAsia="Arial" w:hAnsi="Arial"/>
                <w:sz w:val="14"/>
                <w:szCs w:val="14"/>
                <w:color w:val="auto"/>
                <w:w w:val="94"/>
              </w:rPr>
              <w:t>200</w:t>
            </w:r>
          </w:p>
        </w:tc>
        <w:tc>
          <w:tcPr>
            <w:tcW w:w="1740" w:type="dxa"/>
            <w:vAlign w:val="bottom"/>
            <w:shd w:val="clear" w:color="auto" w:fill="CCEEFF"/>
          </w:tcPr>
          <w:p>
            <w:pPr>
              <w:jc w:val="center"/>
              <w:ind w:right="174"/>
              <w:spacing w:after="0"/>
              <w:rPr>
                <w:sz w:val="20"/>
                <w:szCs w:val="20"/>
                <w:color w:val="auto"/>
              </w:rPr>
            </w:pPr>
            <w:r>
              <w:rPr>
                <w:rFonts w:ascii="Arial" w:cs="Arial" w:eastAsia="Arial" w:hAnsi="Arial"/>
                <w:sz w:val="14"/>
                <w:szCs w:val="14"/>
                <w:color w:val="auto"/>
                <w:w w:val="90"/>
              </w:rPr>
              <w:t>665,201</w:t>
            </w:r>
          </w:p>
        </w:tc>
      </w:tr>
      <w:tr>
        <w:trPr>
          <w:trHeight w:val="180"/>
        </w:trPr>
        <w:tc>
          <w:tcPr>
            <w:tcW w:w="20" w:type="dxa"/>
            <w:vAlign w:val="bottom"/>
          </w:tcPr>
          <w:p>
            <w:pPr>
              <w:spacing w:after="0"/>
              <w:rPr>
                <w:sz w:val="15"/>
                <w:szCs w:val="15"/>
                <w:color w:val="auto"/>
              </w:rPr>
            </w:pPr>
          </w:p>
        </w:tc>
        <w:tc>
          <w:tcPr>
            <w:tcW w:w="6300" w:type="dxa"/>
            <w:vAlign w:val="bottom"/>
            <w:gridSpan w:val="2"/>
          </w:tcPr>
          <w:p>
            <w:pPr>
              <w:spacing w:after="0" w:line="181" w:lineRule="exact"/>
              <w:rPr>
                <w:sz w:val="20"/>
                <w:szCs w:val="20"/>
                <w:color w:val="auto"/>
              </w:rPr>
            </w:pPr>
            <w:r>
              <w:rPr>
                <w:rFonts w:ascii="Arial" w:cs="Arial" w:eastAsia="Arial" w:hAnsi="Arial"/>
                <w:sz w:val="14"/>
                <w:szCs w:val="14"/>
                <w:color w:val="auto"/>
              </w:rPr>
              <w:t>Sarah Rubenstein</w:t>
            </w:r>
            <w:r>
              <w:rPr>
                <w:rFonts w:ascii="Arial" w:cs="Arial" w:eastAsia="Arial" w:hAnsi="Arial"/>
                <w:sz w:val="18"/>
                <w:szCs w:val="18"/>
                <w:color w:val="auto"/>
                <w:vertAlign w:val="superscript"/>
              </w:rPr>
              <w:t>(2)</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860" w:type="dxa"/>
            <w:vAlign w:val="bottom"/>
          </w:tcPr>
          <w:p>
            <w:pPr>
              <w:jc w:val="center"/>
              <w:ind w:left="14"/>
              <w:spacing w:after="0"/>
              <w:rPr>
                <w:sz w:val="20"/>
                <w:szCs w:val="20"/>
                <w:color w:val="auto"/>
              </w:rPr>
            </w:pPr>
            <w:r>
              <w:rPr>
                <w:rFonts w:ascii="Arial" w:cs="Arial" w:eastAsia="Arial" w:hAnsi="Arial"/>
                <w:sz w:val="14"/>
                <w:szCs w:val="14"/>
                <w:color w:val="auto"/>
                <w:w w:val="89"/>
              </w:rPr>
              <w:t>50</w:t>
            </w:r>
          </w:p>
        </w:tc>
        <w:tc>
          <w:tcPr>
            <w:tcW w:w="1220" w:type="dxa"/>
            <w:vAlign w:val="bottom"/>
          </w:tcPr>
          <w:p>
            <w:pPr>
              <w:jc w:val="center"/>
              <w:ind w:right="134"/>
              <w:spacing w:after="0"/>
              <w:rPr>
                <w:sz w:val="20"/>
                <w:szCs w:val="20"/>
                <w:color w:val="auto"/>
              </w:rPr>
            </w:pPr>
            <w:r>
              <w:rPr>
                <w:rFonts w:ascii="Arial" w:cs="Arial" w:eastAsia="Arial" w:hAnsi="Arial"/>
                <w:sz w:val="14"/>
                <w:szCs w:val="14"/>
                <w:color w:val="auto"/>
                <w:w w:val="94"/>
              </w:rPr>
              <w:t>100</w:t>
            </w:r>
          </w:p>
        </w:tc>
        <w:tc>
          <w:tcPr>
            <w:tcW w:w="1740" w:type="dxa"/>
            <w:vAlign w:val="bottom"/>
          </w:tcPr>
          <w:p>
            <w:pPr>
              <w:jc w:val="center"/>
              <w:ind w:right="174"/>
              <w:spacing w:after="0"/>
              <w:rPr>
                <w:sz w:val="20"/>
                <w:szCs w:val="20"/>
                <w:color w:val="auto"/>
              </w:rPr>
            </w:pPr>
            <w:r>
              <w:rPr>
                <w:rFonts w:ascii="Arial" w:cs="Arial" w:eastAsia="Arial" w:hAnsi="Arial"/>
                <w:sz w:val="14"/>
                <w:szCs w:val="14"/>
                <w:color w:val="auto"/>
                <w:w w:val="90"/>
              </w:rPr>
              <w:t>162,500</w:t>
            </w:r>
          </w:p>
        </w:tc>
      </w:tr>
      <w:tr>
        <w:trPr>
          <w:trHeight w:val="180"/>
        </w:trPr>
        <w:tc>
          <w:tcPr>
            <w:tcW w:w="20" w:type="dxa"/>
            <w:vAlign w:val="bottom"/>
            <w:shd w:val="clear" w:color="auto" w:fill="CCEEFF"/>
          </w:tcPr>
          <w:p>
            <w:pPr>
              <w:spacing w:after="0"/>
              <w:rPr>
                <w:sz w:val="15"/>
                <w:szCs w:val="15"/>
                <w:color w:val="auto"/>
              </w:rPr>
            </w:pPr>
          </w:p>
        </w:tc>
        <w:tc>
          <w:tcPr>
            <w:tcW w:w="6300" w:type="dxa"/>
            <w:vAlign w:val="bottom"/>
            <w:gridSpan w:val="2"/>
            <w:shd w:val="clear" w:color="auto" w:fill="CCEEFF"/>
          </w:tcPr>
          <w:p>
            <w:pPr>
              <w:spacing w:after="0" w:line="181" w:lineRule="exact"/>
              <w:rPr>
                <w:sz w:val="20"/>
                <w:szCs w:val="20"/>
                <w:color w:val="auto"/>
              </w:rPr>
            </w:pPr>
            <w:r>
              <w:rPr>
                <w:rFonts w:ascii="Arial" w:cs="Arial" w:eastAsia="Arial" w:hAnsi="Arial"/>
                <w:sz w:val="14"/>
                <w:szCs w:val="14"/>
                <w:color w:val="auto"/>
              </w:rPr>
              <w:t>Kevin Malcarney</w:t>
            </w:r>
            <w:r>
              <w:rPr>
                <w:rFonts w:ascii="Arial" w:cs="Arial" w:eastAsia="Arial" w:hAnsi="Arial"/>
                <w:sz w:val="18"/>
                <w:szCs w:val="18"/>
                <w:color w:val="auto"/>
                <w:vertAlign w:val="superscript"/>
              </w:rPr>
              <w:t>(3)</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32.5</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4"/>
                <w:szCs w:val="14"/>
                <w:color w:val="auto"/>
                <w:w w:val="89"/>
              </w:rPr>
              <w:t>65</w:t>
            </w:r>
          </w:p>
        </w:tc>
        <w:tc>
          <w:tcPr>
            <w:tcW w:w="1220" w:type="dxa"/>
            <w:vAlign w:val="bottom"/>
            <w:shd w:val="clear" w:color="auto" w:fill="CCEEFF"/>
          </w:tcPr>
          <w:p>
            <w:pPr>
              <w:jc w:val="center"/>
              <w:ind w:right="134"/>
              <w:spacing w:after="0"/>
              <w:rPr>
                <w:sz w:val="20"/>
                <w:szCs w:val="20"/>
                <w:color w:val="auto"/>
              </w:rPr>
            </w:pPr>
            <w:r>
              <w:rPr>
                <w:rFonts w:ascii="Arial" w:cs="Arial" w:eastAsia="Arial" w:hAnsi="Arial"/>
                <w:sz w:val="14"/>
                <w:szCs w:val="14"/>
                <w:color w:val="auto"/>
                <w:w w:val="94"/>
              </w:rPr>
              <w:t>130</w:t>
            </w:r>
          </w:p>
        </w:tc>
        <w:tc>
          <w:tcPr>
            <w:tcW w:w="1740" w:type="dxa"/>
            <w:vAlign w:val="bottom"/>
            <w:shd w:val="clear" w:color="auto" w:fill="CCEEFF"/>
          </w:tcPr>
          <w:p>
            <w:pPr>
              <w:jc w:val="center"/>
              <w:ind w:right="174"/>
              <w:spacing w:after="0"/>
              <w:rPr>
                <w:sz w:val="20"/>
                <w:szCs w:val="20"/>
                <w:color w:val="auto"/>
              </w:rPr>
            </w:pPr>
            <w:r>
              <w:rPr>
                <w:rFonts w:ascii="Arial" w:cs="Arial" w:eastAsia="Arial" w:hAnsi="Arial"/>
                <w:sz w:val="14"/>
                <w:szCs w:val="14"/>
                <w:color w:val="auto"/>
                <w:w w:val="90"/>
              </w:rPr>
              <w:t>260,000</w:t>
            </w:r>
          </w:p>
        </w:tc>
      </w:tr>
      <w:tr>
        <w:trPr>
          <w:trHeight w:val="244"/>
        </w:trPr>
        <w:tc>
          <w:tcPr>
            <w:tcW w:w="20" w:type="dxa"/>
            <w:vAlign w:val="bottom"/>
          </w:tcPr>
          <w:p>
            <w:pPr>
              <w:spacing w:after="0"/>
              <w:rPr>
                <w:sz w:val="21"/>
                <w:szCs w:val="21"/>
                <w:color w:val="auto"/>
              </w:rPr>
            </w:pPr>
          </w:p>
        </w:tc>
        <w:tc>
          <w:tcPr>
            <w:tcW w:w="6300" w:type="dxa"/>
            <w:vAlign w:val="bottom"/>
            <w:gridSpan w:val="2"/>
          </w:tcPr>
          <w:p>
            <w:pPr>
              <w:spacing w:after="0"/>
              <w:rPr>
                <w:sz w:val="20"/>
                <w:szCs w:val="20"/>
                <w:color w:val="auto"/>
              </w:rPr>
            </w:pPr>
            <w:r>
              <w:rPr>
                <w:rFonts w:ascii="Arial" w:cs="Arial" w:eastAsia="Arial" w:hAnsi="Arial"/>
                <w:sz w:val="14"/>
                <w:szCs w:val="14"/>
                <w:color w:val="auto"/>
              </w:rPr>
              <w:t>Chad Plotkin</w:t>
            </w:r>
            <w:r>
              <w:rPr>
                <w:rFonts w:ascii="Arial" w:cs="Arial" w:eastAsia="Arial" w:hAnsi="Arial"/>
                <w:sz w:val="18"/>
                <w:szCs w:val="18"/>
                <w:color w:val="auto"/>
                <w:vertAlign w:val="superscript"/>
              </w:rPr>
              <w:t>(4)</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35</w:t>
            </w:r>
          </w:p>
        </w:tc>
        <w:tc>
          <w:tcPr>
            <w:tcW w:w="860" w:type="dxa"/>
            <w:vAlign w:val="bottom"/>
          </w:tcPr>
          <w:p>
            <w:pPr>
              <w:jc w:val="center"/>
              <w:ind w:left="14"/>
              <w:spacing w:after="0"/>
              <w:rPr>
                <w:sz w:val="20"/>
                <w:szCs w:val="20"/>
                <w:color w:val="auto"/>
              </w:rPr>
            </w:pPr>
            <w:r>
              <w:rPr>
                <w:rFonts w:ascii="Arial" w:cs="Arial" w:eastAsia="Arial" w:hAnsi="Arial"/>
                <w:sz w:val="14"/>
                <w:szCs w:val="14"/>
                <w:color w:val="auto"/>
                <w:w w:val="89"/>
              </w:rPr>
              <w:t>70</w:t>
            </w:r>
          </w:p>
        </w:tc>
        <w:tc>
          <w:tcPr>
            <w:tcW w:w="1220" w:type="dxa"/>
            <w:vAlign w:val="bottom"/>
          </w:tcPr>
          <w:p>
            <w:pPr>
              <w:jc w:val="center"/>
              <w:ind w:right="134"/>
              <w:spacing w:after="0"/>
              <w:rPr>
                <w:sz w:val="20"/>
                <w:szCs w:val="20"/>
                <w:color w:val="auto"/>
              </w:rPr>
            </w:pPr>
            <w:r>
              <w:rPr>
                <w:rFonts w:ascii="Arial" w:cs="Arial" w:eastAsia="Arial" w:hAnsi="Arial"/>
                <w:sz w:val="14"/>
                <w:szCs w:val="14"/>
                <w:color w:val="auto"/>
                <w:w w:val="94"/>
              </w:rPr>
              <w:t>140</w:t>
            </w:r>
          </w:p>
        </w:tc>
        <w:tc>
          <w:tcPr>
            <w:tcW w:w="1740" w:type="dxa"/>
            <w:vAlign w:val="bottom"/>
          </w:tcPr>
          <w:p>
            <w:pPr>
              <w:jc w:val="center"/>
              <w:ind w:right="174"/>
              <w:spacing w:after="0"/>
              <w:rPr>
                <w:sz w:val="20"/>
                <w:szCs w:val="20"/>
                <w:color w:val="auto"/>
              </w:rPr>
            </w:pPr>
            <w:r>
              <w:rPr>
                <w:rFonts w:ascii="Arial" w:cs="Arial" w:eastAsia="Arial" w:hAnsi="Arial"/>
                <w:sz w:val="14"/>
                <w:szCs w:val="14"/>
                <w:color w:val="auto"/>
                <w:w w:val="90"/>
              </w:rPr>
              <w:t>322,000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138811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80" w:hanging="111"/>
        <w:spacing w:after="0"/>
        <w:tabs>
          <w:tab w:leader="none" w:pos="180" w:val="left"/>
        </w:tabs>
        <w:numPr>
          <w:ilvl w:val="0"/>
          <w:numId w:val="38"/>
        </w:numPr>
        <w:rPr>
          <w:rFonts w:ascii="Arial" w:cs="Arial" w:eastAsia="Arial" w:hAnsi="Arial"/>
          <w:sz w:val="13"/>
          <w:szCs w:val="13"/>
          <w:color w:val="auto"/>
          <w:vertAlign w:val="superscript"/>
        </w:rPr>
      </w:pPr>
      <w:r>
        <w:rPr>
          <w:rFonts w:ascii="Arial" w:cs="Arial" w:eastAsia="Arial" w:hAnsi="Arial"/>
          <w:sz w:val="10"/>
          <w:szCs w:val="10"/>
          <w:color w:val="auto"/>
        </w:rPr>
        <w:t>This assumes that the CAFD performance metric and all other quantitative and qualitative goals, including the key milestones, are achieved at threshold, target and maximum levels, as applicable.</w:t>
      </w:r>
    </w:p>
    <w:p>
      <w:pPr>
        <w:spacing w:after="0" w:line="34" w:lineRule="exact"/>
        <w:rPr>
          <w:rFonts w:ascii="Arial" w:cs="Arial" w:eastAsia="Arial" w:hAnsi="Arial"/>
          <w:sz w:val="13"/>
          <w:szCs w:val="13"/>
          <w:color w:val="auto"/>
          <w:vertAlign w:val="superscript"/>
        </w:rPr>
      </w:pPr>
    </w:p>
    <w:p>
      <w:pPr>
        <w:ind w:left="180" w:hanging="111"/>
        <w:spacing w:after="0"/>
        <w:tabs>
          <w:tab w:leader="none" w:pos="180" w:val="left"/>
        </w:tabs>
        <w:numPr>
          <w:ilvl w:val="0"/>
          <w:numId w:val="38"/>
        </w:numPr>
        <w:rPr>
          <w:rFonts w:ascii="Arial" w:cs="Arial" w:eastAsia="Arial" w:hAnsi="Arial"/>
          <w:sz w:val="7"/>
          <w:szCs w:val="7"/>
          <w:color w:val="auto"/>
        </w:rPr>
      </w:pPr>
      <w:r>
        <w:rPr>
          <w:rFonts w:ascii="Arial" w:cs="Arial" w:eastAsia="Arial" w:hAnsi="Arial"/>
          <w:sz w:val="11"/>
          <w:szCs w:val="11"/>
          <w:color w:val="auto"/>
        </w:rPr>
        <w:t>Ms. Rubenstein was promoted to Senior Vice President and Chief Accounting Officer in January 2022 and appointed as the principal financial officer for the Company in August 2022.</w:t>
      </w:r>
    </w:p>
    <w:p>
      <w:pPr>
        <w:spacing w:after="0" w:line="43" w:lineRule="exact"/>
        <w:rPr>
          <w:rFonts w:ascii="Arial" w:cs="Arial" w:eastAsia="Arial" w:hAnsi="Arial"/>
          <w:sz w:val="7"/>
          <w:szCs w:val="7"/>
          <w:color w:val="auto"/>
        </w:rPr>
      </w:pPr>
    </w:p>
    <w:p>
      <w:pPr>
        <w:ind w:left="180" w:hanging="111"/>
        <w:spacing w:after="0"/>
        <w:tabs>
          <w:tab w:leader="none" w:pos="180" w:val="left"/>
        </w:tabs>
        <w:numPr>
          <w:ilvl w:val="0"/>
          <w:numId w:val="38"/>
        </w:numPr>
        <w:rPr>
          <w:rFonts w:ascii="Arial" w:cs="Arial" w:eastAsia="Arial" w:hAnsi="Arial"/>
          <w:sz w:val="7"/>
          <w:szCs w:val="7"/>
          <w:color w:val="auto"/>
        </w:rPr>
      </w:pPr>
      <w:r>
        <w:rPr>
          <w:rFonts w:ascii="Arial" w:cs="Arial" w:eastAsia="Arial" w:hAnsi="Arial"/>
          <w:sz w:val="11"/>
          <w:szCs w:val="11"/>
          <w:color w:val="auto"/>
        </w:rPr>
        <w:t>Mr. Malcarney’s threshold, target and maximum AIP award were increased in 2022 in connection with his promotion, to recognize his performance, and better align his total direct compensation with the market median.</w:t>
      </w:r>
    </w:p>
    <w:p>
      <w:pPr>
        <w:spacing w:after="0" w:line="53" w:lineRule="exact"/>
        <w:rPr>
          <w:rFonts w:ascii="Arial" w:cs="Arial" w:eastAsia="Arial" w:hAnsi="Arial"/>
          <w:sz w:val="7"/>
          <w:szCs w:val="7"/>
          <w:color w:val="auto"/>
        </w:rPr>
      </w:pPr>
    </w:p>
    <w:p>
      <w:pPr>
        <w:ind w:left="60" w:firstLine="9"/>
        <w:spacing w:after="0" w:line="437" w:lineRule="auto"/>
        <w:tabs>
          <w:tab w:leader="none" w:pos="164" w:val="left"/>
        </w:tabs>
        <w:numPr>
          <w:ilvl w:val="0"/>
          <w:numId w:val="38"/>
        </w:numPr>
        <w:rPr>
          <w:rFonts w:ascii="Arial" w:cs="Arial" w:eastAsia="Arial" w:hAnsi="Arial"/>
          <w:sz w:val="10"/>
          <w:szCs w:val="10"/>
          <w:color w:val="auto"/>
          <w:vertAlign w:val="superscript"/>
        </w:rPr>
      </w:pPr>
      <w:r>
        <w:rPr>
          <w:rFonts w:ascii="Arial" w:cs="Arial" w:eastAsia="Arial" w:hAnsi="Arial"/>
          <w:sz w:val="8"/>
          <w:szCs w:val="8"/>
          <w:color w:val="auto"/>
        </w:rPr>
        <w:t>Mr. Plotkin’s threshold, target and maximum AIP award were increased in 2022 in connection with his promotion, to recognize his performance, and better align his total direct compensation with the market median. Mr. Plotkin voluntarily resigned from his employment with the Company in August 2022. Accordingly, no AIP bonus was paid to Mr. Plotkin for 2022.</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2022 Annual Incentive Bonuses</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As noted above, with respect to AIP bonuses for 2022, the CAFD target was $365 million and the key performance milestone target was achievement of five out of seven key performance milestones.</w:t>
      </w:r>
    </w:p>
    <w:p>
      <w:pPr>
        <w:spacing w:after="0" w:line="90"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For 2022, CAFD achievement was between threshold and target at approximately $326 million, five out of seven key performance milestones were achieved, and there were no OSHA recordable injuries. Due to the achievement specified above, 2022 AIP bonuses were paid at levels above target. If performance falls between threshold and target or target and maximum, the bonus opportunity will be determined on an interpolated basis. As a result, the CAFD metric and the key performance milestone metrics were respectively weighted at 73% and 133% of target.</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annual incentive bonuses paid to NEOs for 2022 were: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Percentage of</w:t>
            </w: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6"/>
              </w:rPr>
              <w:t>Annual</w:t>
            </w:r>
          </w:p>
        </w:tc>
      </w:tr>
      <w:tr>
        <w:trPr>
          <w:trHeight w:val="127"/>
        </w:trPr>
        <w:tc>
          <w:tcPr>
            <w:tcW w:w="6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Annual Base</w:t>
            </w:r>
          </w:p>
        </w:tc>
        <w:tc>
          <w:tcPr>
            <w:tcW w:w="1100" w:type="dxa"/>
            <w:vAlign w:val="bottom"/>
          </w:tcPr>
          <w:p>
            <w:pPr>
              <w:jc w:val="center"/>
              <w:ind w:left="203"/>
              <w:spacing w:after="0"/>
              <w:rPr>
                <w:sz w:val="20"/>
                <w:szCs w:val="20"/>
                <w:color w:val="auto"/>
              </w:rPr>
            </w:pPr>
            <w:r>
              <w:rPr>
                <w:rFonts w:ascii="Arial" w:cs="Arial" w:eastAsia="Arial" w:hAnsi="Arial"/>
                <w:sz w:val="11"/>
                <w:szCs w:val="11"/>
                <w:b w:val="1"/>
                <w:bCs w:val="1"/>
                <w:color w:val="auto"/>
                <w:w w:val="92"/>
              </w:rPr>
              <w:t>Percent of Target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2"/>
              </w:rPr>
              <w:t>Incentive</w:t>
            </w:r>
          </w:p>
        </w:tc>
      </w:tr>
      <w:tr>
        <w:trPr>
          <w:trHeight w:val="167"/>
        </w:trPr>
        <w:tc>
          <w:tcPr>
            <w:tcW w:w="7000" w:type="dxa"/>
            <w:vAlign w:val="bottom"/>
            <w:gridSpan w:val="2"/>
          </w:tcPr>
          <w:p>
            <w:pPr>
              <w:ind w:left="20"/>
              <w:spacing w:after="0"/>
              <w:rPr>
                <w:sz w:val="20"/>
                <w:szCs w:val="20"/>
                <w:color w:val="auto"/>
              </w:rPr>
            </w:pPr>
            <w:r>
              <w:rPr>
                <w:rFonts w:ascii="Arial" w:cs="Arial" w:eastAsia="Arial" w:hAnsi="Arial"/>
                <w:sz w:val="11"/>
                <w:szCs w:val="11"/>
                <w:b w:val="1"/>
                <w:bCs w:val="1"/>
                <w:color w:val="auto"/>
              </w:rPr>
              <w:t>Named Executive Officer</w:t>
            </w: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Salary Achieved (%)</w:t>
            </w:r>
          </w:p>
        </w:tc>
        <w:tc>
          <w:tcPr>
            <w:tcW w:w="1100" w:type="dxa"/>
            <w:vAlign w:val="bottom"/>
          </w:tcPr>
          <w:p>
            <w:pPr>
              <w:jc w:val="center"/>
              <w:ind w:left="223"/>
              <w:spacing w:after="0"/>
              <w:rPr>
                <w:sz w:val="20"/>
                <w:szCs w:val="20"/>
                <w:color w:val="auto"/>
              </w:rPr>
            </w:pPr>
            <w:r>
              <w:rPr>
                <w:rFonts w:ascii="Arial" w:cs="Arial" w:eastAsia="Arial" w:hAnsi="Arial"/>
                <w:sz w:val="11"/>
                <w:szCs w:val="11"/>
                <w:b w:val="1"/>
                <w:bCs w:val="1"/>
                <w:color w:val="auto"/>
                <w:w w:val="95"/>
              </w:rPr>
              <w:t>Achieved (%)</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92"/>
              </w:rPr>
              <w:t>Payment ($)</w:t>
            </w:r>
          </w:p>
        </w:tc>
      </w:tr>
      <w:tr>
        <w:trPr>
          <w:trHeight w:val="180"/>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Christopher S. Sotos</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725,069</w:t>
            </w:r>
          </w:p>
        </w:tc>
      </w:tr>
      <w:tr>
        <w:trPr>
          <w:trHeight w:val="180"/>
        </w:trPr>
        <w:tc>
          <w:tcPr>
            <w:tcW w:w="700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Sarah Rubenstein</w:t>
            </w:r>
            <w:r>
              <w:rPr>
                <w:rFonts w:ascii="Arial" w:cs="Arial" w:eastAsia="Arial" w:hAnsi="Arial"/>
                <w:sz w:val="18"/>
                <w:szCs w:val="18"/>
                <w:color w:val="auto"/>
                <w:vertAlign w:val="superscript"/>
              </w:rPr>
              <w:t>(1)</w:t>
            </w:r>
          </w:p>
        </w:tc>
        <w:tc>
          <w:tcPr>
            <w:tcW w:w="140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177,125</w:t>
            </w:r>
          </w:p>
        </w:tc>
      </w:tr>
      <w:tr>
        <w:trPr>
          <w:trHeight w:val="180"/>
        </w:trPr>
        <w:tc>
          <w:tcPr>
            <w:tcW w:w="70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Kevin P. Malcarney</w:t>
            </w:r>
            <w:r>
              <w:rPr>
                <w:rFonts w:ascii="Arial" w:cs="Arial" w:eastAsia="Arial" w:hAnsi="Arial"/>
                <w:sz w:val="18"/>
                <w:szCs w:val="18"/>
                <w:color w:val="auto"/>
                <w:vertAlign w:val="superscript"/>
              </w:rPr>
              <w:t>(2)</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283,400</w:t>
            </w:r>
          </w:p>
        </w:tc>
      </w:tr>
      <w:tr>
        <w:trPr>
          <w:trHeight w:val="239"/>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Chad Plotkin</w:t>
            </w:r>
            <w:r>
              <w:rPr>
                <w:rFonts w:ascii="Arial" w:cs="Arial" w:eastAsia="Arial" w:hAnsi="Arial"/>
                <w:sz w:val="18"/>
                <w:szCs w:val="18"/>
                <w:color w:val="auto"/>
                <w:vertAlign w:val="superscript"/>
              </w:rPr>
              <w:t>(3)</w:t>
            </w:r>
          </w:p>
        </w:tc>
        <w:tc>
          <w:tcPr>
            <w:tcW w:w="1500" w:type="dxa"/>
            <w:vAlign w:val="bottom"/>
            <w:gridSpan w:val="2"/>
          </w:tcPr>
          <w:p>
            <w:pPr>
              <w:ind w:left="1140"/>
              <w:spacing w:after="0"/>
              <w:rPr>
                <w:sz w:val="20"/>
                <w:szCs w:val="20"/>
                <w:color w:val="auto"/>
              </w:rPr>
            </w:pPr>
            <w:r>
              <w:rPr>
                <w:rFonts w:ascii="Arial" w:cs="Arial" w:eastAsia="Arial" w:hAnsi="Arial"/>
                <w:sz w:val="14"/>
                <w:szCs w:val="14"/>
                <w:color w:val="auto"/>
              </w:rPr>
              <w:t>N/A</w:t>
            </w:r>
          </w:p>
        </w:tc>
        <w:tc>
          <w:tcPr>
            <w:tcW w:w="110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320" w:type="dxa"/>
            <w:vAlign w:val="bottom"/>
          </w:tcPr>
          <w:p>
            <w:pPr>
              <w:jc w:val="right"/>
              <w:spacing w:after="0"/>
              <w:rPr>
                <w:sz w:val="20"/>
                <w:szCs w:val="20"/>
                <w:color w:val="auto"/>
              </w:rPr>
            </w:pPr>
            <w:r>
              <w:rPr>
                <w:rFonts w:ascii="Arial" w:cs="Arial" w:eastAsia="Arial" w:hAnsi="Arial"/>
                <w:sz w:val="14"/>
                <w:szCs w:val="14"/>
                <w:color w:val="auto"/>
              </w:rPr>
              <w:t>N/A</w:t>
            </w:r>
          </w:p>
        </w:tc>
      </w:tr>
    </w:tbl>
    <w:p>
      <w:pPr>
        <w:spacing w:after="0" w:line="33" w:lineRule="exact"/>
        <w:rPr>
          <w:sz w:val="20"/>
          <w:szCs w:val="20"/>
          <w:color w:val="auto"/>
        </w:rPr>
      </w:pPr>
    </w:p>
    <w:p>
      <w:pPr>
        <w:ind w:left="60" w:firstLine="9"/>
        <w:spacing w:after="0" w:line="276" w:lineRule="auto"/>
        <w:tabs>
          <w:tab w:leader="none" w:pos="164" w:val="left"/>
        </w:tabs>
        <w:numPr>
          <w:ilvl w:val="0"/>
          <w:numId w:val="39"/>
        </w:numPr>
        <w:rPr>
          <w:rFonts w:ascii="Arial" w:cs="Arial" w:eastAsia="Arial" w:hAnsi="Arial"/>
          <w:sz w:val="7"/>
          <w:szCs w:val="7"/>
          <w:color w:val="auto"/>
        </w:rPr>
      </w:pPr>
      <w:r>
        <w:rPr>
          <w:rFonts w:ascii="Arial" w:cs="Arial" w:eastAsia="Arial" w:hAnsi="Arial"/>
          <w:sz w:val="11"/>
          <w:szCs w:val="11"/>
          <w:color w:val="auto"/>
        </w:rPr>
        <w:t>Ms. Rubenstein was promoted to Senior Vice President and Chief Accounting Officer in January 2022 and appointed as the principal financial officer for the Company in August 2022. Ms. Rubenstein’s AIP target increased from 40% to 50% in connection with her promotion.</w:t>
      </w:r>
    </w:p>
    <w:p>
      <w:pPr>
        <w:spacing w:after="0" w:line="43" w:lineRule="exact"/>
        <w:rPr>
          <w:rFonts w:ascii="Arial" w:cs="Arial" w:eastAsia="Arial" w:hAnsi="Arial"/>
          <w:sz w:val="7"/>
          <w:szCs w:val="7"/>
          <w:color w:val="auto"/>
        </w:rPr>
      </w:pPr>
    </w:p>
    <w:p>
      <w:pPr>
        <w:ind w:left="180" w:hanging="111"/>
        <w:spacing w:after="0"/>
        <w:tabs>
          <w:tab w:leader="none" w:pos="180" w:val="left"/>
        </w:tabs>
        <w:numPr>
          <w:ilvl w:val="0"/>
          <w:numId w:val="39"/>
        </w:numPr>
        <w:rPr>
          <w:rFonts w:ascii="Arial" w:cs="Arial" w:eastAsia="Arial" w:hAnsi="Arial"/>
          <w:sz w:val="13"/>
          <w:szCs w:val="13"/>
          <w:color w:val="auto"/>
          <w:vertAlign w:val="superscript"/>
        </w:rPr>
      </w:pPr>
      <w:r>
        <w:rPr>
          <w:rFonts w:ascii="Arial" w:cs="Arial" w:eastAsia="Arial" w:hAnsi="Arial"/>
          <w:sz w:val="10"/>
          <w:szCs w:val="10"/>
          <w:color w:val="auto"/>
        </w:rPr>
        <w:t>Mr. Malcarney was promoted to Executive Vice President, General Counsel and Corporate Secretary in January 2022. Mr. Malcarney’s AIP target increased from 60% to 65% in connection with his promotion.</w:t>
      </w:r>
    </w:p>
    <w:p>
      <w:pPr>
        <w:spacing w:after="0" w:line="67" w:lineRule="exact"/>
        <w:rPr>
          <w:rFonts w:ascii="Arial" w:cs="Arial" w:eastAsia="Arial" w:hAnsi="Arial"/>
          <w:sz w:val="13"/>
          <w:szCs w:val="13"/>
          <w:color w:val="auto"/>
          <w:vertAlign w:val="superscript"/>
        </w:rPr>
      </w:pPr>
    </w:p>
    <w:p>
      <w:pPr>
        <w:ind w:left="60" w:firstLine="9"/>
        <w:spacing w:after="0" w:line="310" w:lineRule="auto"/>
        <w:tabs>
          <w:tab w:leader="none" w:pos="174" w:val="left"/>
        </w:tabs>
        <w:numPr>
          <w:ilvl w:val="0"/>
          <w:numId w:val="39"/>
        </w:numPr>
        <w:rPr>
          <w:rFonts w:ascii="Arial" w:cs="Arial" w:eastAsia="Arial" w:hAnsi="Arial"/>
          <w:sz w:val="12"/>
          <w:szCs w:val="12"/>
          <w:color w:val="auto"/>
          <w:vertAlign w:val="superscript"/>
        </w:rPr>
      </w:pPr>
      <w:r>
        <w:rPr>
          <w:rFonts w:ascii="Arial" w:cs="Arial" w:eastAsia="Arial" w:hAnsi="Arial"/>
          <w:sz w:val="9"/>
          <w:szCs w:val="9"/>
          <w:color w:val="auto"/>
        </w:rPr>
        <w:t>Mr. Plotkin was promoted to Executive Vice President and Chief Financial Officer in January 2022. Mr. Plotkin’s AIP target increase from 60% to 70% in connection with his promotion. Mr. Plotkin voluntarily resigned from his employment with the Company in August 2022. Accordingly, no AIP bonus was paid to Mr. Plotkin for 2022.</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63" w:name="page64"/>
    <w:bookmarkEnd w:id="63"/>
    <w:p>
      <w:pPr>
        <w:spacing w:after="0" w:line="161" w:lineRule="exact"/>
        <w:rPr>
          <w:sz w:val="20"/>
          <w:szCs w:val="20"/>
          <w:color w:val="auto"/>
        </w:rPr>
      </w:pPr>
      <w:r>
        <w:rPr>
          <w:rFonts w:ascii="Arial" w:cs="Arial" w:eastAsia="Arial" w:hAnsi="Arial"/>
          <w:sz w:val="14"/>
          <w:szCs w:val="14"/>
          <w:b w:val="1"/>
          <w:bCs w:val="1"/>
          <w:i w:val="1"/>
          <w:iCs w:val="1"/>
          <w:color w:val="auto"/>
        </w:rPr>
        <w:t>Long</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Term Incentive Compensation</w:t>
      </w:r>
    </w:p>
    <w:p>
      <w:pPr>
        <w:spacing w:after="0" w:line="136" w:lineRule="exact"/>
        <w:rPr>
          <w:sz w:val="20"/>
          <w:szCs w:val="20"/>
          <w:color w:val="auto"/>
        </w:rPr>
      </w:pPr>
    </w:p>
    <w:p>
      <w:pPr>
        <w:jc w:val="both"/>
        <w:ind w:right="20" w:firstLine="318"/>
        <w:spacing w:after="0" w:line="277" w:lineRule="auto"/>
        <w:rPr>
          <w:sz w:val="20"/>
          <w:szCs w:val="20"/>
          <w:color w:val="auto"/>
        </w:rPr>
      </w:pPr>
      <w:r>
        <w:rPr>
          <w:rFonts w:ascii="Arial" w:cs="Arial" w:eastAsia="Arial" w:hAnsi="Arial"/>
          <w:sz w:val="13"/>
          <w:szCs w:val="13"/>
          <w:color w:val="auto"/>
        </w:rPr>
        <w:t>We believe that equity awards directly align our NEOs’ interests with those of our stockholders. In 2022, the Compensation Committee granted our NEOs a combination of performance-based equity awards directly linked to long-term stockholder value creation and time-based equity awards which also represent a critical component of our long-term incentive compensation due to the retention aspects of the awards. To enhance our compensation program’s focus on Company performance, the majority of these long-term incentive awards (67%) were performance-based (i.e., granted as RPSUs). The remainder of our long-term incentive awards (33%) were time-based (i.e., granted as RSUs which vest over three years). We believe that our AIP appropriately focuses our NEOs on shorter-term (one-year) financial metrics while our LTIP emphasizes long-term stockholder value creation (i.e., three-year TSR outperformance). For 2022, Mr. Sotos’ target LTIP award was 315% of his base salary and Ms. Rubenstein and Mr. Malcarney’s target LTIP awards were 125% of their respective base salaries, and Mr. Plotkin’s target LTIP award was 150% of his base salary. Mr. Sotos’ target LTIP award increased from 280% in 2021 to 315% in 2022 to recognize his performance and better align his total direct compensation with the market median. Ms. Rubenstein’s target LTIP award increased from 75% in 2021 to 125% in 2022 and Mr. Plotkin’s target LTIP award increased from 125% in 2021 to 150% in 2022. These changes were made in connection with promotional matters and intended to recognize their performance and better align their total direct compensation with the market median. The above mix of long-term incentive compensation applied to all NEOs for 2022. Mr. Plotkin’s outstanding RPSUs and RSUs were forfeited as of the time of his resignation in August 2022.</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Relative Performance Stock Units</w:t>
      </w:r>
    </w:p>
    <w:p>
      <w:pPr>
        <w:spacing w:after="0" w:line="136" w:lineRule="exact"/>
        <w:rPr>
          <w:sz w:val="20"/>
          <w:szCs w:val="20"/>
          <w:color w:val="auto"/>
        </w:rPr>
      </w:pPr>
    </w:p>
    <w:p>
      <w:pPr>
        <w:jc w:val="both"/>
        <w:ind w:right="20" w:firstLine="318"/>
        <w:spacing w:after="0" w:line="331" w:lineRule="auto"/>
        <w:rPr>
          <w:sz w:val="20"/>
          <w:szCs w:val="20"/>
          <w:color w:val="auto"/>
        </w:rPr>
      </w:pPr>
      <w:r>
        <w:rPr>
          <w:rFonts w:ascii="Arial" w:cs="Arial" w:eastAsia="Arial" w:hAnsi="Arial"/>
          <w:sz w:val="12"/>
          <w:szCs w:val="12"/>
          <w:color w:val="auto"/>
        </w:rPr>
        <w:t>Each RPSU represents the potential to receive one share of Class C common stock, as adjusted, based on the Company’s TSR performance ranked against the TSR performance of a comparator group of similar companies (the “Performance Peer Group”) after the completion of a three-year performance period. Relative measures are designed to normalize for externalities, ensuring the program appropriately reflects management’s impact on the Company’s TSR by including peer companies that the Compensation Committee believes are similarly impacted by market conditions.</w:t>
      </w:r>
    </w:p>
    <w:p>
      <w:pPr>
        <w:spacing w:after="0" w:line="66" w:lineRule="exact"/>
        <w:rPr>
          <w:sz w:val="20"/>
          <w:szCs w:val="20"/>
          <w:color w:val="auto"/>
        </w:rPr>
      </w:pPr>
    </w:p>
    <w:p>
      <w:pPr>
        <w:jc w:val="both"/>
        <w:ind w:right="20" w:firstLine="318"/>
        <w:spacing w:after="0" w:line="284" w:lineRule="auto"/>
        <w:rPr>
          <w:sz w:val="20"/>
          <w:szCs w:val="20"/>
          <w:color w:val="auto"/>
        </w:rPr>
      </w:pPr>
      <w:r>
        <w:rPr>
          <w:rFonts w:ascii="Arial" w:cs="Arial" w:eastAsia="Arial" w:hAnsi="Arial"/>
          <w:sz w:val="13"/>
          <w:szCs w:val="13"/>
          <w:color w:val="auto"/>
        </w:rPr>
        <w:t>The payout of shares of Class C common stock at the end of the three-year performance period is based on the Company’s TSR performance percentile rank compared with the TSR performance of the Performance Peer Group. To ensure a rigorous program design, the target-level payout (100% of shares granted) requires the Company to perform at the 50th percentile. To induce management to achieve greater than target-level performance in a down market, in the event that the Company’s TSR performance declines by more than 20% over the performance period, the target-level payout (100% of shares granted) will require achievement of 60th percentile performance. The Compensation Committee believes that this increased performance requirement addresses the concern that a disproportionate award may be paid in the event that our relative performance is high, but absolute performance is low.</w:t>
      </w:r>
    </w:p>
    <w:p>
      <w:pPr>
        <w:spacing w:after="0" w:line="92" w:lineRule="exact"/>
        <w:rPr>
          <w:sz w:val="20"/>
          <w:szCs w:val="20"/>
          <w:color w:val="auto"/>
        </w:rPr>
      </w:pPr>
    </w:p>
    <w:p>
      <w:pPr>
        <w:jc w:val="both"/>
        <w:ind w:right="20" w:firstLine="318"/>
        <w:spacing w:after="0" w:line="265" w:lineRule="auto"/>
        <w:rPr>
          <w:sz w:val="20"/>
          <w:szCs w:val="20"/>
          <w:color w:val="auto"/>
        </w:rPr>
      </w:pPr>
      <w:r>
        <w:rPr>
          <w:rFonts w:ascii="Arial" w:cs="Arial" w:eastAsia="Arial" w:hAnsi="Arial"/>
          <w:sz w:val="13"/>
          <w:szCs w:val="13"/>
          <w:color w:val="auto"/>
        </w:rPr>
        <w:t>In the event relative performance is below the 25th percentile, the award is forfeited. In the event relative performance is between the 25th percentile and the 50th percentile (or the 60th percentile if our TSR performance declines by more than 20% over the performance period), payouts will be based on an interpolated calculation. In the event relative performance reaches the 50th percentile (or the 60th percentile as described above), 100% of the award will be paid. In the event relative performance is between the 50th percentile (or the 60th percentile as described above) and the 75th percentile, payouts will be based on an interpolated calculation. In the event that relative performance is at or above the 75</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percentile, a maximum payout of 150% of the target will be paid with respect to RPSU awards granted in 2022. Based on the Company’s TSR performance ranked against the TSR performance of the Performance Peer Group over the three year performance period ending on December 31, 2022, the RPSUs granted in 2020 will vest on April 15, 2023 at 150% of target.</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table below illustrates the design of our RPSUs in 2022.</w:t>
      </w:r>
    </w:p>
    <w:p>
      <w:pPr>
        <w:spacing w:after="0" w:line="6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300" w:type="dxa"/>
            <w:vAlign w:val="bottom"/>
            <w:tcBorders>
              <w:top w:val="single" w:sz="8" w:color="auto"/>
              <w:left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4"/>
                <w:szCs w:val="14"/>
                <w:b w:val="1"/>
                <w:bCs w:val="1"/>
                <w:color w:val="auto"/>
              </w:rPr>
              <w:t>Performance Targets</w:t>
            </w:r>
          </w:p>
        </w:tc>
        <w:tc>
          <w:tcPr>
            <w:tcW w:w="1820" w:type="dxa"/>
            <w:vAlign w:val="bottom"/>
            <w:tcBorders>
              <w:top w:val="single" w:sz="8" w:color="auto"/>
              <w:bottom w:val="single" w:sz="8" w:color="auto"/>
            </w:tcBorders>
          </w:tcPr>
          <w:p>
            <w:pPr>
              <w:spacing w:after="0"/>
              <w:rPr>
                <w:sz w:val="16"/>
                <w:szCs w:val="16"/>
                <w:color w:val="auto"/>
              </w:rPr>
            </w:pPr>
          </w:p>
        </w:tc>
        <w:tc>
          <w:tcPr>
            <w:tcW w:w="3800" w:type="dxa"/>
            <w:vAlign w:val="bottom"/>
            <w:tcBorders>
              <w:top w:val="single" w:sz="8" w:color="auto"/>
              <w:bottom w:val="single" w:sz="8" w:color="auto"/>
              <w:right w:val="single" w:sz="8" w:color="auto"/>
            </w:tcBorders>
            <w:gridSpan w:val="2"/>
          </w:tcPr>
          <w:p>
            <w:pPr>
              <w:jc w:val="center"/>
              <w:ind w:right="1629"/>
              <w:spacing w:after="0"/>
              <w:rPr>
                <w:sz w:val="20"/>
                <w:szCs w:val="20"/>
                <w:color w:val="auto"/>
              </w:rPr>
            </w:pPr>
            <w:r>
              <w:rPr>
                <w:rFonts w:ascii="Arial" w:cs="Arial" w:eastAsia="Arial" w:hAnsi="Arial"/>
                <w:sz w:val="14"/>
                <w:szCs w:val="14"/>
                <w:b w:val="1"/>
                <w:bCs w:val="1"/>
                <w:color w:val="auto"/>
                <w:w w:val="92"/>
              </w:rPr>
              <w:t>Performance Requirement</w:t>
            </w:r>
          </w:p>
        </w:tc>
        <w:tc>
          <w:tcPr>
            <w:tcW w:w="238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4"/>
                <w:szCs w:val="14"/>
                <w:b w:val="1"/>
                <w:bCs w:val="1"/>
                <w:color w:val="auto"/>
              </w:rPr>
              <w:t>Payout Opportunity</w:t>
            </w:r>
          </w:p>
        </w:tc>
      </w:tr>
      <w:tr>
        <w:trPr>
          <w:trHeight w:val="171"/>
        </w:trPr>
        <w:tc>
          <w:tcPr>
            <w:tcW w:w="33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i w:val="1"/>
                <w:iCs w:val="1"/>
                <w:color w:val="auto"/>
              </w:rPr>
              <w:t>Maximum</w:t>
            </w:r>
          </w:p>
        </w:tc>
        <w:tc>
          <w:tcPr>
            <w:tcW w:w="1820" w:type="dxa"/>
            <w:vAlign w:val="bottom"/>
            <w:tcBorders>
              <w:bottom w:val="single" w:sz="8" w:color="auto"/>
            </w:tcBorders>
            <w:shd w:val="clear" w:color="auto" w:fill="CCEEFF"/>
          </w:tcPr>
          <w:p>
            <w:pPr>
              <w:spacing w:after="0"/>
              <w:rPr>
                <w:sz w:val="14"/>
                <w:szCs w:val="14"/>
                <w:color w:val="auto"/>
              </w:rPr>
            </w:pPr>
          </w:p>
        </w:tc>
        <w:tc>
          <w:tcPr>
            <w:tcW w:w="3800" w:type="dxa"/>
            <w:vAlign w:val="bottom"/>
            <w:tcBorders>
              <w:bottom w:val="single" w:sz="8" w:color="auto"/>
              <w:right w:val="single" w:sz="8" w:color="auto"/>
            </w:tcBorders>
            <w:gridSpan w:val="2"/>
            <w:shd w:val="clear" w:color="auto" w:fill="CCEEFF"/>
          </w:tcPr>
          <w:p>
            <w:pPr>
              <w:jc w:val="center"/>
              <w:ind w:right="1629"/>
              <w:spacing w:after="0"/>
              <w:rPr>
                <w:sz w:val="20"/>
                <w:szCs w:val="20"/>
                <w:color w:val="auto"/>
              </w:rPr>
            </w:pPr>
            <w:r>
              <w:rPr>
                <w:rFonts w:ascii="Arial" w:cs="Arial" w:eastAsia="Arial" w:hAnsi="Arial"/>
                <w:sz w:val="14"/>
                <w:szCs w:val="14"/>
                <w:color w:val="auto"/>
                <w:w w:val="91"/>
              </w:rPr>
              <w:t>75th percentile or above</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150%</w:t>
            </w:r>
          </w:p>
        </w:tc>
      </w:tr>
      <w:tr>
        <w:trPr>
          <w:trHeight w:val="213"/>
        </w:trPr>
        <w:tc>
          <w:tcPr>
            <w:tcW w:w="3300" w:type="dxa"/>
            <w:vAlign w:val="bottom"/>
            <w:tcBorders>
              <w:left w:val="single" w:sz="8" w:color="auto"/>
              <w:right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Modified Target:</w:t>
            </w:r>
          </w:p>
        </w:tc>
        <w:tc>
          <w:tcPr>
            <w:tcW w:w="2380" w:type="dxa"/>
            <w:vAlign w:val="bottom"/>
            <w:tcBorders>
              <w:right w:val="single" w:sz="8" w:color="auto"/>
            </w:tcBorders>
          </w:tcPr>
          <w:p>
            <w:pPr>
              <w:spacing w:after="0"/>
              <w:rPr>
                <w:sz w:val="18"/>
                <w:szCs w:val="18"/>
                <w:color w:val="auto"/>
              </w:rPr>
            </w:pPr>
          </w:p>
        </w:tc>
      </w:tr>
      <w:tr>
        <w:trPr>
          <w:trHeight w:val="180"/>
        </w:trPr>
        <w:tc>
          <w:tcPr>
            <w:tcW w:w="3300" w:type="dxa"/>
            <w:vAlign w:val="bottom"/>
            <w:tcBorders>
              <w:left w:val="single" w:sz="8" w:color="auto"/>
              <w:right w:val="single" w:sz="8" w:color="auto"/>
            </w:tcBorders>
          </w:tcPr>
          <w:p>
            <w:pPr>
              <w:spacing w:after="0"/>
              <w:rPr>
                <w:sz w:val="15"/>
                <w:szCs w:val="15"/>
                <w:color w:val="auto"/>
              </w:rPr>
            </w:pPr>
          </w:p>
        </w:tc>
        <w:tc>
          <w:tcPr>
            <w:tcW w:w="1820" w:type="dxa"/>
            <w:vAlign w:val="bottom"/>
          </w:tcPr>
          <w:p>
            <w:pPr>
              <w:jc w:val="center"/>
              <w:ind w:left="289"/>
              <w:spacing w:after="0"/>
              <w:rPr>
                <w:sz w:val="20"/>
                <w:szCs w:val="20"/>
                <w:color w:val="auto"/>
              </w:rPr>
            </w:pPr>
            <w:r>
              <w:rPr>
                <w:rFonts w:ascii="Arial" w:cs="Arial" w:eastAsia="Arial" w:hAnsi="Arial"/>
                <w:sz w:val="14"/>
                <w:szCs w:val="14"/>
                <w:color w:val="auto"/>
                <w:w w:val="89"/>
              </w:rPr>
              <w:t>Standard Target:</w:t>
            </w:r>
          </w:p>
        </w:tc>
        <w:tc>
          <w:tcPr>
            <w:tcW w:w="400" w:type="dxa"/>
            <w:vAlign w:val="bottom"/>
            <w:tcBorders>
              <w:right w:val="single" w:sz="8" w:color="auto"/>
            </w:tcBorders>
          </w:tcPr>
          <w:p>
            <w:pPr>
              <w:spacing w:after="0"/>
              <w:rPr>
                <w:sz w:val="15"/>
                <w:szCs w:val="15"/>
                <w:color w:val="auto"/>
              </w:rPr>
            </w:pP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60th percentile</w:t>
            </w:r>
          </w:p>
        </w:tc>
        <w:tc>
          <w:tcPr>
            <w:tcW w:w="2380" w:type="dxa"/>
            <w:vAlign w:val="bottom"/>
            <w:tcBorders>
              <w:right w:val="single" w:sz="8" w:color="auto"/>
            </w:tcBorders>
          </w:tcPr>
          <w:p>
            <w:pPr>
              <w:spacing w:after="0"/>
              <w:rPr>
                <w:sz w:val="15"/>
                <w:szCs w:val="15"/>
                <w:color w:val="auto"/>
              </w:rPr>
            </w:pPr>
          </w:p>
        </w:tc>
      </w:tr>
      <w:tr>
        <w:trPr>
          <w:trHeight w:val="234"/>
        </w:trPr>
        <w:tc>
          <w:tcPr>
            <w:tcW w:w="33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Target</w:t>
            </w:r>
          </w:p>
        </w:tc>
        <w:tc>
          <w:tcPr>
            <w:tcW w:w="182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w w:val="91"/>
              </w:rPr>
              <w:t>50th percentile</w:t>
            </w:r>
          </w:p>
        </w:tc>
        <w:tc>
          <w:tcPr>
            <w:tcW w:w="400" w:type="dxa"/>
            <w:vAlign w:val="bottom"/>
            <w:tcBorders>
              <w:bottom w:val="single" w:sz="8" w:color="auto"/>
              <w:right w:val="single" w:sz="8" w:color="auto"/>
            </w:tcBorders>
          </w:tcPr>
          <w:p>
            <w:pPr>
              <w:spacing w:after="0"/>
              <w:rPr>
                <w:sz w:val="20"/>
                <w:szCs w:val="20"/>
                <w:color w:val="auto"/>
              </w:rPr>
            </w:pP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(less than −20% absolute TSR)</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100%</w:t>
            </w:r>
          </w:p>
        </w:tc>
      </w:tr>
      <w:tr>
        <w:trPr>
          <w:trHeight w:val="171"/>
        </w:trPr>
        <w:tc>
          <w:tcPr>
            <w:tcW w:w="33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i w:val="1"/>
                <w:iCs w:val="1"/>
                <w:color w:val="auto"/>
              </w:rPr>
              <w:t>Threshold</w:t>
            </w:r>
          </w:p>
        </w:tc>
        <w:tc>
          <w:tcPr>
            <w:tcW w:w="18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right w:val="single" w:sz="8" w:color="CCEEFF"/>
            </w:tcBorders>
            <w:shd w:val="clear" w:color="auto" w:fill="CCEEFF"/>
          </w:tcPr>
          <w:p>
            <w:pPr>
              <w:spacing w:after="0"/>
              <w:rPr>
                <w:sz w:val="14"/>
                <w:szCs w:val="14"/>
                <w:color w:val="auto"/>
              </w:rPr>
            </w:pPr>
          </w:p>
        </w:tc>
        <w:tc>
          <w:tcPr>
            <w:tcW w:w="3400" w:type="dxa"/>
            <w:vAlign w:val="bottom"/>
            <w:tcBorders>
              <w:bottom w:val="single" w:sz="8" w:color="auto"/>
              <w:right w:val="single" w:sz="8" w:color="auto"/>
            </w:tcBorders>
            <w:shd w:val="clear" w:color="auto" w:fill="CCEEFF"/>
          </w:tcPr>
          <w:p>
            <w:pPr>
              <w:jc w:val="center"/>
              <w:ind w:right="2009"/>
              <w:spacing w:after="0"/>
              <w:rPr>
                <w:sz w:val="20"/>
                <w:szCs w:val="20"/>
                <w:color w:val="auto"/>
              </w:rPr>
            </w:pPr>
            <w:r>
              <w:rPr>
                <w:rFonts w:ascii="Arial" w:cs="Arial" w:eastAsia="Arial" w:hAnsi="Arial"/>
                <w:sz w:val="14"/>
                <w:szCs w:val="14"/>
                <w:color w:val="auto"/>
                <w:w w:val="91"/>
              </w:rPr>
              <w:t>25th percentile</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25%</w:t>
            </w:r>
          </w:p>
        </w:tc>
      </w:tr>
      <w:tr>
        <w:trPr>
          <w:trHeight w:val="171"/>
        </w:trPr>
        <w:tc>
          <w:tcPr>
            <w:tcW w:w="33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Below Threshold</w:t>
            </w:r>
          </w:p>
        </w:tc>
        <w:tc>
          <w:tcPr>
            <w:tcW w:w="1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jc w:val="center"/>
              <w:ind w:right="2009"/>
              <w:spacing w:after="0"/>
              <w:rPr>
                <w:sz w:val="20"/>
                <w:szCs w:val="20"/>
                <w:color w:val="auto"/>
              </w:rPr>
            </w:pPr>
            <w:r>
              <w:rPr>
                <w:rFonts w:ascii="Arial" w:cs="Arial" w:eastAsia="Arial" w:hAnsi="Arial"/>
                <w:sz w:val="14"/>
                <w:szCs w:val="14"/>
                <w:color w:val="auto"/>
                <w:w w:val="92"/>
              </w:rPr>
              <w:t>Below 25th percentile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0%</w:t>
            </w:r>
          </w:p>
        </w:tc>
      </w:tr>
      <w:tr>
        <w:trPr>
          <w:trHeight w:val="797"/>
        </w:trPr>
        <w:tc>
          <w:tcPr>
            <w:tcW w:w="3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0" w:type="dxa"/>
            <w:vAlign w:val="bottom"/>
            <w:gridSpan w:val="2"/>
          </w:tcPr>
          <w:p>
            <w:pPr>
              <w:jc w:val="right"/>
              <w:ind w:right="3129"/>
              <w:spacing w:after="0"/>
              <w:rPr>
                <w:sz w:val="20"/>
                <w:szCs w:val="20"/>
                <w:color w:val="auto"/>
              </w:rPr>
            </w:pPr>
            <w:r>
              <w:rPr>
                <w:rFonts w:ascii="Arial" w:cs="Arial" w:eastAsia="Arial" w:hAnsi="Arial"/>
                <w:sz w:val="14"/>
                <w:szCs w:val="14"/>
                <w:color w:val="auto"/>
              </w:rPr>
              <w:t>64</w:t>
            </w:r>
          </w:p>
        </w:tc>
        <w:tc>
          <w:tcPr>
            <w:tcW w:w="2380" w:type="dxa"/>
            <w:vAlign w:val="bottom"/>
          </w:tcPr>
          <w:p>
            <w:pPr>
              <w:spacing w:after="0"/>
              <w:rPr>
                <w:sz w:val="24"/>
                <w:szCs w:val="24"/>
                <w:color w:val="auto"/>
              </w:rPr>
            </w:pPr>
          </w:p>
        </w:tc>
      </w:tr>
      <w:tr>
        <w:trPr>
          <w:trHeight w:val="87"/>
        </w:trPr>
        <w:tc>
          <w:tcPr>
            <w:tcW w:w="33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734" w:right="299" w:bottom="1440" w:gutter="0" w:footer="0" w:header="0"/>
        </w:sectPr>
      </w:pPr>
    </w:p>
    <w:bookmarkStart w:id="64" w:name="page65"/>
    <w:bookmarkEnd w:id="64"/>
    <w:p>
      <w:pPr>
        <w:spacing w:after="0"/>
        <w:rPr>
          <w:sz w:val="20"/>
          <w:szCs w:val="20"/>
          <w:color w:val="auto"/>
        </w:rPr>
      </w:pPr>
      <w:r>
        <w:rPr>
          <w:rFonts w:ascii="Arial" w:cs="Arial" w:eastAsia="Arial" w:hAnsi="Arial"/>
          <w:sz w:val="14"/>
          <w:szCs w:val="14"/>
          <w:i w:val="1"/>
          <w:iCs w:val="1"/>
          <w:color w:val="auto"/>
        </w:rPr>
        <w:t>Restricted Stock Units</w:t>
      </w:r>
    </w:p>
    <w:p>
      <w:pPr>
        <w:spacing w:after="0" w:line="136" w:lineRule="exact"/>
        <w:rPr>
          <w:sz w:val="20"/>
          <w:szCs w:val="20"/>
          <w:color w:val="auto"/>
        </w:rPr>
      </w:pPr>
    </w:p>
    <w:p>
      <w:pPr>
        <w:jc w:val="both"/>
        <w:ind w:firstLine="318"/>
        <w:spacing w:after="0" w:line="175" w:lineRule="exact"/>
        <w:rPr>
          <w:sz w:val="20"/>
          <w:szCs w:val="20"/>
          <w:color w:val="auto"/>
        </w:rPr>
      </w:pPr>
      <w:r>
        <w:rPr>
          <w:rFonts w:ascii="Arial" w:cs="Arial" w:eastAsia="Arial" w:hAnsi="Arial"/>
          <w:sz w:val="14"/>
          <w:szCs w:val="14"/>
          <w:color w:val="auto"/>
        </w:rPr>
        <w:t>Each RSU represents the right to receive one share of our Class C common stock after the completion of the vesting period. The RSUs granted to the NEOs in 2022 vest ratably, meaning that one</w:t>
      </w:r>
      <w:r>
        <w:rPr>
          <w:rFonts w:ascii="MS PGothic" w:cs="MS PGothic" w:eastAsia="MS PGothic" w:hAnsi="MS PGothic"/>
          <w:sz w:val="14"/>
          <w:szCs w:val="14"/>
          <w:color w:val="auto"/>
        </w:rPr>
        <w:t>‑</w:t>
      </w:r>
      <w:r>
        <w:rPr>
          <w:rFonts w:ascii="Arial" w:cs="Arial" w:eastAsia="Arial" w:hAnsi="Arial"/>
          <w:sz w:val="14"/>
          <w:szCs w:val="14"/>
          <w:color w:val="auto"/>
        </w:rPr>
        <w:t>third of the award vests each year on the anniversary of the grant date, over a three</w:t>
      </w:r>
      <w:r>
        <w:rPr>
          <w:rFonts w:ascii="MS PGothic" w:cs="MS PGothic" w:eastAsia="MS PGothic" w:hAnsi="MS PGothic"/>
          <w:sz w:val="14"/>
          <w:szCs w:val="14"/>
          <w:color w:val="auto"/>
        </w:rPr>
        <w:t>‑</w:t>
      </w:r>
      <w:r>
        <w:rPr>
          <w:rFonts w:ascii="Arial" w:cs="Arial" w:eastAsia="Arial" w:hAnsi="Arial"/>
          <w:sz w:val="14"/>
          <w:szCs w:val="14"/>
          <w:color w:val="auto"/>
        </w:rPr>
        <w:t>year period.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Equivalent Rights (DERs)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In connection with awards of both RPSUs and RSUs, each NEO also receives DERs, which accrue with respect to the award to which they relate. Accrued DERs are only paid out to the extent that the shares of Class C common stock underlying each award become vested and deliverable to the NEO. Accrued DERs are paid at the same time such shares are delivered to the NEO. Accordingly, DERs are forfeited if the underlying shares are forfeited.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Clawbacks</w:t>
      </w:r>
    </w:p>
    <w:p>
      <w:pPr>
        <w:spacing w:after="0" w:line="136" w:lineRule="exact"/>
        <w:rPr>
          <w:sz w:val="20"/>
          <w:szCs w:val="20"/>
          <w:color w:val="auto"/>
        </w:rPr>
      </w:pPr>
    </w:p>
    <w:p>
      <w:pPr>
        <w:jc w:val="both"/>
        <w:ind w:firstLine="318"/>
        <w:spacing w:after="0" w:line="172" w:lineRule="exact"/>
        <w:rPr>
          <w:sz w:val="20"/>
          <w:szCs w:val="20"/>
          <w:color w:val="auto"/>
        </w:rPr>
      </w:pPr>
      <w:r>
        <w:rPr>
          <w:rFonts w:ascii="Arial" w:cs="Arial" w:eastAsia="Arial" w:hAnsi="Arial"/>
          <w:sz w:val="14"/>
          <w:szCs w:val="14"/>
          <w:color w:val="auto"/>
        </w:rPr>
        <w:t>The Company has a “clawback” policy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the policy. The policy is incremental to other remedies that are available to the Company. In addition to our “clawback” policy, if the Company is required to restate its earnings as a result of noncompliance with a financial reporting requirement due to misconduct, under the Sarbanes</w:t>
      </w:r>
      <w:r>
        <w:rPr>
          <w:rFonts w:ascii="MS PGothic" w:cs="MS PGothic" w:eastAsia="MS PGothic" w:hAnsi="MS PGothic"/>
          <w:sz w:val="14"/>
          <w:szCs w:val="14"/>
          <w:color w:val="auto"/>
        </w:rPr>
        <w:t>‑</w:t>
      </w:r>
      <w:r>
        <w:rPr>
          <w:rFonts w:ascii="Arial" w:cs="Arial" w:eastAsia="Arial" w:hAnsi="Arial"/>
          <w:sz w:val="14"/>
          <w:szCs w:val="14"/>
          <w:color w:val="auto"/>
        </w:rPr>
        <w:t>Oxley Act of 2002 (“SOX”), the CEO and the CFO would also be subject to a “clawback,” as required by SOX.</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Benefits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All of our NEOs are eligible to participate in the same retirement, life insurance, health and welfare plans as other employees. To generally support more complicated financial planning and estate planning matters, NEOs are eligible for reimbursement of annual tax return preparation, tax advice, financial planning and estate planning expenses. Mr. Sotos is eligible for a maximum reimbursement of $12,000 per year and the remaining NEOs are eligible for a maximum reimbursement of $3,000 per year.</w:t>
      </w:r>
    </w:p>
    <w:p>
      <w:pPr>
        <w:spacing w:after="0" w:line="99" w:lineRule="exact"/>
        <w:rPr>
          <w:sz w:val="20"/>
          <w:szCs w:val="20"/>
          <w:color w:val="auto"/>
        </w:rPr>
      </w:pPr>
    </w:p>
    <w:p>
      <w:pPr>
        <w:spacing w:after="0" w:line="161" w:lineRule="exact"/>
        <w:rPr>
          <w:sz w:val="20"/>
          <w:szCs w:val="20"/>
          <w:color w:val="auto"/>
        </w:rPr>
      </w:pPr>
      <w:r>
        <w:rPr>
          <w:rFonts w:ascii="Arial" w:cs="Arial" w:eastAsia="Arial" w:hAnsi="Arial"/>
          <w:sz w:val="14"/>
          <w:szCs w:val="14"/>
          <w:b w:val="1"/>
          <w:bCs w:val="1"/>
          <w:i w:val="1"/>
          <w:iCs w:val="1"/>
          <w:color w:val="auto"/>
        </w:rPr>
        <w:t>Potential Severance and Change</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In</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Control Benefits</w:t>
      </w:r>
    </w:p>
    <w:p>
      <w:pPr>
        <w:spacing w:after="0" w:line="13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Each NEO’s RPSU and RSU award agreements under the LTIP provide for certain treatment in the event of such NEO’s termination of employment under certain circumstances, including in connection with a change-in-control. Additionally, Mr. Sotos, pursuant to his amended and restated employment agreement (as described below), and the remaining NEOs, pursuant to the Company’s Executive Change-in-Control and General Severance Plan (the “CIC Plan”) as well as pursuant to the Compensation Committee’s discretion under the AIP, are entitled to additional severance payments and benefits in the event of termination of employment under certain circumstances, including following a change-in-control.</w:t>
      </w:r>
    </w:p>
    <w:p>
      <w:pPr>
        <w:spacing w:after="0" w:line="8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Change-in-control arrangements are considered a market practice among many publicly held companies. Most often, these arrangements are utilized to encourage executives to remain with the company during periods of extreme job uncertainty and to ensure that any potential transaction is thoroughly and objectively evaluated. In order to enable a smooth transition during an interim period, change-in-control arrangements provide a defined level of security for the executive and the company, enabling a more seamless implementation of a particular merger, acquisition or asset sale or purchase, and subsequent integration. In addition, such agreements include restrictive covenants, such as non-compete, non-solicitation and confidentiality provisions that protect the interests of the Company.</w:t>
      </w:r>
    </w:p>
    <w:p>
      <w:pPr>
        <w:spacing w:after="0" w:line="104"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For a more detailed discussion, including the quantification of potential payments, please see the section entitled “Severance and Change-in-Control” following the executive compensation tables below.</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i w:val="1"/>
          <w:iCs w:val="1"/>
          <w:color w:val="auto"/>
        </w:rPr>
        <w:t>Other Matters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Ownership Guidelines</w:t>
      </w:r>
    </w:p>
    <w:p>
      <w:pPr>
        <w:spacing w:after="0" w:line="136" w:lineRule="exact"/>
        <w:rPr>
          <w:sz w:val="20"/>
          <w:szCs w:val="20"/>
          <w:color w:val="auto"/>
        </w:rPr>
      </w:pPr>
    </w:p>
    <w:p>
      <w:pPr>
        <w:jc w:val="both"/>
        <w:ind w:firstLine="318"/>
        <w:spacing w:after="0" w:line="279" w:lineRule="auto"/>
        <w:rPr>
          <w:sz w:val="20"/>
          <w:szCs w:val="20"/>
          <w:color w:val="auto"/>
        </w:rPr>
      </w:pPr>
      <w:r>
        <w:rPr>
          <w:rFonts w:ascii="Arial" w:cs="Arial" w:eastAsia="Arial" w:hAnsi="Arial"/>
          <w:sz w:val="13"/>
          <w:szCs w:val="13"/>
          <w:color w:val="auto"/>
        </w:rPr>
        <w:t>The Compensation Committee and the Board require the CEO to hold Company stock with a value equal to 5.0 times his base salary until his separation from the Company. Executive Vice Presidents are required to hold Company stock with a value equal to 3.0 times their base salary until their separation from the Company. Senior Vice Presidents are required to hold Company stock with a value equal to 2.0 times their base salary until their separation from the Company. Personal holdings and vested awards count towards the ownership multiple. Beginning in 2022, unvested RSUs also count towards the ownership multiple. This change in determining attainment of the ownership multiple was implemented after reviewing the compensation practices of Compensation Peer Group Companies.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January 31, 2023 is shown below. All of our NEOs met or exceeded their stock ownership guidelines as of January 31, 2023, or in the case of Mr. Plotkin, as of the date of his separation from the Company.</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80" w:type="dxa"/>
            <w:vAlign w:val="bottom"/>
          </w:tcPr>
          <w:p>
            <w:pPr>
              <w:jc w:val="center"/>
              <w:ind w:left="663"/>
              <w:spacing w:after="0"/>
              <w:rPr>
                <w:sz w:val="20"/>
                <w:szCs w:val="20"/>
                <w:color w:val="auto"/>
              </w:rPr>
            </w:pPr>
            <w:r>
              <w:rPr>
                <w:rFonts w:ascii="Arial" w:cs="Arial" w:eastAsia="Arial" w:hAnsi="Arial"/>
                <w:sz w:val="11"/>
                <w:szCs w:val="11"/>
                <w:b w:val="1"/>
                <w:bCs w:val="1"/>
                <w:color w:val="auto"/>
                <w:w w:val="94"/>
              </w:rPr>
              <w:t>Target Ownership</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tcPr>
          <w:p>
            <w:pPr>
              <w:jc w:val="right"/>
              <w:ind w:right="674"/>
              <w:spacing w:after="0"/>
              <w:rPr>
                <w:sz w:val="20"/>
                <w:szCs w:val="20"/>
                <w:color w:val="auto"/>
              </w:rPr>
            </w:pPr>
            <w:r>
              <w:rPr>
                <w:rFonts w:ascii="Arial" w:cs="Arial" w:eastAsia="Arial" w:hAnsi="Arial"/>
                <w:sz w:val="11"/>
                <w:szCs w:val="11"/>
                <w:b w:val="1"/>
                <w:bCs w:val="1"/>
                <w:color w:val="auto"/>
              </w:rPr>
              <w:t>Actual Ownership</w:t>
            </w:r>
          </w:p>
        </w:tc>
      </w:tr>
      <w:tr>
        <w:trPr>
          <w:trHeight w:val="167"/>
        </w:trPr>
        <w:tc>
          <w:tcPr>
            <w:tcW w:w="5640" w:type="dxa"/>
            <w:vAlign w:val="bottom"/>
            <w:gridSpan w:val="2"/>
          </w:tcPr>
          <w:p>
            <w:pPr>
              <w:ind w:left="20"/>
              <w:spacing w:after="0"/>
              <w:rPr>
                <w:sz w:val="20"/>
                <w:szCs w:val="20"/>
                <w:color w:val="auto"/>
              </w:rPr>
            </w:pPr>
            <w:r>
              <w:rPr>
                <w:rFonts w:ascii="Arial" w:cs="Arial" w:eastAsia="Arial" w:hAnsi="Arial"/>
                <w:sz w:val="11"/>
                <w:szCs w:val="11"/>
                <w:b w:val="1"/>
                <w:bCs w:val="1"/>
                <w:color w:val="auto"/>
              </w:rPr>
              <w:t>Named Executive Officer</w:t>
            </w:r>
          </w:p>
        </w:tc>
        <w:tc>
          <w:tcPr>
            <w:tcW w:w="2480" w:type="dxa"/>
            <w:vAlign w:val="bottom"/>
          </w:tcPr>
          <w:p>
            <w:pPr>
              <w:jc w:val="center"/>
              <w:ind w:left="663"/>
              <w:spacing w:after="0"/>
              <w:rPr>
                <w:sz w:val="20"/>
                <w:szCs w:val="20"/>
                <w:color w:val="auto"/>
              </w:rPr>
            </w:pPr>
            <w:r>
              <w:rPr>
                <w:rFonts w:ascii="Arial" w:cs="Arial" w:eastAsia="Arial" w:hAnsi="Arial"/>
                <w:sz w:val="11"/>
                <w:szCs w:val="11"/>
                <w:b w:val="1"/>
                <w:bCs w:val="1"/>
                <w:color w:val="auto"/>
                <w:w w:val="96"/>
              </w:rPr>
              <w:t>Multiple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jc w:val="right"/>
              <w:ind w:right="894"/>
              <w:spacing w:after="0"/>
              <w:rPr>
                <w:sz w:val="20"/>
                <w:szCs w:val="20"/>
                <w:color w:val="auto"/>
              </w:rPr>
            </w:pPr>
            <w:r>
              <w:rPr>
                <w:rFonts w:ascii="Arial" w:cs="Arial" w:eastAsia="Arial" w:hAnsi="Arial"/>
                <w:sz w:val="11"/>
                <w:szCs w:val="11"/>
                <w:b w:val="1"/>
                <w:bCs w:val="1"/>
                <w:color w:val="auto"/>
              </w:rPr>
              <w:t>Multiple</w:t>
            </w:r>
          </w:p>
        </w:tc>
      </w:tr>
      <w:tr>
        <w:trPr>
          <w:trHeight w:val="180"/>
        </w:trPr>
        <w:tc>
          <w:tcPr>
            <w:tcW w:w="5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Christopher S. Sotos</w:t>
            </w:r>
          </w:p>
        </w:tc>
        <w:tc>
          <w:tcPr>
            <w:tcW w:w="80" w:type="dxa"/>
            <w:vAlign w:val="bottom"/>
            <w:tcBorders>
              <w:top w:val="single" w:sz="8" w:color="CCEEFF"/>
            </w:tcBorders>
            <w:shd w:val="clear" w:color="auto" w:fill="CCEEFF"/>
          </w:tcPr>
          <w:p>
            <w:pPr>
              <w:spacing w:after="0"/>
              <w:rPr>
                <w:sz w:val="15"/>
                <w:szCs w:val="15"/>
                <w:color w:val="auto"/>
              </w:rPr>
            </w:pPr>
          </w:p>
        </w:tc>
        <w:tc>
          <w:tcPr>
            <w:tcW w:w="24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w w:val="90"/>
              </w:rPr>
              <w:t>5.0x</w:t>
            </w:r>
          </w:p>
        </w:tc>
        <w:tc>
          <w:tcPr>
            <w:tcW w:w="8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23.6x</w:t>
            </w:r>
          </w:p>
        </w:tc>
      </w:tr>
      <w:tr>
        <w:trPr>
          <w:trHeight w:val="180"/>
        </w:trPr>
        <w:tc>
          <w:tcPr>
            <w:tcW w:w="564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Sarah Rubenstein</w:t>
            </w:r>
            <w:r>
              <w:rPr>
                <w:rFonts w:ascii="Arial" w:cs="Arial" w:eastAsia="Arial" w:hAnsi="Arial"/>
                <w:sz w:val="18"/>
                <w:szCs w:val="18"/>
                <w:color w:val="auto"/>
                <w:vertAlign w:val="superscript"/>
              </w:rPr>
              <w:t>(1)</w:t>
            </w:r>
          </w:p>
        </w:tc>
        <w:tc>
          <w:tcPr>
            <w:tcW w:w="2480" w:type="dxa"/>
            <w:vAlign w:val="bottom"/>
          </w:tcPr>
          <w:p>
            <w:pPr>
              <w:spacing w:after="0"/>
              <w:rPr>
                <w:sz w:val="15"/>
                <w:szCs w:val="15"/>
                <w:color w:val="auto"/>
              </w:rPr>
            </w:pPr>
          </w:p>
        </w:tc>
        <w:tc>
          <w:tcPr>
            <w:tcW w:w="800" w:type="dxa"/>
            <w:vAlign w:val="bottom"/>
            <w:gridSpan w:val="2"/>
          </w:tcPr>
          <w:p>
            <w:pPr>
              <w:ind w:left="460"/>
              <w:spacing w:after="0"/>
              <w:rPr>
                <w:sz w:val="20"/>
                <w:szCs w:val="20"/>
                <w:color w:val="auto"/>
              </w:rPr>
            </w:pPr>
            <w:r>
              <w:rPr>
                <w:rFonts w:ascii="Arial" w:cs="Arial" w:eastAsia="Arial" w:hAnsi="Arial"/>
                <w:sz w:val="14"/>
                <w:szCs w:val="14"/>
                <w:color w:val="auto"/>
              </w:rPr>
              <w:t>2.0x</w:t>
            </w:r>
          </w:p>
        </w:tc>
        <w:tc>
          <w:tcPr>
            <w:tcW w:w="2360" w:type="dxa"/>
            <w:vAlign w:val="bottom"/>
          </w:tcPr>
          <w:p>
            <w:pPr>
              <w:jc w:val="right"/>
              <w:spacing w:after="0"/>
              <w:rPr>
                <w:sz w:val="20"/>
                <w:szCs w:val="20"/>
                <w:color w:val="auto"/>
              </w:rPr>
            </w:pPr>
            <w:r>
              <w:rPr>
                <w:rFonts w:ascii="Arial" w:cs="Arial" w:eastAsia="Arial" w:hAnsi="Arial"/>
                <w:sz w:val="14"/>
                <w:szCs w:val="14"/>
                <w:color w:val="auto"/>
              </w:rPr>
              <w:t>3.3x</w:t>
            </w:r>
          </w:p>
        </w:tc>
      </w:tr>
      <w:tr>
        <w:trPr>
          <w:trHeight w:val="18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Kevin P. Malcarney</w:t>
            </w:r>
          </w:p>
        </w:tc>
        <w:tc>
          <w:tcPr>
            <w:tcW w:w="24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3.0x</w:t>
            </w:r>
          </w:p>
        </w:tc>
        <w:tc>
          <w:tcPr>
            <w:tcW w:w="2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7.4x</w:t>
            </w:r>
          </w:p>
        </w:tc>
      </w:tr>
      <w:tr>
        <w:trPr>
          <w:trHeight w:val="239"/>
        </w:trPr>
        <w:tc>
          <w:tcPr>
            <w:tcW w:w="5640" w:type="dxa"/>
            <w:vAlign w:val="bottom"/>
            <w:gridSpan w:val="2"/>
          </w:tcPr>
          <w:p>
            <w:pPr>
              <w:ind w:left="20"/>
              <w:spacing w:after="0"/>
              <w:rPr>
                <w:sz w:val="20"/>
                <w:szCs w:val="20"/>
                <w:color w:val="auto"/>
              </w:rPr>
            </w:pPr>
            <w:r>
              <w:rPr>
                <w:rFonts w:ascii="Arial" w:cs="Arial" w:eastAsia="Arial" w:hAnsi="Arial"/>
                <w:sz w:val="14"/>
                <w:szCs w:val="14"/>
                <w:color w:val="auto"/>
              </w:rPr>
              <w:t>Chad Plotkin</w:t>
            </w:r>
          </w:p>
        </w:tc>
        <w:tc>
          <w:tcPr>
            <w:tcW w:w="248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Arial" w:cs="Arial" w:eastAsia="Arial" w:hAnsi="Arial"/>
                <w:sz w:val="14"/>
                <w:szCs w:val="14"/>
                <w:color w:val="auto"/>
              </w:rPr>
              <w:t>3.0x</w:t>
            </w:r>
          </w:p>
        </w:tc>
        <w:tc>
          <w:tcPr>
            <w:tcW w:w="2360" w:type="dxa"/>
            <w:vAlign w:val="bottom"/>
          </w:tcPr>
          <w:p>
            <w:pPr>
              <w:jc w:val="right"/>
              <w:spacing w:after="0"/>
              <w:rPr>
                <w:sz w:val="20"/>
                <w:szCs w:val="20"/>
                <w:color w:val="auto"/>
              </w:rPr>
            </w:pPr>
            <w:r>
              <w:rPr>
                <w:rFonts w:ascii="Arial" w:cs="Arial" w:eastAsia="Arial" w:hAnsi="Arial"/>
                <w:sz w:val="14"/>
                <w:szCs w:val="14"/>
                <w:color w:val="auto"/>
              </w:rPr>
              <w:t>9.3x</w:t>
            </w:r>
            <w:r>
              <w:rPr>
                <w:rFonts w:ascii="Arial" w:cs="Arial" w:eastAsia="Arial" w:hAnsi="Arial"/>
                <w:sz w:val="18"/>
                <w:szCs w:val="18"/>
                <w:color w:val="auto"/>
                <w:vertAlign w:val="superscript"/>
              </w:rPr>
              <w:t>(2)</w:t>
            </w:r>
          </w:p>
        </w:tc>
      </w:tr>
    </w:tbl>
    <w:p>
      <w:pPr>
        <w:spacing w:after="0" w:line="38" w:lineRule="exact"/>
        <w:rPr>
          <w:sz w:val="20"/>
          <w:szCs w:val="20"/>
          <w:color w:val="auto"/>
        </w:rPr>
      </w:pPr>
    </w:p>
    <w:p>
      <w:pPr>
        <w:ind w:left="180" w:hanging="111"/>
        <w:spacing w:after="0"/>
        <w:tabs>
          <w:tab w:leader="none" w:pos="180" w:val="left"/>
        </w:tabs>
        <w:numPr>
          <w:ilvl w:val="0"/>
          <w:numId w:val="40"/>
        </w:numPr>
        <w:rPr>
          <w:rFonts w:ascii="Arial" w:cs="Arial" w:eastAsia="Arial" w:hAnsi="Arial"/>
          <w:sz w:val="13"/>
          <w:szCs w:val="13"/>
          <w:color w:val="auto"/>
          <w:vertAlign w:val="superscript"/>
        </w:rPr>
      </w:pPr>
      <w:r>
        <w:rPr>
          <w:rFonts w:ascii="Arial" w:cs="Arial" w:eastAsia="Arial" w:hAnsi="Arial"/>
          <w:sz w:val="10"/>
          <w:szCs w:val="10"/>
          <w:color w:val="auto"/>
        </w:rPr>
        <w:t>Ms. Rubenstein was promoted to Senior Vice President and Chief Accounting Officer in January 2022 and appointed as the principal financial officer for the Company in August 2022.</w:t>
      </w:r>
    </w:p>
    <w:p>
      <w:pPr>
        <w:spacing w:after="0" w:line="34" w:lineRule="exact"/>
        <w:rPr>
          <w:rFonts w:ascii="Arial" w:cs="Arial" w:eastAsia="Arial" w:hAnsi="Arial"/>
          <w:sz w:val="13"/>
          <w:szCs w:val="13"/>
          <w:color w:val="auto"/>
          <w:vertAlign w:val="superscript"/>
        </w:rPr>
      </w:pPr>
    </w:p>
    <w:p>
      <w:pPr>
        <w:ind w:left="180" w:hanging="111"/>
        <w:spacing w:after="0"/>
        <w:tabs>
          <w:tab w:leader="none" w:pos="180" w:val="left"/>
        </w:tabs>
        <w:numPr>
          <w:ilvl w:val="0"/>
          <w:numId w:val="40"/>
        </w:numPr>
        <w:rPr>
          <w:rFonts w:ascii="Arial" w:cs="Arial" w:eastAsia="Arial" w:hAnsi="Arial"/>
          <w:sz w:val="7"/>
          <w:szCs w:val="7"/>
          <w:color w:val="auto"/>
        </w:rPr>
      </w:pPr>
      <w:r>
        <w:rPr>
          <w:rFonts w:ascii="Arial" w:cs="Arial" w:eastAsia="Arial" w:hAnsi="Arial"/>
          <w:sz w:val="11"/>
          <w:szCs w:val="11"/>
          <w:color w:val="auto"/>
        </w:rPr>
        <w:t>Reported for Mr. Plotkin as of the date of his voluntary resignation from his employment with the Company in August 2022.</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 and Accounting Considerations</w:t>
      </w:r>
    </w:p>
    <w:p>
      <w:pPr>
        <w:spacing w:after="0" w:line="136"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color w:val="auto"/>
        </w:rPr>
        <w:t>Section 162(m) of the Internal Revenue Code (the “Code”) precludes Clearway, Inc., as a public company, from taking a tax deduction for individual compensation to certain of our executive officers in excess of $1 million, subject to certain exemptions. Prior to 2018, the exemptions included an exclusion of performance-based compensation within the meaning of Section 162(m) of the Code (“Section 162(m)”). The Tax Cuts and Jobs Act, enacted in December 2017, however, amended Section 162(m) and eliminated the exclusion of performance-based compensation from the $1 million limit, subject to certain exemptions. The Compensation Committee believes tax deductibility of compensation is an important consideration and continues to consider the implications of legislative changes to Section 162(m).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spacing w:after="0" w:line="92" w:lineRule="exact"/>
        <w:rPr>
          <w:sz w:val="20"/>
          <w:szCs w:val="20"/>
          <w:color w:val="auto"/>
        </w:rPr>
      </w:pPr>
    </w:p>
    <w:p>
      <w:pPr>
        <w:jc w:val="both"/>
        <w:ind w:firstLine="318"/>
        <w:spacing w:after="0" w:line="174" w:lineRule="exact"/>
        <w:rPr>
          <w:sz w:val="20"/>
          <w:szCs w:val="20"/>
          <w:color w:val="auto"/>
        </w:rPr>
      </w:pPr>
      <w:r>
        <w:rPr>
          <w:rFonts w:ascii="Arial" w:cs="Arial" w:eastAsia="Arial" w:hAnsi="Arial"/>
          <w:sz w:val="14"/>
          <w:szCs w:val="14"/>
          <w:color w:val="auto"/>
        </w:rPr>
        <w:t>The Compensation Committee also takes into account tax consequences to NEOs in designing the various elements of our compensation program, such as designing the terms of awards to defer immediate income recognition under Section 409A of the Code. The Compensation Committee remains informed of, and takes into account, the accounting implications of its compensation programs. However, the Compensation Committee approves programs based on their total alignment with our strategy and long</w:t>
      </w:r>
      <w:r>
        <w:rPr>
          <w:rFonts w:ascii="MS PGothic" w:cs="MS PGothic" w:eastAsia="MS PGothic" w:hAnsi="MS PGothic"/>
          <w:sz w:val="14"/>
          <w:szCs w:val="14"/>
          <w:color w:val="auto"/>
        </w:rPr>
        <w:t>‑</w:t>
      </w:r>
      <w:r>
        <w:rPr>
          <w:rFonts w:ascii="Arial" w:cs="Arial" w:eastAsia="Arial" w:hAnsi="Arial"/>
          <w:sz w:val="14"/>
          <w:szCs w:val="14"/>
          <w:color w:val="auto"/>
        </w:rPr>
        <w:t>term goals.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i w:val="1"/>
          <w:iCs w:val="1"/>
          <w:color w:val="auto"/>
        </w:rPr>
        <w:t>Compensation Tables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Compensation Table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 Ended December 31, 2022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Change in</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27"/>
        </w:trPr>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Pension</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27"/>
        </w:trPr>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Value and</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27"/>
        </w:trPr>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Nonqualified</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27"/>
        </w:trPr>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00"/>
              <w:spacing w:after="0" w:line="127" w:lineRule="exact"/>
              <w:rPr>
                <w:sz w:val="20"/>
                <w:szCs w:val="20"/>
                <w:color w:val="auto"/>
              </w:rPr>
            </w:pPr>
            <w:r>
              <w:rPr>
                <w:rFonts w:ascii="Arial" w:cs="Arial" w:eastAsia="Arial" w:hAnsi="Arial"/>
                <w:sz w:val="11"/>
                <w:szCs w:val="11"/>
                <w:b w:val="1"/>
                <w:bCs w:val="1"/>
                <w:color w:val="auto"/>
                <w:w w:val="95"/>
              </w:rPr>
              <w:t>Non</w:t>
            </w:r>
            <w:r>
              <w:rPr>
                <w:rFonts w:ascii="MS PGothic" w:cs="MS PGothic" w:eastAsia="MS PGothic" w:hAnsi="MS PGothic"/>
                <w:sz w:val="11"/>
                <w:szCs w:val="11"/>
                <w:b w:val="1"/>
                <w:bCs w:val="1"/>
                <w:color w:val="auto"/>
                <w:w w:val="95"/>
              </w:rPr>
              <w:t>‑</w:t>
            </w:r>
            <w:r>
              <w:rPr>
                <w:rFonts w:ascii="Arial" w:cs="Arial" w:eastAsia="Arial" w:hAnsi="Arial"/>
                <w:sz w:val="11"/>
                <w:szCs w:val="11"/>
                <w:b w:val="1"/>
                <w:bCs w:val="1"/>
                <w:color w:val="auto"/>
                <w:w w:val="95"/>
              </w:rPr>
              <w:t>Equity</w:t>
            </w: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Deferred</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27"/>
        </w:trPr>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Stock</w:t>
            </w:r>
          </w:p>
        </w:tc>
        <w:tc>
          <w:tcPr>
            <w:tcW w:w="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Option</w:t>
            </w: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Incentive Plan</w:t>
            </w:r>
          </w:p>
        </w:tc>
        <w:tc>
          <w:tcPr>
            <w:tcW w:w="13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Compensation</w:t>
            </w:r>
          </w:p>
        </w:tc>
        <w:tc>
          <w:tcPr>
            <w:tcW w:w="12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All Other</w:t>
            </w:r>
          </w:p>
        </w:tc>
        <w:tc>
          <w:tcPr>
            <w:tcW w:w="1000" w:type="dxa"/>
            <w:vAlign w:val="bottom"/>
          </w:tcPr>
          <w:p>
            <w:pPr>
              <w:spacing w:after="0"/>
              <w:rPr>
                <w:sz w:val="11"/>
                <w:szCs w:val="11"/>
                <w:color w:val="auto"/>
              </w:rPr>
            </w:pPr>
          </w:p>
        </w:tc>
      </w:tr>
      <w:tr>
        <w:trPr>
          <w:trHeight w:val="124"/>
        </w:trPr>
        <w:tc>
          <w:tcPr>
            <w:tcW w:w="1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ind w:left="240"/>
              <w:spacing w:after="0" w:line="124" w:lineRule="exact"/>
              <w:rPr>
                <w:sz w:val="20"/>
                <w:szCs w:val="20"/>
                <w:color w:val="auto"/>
              </w:rPr>
            </w:pPr>
            <w:r>
              <w:rPr>
                <w:rFonts w:ascii="Arial" w:cs="Arial" w:eastAsia="Arial" w:hAnsi="Arial"/>
                <w:sz w:val="11"/>
                <w:szCs w:val="11"/>
                <w:b w:val="1"/>
                <w:bCs w:val="1"/>
                <w:color w:val="auto"/>
              </w:rPr>
              <w:t>Salary</w:t>
            </w:r>
          </w:p>
        </w:tc>
        <w:tc>
          <w:tcPr>
            <w:tcW w:w="860" w:type="dxa"/>
            <w:vAlign w:val="bottom"/>
            <w:gridSpan w:val="2"/>
          </w:tcPr>
          <w:p>
            <w:pPr>
              <w:ind w:left="220"/>
              <w:spacing w:after="0" w:line="124" w:lineRule="exact"/>
              <w:rPr>
                <w:sz w:val="20"/>
                <w:szCs w:val="20"/>
                <w:color w:val="auto"/>
              </w:rPr>
            </w:pPr>
            <w:r>
              <w:rPr>
                <w:rFonts w:ascii="Arial" w:cs="Arial" w:eastAsia="Arial" w:hAnsi="Arial"/>
                <w:sz w:val="11"/>
                <w:szCs w:val="11"/>
                <w:b w:val="1"/>
                <w:bCs w:val="1"/>
                <w:color w:val="auto"/>
              </w:rPr>
              <w:t>Bonus</w:t>
            </w:r>
          </w:p>
        </w:tc>
        <w:tc>
          <w:tcPr>
            <w:tcW w:w="1020" w:type="dxa"/>
            <w:vAlign w:val="bottom"/>
            <w:gridSpan w:val="2"/>
          </w:tcPr>
          <w:p>
            <w:pPr>
              <w:jc w:val="center"/>
              <w:ind w:right="100"/>
              <w:spacing w:after="0" w:line="124" w:lineRule="exact"/>
              <w:rPr>
                <w:sz w:val="20"/>
                <w:szCs w:val="20"/>
                <w:color w:val="auto"/>
              </w:rPr>
            </w:pPr>
            <w:r>
              <w:rPr>
                <w:rFonts w:ascii="Arial" w:cs="Arial" w:eastAsia="Arial" w:hAnsi="Arial"/>
                <w:sz w:val="11"/>
                <w:szCs w:val="11"/>
                <w:b w:val="1"/>
                <w:bCs w:val="1"/>
                <w:color w:val="auto"/>
                <w:w w:val="90"/>
              </w:rPr>
              <w:t>Awards</w:t>
            </w:r>
          </w:p>
        </w:tc>
        <w:tc>
          <w:tcPr>
            <w:tcW w:w="840" w:type="dxa"/>
            <w:vAlign w:val="bottom"/>
            <w:gridSpan w:val="2"/>
          </w:tcPr>
          <w:p>
            <w:pPr>
              <w:jc w:val="center"/>
              <w:ind w:right="120"/>
              <w:spacing w:after="0" w:line="124" w:lineRule="exact"/>
              <w:rPr>
                <w:sz w:val="20"/>
                <w:szCs w:val="20"/>
                <w:color w:val="auto"/>
              </w:rPr>
            </w:pPr>
            <w:r>
              <w:rPr>
                <w:rFonts w:ascii="Arial" w:cs="Arial" w:eastAsia="Arial" w:hAnsi="Arial"/>
                <w:sz w:val="11"/>
                <w:szCs w:val="11"/>
                <w:b w:val="1"/>
                <w:bCs w:val="1"/>
                <w:color w:val="auto"/>
                <w:w w:val="90"/>
              </w:rPr>
              <w:t>Awards</w:t>
            </w:r>
          </w:p>
        </w:tc>
        <w:tc>
          <w:tcPr>
            <w:tcW w:w="1300" w:type="dxa"/>
            <w:vAlign w:val="bottom"/>
            <w:gridSpan w:val="2"/>
          </w:tcPr>
          <w:p>
            <w:pPr>
              <w:jc w:val="center"/>
              <w:ind w:right="80"/>
              <w:spacing w:after="0" w:line="124" w:lineRule="exact"/>
              <w:rPr>
                <w:sz w:val="20"/>
                <w:szCs w:val="20"/>
                <w:color w:val="auto"/>
              </w:rPr>
            </w:pPr>
            <w:r>
              <w:rPr>
                <w:rFonts w:ascii="Arial" w:cs="Arial" w:eastAsia="Arial" w:hAnsi="Arial"/>
                <w:sz w:val="11"/>
                <w:szCs w:val="11"/>
                <w:b w:val="1"/>
                <w:bCs w:val="1"/>
                <w:color w:val="auto"/>
                <w:w w:val="91"/>
              </w:rPr>
              <w:t>Compensation</w:t>
            </w:r>
          </w:p>
        </w:tc>
        <w:tc>
          <w:tcPr>
            <w:tcW w:w="1300" w:type="dxa"/>
            <w:vAlign w:val="bottom"/>
            <w:gridSpan w:val="2"/>
          </w:tcPr>
          <w:p>
            <w:pPr>
              <w:jc w:val="center"/>
              <w:ind w:right="100"/>
              <w:spacing w:after="0" w:line="124" w:lineRule="exact"/>
              <w:rPr>
                <w:sz w:val="20"/>
                <w:szCs w:val="20"/>
                <w:color w:val="auto"/>
              </w:rPr>
            </w:pPr>
            <w:r>
              <w:rPr>
                <w:rFonts w:ascii="Arial" w:cs="Arial" w:eastAsia="Arial" w:hAnsi="Arial"/>
                <w:sz w:val="11"/>
                <w:szCs w:val="11"/>
                <w:b w:val="1"/>
                <w:bCs w:val="1"/>
                <w:color w:val="auto"/>
                <w:w w:val="93"/>
              </w:rPr>
              <w:t>Earnings</w:t>
            </w:r>
          </w:p>
        </w:tc>
        <w:tc>
          <w:tcPr>
            <w:tcW w:w="1280" w:type="dxa"/>
            <w:vAlign w:val="bottom"/>
            <w:gridSpan w:val="2"/>
          </w:tcPr>
          <w:p>
            <w:pPr>
              <w:jc w:val="center"/>
              <w:ind w:right="100"/>
              <w:spacing w:after="0" w:line="124" w:lineRule="exact"/>
              <w:rPr>
                <w:sz w:val="20"/>
                <w:szCs w:val="20"/>
                <w:color w:val="auto"/>
              </w:rPr>
            </w:pPr>
            <w:r>
              <w:rPr>
                <w:rFonts w:ascii="Arial" w:cs="Arial" w:eastAsia="Arial" w:hAnsi="Arial"/>
                <w:sz w:val="11"/>
                <w:szCs w:val="11"/>
                <w:b w:val="1"/>
                <w:bCs w:val="1"/>
                <w:color w:val="auto"/>
                <w:w w:val="91"/>
              </w:rPr>
              <w:t>Compensation</w:t>
            </w:r>
          </w:p>
        </w:tc>
        <w:tc>
          <w:tcPr>
            <w:tcW w:w="1000" w:type="dxa"/>
            <w:vAlign w:val="bottom"/>
          </w:tcPr>
          <w:p>
            <w:pPr>
              <w:jc w:val="right"/>
              <w:ind w:right="321"/>
              <w:spacing w:after="0" w:line="124" w:lineRule="exact"/>
              <w:rPr>
                <w:sz w:val="20"/>
                <w:szCs w:val="20"/>
                <w:color w:val="auto"/>
              </w:rPr>
            </w:pPr>
            <w:r>
              <w:rPr>
                <w:rFonts w:ascii="Arial" w:cs="Arial" w:eastAsia="Arial" w:hAnsi="Arial"/>
                <w:sz w:val="11"/>
                <w:szCs w:val="11"/>
                <w:b w:val="1"/>
                <w:bCs w:val="1"/>
                <w:color w:val="auto"/>
              </w:rPr>
              <w:t>Total</w:t>
            </w:r>
          </w:p>
        </w:tc>
      </w:tr>
      <w:tr>
        <w:trPr>
          <w:trHeight w:val="180"/>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Year</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221"/>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4"/>
                <w:szCs w:val="14"/>
                <w:b w:val="1"/>
                <w:bCs w:val="1"/>
                <w:color w:val="auto"/>
                <w:vertAlign w:val="superscript"/>
              </w:rPr>
              <w:t>(1)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r>
              <w:rPr>
                <w:rFonts w:ascii="Arial" w:cs="Arial" w:eastAsia="Arial" w:hAnsi="Arial"/>
                <w:sz w:val="14"/>
                <w:szCs w:val="14"/>
                <w:b w:val="1"/>
                <w:bCs w:val="1"/>
                <w:color w:val="auto"/>
                <w:w w:val="88"/>
                <w:vertAlign w:val="superscript"/>
              </w:rPr>
              <w:t>(2)</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r>
              <w:rPr>
                <w:rFonts w:ascii="Arial" w:cs="Arial" w:eastAsia="Arial" w:hAnsi="Arial"/>
                <w:sz w:val="14"/>
                <w:szCs w:val="14"/>
                <w:b w:val="1"/>
                <w:bCs w:val="1"/>
                <w:color w:val="auto"/>
                <w:w w:val="88"/>
                <w:vertAlign w:val="superscript"/>
              </w:rPr>
              <w:t>(3)</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r>
              <w:rPr>
                <w:rFonts w:ascii="Arial" w:cs="Arial" w:eastAsia="Arial" w:hAnsi="Arial"/>
                <w:sz w:val="14"/>
                <w:szCs w:val="14"/>
                <w:b w:val="1"/>
                <w:bCs w:val="1"/>
                <w:color w:val="auto"/>
                <w:w w:val="88"/>
                <w:vertAlign w:val="superscript"/>
              </w:rPr>
              <w:t>(4)</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1"/>
                <w:szCs w:val="11"/>
                <w:b w:val="1"/>
                <w:bCs w:val="1"/>
                <w:color w:val="auto"/>
              </w:rPr>
              <w:t>($)</w:t>
            </w:r>
          </w:p>
        </w:tc>
      </w:tr>
      <w:tr>
        <w:trPr>
          <w:trHeight w:val="171"/>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Christopher S. Sotos</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2022</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659,682</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1,951,273</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1"/>
                <w:szCs w:val="11"/>
                <w:color w:val="auto"/>
              </w:rPr>
              <w:t>725,069</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ind w:left="10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12,200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3,348,224</w:t>
            </w:r>
          </w:p>
        </w:tc>
      </w:tr>
      <w:tr>
        <w:trPr>
          <w:trHeight w:val="180"/>
        </w:trPr>
        <w:tc>
          <w:tcPr>
            <w:tcW w:w="2060" w:type="dxa"/>
            <w:vAlign w:val="bottom"/>
            <w:gridSpan w:val="2"/>
          </w:tcPr>
          <w:p>
            <w:pPr>
              <w:ind w:left="20"/>
              <w:spacing w:after="0"/>
              <w:rPr>
                <w:sz w:val="20"/>
                <w:szCs w:val="20"/>
                <w:color w:val="auto"/>
              </w:rPr>
            </w:pPr>
            <w:r>
              <w:rPr>
                <w:rFonts w:ascii="Arial" w:cs="Arial" w:eastAsia="Arial" w:hAnsi="Arial"/>
                <w:sz w:val="11"/>
                <w:szCs w:val="11"/>
                <w:color w:val="auto"/>
              </w:rPr>
              <w:t>President and Chief</w:t>
            </w:r>
          </w:p>
        </w:tc>
        <w:tc>
          <w:tcPr>
            <w:tcW w:w="620" w:type="dxa"/>
            <w:vAlign w:val="bottom"/>
          </w:tcPr>
          <w:p>
            <w:pPr>
              <w:jc w:val="right"/>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638,260</w:t>
            </w:r>
          </w:p>
        </w:tc>
        <w:tc>
          <w:tcPr>
            <w:tcW w:w="10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
              <w:spacing w:after="0"/>
              <w:rPr>
                <w:sz w:val="20"/>
                <w:szCs w:val="20"/>
                <w:color w:val="auto"/>
              </w:rPr>
            </w:pPr>
            <w:r>
              <w:rPr>
                <w:rFonts w:ascii="Arial" w:cs="Arial" w:eastAsia="Arial" w:hAnsi="Arial"/>
                <w:sz w:val="11"/>
                <w:szCs w:val="11"/>
                <w:color w:val="auto"/>
              </w:rPr>
              <w:t>1,535,147</w:t>
            </w:r>
          </w:p>
        </w:tc>
        <w:tc>
          <w:tcPr>
            <w:tcW w:w="100" w:type="dxa"/>
            <w:vAlign w:val="bottom"/>
          </w:tcPr>
          <w:p>
            <w:pPr>
              <w:spacing w:after="0"/>
              <w:rPr>
                <w:sz w:val="15"/>
                <w:szCs w:val="15"/>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
              <w:spacing w:after="0"/>
              <w:rPr>
                <w:sz w:val="20"/>
                <w:szCs w:val="20"/>
                <w:color w:val="auto"/>
              </w:rPr>
            </w:pPr>
            <w:r>
              <w:rPr>
                <w:rFonts w:ascii="Arial" w:cs="Arial" w:eastAsia="Arial" w:hAnsi="Arial"/>
                <w:sz w:val="11"/>
                <w:szCs w:val="11"/>
                <w:color w:val="auto"/>
              </w:rPr>
              <w:t>899,312</w:t>
            </w:r>
          </w:p>
        </w:tc>
        <w:tc>
          <w:tcPr>
            <w:tcW w:w="8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19,790</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3,092,509</w:t>
            </w:r>
          </w:p>
        </w:tc>
      </w:tr>
      <w:tr>
        <w:trPr>
          <w:trHeight w:val="18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Executive Officer</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634,500</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1,900,423</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1"/>
                <w:szCs w:val="11"/>
                <w:color w:val="auto"/>
              </w:rPr>
              <w:t>699,534</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14,111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3,248,568</w:t>
            </w:r>
          </w:p>
        </w:tc>
      </w:tr>
      <w:tr>
        <w:trPr>
          <w:trHeight w:val="85"/>
        </w:trPr>
        <w:tc>
          <w:tcPr>
            <w:tcW w:w="1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18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Sarah Rubenstein</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324,197</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378,417</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1"/>
                <w:szCs w:val="11"/>
                <w:color w:val="auto"/>
              </w:rPr>
              <w:t>177,125</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12,200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891,939</w:t>
            </w:r>
          </w:p>
        </w:tc>
      </w:tr>
      <w:tr>
        <w:trPr>
          <w:trHeight w:val="180"/>
        </w:trPr>
        <w:tc>
          <w:tcPr>
            <w:tcW w:w="2060" w:type="dxa"/>
            <w:vAlign w:val="bottom"/>
            <w:gridSpan w:val="2"/>
          </w:tcPr>
          <w:p>
            <w:pPr>
              <w:ind w:left="20"/>
              <w:spacing w:after="0"/>
              <w:rPr>
                <w:sz w:val="20"/>
                <w:szCs w:val="20"/>
                <w:color w:val="auto"/>
              </w:rPr>
            </w:pPr>
            <w:r>
              <w:rPr>
                <w:rFonts w:ascii="Arial" w:cs="Arial" w:eastAsia="Arial" w:hAnsi="Arial"/>
                <w:sz w:val="11"/>
                <w:szCs w:val="11"/>
                <w:color w:val="auto"/>
              </w:rPr>
              <w:t>Senior Vice President and</w:t>
            </w:r>
          </w:p>
        </w:tc>
        <w:tc>
          <w:tcPr>
            <w:tcW w:w="620" w:type="dxa"/>
            <w:vAlign w:val="bottom"/>
          </w:tcPr>
          <w:p>
            <w:pPr>
              <w:jc w:val="right"/>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ind w:left="72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ind w:left="1000"/>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ind w:left="98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
              <w:spacing w:after="0"/>
              <w:rPr>
                <w:sz w:val="20"/>
                <w:szCs w:val="20"/>
                <w:color w:val="auto"/>
              </w:rPr>
            </w:pPr>
            <w:r>
              <w:rPr>
                <w:rFonts w:ascii="Arial" w:cs="Arial" w:eastAsia="Arial" w:hAnsi="Arial"/>
                <w:sz w:val="14"/>
                <w:szCs w:val="14"/>
                <w:b w:val="1"/>
                <w:bCs w:val="1"/>
                <w:color w:val="auto"/>
              </w:rPr>
              <w:t>—</w:t>
            </w:r>
          </w:p>
        </w:tc>
      </w:tr>
      <w:tr>
        <w:trPr>
          <w:trHeight w:val="18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Chief Accounting Officer</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2020</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4"/>
                <w:szCs w:val="14"/>
                <w:b w:val="1"/>
                <w:bCs w:val="1"/>
                <w:color w:val="auto"/>
              </w:rPr>
              <w:t>—</w:t>
            </w:r>
          </w:p>
        </w:tc>
      </w:tr>
      <w:tr>
        <w:trPr>
          <w:trHeight w:val="85"/>
        </w:trPr>
        <w:tc>
          <w:tcPr>
            <w:tcW w:w="1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18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Kevin P. Malcarney</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2022</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398,461</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465,703</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1"/>
                <w:szCs w:val="11"/>
                <w:color w:val="auto"/>
              </w:rPr>
              <w:t>283,400</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12,850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1,160,414</w:t>
            </w:r>
          </w:p>
        </w:tc>
      </w:tr>
      <w:tr>
        <w:trPr>
          <w:trHeight w:val="180"/>
        </w:trPr>
        <w:tc>
          <w:tcPr>
            <w:tcW w:w="2060" w:type="dxa"/>
            <w:vAlign w:val="bottom"/>
            <w:gridSpan w:val="2"/>
          </w:tcPr>
          <w:p>
            <w:pPr>
              <w:ind w:left="20"/>
              <w:spacing w:after="0"/>
              <w:rPr>
                <w:sz w:val="20"/>
                <w:szCs w:val="20"/>
                <w:color w:val="auto"/>
              </w:rPr>
            </w:pPr>
            <w:r>
              <w:rPr>
                <w:rFonts w:ascii="Arial" w:cs="Arial" w:eastAsia="Arial" w:hAnsi="Arial"/>
                <w:sz w:val="11"/>
                <w:szCs w:val="11"/>
                <w:color w:val="auto"/>
              </w:rPr>
              <w:t>Senior Vice President,</w:t>
            </w:r>
          </w:p>
        </w:tc>
        <w:tc>
          <w:tcPr>
            <w:tcW w:w="620" w:type="dxa"/>
            <w:vAlign w:val="bottom"/>
          </w:tcPr>
          <w:p>
            <w:pPr>
              <w:jc w:val="right"/>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323,991</w:t>
            </w:r>
          </w:p>
        </w:tc>
        <w:tc>
          <w:tcPr>
            <w:tcW w:w="10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
              <w:spacing w:after="0"/>
              <w:rPr>
                <w:sz w:val="20"/>
                <w:szCs w:val="20"/>
                <w:color w:val="auto"/>
              </w:rPr>
            </w:pPr>
            <w:r>
              <w:rPr>
                <w:rFonts w:ascii="Arial" w:cs="Arial" w:eastAsia="Arial" w:hAnsi="Arial"/>
                <w:sz w:val="11"/>
                <w:szCs w:val="11"/>
                <w:color w:val="auto"/>
              </w:rPr>
              <w:t>348,772</w:t>
            </w:r>
          </w:p>
        </w:tc>
        <w:tc>
          <w:tcPr>
            <w:tcW w:w="100" w:type="dxa"/>
            <w:vAlign w:val="bottom"/>
          </w:tcPr>
          <w:p>
            <w:pPr>
              <w:spacing w:after="0"/>
              <w:rPr>
                <w:sz w:val="15"/>
                <w:szCs w:val="15"/>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
              <w:spacing w:after="0"/>
              <w:rPr>
                <w:sz w:val="20"/>
                <w:szCs w:val="20"/>
                <w:color w:val="auto"/>
              </w:rPr>
            </w:pPr>
            <w:r>
              <w:rPr>
                <w:rFonts w:ascii="Arial" w:cs="Arial" w:eastAsia="Arial" w:hAnsi="Arial"/>
                <w:sz w:val="11"/>
                <w:szCs w:val="11"/>
                <w:color w:val="auto"/>
              </w:rPr>
              <w:t>274,368</w:t>
            </w:r>
          </w:p>
        </w:tc>
        <w:tc>
          <w:tcPr>
            <w:tcW w:w="8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12,550</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959,681</w:t>
            </w:r>
          </w:p>
        </w:tc>
      </w:tr>
      <w:tr>
        <w:trPr>
          <w:trHeight w:val="18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General Counsel and</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317,885</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362,301</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1"/>
                <w:szCs w:val="11"/>
                <w:color w:val="auto"/>
              </w:rPr>
              <w:t>151,889</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10,550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842,625</w:t>
            </w:r>
          </w:p>
        </w:tc>
      </w:tr>
      <w:tr>
        <w:trPr>
          <w:trHeight w:val="152"/>
        </w:trPr>
        <w:tc>
          <w:tcPr>
            <w:tcW w:w="2060" w:type="dxa"/>
            <w:vAlign w:val="bottom"/>
            <w:gridSpan w:val="2"/>
          </w:tcPr>
          <w:p>
            <w:pPr>
              <w:ind w:left="20"/>
              <w:spacing w:after="0"/>
              <w:rPr>
                <w:sz w:val="20"/>
                <w:szCs w:val="20"/>
                <w:color w:val="auto"/>
              </w:rPr>
            </w:pPr>
            <w:r>
              <w:rPr>
                <w:rFonts w:ascii="Arial" w:cs="Arial" w:eastAsia="Arial" w:hAnsi="Arial"/>
                <w:sz w:val="11"/>
                <w:szCs w:val="11"/>
                <w:color w:val="auto"/>
              </w:rPr>
              <w:t>Corporate Secretary</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92"/>
        </w:trPr>
        <w:tc>
          <w:tcPr>
            <w:tcW w:w="19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r>
      <w:tr>
        <w:trPr>
          <w:trHeight w:val="180"/>
        </w:trPr>
        <w:tc>
          <w:tcPr>
            <w:tcW w:w="2060" w:type="dxa"/>
            <w:vAlign w:val="bottom"/>
            <w:gridSpan w:val="2"/>
          </w:tcPr>
          <w:p>
            <w:pPr>
              <w:ind w:left="20"/>
              <w:spacing w:after="0"/>
              <w:rPr>
                <w:sz w:val="20"/>
                <w:szCs w:val="20"/>
                <w:color w:val="auto"/>
              </w:rPr>
            </w:pPr>
            <w:r>
              <w:rPr>
                <w:rFonts w:ascii="Arial" w:cs="Arial" w:eastAsia="Arial" w:hAnsi="Arial"/>
                <w:sz w:val="11"/>
                <w:szCs w:val="11"/>
                <w:b w:val="1"/>
                <w:bCs w:val="1"/>
                <w:color w:val="auto"/>
              </w:rPr>
              <w:t>Chad Plotkin</w:t>
            </w:r>
            <w:r>
              <w:rPr>
                <w:rFonts w:ascii="Arial" w:cs="Arial" w:eastAsia="Arial" w:hAnsi="Arial"/>
                <w:sz w:val="14"/>
                <w:szCs w:val="14"/>
                <w:color w:val="auto"/>
                <w:vertAlign w:val="superscript"/>
              </w:rPr>
              <w:t>(5)</w:t>
            </w:r>
          </w:p>
        </w:tc>
        <w:tc>
          <w:tcPr>
            <w:tcW w:w="620" w:type="dxa"/>
            <w:vAlign w:val="bottom"/>
          </w:tcPr>
          <w:p>
            <w:pPr>
              <w:jc w:val="right"/>
              <w:spacing w:after="0"/>
              <w:rPr>
                <w:sz w:val="20"/>
                <w:szCs w:val="20"/>
                <w:color w:val="auto"/>
              </w:rPr>
            </w:pPr>
            <w:r>
              <w:rPr>
                <w:rFonts w:ascii="Arial" w:cs="Arial" w:eastAsia="Arial" w:hAnsi="Arial"/>
                <w:sz w:val="11"/>
                <w:szCs w:val="11"/>
                <w:color w:val="auto"/>
              </w:rPr>
              <w:t>2022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278,219</w:t>
            </w:r>
          </w:p>
        </w:tc>
        <w:tc>
          <w:tcPr>
            <w:tcW w:w="10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
              <w:spacing w:after="0"/>
              <w:rPr>
                <w:sz w:val="20"/>
                <w:szCs w:val="20"/>
                <w:color w:val="auto"/>
              </w:rPr>
            </w:pPr>
            <w:r>
              <w:rPr>
                <w:rFonts w:ascii="Arial" w:cs="Arial" w:eastAsia="Arial" w:hAnsi="Arial"/>
                <w:sz w:val="11"/>
                <w:szCs w:val="11"/>
                <w:color w:val="auto"/>
              </w:rPr>
              <w:t>642,691</w:t>
            </w:r>
          </w:p>
        </w:tc>
        <w:tc>
          <w:tcPr>
            <w:tcW w:w="100" w:type="dxa"/>
            <w:vAlign w:val="bottom"/>
          </w:tcPr>
          <w:p>
            <w:pPr>
              <w:spacing w:after="0"/>
              <w:rPr>
                <w:sz w:val="15"/>
                <w:szCs w:val="15"/>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ind w:left="10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77,372</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998,282</w:t>
            </w:r>
          </w:p>
        </w:tc>
      </w:tr>
      <w:tr>
        <w:trPr>
          <w:trHeight w:val="18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Executive Vice President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2021</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396,954</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426,560</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1"/>
                <w:szCs w:val="11"/>
                <w:color w:val="auto"/>
              </w:rPr>
              <w:t>335,586</w:t>
            </w: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14,600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1,173,700</w:t>
            </w:r>
          </w:p>
        </w:tc>
      </w:tr>
      <w:tr>
        <w:trPr>
          <w:trHeight w:val="184"/>
        </w:trPr>
        <w:tc>
          <w:tcPr>
            <w:tcW w:w="2060" w:type="dxa"/>
            <w:vAlign w:val="bottom"/>
            <w:gridSpan w:val="2"/>
          </w:tcPr>
          <w:p>
            <w:pPr>
              <w:ind w:left="20"/>
              <w:spacing w:after="0"/>
              <w:rPr>
                <w:sz w:val="20"/>
                <w:szCs w:val="20"/>
                <w:color w:val="auto"/>
              </w:rPr>
            </w:pPr>
            <w:r>
              <w:rPr>
                <w:rFonts w:ascii="Arial" w:cs="Arial" w:eastAsia="Arial" w:hAnsi="Arial"/>
                <w:sz w:val="11"/>
                <w:szCs w:val="11"/>
                <w:color w:val="auto"/>
              </w:rPr>
              <w:t>and Chief Financial Officer</w:t>
            </w:r>
          </w:p>
        </w:tc>
        <w:tc>
          <w:tcPr>
            <w:tcW w:w="620" w:type="dxa"/>
            <w:vAlign w:val="bottom"/>
          </w:tcPr>
          <w:p>
            <w:pPr>
              <w:jc w:val="right"/>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394,615</w:t>
            </w:r>
          </w:p>
        </w:tc>
        <w:tc>
          <w:tcPr>
            <w:tcW w:w="10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
              <w:spacing w:after="0"/>
              <w:rPr>
                <w:sz w:val="20"/>
                <w:szCs w:val="20"/>
                <w:color w:val="auto"/>
              </w:rPr>
            </w:pPr>
            <w:r>
              <w:rPr>
                <w:rFonts w:ascii="Arial" w:cs="Arial" w:eastAsia="Arial" w:hAnsi="Arial"/>
                <w:sz w:val="11"/>
                <w:szCs w:val="11"/>
                <w:color w:val="auto"/>
              </w:rPr>
              <w:t>559,631</w:t>
            </w:r>
          </w:p>
        </w:tc>
        <w:tc>
          <w:tcPr>
            <w:tcW w:w="1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
              <w:spacing w:after="0"/>
              <w:rPr>
                <w:sz w:val="20"/>
                <w:szCs w:val="20"/>
                <w:color w:val="auto"/>
              </w:rPr>
            </w:pPr>
            <w:r>
              <w:rPr>
                <w:rFonts w:ascii="Arial" w:cs="Arial" w:eastAsia="Arial" w:hAnsi="Arial"/>
                <w:sz w:val="11"/>
                <w:szCs w:val="11"/>
                <w:color w:val="auto"/>
              </w:rPr>
              <w:t>281,551</w:t>
            </w:r>
          </w:p>
        </w:tc>
        <w:tc>
          <w:tcPr>
            <w:tcW w:w="8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14,169</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1,249,966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138811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3" w:lineRule="exact"/>
        <w:rPr>
          <w:sz w:val="20"/>
          <w:szCs w:val="20"/>
          <w:color w:val="auto"/>
        </w:rPr>
      </w:pPr>
    </w:p>
    <w:p>
      <w:pPr>
        <w:ind w:left="180" w:hanging="111"/>
        <w:spacing w:after="0"/>
        <w:tabs>
          <w:tab w:leader="none" w:pos="180" w:val="left"/>
        </w:tabs>
        <w:numPr>
          <w:ilvl w:val="0"/>
          <w:numId w:val="41"/>
        </w:numPr>
        <w:rPr>
          <w:rFonts w:ascii="Arial" w:cs="Arial" w:eastAsia="Arial" w:hAnsi="Arial"/>
          <w:sz w:val="7"/>
          <w:szCs w:val="7"/>
          <w:color w:val="auto"/>
        </w:rPr>
      </w:pPr>
      <w:r>
        <w:rPr>
          <w:rFonts w:ascii="Arial" w:cs="Arial" w:eastAsia="Arial" w:hAnsi="Arial"/>
          <w:sz w:val="11"/>
          <w:szCs w:val="11"/>
          <w:color w:val="auto"/>
        </w:rPr>
        <w:t>Reflects base salary earnings.</w:t>
      </w:r>
    </w:p>
    <w:p>
      <w:pPr>
        <w:spacing w:after="0" w:line="18" w:lineRule="exact"/>
        <w:rPr>
          <w:rFonts w:ascii="Arial" w:cs="Arial" w:eastAsia="Arial" w:hAnsi="Arial"/>
          <w:sz w:val="7"/>
          <w:szCs w:val="7"/>
          <w:color w:val="auto"/>
        </w:rPr>
      </w:pPr>
    </w:p>
    <w:p>
      <w:pPr>
        <w:jc w:val="both"/>
        <w:ind w:left="60" w:firstLine="9"/>
        <w:spacing w:after="0" w:line="291" w:lineRule="auto"/>
        <w:tabs>
          <w:tab w:leader="none" w:pos="174" w:val="left"/>
        </w:tabs>
        <w:numPr>
          <w:ilvl w:val="0"/>
          <w:numId w:val="41"/>
        </w:numPr>
        <w:rPr>
          <w:rFonts w:ascii="Arial" w:cs="Arial" w:eastAsia="Arial" w:hAnsi="Arial"/>
          <w:sz w:val="12"/>
          <w:szCs w:val="12"/>
          <w:color w:val="auto"/>
          <w:vertAlign w:val="superscript"/>
        </w:rPr>
      </w:pPr>
      <w:r>
        <w:rPr>
          <w:rFonts w:ascii="Arial" w:cs="Arial" w:eastAsia="Arial" w:hAnsi="Arial"/>
          <w:sz w:val="9"/>
          <w:szCs w:val="9"/>
          <w:color w:val="auto"/>
        </w:rPr>
        <w:t>Reflects the grant date fair value determined in accordance with the Financial Accounting Standards Board Accounting Standards Codification Topic 718, Comparison — Stock Compensation. Clearway Energy, Inc. uses the Company’s Class C common stock price on the date of grant as the fair value of the Company’s RSUs. The fair value of RPSUs is estimated on the date of grant using a Monte Carlo simulation model. Beginning with awards granted in 2020, the number of RPSUs granted is based on the 10-day average closing price of the Company’s Class C common stock ending on the date of grant, which is intended to more closely reflect the compensation practices of the Compensation Peer Group companies. For RPSUs granted in 2022, if the maximum level of performance is achieved, the fair value will be approximately $1,889,849 for Mr. Sotos, $366,500 for Ms. Rubenstein and $451,050 for Mr. Malcarney.</w:t>
      </w:r>
    </w:p>
    <w:p>
      <w:pPr>
        <w:ind w:left="180" w:hanging="111"/>
        <w:spacing w:after="0"/>
        <w:tabs>
          <w:tab w:leader="none" w:pos="180" w:val="left"/>
        </w:tabs>
        <w:numPr>
          <w:ilvl w:val="0"/>
          <w:numId w:val="41"/>
        </w:numPr>
        <w:rPr>
          <w:rFonts w:ascii="Arial" w:cs="Arial" w:eastAsia="Arial" w:hAnsi="Arial"/>
          <w:sz w:val="7"/>
          <w:szCs w:val="7"/>
          <w:color w:val="auto"/>
        </w:rPr>
      </w:pPr>
      <w:r>
        <w:rPr>
          <w:rFonts w:ascii="Arial" w:cs="Arial" w:eastAsia="Arial" w:hAnsi="Arial"/>
          <w:sz w:val="11"/>
          <w:szCs w:val="11"/>
          <w:color w:val="auto"/>
        </w:rPr>
        <w:t>The amounts shown in this column represent the annual incentive bonuses paid to the NEOs. Further information regarding the annual incentive bonuses is included in the “2022 Annual Incentive Bonuses” section of this CD&amp;A.</w:t>
      </w:r>
    </w:p>
    <w:p>
      <w:pPr>
        <w:spacing w:after="0" w:line="8" w:lineRule="exact"/>
        <w:rPr>
          <w:rFonts w:ascii="Arial" w:cs="Arial" w:eastAsia="Arial" w:hAnsi="Arial"/>
          <w:sz w:val="7"/>
          <w:szCs w:val="7"/>
          <w:color w:val="auto"/>
        </w:rPr>
      </w:pPr>
    </w:p>
    <w:p>
      <w:pPr>
        <w:jc w:val="both"/>
        <w:ind w:left="60" w:firstLine="9"/>
        <w:spacing w:after="0" w:line="300" w:lineRule="auto"/>
        <w:tabs>
          <w:tab w:leader="none" w:pos="174" w:val="left"/>
        </w:tabs>
        <w:numPr>
          <w:ilvl w:val="0"/>
          <w:numId w:val="41"/>
        </w:numPr>
        <w:rPr>
          <w:rFonts w:ascii="Arial" w:cs="Arial" w:eastAsia="Arial" w:hAnsi="Arial"/>
          <w:sz w:val="12"/>
          <w:szCs w:val="12"/>
          <w:color w:val="auto"/>
          <w:vertAlign w:val="superscript"/>
        </w:rPr>
      </w:pPr>
      <w:r>
        <w:rPr>
          <w:rFonts w:ascii="Arial" w:cs="Arial" w:eastAsia="Arial" w:hAnsi="Arial"/>
          <w:sz w:val="9"/>
          <w:szCs w:val="9"/>
          <w:color w:val="auto"/>
        </w:rPr>
        <w:t>The amounts provided in the All Other Compensation column represent the additional benefits payable by the Company and include insurance benefits; the employer match under the Company’s 401(k) plan; financial counseling services up to $12,000 per year for Mr. Sotos and up to $3,000 per year for all other NEOs, not including the financial advisor’s travel or out-of-pocket expenses; legal fees incurred by Mr. Sotos in 2021 in connection with reviewing and finalizing his amended and restated employment agreement; and when applicable, the Company’s discretionary contribution to the 401(k) plan, as well as, a payout upon termination of accrued but unused paid time off for Mr. Plotkin. The following table identifies the additional compensation for each NEO.</w:t>
      </w:r>
    </w:p>
    <w:p>
      <w:pPr>
        <w:spacing w:after="0" w:line="109" w:lineRule="exact"/>
        <w:rPr>
          <w:rFonts w:ascii="Arial" w:cs="Arial" w:eastAsia="Arial" w:hAnsi="Arial"/>
          <w:sz w:val="12"/>
          <w:szCs w:val="12"/>
          <w:color w:val="auto"/>
          <w:vertAlign w:val="superscript"/>
        </w:rPr>
      </w:pPr>
    </w:p>
    <w:p>
      <w:pPr>
        <w:ind w:left="180" w:hanging="111"/>
        <w:spacing w:after="0"/>
        <w:tabs>
          <w:tab w:leader="none" w:pos="180" w:val="left"/>
        </w:tabs>
        <w:numPr>
          <w:ilvl w:val="0"/>
          <w:numId w:val="41"/>
        </w:numPr>
        <w:rPr>
          <w:rFonts w:ascii="Arial" w:cs="Arial" w:eastAsia="Arial" w:hAnsi="Arial"/>
          <w:sz w:val="7"/>
          <w:szCs w:val="7"/>
          <w:color w:val="auto"/>
        </w:rPr>
      </w:pPr>
      <w:r>
        <w:rPr>
          <w:rFonts w:ascii="Arial" w:cs="Arial" w:eastAsia="Arial" w:hAnsi="Arial"/>
          <w:sz w:val="11"/>
          <w:szCs w:val="11"/>
          <w:color w:val="auto"/>
        </w:rPr>
        <w:t>Mr. Plotkin voluntarily resigned from his employment with the Company in August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401(k)</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left="343"/>
              <w:spacing w:after="0"/>
              <w:rPr>
                <w:sz w:val="20"/>
                <w:szCs w:val="20"/>
                <w:color w:val="auto"/>
              </w:rPr>
            </w:pPr>
            <w:r>
              <w:rPr>
                <w:rFonts w:ascii="Arial" w:cs="Arial" w:eastAsia="Arial" w:hAnsi="Arial"/>
                <w:sz w:val="11"/>
                <w:szCs w:val="11"/>
                <w:b w:val="1"/>
                <w:bCs w:val="1"/>
                <w:color w:val="auto"/>
                <w:w w:val="96"/>
              </w:rPr>
              <w:t>Financial</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Employer</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left="343"/>
              <w:spacing w:after="0"/>
              <w:rPr>
                <w:sz w:val="20"/>
                <w:szCs w:val="20"/>
                <w:color w:val="auto"/>
              </w:rPr>
            </w:pPr>
            <w:r>
              <w:rPr>
                <w:rFonts w:ascii="Arial" w:cs="Arial" w:eastAsia="Arial" w:hAnsi="Arial"/>
                <w:sz w:val="11"/>
                <w:szCs w:val="11"/>
                <w:b w:val="1"/>
                <w:bCs w:val="1"/>
                <w:color w:val="auto"/>
                <w:w w:val="92"/>
              </w:rPr>
              <w:t>Advisor</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Matching</w:t>
            </w: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Name</w:t>
            </w:r>
          </w:p>
        </w:tc>
        <w:tc>
          <w:tcPr>
            <w:tcW w:w="7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Year</w:t>
            </w:r>
          </w:p>
        </w:tc>
        <w:tc>
          <w:tcPr>
            <w:tcW w:w="980" w:type="dxa"/>
            <w:vAlign w:val="bottom"/>
          </w:tcPr>
          <w:p>
            <w:pPr>
              <w:jc w:val="center"/>
              <w:ind w:left="343"/>
              <w:spacing w:after="0"/>
              <w:rPr>
                <w:sz w:val="20"/>
                <w:szCs w:val="20"/>
                <w:color w:val="auto"/>
              </w:rPr>
            </w:pPr>
            <w:r>
              <w:rPr>
                <w:rFonts w:ascii="Arial" w:cs="Arial" w:eastAsia="Arial" w:hAnsi="Arial"/>
                <w:sz w:val="11"/>
                <w:szCs w:val="11"/>
                <w:b w:val="1"/>
                <w:bCs w:val="1"/>
                <w:color w:val="auto"/>
                <w:w w:val="83"/>
              </w:rPr>
              <w:t>Services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Contribution</w:t>
            </w:r>
          </w:p>
        </w:tc>
        <w:tc>
          <w:tcPr>
            <w:tcW w:w="14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Legal Fees ($)</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PTO Supplemental Payout</w:t>
            </w:r>
          </w:p>
        </w:tc>
        <w:tc>
          <w:tcPr>
            <w:tcW w:w="1360" w:type="dxa"/>
            <w:vAlign w:val="bottom"/>
          </w:tcPr>
          <w:p>
            <w:pPr>
              <w:jc w:val="right"/>
              <w:ind w:right="50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336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980" w:type="dxa"/>
            <w:vAlign w:val="bottom"/>
          </w:tcPr>
          <w:p>
            <w:pPr>
              <w:jc w:val="center"/>
              <w:ind w:left="343"/>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563"/>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360" w:type="dxa"/>
            <w:vAlign w:val="bottom"/>
          </w:tcPr>
          <w:p>
            <w:pPr>
              <w:jc w:val="right"/>
              <w:ind w:right="543"/>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3"/>
                <w:szCs w:val="13"/>
                <w:color w:val="auto"/>
              </w:rPr>
            </w:pPr>
          </w:p>
        </w:tc>
        <w:tc>
          <w:tcPr>
            <w:tcW w:w="1360" w:type="dxa"/>
            <w:vAlign w:val="bottom"/>
          </w:tcPr>
          <w:p>
            <w:pPr>
              <w:jc w:val="right"/>
              <w:ind w:right="563"/>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4"/>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Christopher S. Sotos</w:t>
            </w: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2022</w:t>
            </w: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12,200</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12,200</w:t>
            </w: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2021</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11,600</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8,190</w:t>
            </w:r>
          </w:p>
        </w:tc>
        <w:tc>
          <w:tcPr>
            <w:tcW w:w="10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19,790</w:t>
            </w:r>
          </w:p>
        </w:tc>
        <w:tc>
          <w:tcPr>
            <w:tcW w:w="0" w:type="dxa"/>
            <w:vAlign w:val="bottom"/>
          </w:tcPr>
          <w:p>
            <w:pPr>
              <w:spacing w:after="0"/>
              <w:rPr>
                <w:sz w:val="1"/>
                <w:szCs w:val="1"/>
                <w:color w:val="auto"/>
              </w:rPr>
            </w:pPr>
          </w:p>
        </w:tc>
      </w:tr>
      <w:tr>
        <w:trPr>
          <w:trHeight w:val="166"/>
        </w:trPr>
        <w:tc>
          <w:tcPr>
            <w:tcW w:w="3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2020</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2,711</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11,400</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14,111</w:t>
            </w:r>
          </w:p>
        </w:tc>
        <w:tc>
          <w:tcPr>
            <w:tcW w:w="0" w:type="dxa"/>
            <w:vAlign w:val="bottom"/>
          </w:tcPr>
          <w:p>
            <w:pPr>
              <w:spacing w:after="0"/>
              <w:rPr>
                <w:sz w:val="1"/>
                <w:szCs w:val="1"/>
                <w:color w:val="auto"/>
              </w:rPr>
            </w:pPr>
          </w:p>
        </w:tc>
      </w:tr>
      <w:tr>
        <w:trPr>
          <w:trHeight w:val="153"/>
        </w:trPr>
        <w:tc>
          <w:tcPr>
            <w:tcW w:w="3360" w:type="dxa"/>
            <w:vAlign w:val="bottom"/>
            <w:gridSpan w:val="2"/>
          </w:tcPr>
          <w:p>
            <w:pPr>
              <w:ind w:left="20"/>
              <w:spacing w:after="0"/>
              <w:rPr>
                <w:sz w:val="20"/>
                <w:szCs w:val="20"/>
                <w:color w:val="auto"/>
              </w:rPr>
            </w:pPr>
            <w:r>
              <w:rPr>
                <w:rFonts w:ascii="Arial" w:cs="Arial" w:eastAsia="Arial" w:hAnsi="Arial"/>
                <w:sz w:val="11"/>
                <w:szCs w:val="11"/>
                <w:b w:val="1"/>
                <w:bCs w:val="1"/>
                <w:color w:val="auto"/>
              </w:rPr>
              <w:t>Sarah Rubenstein</w:t>
            </w:r>
          </w:p>
        </w:tc>
        <w:tc>
          <w:tcPr>
            <w:tcW w:w="640" w:type="dxa"/>
            <w:vAlign w:val="bottom"/>
          </w:tcPr>
          <w:p>
            <w:pPr>
              <w:jc w:val="right"/>
              <w:spacing w:after="0"/>
              <w:rPr>
                <w:sz w:val="20"/>
                <w:szCs w:val="20"/>
                <w:color w:val="auto"/>
              </w:rPr>
            </w:pPr>
            <w:r>
              <w:rPr>
                <w:rFonts w:ascii="Arial" w:cs="Arial" w:eastAsia="Arial" w:hAnsi="Arial"/>
                <w:sz w:val="11"/>
                <w:szCs w:val="11"/>
                <w:color w:val="auto"/>
              </w:rPr>
              <w:t>2022</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12,200</w:t>
            </w:r>
          </w:p>
        </w:tc>
        <w:tc>
          <w:tcPr>
            <w:tcW w:w="8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12,200</w:t>
            </w:r>
          </w:p>
        </w:tc>
        <w:tc>
          <w:tcPr>
            <w:tcW w:w="0" w:type="dxa"/>
            <w:vAlign w:val="bottom"/>
          </w:tcPr>
          <w:p>
            <w:pPr>
              <w:spacing w:after="0"/>
              <w:rPr>
                <w:sz w:val="1"/>
                <w:szCs w:val="1"/>
                <w:color w:val="auto"/>
              </w:rPr>
            </w:pPr>
          </w:p>
        </w:tc>
      </w:tr>
      <w:tr>
        <w:trPr>
          <w:trHeight w:val="165"/>
        </w:trPr>
        <w:tc>
          <w:tcPr>
            <w:tcW w:w="3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2021</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2020</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Kevin P. Malcarney</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2022</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650</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12,200</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12,850</w:t>
            </w:r>
          </w:p>
        </w:tc>
        <w:tc>
          <w:tcPr>
            <w:tcW w:w="0" w:type="dxa"/>
            <w:vAlign w:val="bottom"/>
          </w:tcPr>
          <w:p>
            <w:pPr>
              <w:spacing w:after="0"/>
              <w:rPr>
                <w:sz w:val="1"/>
                <w:szCs w:val="1"/>
                <w:color w:val="auto"/>
              </w:rPr>
            </w:pPr>
          </w:p>
        </w:tc>
      </w:tr>
      <w:tr>
        <w:trPr>
          <w:trHeight w:val="152"/>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2021</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950</w:t>
            </w:r>
          </w:p>
        </w:tc>
        <w:tc>
          <w:tcPr>
            <w:tcW w:w="100" w:type="dxa"/>
            <w:vAlign w:val="bottom"/>
          </w:tcPr>
          <w:p>
            <w:pPr>
              <w:spacing w:after="0"/>
              <w:rPr>
                <w:sz w:val="13"/>
                <w:szCs w:val="13"/>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11,600</w:t>
            </w:r>
          </w:p>
        </w:tc>
        <w:tc>
          <w:tcPr>
            <w:tcW w:w="8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12,550</w:t>
            </w:r>
          </w:p>
        </w:tc>
        <w:tc>
          <w:tcPr>
            <w:tcW w:w="0" w:type="dxa"/>
            <w:vAlign w:val="bottom"/>
          </w:tcPr>
          <w:p>
            <w:pPr>
              <w:spacing w:after="0"/>
              <w:rPr>
                <w:sz w:val="1"/>
                <w:szCs w:val="1"/>
                <w:color w:val="auto"/>
              </w:rPr>
            </w:pPr>
          </w:p>
        </w:tc>
      </w:tr>
      <w:tr>
        <w:trPr>
          <w:trHeight w:val="166"/>
        </w:trPr>
        <w:tc>
          <w:tcPr>
            <w:tcW w:w="3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2020</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10,550</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10,550</w:t>
            </w:r>
          </w:p>
        </w:tc>
        <w:tc>
          <w:tcPr>
            <w:tcW w:w="0" w:type="dxa"/>
            <w:vAlign w:val="bottom"/>
          </w:tcPr>
          <w:p>
            <w:pPr>
              <w:spacing w:after="0"/>
              <w:rPr>
                <w:sz w:val="1"/>
                <w:szCs w:val="1"/>
                <w:color w:val="auto"/>
              </w:rPr>
            </w:pPr>
          </w:p>
        </w:tc>
      </w:tr>
      <w:tr>
        <w:trPr>
          <w:trHeight w:val="153"/>
        </w:trPr>
        <w:tc>
          <w:tcPr>
            <w:tcW w:w="3360" w:type="dxa"/>
            <w:vAlign w:val="bottom"/>
            <w:gridSpan w:val="2"/>
          </w:tcPr>
          <w:p>
            <w:pPr>
              <w:ind w:left="20"/>
              <w:spacing w:after="0"/>
              <w:rPr>
                <w:sz w:val="20"/>
                <w:szCs w:val="20"/>
                <w:color w:val="auto"/>
              </w:rPr>
            </w:pPr>
            <w:r>
              <w:rPr>
                <w:rFonts w:ascii="Arial" w:cs="Arial" w:eastAsia="Arial" w:hAnsi="Arial"/>
                <w:sz w:val="11"/>
                <w:szCs w:val="11"/>
                <w:b w:val="1"/>
                <w:bCs w:val="1"/>
                <w:color w:val="auto"/>
              </w:rPr>
              <w:t>Chad Plotkin</w:t>
            </w:r>
          </w:p>
        </w:tc>
        <w:tc>
          <w:tcPr>
            <w:tcW w:w="640" w:type="dxa"/>
            <w:vAlign w:val="bottom"/>
          </w:tcPr>
          <w:p>
            <w:pPr>
              <w:jc w:val="right"/>
              <w:spacing w:after="0"/>
              <w:rPr>
                <w:sz w:val="20"/>
                <w:szCs w:val="20"/>
                <w:color w:val="auto"/>
              </w:rPr>
            </w:pPr>
            <w:r>
              <w:rPr>
                <w:rFonts w:ascii="Arial" w:cs="Arial" w:eastAsia="Arial" w:hAnsi="Arial"/>
                <w:sz w:val="11"/>
                <w:szCs w:val="11"/>
                <w:color w:val="auto"/>
              </w:rPr>
              <w:t>2022</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12,200</w:t>
            </w:r>
          </w:p>
        </w:tc>
        <w:tc>
          <w:tcPr>
            <w:tcW w:w="8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65,172</w:t>
            </w: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77,372</w:t>
            </w:r>
          </w:p>
        </w:tc>
        <w:tc>
          <w:tcPr>
            <w:tcW w:w="0" w:type="dxa"/>
            <w:vAlign w:val="bottom"/>
          </w:tcPr>
          <w:p>
            <w:pPr>
              <w:spacing w:after="0"/>
              <w:rPr>
                <w:sz w:val="1"/>
                <w:szCs w:val="1"/>
                <w:color w:val="auto"/>
              </w:rPr>
            </w:pPr>
          </w:p>
        </w:tc>
      </w:tr>
      <w:tr>
        <w:trPr>
          <w:trHeight w:val="165"/>
        </w:trPr>
        <w:tc>
          <w:tcPr>
            <w:tcW w:w="3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2021</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11,600</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14,600</w:t>
            </w:r>
          </w:p>
        </w:tc>
        <w:tc>
          <w:tcPr>
            <w:tcW w:w="0" w:type="dxa"/>
            <w:vAlign w:val="bottom"/>
          </w:tcPr>
          <w:p>
            <w:pPr>
              <w:spacing w:after="0"/>
              <w:rPr>
                <w:sz w:val="1"/>
                <w:szCs w:val="1"/>
                <w:color w:val="auto"/>
              </w:rPr>
            </w:pPr>
          </w:p>
        </w:tc>
      </w:tr>
      <w:tr>
        <w:trPr>
          <w:trHeight w:val="145"/>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2020</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3,000</w:t>
            </w:r>
          </w:p>
        </w:tc>
        <w:tc>
          <w:tcPr>
            <w:tcW w:w="100" w:type="dxa"/>
            <w:vAlign w:val="bottom"/>
          </w:tcPr>
          <w:p>
            <w:pPr>
              <w:spacing w:after="0"/>
              <w:rPr>
                <w:sz w:val="12"/>
                <w:szCs w:val="12"/>
                <w:color w:val="auto"/>
              </w:rPr>
            </w:pPr>
          </w:p>
        </w:tc>
        <w:tc>
          <w:tcPr>
            <w:tcW w:w="1380" w:type="dxa"/>
            <w:vAlign w:val="bottom"/>
          </w:tcPr>
          <w:p>
            <w:pPr>
              <w:jc w:val="right"/>
              <w:ind w:right="3"/>
              <w:spacing w:after="0"/>
              <w:rPr>
                <w:sz w:val="20"/>
                <w:szCs w:val="20"/>
                <w:color w:val="auto"/>
              </w:rPr>
            </w:pPr>
            <w:r>
              <w:rPr>
                <w:rFonts w:ascii="Arial" w:cs="Arial" w:eastAsia="Arial" w:hAnsi="Arial"/>
                <w:sz w:val="11"/>
                <w:szCs w:val="11"/>
                <w:color w:val="auto"/>
              </w:rPr>
              <w:t>11,169</w:t>
            </w:r>
          </w:p>
        </w:tc>
        <w:tc>
          <w:tcPr>
            <w:tcW w:w="8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14,169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7" w:name="page68"/>
    <w:bookmarkEnd w:id="67"/>
    <w:p>
      <w:pPr>
        <w:spacing w:after="0" w:line="161" w:lineRule="exact"/>
        <w:rPr>
          <w:sz w:val="20"/>
          <w:szCs w:val="20"/>
          <w:color w:val="auto"/>
        </w:rPr>
      </w:pPr>
      <w:r>
        <w:rPr>
          <w:rFonts w:ascii="Arial" w:cs="Arial" w:eastAsia="Arial" w:hAnsi="Arial"/>
          <w:sz w:val="14"/>
          <w:szCs w:val="14"/>
          <w:b w:val="1"/>
          <w:bCs w:val="1"/>
          <w:color w:val="auto"/>
        </w:rPr>
        <w:t>Grants of Plan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Based Awards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 Ended December 31,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All Other</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7"/>
              </w:rPr>
              <w:t>Grant</w:t>
            </w:r>
          </w:p>
        </w:tc>
        <w:tc>
          <w:tcPr>
            <w:tcW w:w="0" w:type="dxa"/>
            <w:vAlign w:val="bottom"/>
          </w:tcPr>
          <w:p>
            <w:pPr>
              <w:spacing w:after="0"/>
              <w:rPr>
                <w:sz w:val="1"/>
                <w:szCs w:val="1"/>
                <w:color w:val="auto"/>
              </w:rPr>
            </w:pPr>
          </w:p>
        </w:tc>
      </w:tr>
      <w:tr>
        <w:trPr>
          <w:trHeight w:val="106"/>
        </w:trPr>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tcPr>
          <w:p>
            <w:pPr>
              <w:jc w:val="center"/>
              <w:ind w:right="100"/>
              <w:spacing w:after="0" w:line="106" w:lineRule="exact"/>
              <w:rPr>
                <w:sz w:val="20"/>
                <w:szCs w:val="20"/>
                <w:color w:val="auto"/>
              </w:rPr>
            </w:pPr>
            <w:r>
              <w:rPr>
                <w:rFonts w:ascii="Arial" w:cs="Arial" w:eastAsia="Arial" w:hAnsi="Arial"/>
                <w:sz w:val="10"/>
                <w:szCs w:val="10"/>
                <w:b w:val="1"/>
                <w:bCs w:val="1"/>
                <w:color w:val="auto"/>
                <w:w w:val="87"/>
              </w:rPr>
              <w:t>Stock</w:t>
            </w:r>
          </w:p>
        </w:tc>
        <w:tc>
          <w:tcPr>
            <w:tcW w:w="84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92"/>
              </w:rPr>
              <w:t>Date</w:t>
            </w: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60" w:type="dxa"/>
            <w:vAlign w:val="bottom"/>
            <w:gridSpan w:val="4"/>
          </w:tcPr>
          <w:p>
            <w:pPr>
              <w:jc w:val="center"/>
              <w:ind w:right="120"/>
              <w:spacing w:after="0"/>
              <w:rPr>
                <w:sz w:val="20"/>
                <w:szCs w:val="20"/>
                <w:color w:val="auto"/>
              </w:rPr>
            </w:pPr>
            <w:r>
              <w:rPr>
                <w:rFonts w:ascii="Arial" w:cs="Arial" w:eastAsia="Arial" w:hAnsi="Arial"/>
                <w:sz w:val="10"/>
                <w:szCs w:val="10"/>
                <w:b w:val="1"/>
                <w:bCs w:val="1"/>
                <w:color w:val="auto"/>
                <w:w w:val="86"/>
              </w:rPr>
              <w:t>Estimated Possible Payouts</w:t>
            </w:r>
          </w:p>
        </w:tc>
        <w:tc>
          <w:tcPr>
            <w:tcW w:w="9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Awards:</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1"/>
              </w:rPr>
              <w:t>Fair Value</w:t>
            </w:r>
          </w:p>
        </w:tc>
        <w:tc>
          <w:tcPr>
            <w:tcW w:w="0" w:type="dxa"/>
            <w:vAlign w:val="bottom"/>
          </w:tcPr>
          <w:p>
            <w:pPr>
              <w:spacing w:after="0"/>
              <w:rPr>
                <w:sz w:val="1"/>
                <w:szCs w:val="1"/>
                <w:color w:val="auto"/>
              </w:rPr>
            </w:pPr>
          </w:p>
        </w:tc>
      </w:tr>
      <w:tr>
        <w:trPr>
          <w:trHeight w:val="106"/>
        </w:trPr>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jc w:val="center"/>
              <w:ind w:right="91"/>
              <w:spacing w:after="0" w:line="106" w:lineRule="exact"/>
              <w:rPr>
                <w:sz w:val="20"/>
                <w:szCs w:val="20"/>
                <w:color w:val="auto"/>
              </w:rPr>
            </w:pPr>
            <w:r>
              <w:rPr>
                <w:rFonts w:ascii="Arial" w:cs="Arial" w:eastAsia="Arial" w:hAnsi="Arial"/>
                <w:sz w:val="10"/>
                <w:szCs w:val="10"/>
                <w:b w:val="1"/>
                <w:bCs w:val="1"/>
                <w:color w:val="auto"/>
                <w:w w:val="89"/>
              </w:rPr>
              <w:t>Under</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20" w:type="dxa"/>
            <w:vAlign w:val="bottom"/>
            <w:gridSpan w:val="4"/>
          </w:tcPr>
          <w:p>
            <w:pPr>
              <w:jc w:val="center"/>
              <w:ind w:right="120"/>
              <w:spacing w:after="0" w:line="106" w:lineRule="exact"/>
              <w:rPr>
                <w:sz w:val="20"/>
                <w:szCs w:val="20"/>
                <w:color w:val="auto"/>
              </w:rPr>
            </w:pPr>
            <w:r>
              <w:rPr>
                <w:rFonts w:ascii="Arial" w:cs="Arial" w:eastAsia="Arial" w:hAnsi="Arial"/>
                <w:sz w:val="10"/>
                <w:szCs w:val="10"/>
                <w:b w:val="1"/>
                <w:bCs w:val="1"/>
                <w:color w:val="auto"/>
                <w:w w:val="89"/>
              </w:rPr>
              <w:t>Estimated Future Payouts</w:t>
            </w:r>
          </w:p>
        </w:tc>
        <w:tc>
          <w:tcPr>
            <w:tcW w:w="980" w:type="dxa"/>
            <w:vAlign w:val="bottom"/>
            <w:gridSpan w:val="2"/>
          </w:tcPr>
          <w:p>
            <w:pPr>
              <w:jc w:val="center"/>
              <w:ind w:right="100"/>
              <w:spacing w:after="0" w:line="106" w:lineRule="exact"/>
              <w:rPr>
                <w:sz w:val="20"/>
                <w:szCs w:val="20"/>
                <w:color w:val="auto"/>
              </w:rPr>
            </w:pPr>
            <w:r>
              <w:rPr>
                <w:rFonts w:ascii="Arial" w:cs="Arial" w:eastAsia="Arial" w:hAnsi="Arial"/>
                <w:sz w:val="10"/>
                <w:szCs w:val="10"/>
                <w:b w:val="1"/>
                <w:bCs w:val="1"/>
                <w:color w:val="auto"/>
                <w:w w:val="95"/>
              </w:rPr>
              <w:t>Number</w:t>
            </w:r>
          </w:p>
        </w:tc>
        <w:tc>
          <w:tcPr>
            <w:tcW w:w="84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86"/>
              </w:rPr>
              <w:t>of Stock</w:t>
            </w: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tcPr>
          <w:p>
            <w:pPr>
              <w:jc w:val="center"/>
              <w:ind w:left="591"/>
              <w:spacing w:after="0" w:line="115" w:lineRule="exact"/>
              <w:rPr>
                <w:sz w:val="20"/>
                <w:szCs w:val="20"/>
                <w:color w:val="auto"/>
              </w:rPr>
            </w:pPr>
            <w:r>
              <w:rPr>
                <w:rFonts w:ascii="Arial" w:cs="Arial" w:eastAsia="Arial" w:hAnsi="Arial"/>
                <w:sz w:val="10"/>
                <w:szCs w:val="10"/>
                <w:b w:val="1"/>
                <w:bCs w:val="1"/>
                <w:color w:val="auto"/>
                <w:w w:val="92"/>
              </w:rPr>
              <w:t>Non</w:t>
            </w:r>
            <w:r>
              <w:rPr>
                <w:rFonts w:ascii="MS PGothic" w:cs="MS PGothic" w:eastAsia="MS PGothic" w:hAnsi="MS PGothic"/>
                <w:sz w:val="10"/>
                <w:szCs w:val="10"/>
                <w:b w:val="1"/>
                <w:bCs w:val="1"/>
                <w:color w:val="auto"/>
                <w:w w:val="92"/>
              </w:rPr>
              <w:t>‑</w:t>
            </w:r>
            <w:r>
              <w:rPr>
                <w:rFonts w:ascii="Arial" w:cs="Arial" w:eastAsia="Arial" w:hAnsi="Arial"/>
                <w:sz w:val="10"/>
                <w:szCs w:val="10"/>
                <w:b w:val="1"/>
                <w:bCs w:val="1"/>
                <w:color w:val="auto"/>
                <w:w w:val="92"/>
              </w:rPr>
              <w:t>Equity Incentive</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2"/>
          </w:tcPr>
          <w:p>
            <w:pPr>
              <w:jc w:val="center"/>
              <w:ind w:left="691"/>
              <w:spacing w:after="0"/>
              <w:rPr>
                <w:sz w:val="20"/>
                <w:szCs w:val="20"/>
                <w:color w:val="auto"/>
              </w:rPr>
            </w:pPr>
            <w:r>
              <w:rPr>
                <w:rFonts w:ascii="Arial" w:cs="Arial" w:eastAsia="Arial" w:hAnsi="Arial"/>
                <w:sz w:val="10"/>
                <w:szCs w:val="10"/>
                <w:b w:val="1"/>
                <w:bCs w:val="1"/>
                <w:color w:val="auto"/>
                <w:w w:val="92"/>
              </w:rPr>
              <w:t>Under Equity Incentive</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of Shares</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89"/>
              </w:rPr>
              <w:t>and</w:t>
            </w:r>
          </w:p>
        </w:tc>
        <w:tc>
          <w:tcPr>
            <w:tcW w:w="0" w:type="dxa"/>
            <w:vAlign w:val="bottom"/>
          </w:tcPr>
          <w:p>
            <w:pPr>
              <w:spacing w:after="0"/>
              <w:rPr>
                <w:sz w:val="1"/>
                <w:szCs w:val="1"/>
                <w:color w:val="auto"/>
              </w:rPr>
            </w:pPr>
          </w:p>
        </w:tc>
      </w:tr>
      <w:tr>
        <w:trPr>
          <w:trHeight w:val="126"/>
        </w:trPr>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jc w:val="center"/>
              <w:ind w:right="91"/>
              <w:spacing w:after="0"/>
              <w:rPr>
                <w:sz w:val="20"/>
                <w:szCs w:val="20"/>
                <w:color w:val="auto"/>
              </w:rPr>
            </w:pPr>
            <w:r>
              <w:rPr>
                <w:rFonts w:ascii="Arial" w:cs="Arial" w:eastAsia="Arial" w:hAnsi="Arial"/>
                <w:sz w:val="10"/>
                <w:szCs w:val="10"/>
                <w:b w:val="1"/>
                <w:bCs w:val="1"/>
                <w:color w:val="auto"/>
                <w:w w:val="89"/>
              </w:rPr>
              <w:t>Plan Awards</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Pr>
          <w:p>
            <w:pPr>
              <w:jc w:val="center"/>
              <w:ind w:right="131"/>
              <w:spacing w:after="0"/>
              <w:rPr>
                <w:sz w:val="20"/>
                <w:szCs w:val="20"/>
                <w:color w:val="auto"/>
              </w:rPr>
            </w:pPr>
            <w:r>
              <w:rPr>
                <w:rFonts w:ascii="Arial" w:cs="Arial" w:eastAsia="Arial" w:hAnsi="Arial"/>
                <w:sz w:val="10"/>
                <w:szCs w:val="10"/>
                <w:b w:val="1"/>
                <w:bCs w:val="1"/>
                <w:color w:val="auto"/>
                <w:w w:val="89"/>
              </w:rPr>
              <w:t>Plan Awards</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of Stock</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36"/>
        </w:trPr>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0"/>
                <w:szCs w:val="10"/>
                <w:b w:val="1"/>
                <w:bCs w:val="1"/>
                <w:color w:val="auto"/>
                <w:w w:val="91"/>
              </w:rPr>
              <w:t>Award</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7"/>
              </w:rPr>
              <w:t>Grant</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2"/>
              </w:rPr>
              <w:t>Approval</w:t>
            </w: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98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800" w:type="dxa"/>
            <w:vAlign w:val="bottom"/>
            <w:tcBorders>
              <w:top w:val="single" w:sz="8" w:color="auto"/>
            </w:tcBorders>
          </w:tcPr>
          <w:p>
            <w:pPr>
              <w:jc w:val="right"/>
              <w:ind w:right="151"/>
              <w:spacing w:after="0" w:line="97" w:lineRule="exact"/>
              <w:rPr>
                <w:sz w:val="20"/>
                <w:szCs w:val="20"/>
                <w:color w:val="auto"/>
              </w:rPr>
            </w:pPr>
            <w:r>
              <w:rPr>
                <w:rFonts w:ascii="Arial" w:cs="Arial" w:eastAsia="Arial" w:hAnsi="Arial"/>
                <w:sz w:val="10"/>
                <w:szCs w:val="10"/>
                <w:b w:val="1"/>
                <w:bCs w:val="1"/>
                <w:color w:val="auto"/>
              </w:rPr>
              <w:t>Threshold</w:t>
            </w:r>
          </w:p>
        </w:tc>
        <w:tc>
          <w:tcPr>
            <w:tcW w:w="800" w:type="dxa"/>
            <w:vAlign w:val="bottom"/>
            <w:tcBorders>
              <w:top w:val="single" w:sz="8" w:color="auto"/>
            </w:tcBorders>
          </w:tcPr>
          <w:p>
            <w:pPr>
              <w:jc w:val="center"/>
              <w:ind w:right="111"/>
              <w:spacing w:after="0" w:line="97" w:lineRule="exact"/>
              <w:rPr>
                <w:sz w:val="20"/>
                <w:szCs w:val="20"/>
                <w:color w:val="auto"/>
              </w:rPr>
            </w:pPr>
            <w:r>
              <w:rPr>
                <w:rFonts w:ascii="Arial" w:cs="Arial" w:eastAsia="Arial" w:hAnsi="Arial"/>
                <w:sz w:val="10"/>
                <w:szCs w:val="10"/>
                <w:b w:val="1"/>
                <w:bCs w:val="1"/>
                <w:color w:val="auto"/>
                <w:w w:val="91"/>
              </w:rPr>
              <w:t>Target</w:t>
            </w:r>
          </w:p>
        </w:tc>
        <w:tc>
          <w:tcPr>
            <w:tcW w:w="660" w:type="dxa"/>
            <w:vAlign w:val="bottom"/>
            <w:tcBorders>
              <w:top w:val="single" w:sz="8" w:color="auto"/>
            </w:tcBorders>
          </w:tcPr>
          <w:p>
            <w:pPr>
              <w:jc w:val="right"/>
              <w:ind w:right="131"/>
              <w:spacing w:after="0" w:line="97" w:lineRule="exact"/>
              <w:rPr>
                <w:sz w:val="20"/>
                <w:szCs w:val="20"/>
                <w:color w:val="auto"/>
              </w:rPr>
            </w:pPr>
            <w:r>
              <w:rPr>
                <w:rFonts w:ascii="Arial" w:cs="Arial" w:eastAsia="Arial" w:hAnsi="Arial"/>
                <w:sz w:val="10"/>
                <w:szCs w:val="10"/>
                <w:b w:val="1"/>
                <w:bCs w:val="1"/>
                <w:color w:val="auto"/>
                <w:w w:val="99"/>
              </w:rPr>
              <w:t>Maximum</w:t>
            </w:r>
          </w:p>
        </w:tc>
        <w:tc>
          <w:tcPr>
            <w:tcW w:w="100" w:type="dxa"/>
            <w:vAlign w:val="bottom"/>
          </w:tcPr>
          <w:p>
            <w:pPr>
              <w:spacing w:after="0"/>
              <w:rPr>
                <w:sz w:val="8"/>
                <w:szCs w:val="8"/>
                <w:color w:val="auto"/>
              </w:rPr>
            </w:pPr>
          </w:p>
        </w:tc>
        <w:tc>
          <w:tcPr>
            <w:tcW w:w="900" w:type="dxa"/>
            <w:vAlign w:val="bottom"/>
            <w:tcBorders>
              <w:top w:val="single" w:sz="8" w:color="auto"/>
            </w:tcBorders>
          </w:tcPr>
          <w:p>
            <w:pPr>
              <w:jc w:val="right"/>
              <w:ind w:right="211"/>
              <w:spacing w:after="0" w:line="97" w:lineRule="exact"/>
              <w:rPr>
                <w:sz w:val="20"/>
                <w:szCs w:val="20"/>
                <w:color w:val="auto"/>
              </w:rPr>
            </w:pPr>
            <w:r>
              <w:rPr>
                <w:rFonts w:ascii="Arial" w:cs="Arial" w:eastAsia="Arial" w:hAnsi="Arial"/>
                <w:sz w:val="10"/>
                <w:szCs w:val="10"/>
                <w:b w:val="1"/>
                <w:bCs w:val="1"/>
                <w:color w:val="auto"/>
              </w:rPr>
              <w:t>Threshold</w:t>
            </w:r>
          </w:p>
        </w:tc>
        <w:tc>
          <w:tcPr>
            <w:tcW w:w="880" w:type="dxa"/>
            <w:vAlign w:val="bottom"/>
            <w:tcBorders>
              <w:top w:val="single" w:sz="8" w:color="auto"/>
            </w:tcBorders>
          </w:tcPr>
          <w:p>
            <w:pPr>
              <w:jc w:val="right"/>
              <w:ind w:right="411"/>
              <w:spacing w:after="0" w:line="97" w:lineRule="exact"/>
              <w:rPr>
                <w:sz w:val="20"/>
                <w:szCs w:val="20"/>
                <w:color w:val="auto"/>
              </w:rPr>
            </w:pPr>
            <w:r>
              <w:rPr>
                <w:rFonts w:ascii="Arial" w:cs="Arial" w:eastAsia="Arial" w:hAnsi="Arial"/>
                <w:sz w:val="10"/>
                <w:szCs w:val="10"/>
                <w:b w:val="1"/>
                <w:bCs w:val="1"/>
                <w:color w:val="auto"/>
              </w:rPr>
              <w:t>Target</w:t>
            </w:r>
          </w:p>
        </w:tc>
        <w:tc>
          <w:tcPr>
            <w:tcW w:w="740" w:type="dxa"/>
            <w:vAlign w:val="bottom"/>
            <w:tcBorders>
              <w:top w:val="single" w:sz="8" w:color="auto"/>
            </w:tcBorders>
          </w:tcPr>
          <w:p>
            <w:pPr>
              <w:jc w:val="right"/>
              <w:ind w:right="231"/>
              <w:spacing w:after="0" w:line="97" w:lineRule="exact"/>
              <w:rPr>
                <w:sz w:val="20"/>
                <w:szCs w:val="20"/>
                <w:color w:val="auto"/>
              </w:rPr>
            </w:pPr>
            <w:r>
              <w:rPr>
                <w:rFonts w:ascii="Arial" w:cs="Arial" w:eastAsia="Arial" w:hAnsi="Arial"/>
                <w:sz w:val="10"/>
                <w:szCs w:val="10"/>
                <w:b w:val="1"/>
                <w:bCs w:val="1"/>
                <w:color w:val="auto"/>
                <w:w w:val="95"/>
              </w:rPr>
              <w:t>Maximum</w:t>
            </w:r>
          </w:p>
        </w:tc>
        <w:tc>
          <w:tcPr>
            <w:tcW w:w="100" w:type="dxa"/>
            <w:vAlign w:val="bottom"/>
          </w:tcPr>
          <w:p>
            <w:pPr>
              <w:spacing w:after="0"/>
              <w:rPr>
                <w:sz w:val="8"/>
                <w:szCs w:val="8"/>
                <w:color w:val="auto"/>
              </w:rPr>
            </w:pPr>
          </w:p>
        </w:tc>
        <w:tc>
          <w:tcPr>
            <w:tcW w:w="900" w:type="dxa"/>
            <w:vAlign w:val="bottom"/>
            <w:tcBorders>
              <w:top w:val="single" w:sz="8" w:color="auto"/>
            </w:tcBorders>
          </w:tcPr>
          <w:p>
            <w:pPr>
              <w:jc w:val="center"/>
              <w:spacing w:after="0" w:line="97" w:lineRule="exact"/>
              <w:rPr>
                <w:sz w:val="20"/>
                <w:szCs w:val="20"/>
                <w:color w:val="auto"/>
              </w:rPr>
            </w:pPr>
            <w:r>
              <w:rPr>
                <w:rFonts w:ascii="Arial" w:cs="Arial" w:eastAsia="Arial" w:hAnsi="Arial"/>
                <w:sz w:val="10"/>
                <w:szCs w:val="10"/>
                <w:b w:val="1"/>
                <w:bCs w:val="1"/>
                <w:color w:val="auto"/>
                <w:w w:val="89"/>
              </w:rPr>
              <w:t>or Units</w:t>
            </w:r>
          </w:p>
        </w:tc>
        <w:tc>
          <w:tcPr>
            <w:tcW w:w="80" w:type="dxa"/>
            <w:vAlign w:val="bottom"/>
          </w:tcPr>
          <w:p>
            <w:pPr>
              <w:spacing w:after="0"/>
              <w:rPr>
                <w:sz w:val="8"/>
                <w:szCs w:val="8"/>
                <w:color w:val="auto"/>
              </w:rPr>
            </w:pPr>
          </w:p>
        </w:tc>
        <w:tc>
          <w:tcPr>
            <w:tcW w:w="840" w:type="dxa"/>
            <w:vAlign w:val="bottom"/>
            <w:tcBorders>
              <w:top w:val="single" w:sz="8" w:color="auto"/>
            </w:tcBorders>
          </w:tcPr>
          <w:p>
            <w:pPr>
              <w:jc w:val="center"/>
              <w:spacing w:after="0" w:line="97" w:lineRule="exact"/>
              <w:rPr>
                <w:sz w:val="20"/>
                <w:szCs w:val="20"/>
                <w:color w:val="auto"/>
              </w:rPr>
            </w:pPr>
            <w:r>
              <w:rPr>
                <w:rFonts w:ascii="Arial" w:cs="Arial" w:eastAsia="Arial" w:hAnsi="Arial"/>
                <w:sz w:val="10"/>
                <w:szCs w:val="10"/>
                <w:b w:val="1"/>
                <w:bCs w:val="1"/>
                <w:color w:val="auto"/>
                <w:w w:val="88"/>
              </w:rPr>
              <w:t>Awards</w:t>
            </w:r>
          </w:p>
        </w:tc>
        <w:tc>
          <w:tcPr>
            <w:tcW w:w="0" w:type="dxa"/>
            <w:vAlign w:val="bottom"/>
          </w:tcPr>
          <w:p>
            <w:pPr>
              <w:spacing w:after="0"/>
              <w:rPr>
                <w:sz w:val="1"/>
                <w:szCs w:val="1"/>
                <w:color w:val="auto"/>
              </w:rPr>
            </w:pPr>
          </w:p>
        </w:tc>
      </w:tr>
      <w:tr>
        <w:trPr>
          <w:trHeight w:val="159"/>
        </w:trPr>
        <w:tc>
          <w:tcPr>
            <w:tcW w:w="1540" w:type="dxa"/>
            <w:vAlign w:val="bottom"/>
            <w:gridSpan w:val="2"/>
          </w:tcPr>
          <w:p>
            <w:pPr>
              <w:ind w:left="20"/>
              <w:spacing w:after="0"/>
              <w:rPr>
                <w:sz w:val="20"/>
                <w:szCs w:val="20"/>
                <w:color w:val="auto"/>
              </w:rPr>
            </w:pPr>
            <w:r>
              <w:rPr>
                <w:rFonts w:ascii="Arial" w:cs="Arial" w:eastAsia="Arial" w:hAnsi="Arial"/>
                <w:sz w:val="10"/>
                <w:szCs w:val="10"/>
                <w:b w:val="1"/>
                <w:bCs w:val="1"/>
                <w:color w:val="auto"/>
              </w:rPr>
              <w:t>Name</w:t>
            </w:r>
          </w:p>
        </w:tc>
        <w:tc>
          <w:tcPr>
            <w:tcW w:w="7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Type</w:t>
            </w:r>
          </w:p>
        </w:tc>
        <w:tc>
          <w:tcPr>
            <w:tcW w:w="8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Date</w:t>
            </w:r>
          </w:p>
        </w:tc>
        <w:tc>
          <w:tcPr>
            <w:tcW w:w="12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Date</w:t>
            </w:r>
          </w:p>
        </w:tc>
        <w:tc>
          <w:tcPr>
            <w:tcW w:w="800" w:type="dxa"/>
            <w:vAlign w:val="bottom"/>
          </w:tcPr>
          <w:p>
            <w:pPr>
              <w:jc w:val="right"/>
              <w:ind w:right="271"/>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12"/>
                <w:szCs w:val="12"/>
                <w:b w:val="1"/>
                <w:bCs w:val="1"/>
                <w:color w:val="auto"/>
                <w:vertAlign w:val="superscript"/>
              </w:rPr>
              <w:t>(1)</w:t>
            </w:r>
          </w:p>
        </w:tc>
        <w:tc>
          <w:tcPr>
            <w:tcW w:w="800" w:type="dxa"/>
            <w:vAlign w:val="bottom"/>
          </w:tcPr>
          <w:p>
            <w:pPr>
              <w:jc w:val="center"/>
              <w:ind w:right="111"/>
              <w:spacing w:after="0"/>
              <w:rPr>
                <w:sz w:val="20"/>
                <w:szCs w:val="20"/>
                <w:color w:val="auto"/>
              </w:rPr>
            </w:pPr>
            <w:r>
              <w:rPr>
                <w:rFonts w:ascii="Arial" w:cs="Arial" w:eastAsia="Arial" w:hAnsi="Arial"/>
                <w:sz w:val="10"/>
                <w:szCs w:val="10"/>
                <w:b w:val="1"/>
                <w:bCs w:val="1"/>
                <w:color w:val="auto"/>
                <w:w w:val="90"/>
              </w:rPr>
              <w:t>($)</w:t>
            </w:r>
            <w:r>
              <w:rPr>
                <w:rFonts w:ascii="Arial" w:cs="Arial" w:eastAsia="Arial" w:hAnsi="Arial"/>
                <w:sz w:val="12"/>
                <w:szCs w:val="12"/>
                <w:b w:val="1"/>
                <w:bCs w:val="1"/>
                <w:color w:val="auto"/>
                <w:w w:val="90"/>
                <w:vertAlign w:val="superscript"/>
              </w:rPr>
              <w:t>(2)</w:t>
            </w:r>
          </w:p>
        </w:tc>
        <w:tc>
          <w:tcPr>
            <w:tcW w:w="660" w:type="dxa"/>
            <w:vAlign w:val="bottom"/>
          </w:tcPr>
          <w:p>
            <w:pPr>
              <w:jc w:val="right"/>
              <w:ind w:right="271"/>
              <w:spacing w:after="0"/>
              <w:rPr>
                <w:sz w:val="20"/>
                <w:szCs w:val="20"/>
                <w:color w:val="auto"/>
              </w:rPr>
            </w:pPr>
            <w:r>
              <w:rPr>
                <w:rFonts w:ascii="Arial" w:cs="Arial" w:eastAsia="Arial" w:hAnsi="Arial"/>
                <w:sz w:val="10"/>
                <w:szCs w:val="10"/>
                <w:b w:val="1"/>
                <w:bCs w:val="1"/>
                <w:color w:val="auto"/>
              </w:rPr>
              <w:t>($)</w:t>
            </w:r>
            <w:r>
              <w:rPr>
                <w:rFonts w:ascii="Arial" w:cs="Arial" w:eastAsia="Arial" w:hAnsi="Arial"/>
                <w:sz w:val="12"/>
                <w:szCs w:val="12"/>
                <w:b w:val="1"/>
                <w:bCs w:val="1"/>
                <w:color w:val="auto"/>
                <w:vertAlign w:val="superscript"/>
              </w:rPr>
              <w:t>(3)</w:t>
            </w:r>
          </w:p>
        </w:tc>
        <w:tc>
          <w:tcPr>
            <w:tcW w:w="100" w:type="dxa"/>
            <w:vAlign w:val="bottom"/>
          </w:tcPr>
          <w:p>
            <w:pPr>
              <w:spacing w:after="0"/>
              <w:rPr>
                <w:sz w:val="13"/>
                <w:szCs w:val="13"/>
                <w:color w:val="auto"/>
              </w:rPr>
            </w:pPr>
          </w:p>
        </w:tc>
        <w:tc>
          <w:tcPr>
            <w:tcW w:w="900" w:type="dxa"/>
            <w:vAlign w:val="bottom"/>
          </w:tcPr>
          <w:p>
            <w:pPr>
              <w:jc w:val="right"/>
              <w:ind w:right="371"/>
              <w:spacing w:after="0"/>
              <w:rPr>
                <w:sz w:val="20"/>
                <w:szCs w:val="20"/>
                <w:color w:val="auto"/>
              </w:rPr>
            </w:pPr>
            <w:r>
              <w:rPr>
                <w:rFonts w:ascii="Arial" w:cs="Arial" w:eastAsia="Arial" w:hAnsi="Arial"/>
                <w:sz w:val="10"/>
                <w:szCs w:val="10"/>
                <w:b w:val="1"/>
                <w:bCs w:val="1"/>
                <w:color w:val="auto"/>
              </w:rPr>
              <w:t>(#)</w:t>
            </w:r>
          </w:p>
        </w:tc>
        <w:tc>
          <w:tcPr>
            <w:tcW w:w="880" w:type="dxa"/>
            <w:vAlign w:val="bottom"/>
          </w:tcPr>
          <w:p>
            <w:pPr>
              <w:jc w:val="right"/>
              <w:ind w:right="491"/>
              <w:spacing w:after="0"/>
              <w:rPr>
                <w:sz w:val="20"/>
                <w:szCs w:val="20"/>
                <w:color w:val="auto"/>
              </w:rPr>
            </w:pPr>
            <w:r>
              <w:rPr>
                <w:rFonts w:ascii="Arial" w:cs="Arial" w:eastAsia="Arial" w:hAnsi="Arial"/>
                <w:sz w:val="10"/>
                <w:szCs w:val="10"/>
                <w:b w:val="1"/>
                <w:bCs w:val="1"/>
                <w:color w:val="auto"/>
              </w:rPr>
              <w:t>(#)</w:t>
            </w:r>
          </w:p>
        </w:tc>
        <w:tc>
          <w:tcPr>
            <w:tcW w:w="740" w:type="dxa"/>
            <w:vAlign w:val="bottom"/>
          </w:tcPr>
          <w:p>
            <w:pPr>
              <w:jc w:val="right"/>
              <w:ind w:right="411"/>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81"/>
              </w:rPr>
              <w:t>($)</w:t>
            </w:r>
            <w:r>
              <w:rPr>
                <w:rFonts w:ascii="Arial" w:cs="Arial" w:eastAsia="Arial" w:hAnsi="Arial"/>
                <w:sz w:val="12"/>
                <w:szCs w:val="12"/>
                <w:b w:val="1"/>
                <w:bCs w:val="1"/>
                <w:color w:val="auto"/>
                <w:w w:val="81"/>
                <w:vertAlign w:val="superscript"/>
              </w:rPr>
              <w:t>(4)</w:t>
            </w:r>
          </w:p>
        </w:tc>
        <w:tc>
          <w:tcPr>
            <w:tcW w:w="0" w:type="dxa"/>
            <w:vAlign w:val="bottom"/>
          </w:tcPr>
          <w:p>
            <w:pPr>
              <w:spacing w:after="0"/>
              <w:rPr>
                <w:sz w:val="1"/>
                <w:szCs w:val="1"/>
                <w:color w:val="auto"/>
              </w:rPr>
            </w:pPr>
          </w:p>
        </w:tc>
      </w:tr>
      <w:tr>
        <w:trPr>
          <w:trHeight w:val="123"/>
        </w:trPr>
        <w:tc>
          <w:tcPr>
            <w:tcW w:w="144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Christopher S. Sotos</w:t>
            </w:r>
          </w:p>
        </w:tc>
        <w:tc>
          <w:tcPr>
            <w:tcW w:w="100" w:type="dxa"/>
            <w:vAlign w:val="bottom"/>
          </w:tcPr>
          <w:p>
            <w:pPr>
              <w:spacing w:after="0"/>
              <w:rPr>
                <w:sz w:val="10"/>
                <w:szCs w:val="10"/>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8"/>
              </w:rPr>
              <w:t>AIP</w:t>
            </w:r>
          </w:p>
        </w:tc>
        <w:tc>
          <w:tcPr>
            <w:tcW w:w="80" w:type="dxa"/>
            <w:vAlign w:val="bottom"/>
          </w:tcPr>
          <w:p>
            <w:pPr>
              <w:spacing w:after="0"/>
              <w:rPr>
                <w:sz w:val="10"/>
                <w:szCs w:val="1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332,601</w:t>
            </w:r>
          </w:p>
        </w:tc>
        <w:tc>
          <w:tcPr>
            <w:tcW w:w="800" w:type="dxa"/>
            <w:vAlign w:val="bottom"/>
            <w:tcBorders>
              <w:top w:val="single" w:sz="8" w:color="auto"/>
            </w:tcBorders>
          </w:tcPr>
          <w:p>
            <w:pPr>
              <w:jc w:val="right"/>
              <w:ind w:right="151"/>
              <w:spacing w:after="0"/>
              <w:rPr>
                <w:sz w:val="20"/>
                <w:szCs w:val="20"/>
                <w:color w:val="auto"/>
              </w:rPr>
            </w:pPr>
            <w:r>
              <w:rPr>
                <w:rFonts w:ascii="Arial" w:cs="Arial" w:eastAsia="Arial" w:hAnsi="Arial"/>
                <w:sz w:val="10"/>
                <w:szCs w:val="10"/>
                <w:color w:val="auto"/>
              </w:rPr>
              <w:t>665,201</w:t>
            </w: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1,330,402</w:t>
            </w:r>
          </w:p>
        </w:tc>
        <w:tc>
          <w:tcPr>
            <w:tcW w:w="100" w:type="dxa"/>
            <w:vAlign w:val="bottom"/>
          </w:tcPr>
          <w:p>
            <w:pPr>
              <w:spacing w:after="0"/>
              <w:rPr>
                <w:sz w:val="10"/>
                <w:szCs w:val="10"/>
                <w:color w:val="auto"/>
              </w:rPr>
            </w:pPr>
          </w:p>
        </w:tc>
        <w:tc>
          <w:tcPr>
            <w:tcW w:w="90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auto"/>
            </w:tcBorders>
          </w:tcPr>
          <w:p>
            <w:pPr>
              <w:jc w:val="right"/>
              <w:ind w:right="271"/>
              <w:spacing w:after="0"/>
              <w:rPr>
                <w:sz w:val="20"/>
                <w:szCs w:val="20"/>
                <w:color w:val="auto"/>
              </w:rPr>
            </w:pPr>
            <w:r>
              <w:rPr>
                <w:rFonts w:ascii="Arial" w:cs="Arial" w:eastAsia="Arial" w:hAnsi="Arial"/>
                <w:sz w:val="10"/>
                <w:szCs w:val="10"/>
                <w:color w:val="auto"/>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6"/>
              </w:rPr>
              <w:t>RPSU</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4/15/2022</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2/22/2022</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9,902</w:t>
            </w:r>
          </w:p>
        </w:tc>
        <w:tc>
          <w:tcPr>
            <w:tcW w:w="8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39,607</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59,411</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1,259,899</w:t>
            </w:r>
          </w:p>
        </w:tc>
        <w:tc>
          <w:tcPr>
            <w:tcW w:w="0" w:type="dxa"/>
            <w:vAlign w:val="bottom"/>
          </w:tcPr>
          <w:p>
            <w:pPr>
              <w:spacing w:after="0"/>
              <w:rPr>
                <w:sz w:val="1"/>
                <w:szCs w:val="1"/>
                <w:color w:val="auto"/>
              </w:rPr>
            </w:pPr>
          </w:p>
        </w:tc>
      </w:tr>
      <w:tr>
        <w:trPr>
          <w:trHeight w:val="141"/>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0"/>
                <w:szCs w:val="10"/>
                <w:color w:val="auto"/>
                <w:w w:val="94"/>
              </w:rPr>
              <w:t>RSU</w:t>
            </w:r>
          </w:p>
        </w:tc>
        <w:tc>
          <w:tcPr>
            <w:tcW w:w="740" w:type="dxa"/>
            <w:vAlign w:val="bottom"/>
          </w:tcPr>
          <w:p>
            <w:pPr>
              <w:jc w:val="right"/>
              <w:spacing w:after="0"/>
              <w:rPr>
                <w:sz w:val="20"/>
                <w:szCs w:val="20"/>
                <w:color w:val="auto"/>
              </w:rPr>
            </w:pPr>
            <w:r>
              <w:rPr>
                <w:rFonts w:ascii="Arial" w:cs="Arial" w:eastAsia="Arial" w:hAnsi="Arial"/>
                <w:sz w:val="10"/>
                <w:szCs w:val="10"/>
                <w:color w:val="auto"/>
              </w:rPr>
              <w:t>4/15/2022</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2/22/2022</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20,192</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691374</w:t>
            </w:r>
          </w:p>
        </w:tc>
        <w:tc>
          <w:tcPr>
            <w:tcW w:w="0" w:type="dxa"/>
            <w:vAlign w:val="bottom"/>
          </w:tcPr>
          <w:p>
            <w:pPr>
              <w:spacing w:after="0"/>
              <w:rPr>
                <w:sz w:val="1"/>
                <w:szCs w:val="1"/>
                <w:color w:val="auto"/>
              </w:rPr>
            </w:pPr>
          </w:p>
        </w:tc>
      </w:tr>
      <w:tr>
        <w:trPr>
          <w:trHeight w:val="15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Sarah Rubenstein</w:t>
            </w: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8"/>
              </w:rPr>
              <w:t>AIP</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81,250</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162,500</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325,000</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0"/>
                <w:szCs w:val="10"/>
                <w:color w:val="auto"/>
                <w:w w:val="86"/>
              </w:rPr>
              <w:t>RPSU</w:t>
            </w:r>
          </w:p>
        </w:tc>
        <w:tc>
          <w:tcPr>
            <w:tcW w:w="740" w:type="dxa"/>
            <w:vAlign w:val="bottom"/>
          </w:tcPr>
          <w:p>
            <w:pPr>
              <w:jc w:val="right"/>
              <w:spacing w:after="0"/>
              <w:rPr>
                <w:sz w:val="20"/>
                <w:szCs w:val="20"/>
                <w:color w:val="auto"/>
              </w:rPr>
            </w:pPr>
            <w:r>
              <w:rPr>
                <w:rFonts w:ascii="Arial" w:cs="Arial" w:eastAsia="Arial" w:hAnsi="Arial"/>
                <w:sz w:val="10"/>
                <w:szCs w:val="10"/>
                <w:color w:val="auto"/>
              </w:rPr>
              <w:t>4/15/2022</w:t>
            </w:r>
          </w:p>
        </w:tc>
        <w:tc>
          <w:tcPr>
            <w:tcW w:w="1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2/22/2022</w:t>
            </w:r>
          </w:p>
        </w:tc>
        <w:tc>
          <w:tcPr>
            <w:tcW w:w="10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51"/>
              <w:spacing w:after="0"/>
              <w:rPr>
                <w:sz w:val="20"/>
                <w:szCs w:val="20"/>
                <w:color w:val="auto"/>
              </w:rPr>
            </w:pPr>
            <w:r>
              <w:rPr>
                <w:rFonts w:ascii="Arial" w:cs="Arial" w:eastAsia="Arial" w:hAnsi="Arial"/>
                <w:sz w:val="10"/>
                <w:szCs w:val="10"/>
                <w:color w:val="auto"/>
              </w:rPr>
              <w:t>1,920</w:t>
            </w:r>
          </w:p>
        </w:tc>
        <w:tc>
          <w:tcPr>
            <w:tcW w:w="880" w:type="dxa"/>
            <w:vAlign w:val="bottom"/>
          </w:tcPr>
          <w:p>
            <w:pPr>
              <w:jc w:val="right"/>
              <w:ind w:right="271"/>
              <w:spacing w:after="0"/>
              <w:rPr>
                <w:sz w:val="20"/>
                <w:szCs w:val="20"/>
                <w:color w:val="auto"/>
              </w:rPr>
            </w:pPr>
            <w:r>
              <w:rPr>
                <w:rFonts w:ascii="Arial" w:cs="Arial" w:eastAsia="Arial" w:hAnsi="Arial"/>
                <w:sz w:val="10"/>
                <w:szCs w:val="10"/>
                <w:color w:val="auto"/>
              </w:rPr>
              <w:t>7,681</w:t>
            </w:r>
          </w:p>
        </w:tc>
        <w:tc>
          <w:tcPr>
            <w:tcW w:w="740" w:type="dxa"/>
            <w:vAlign w:val="bottom"/>
          </w:tcPr>
          <w:p>
            <w:pPr>
              <w:jc w:val="right"/>
              <w:ind w:right="11"/>
              <w:spacing w:after="0"/>
              <w:rPr>
                <w:sz w:val="20"/>
                <w:szCs w:val="20"/>
                <w:color w:val="auto"/>
              </w:rPr>
            </w:pPr>
            <w:r>
              <w:rPr>
                <w:rFonts w:ascii="Arial" w:cs="Arial" w:eastAsia="Arial" w:hAnsi="Arial"/>
                <w:sz w:val="10"/>
                <w:szCs w:val="10"/>
                <w:color w:val="auto"/>
              </w:rPr>
              <w:t>11,522</w:t>
            </w:r>
          </w:p>
        </w:tc>
        <w:tc>
          <w:tcPr>
            <w:tcW w:w="10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244,333</w:t>
            </w:r>
          </w:p>
        </w:tc>
        <w:tc>
          <w:tcPr>
            <w:tcW w:w="0" w:type="dxa"/>
            <w:vAlign w:val="bottom"/>
          </w:tcPr>
          <w:p>
            <w:pPr>
              <w:spacing w:after="0"/>
              <w:rPr>
                <w:sz w:val="1"/>
                <w:szCs w:val="1"/>
                <w:color w:val="auto"/>
              </w:rPr>
            </w:pPr>
          </w:p>
        </w:tc>
      </w:tr>
      <w:tr>
        <w:trPr>
          <w:trHeight w:val="145"/>
        </w:trPr>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4"/>
              </w:rPr>
              <w:t>RSU</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4/15/2022</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2/22/2022</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3,916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134,084</w:t>
            </w:r>
          </w:p>
        </w:tc>
        <w:tc>
          <w:tcPr>
            <w:tcW w:w="0" w:type="dxa"/>
            <w:vAlign w:val="bottom"/>
          </w:tcPr>
          <w:p>
            <w:pPr>
              <w:spacing w:after="0"/>
              <w:rPr>
                <w:sz w:val="1"/>
                <w:szCs w:val="1"/>
                <w:color w:val="auto"/>
              </w:rPr>
            </w:pPr>
          </w:p>
        </w:tc>
      </w:tr>
      <w:tr>
        <w:trPr>
          <w:trHeight w:val="141"/>
        </w:trPr>
        <w:tc>
          <w:tcPr>
            <w:tcW w:w="1540" w:type="dxa"/>
            <w:vAlign w:val="bottom"/>
            <w:gridSpan w:val="2"/>
          </w:tcPr>
          <w:p>
            <w:pPr>
              <w:ind w:left="20"/>
              <w:spacing w:after="0"/>
              <w:rPr>
                <w:sz w:val="20"/>
                <w:szCs w:val="20"/>
                <w:color w:val="auto"/>
              </w:rPr>
            </w:pPr>
            <w:r>
              <w:rPr>
                <w:rFonts w:ascii="Arial" w:cs="Arial" w:eastAsia="Arial" w:hAnsi="Arial"/>
                <w:sz w:val="10"/>
                <w:szCs w:val="10"/>
                <w:b w:val="1"/>
                <w:bCs w:val="1"/>
                <w:color w:val="auto"/>
              </w:rPr>
              <w:t>Kevin P. Malcarney</w:t>
            </w:r>
          </w:p>
        </w:tc>
        <w:tc>
          <w:tcPr>
            <w:tcW w:w="760" w:type="dxa"/>
            <w:vAlign w:val="bottom"/>
            <w:gridSpan w:val="2"/>
          </w:tcPr>
          <w:p>
            <w:pPr>
              <w:jc w:val="center"/>
              <w:ind w:right="80"/>
              <w:spacing w:after="0"/>
              <w:rPr>
                <w:sz w:val="20"/>
                <w:szCs w:val="20"/>
                <w:color w:val="auto"/>
              </w:rPr>
            </w:pPr>
            <w:r>
              <w:rPr>
                <w:rFonts w:ascii="Arial" w:cs="Arial" w:eastAsia="Arial" w:hAnsi="Arial"/>
                <w:sz w:val="10"/>
                <w:szCs w:val="10"/>
                <w:color w:val="auto"/>
                <w:w w:val="98"/>
              </w:rPr>
              <w:t>AIP</w:t>
            </w:r>
          </w:p>
        </w:tc>
        <w:tc>
          <w:tcPr>
            <w:tcW w:w="8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130,000</w:t>
            </w:r>
          </w:p>
        </w:tc>
        <w:tc>
          <w:tcPr>
            <w:tcW w:w="800" w:type="dxa"/>
            <w:vAlign w:val="bottom"/>
          </w:tcPr>
          <w:p>
            <w:pPr>
              <w:jc w:val="right"/>
              <w:ind w:right="151"/>
              <w:spacing w:after="0"/>
              <w:rPr>
                <w:sz w:val="20"/>
                <w:szCs w:val="20"/>
                <w:color w:val="auto"/>
              </w:rPr>
            </w:pPr>
            <w:r>
              <w:rPr>
                <w:rFonts w:ascii="Arial" w:cs="Arial" w:eastAsia="Arial" w:hAnsi="Arial"/>
                <w:sz w:val="10"/>
                <w:szCs w:val="10"/>
                <w:color w:val="auto"/>
              </w:rPr>
              <w:t>260,000</w:t>
            </w: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520,000</w:t>
            </w:r>
          </w:p>
        </w:tc>
        <w:tc>
          <w:tcPr>
            <w:tcW w:w="100" w:type="dxa"/>
            <w:vAlign w:val="bottom"/>
          </w:tcPr>
          <w:p>
            <w:pPr>
              <w:spacing w:after="0"/>
              <w:rPr>
                <w:sz w:val="12"/>
                <w:szCs w:val="12"/>
                <w:color w:val="auto"/>
              </w:rPr>
            </w:pPr>
          </w:p>
        </w:tc>
        <w:tc>
          <w:tcPr>
            <w:tcW w:w="9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6"/>
        </w:trPr>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6"/>
              </w:rPr>
              <w:t>RPSU</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4/15/2022</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2/22/2022</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2,363</w:t>
            </w:r>
          </w:p>
        </w:tc>
        <w:tc>
          <w:tcPr>
            <w:tcW w:w="8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9,453</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14,180</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300,700</w:t>
            </w:r>
          </w:p>
        </w:tc>
        <w:tc>
          <w:tcPr>
            <w:tcW w:w="0" w:type="dxa"/>
            <w:vAlign w:val="bottom"/>
          </w:tcPr>
          <w:p>
            <w:pPr>
              <w:spacing w:after="0"/>
              <w:rPr>
                <w:sz w:val="1"/>
                <w:szCs w:val="1"/>
                <w:color w:val="auto"/>
              </w:rPr>
            </w:pPr>
          </w:p>
        </w:tc>
      </w:tr>
      <w:tr>
        <w:trPr>
          <w:trHeight w:val="141"/>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0"/>
                <w:szCs w:val="10"/>
                <w:color w:val="auto"/>
                <w:w w:val="94"/>
              </w:rPr>
              <w:t>RSU</w:t>
            </w:r>
          </w:p>
        </w:tc>
        <w:tc>
          <w:tcPr>
            <w:tcW w:w="740" w:type="dxa"/>
            <w:vAlign w:val="bottom"/>
          </w:tcPr>
          <w:p>
            <w:pPr>
              <w:jc w:val="right"/>
              <w:spacing w:after="0"/>
              <w:rPr>
                <w:sz w:val="20"/>
                <w:szCs w:val="20"/>
                <w:color w:val="auto"/>
              </w:rPr>
            </w:pPr>
            <w:r>
              <w:rPr>
                <w:rFonts w:ascii="Arial" w:cs="Arial" w:eastAsia="Arial" w:hAnsi="Arial"/>
                <w:sz w:val="10"/>
                <w:szCs w:val="10"/>
                <w:color w:val="auto"/>
              </w:rPr>
              <w:t>4/15/2022</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2/22/2022</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271"/>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4,819</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165,003</w:t>
            </w:r>
          </w:p>
        </w:tc>
        <w:tc>
          <w:tcPr>
            <w:tcW w:w="0" w:type="dxa"/>
            <w:vAlign w:val="bottom"/>
          </w:tcPr>
          <w:p>
            <w:pPr>
              <w:spacing w:after="0"/>
              <w:rPr>
                <w:sz w:val="1"/>
                <w:szCs w:val="1"/>
                <w:color w:val="auto"/>
              </w:rPr>
            </w:pPr>
          </w:p>
        </w:tc>
      </w:tr>
      <w:tr>
        <w:trPr>
          <w:trHeight w:val="15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Chad Plotkin</w:t>
            </w:r>
            <w:r>
              <w:rPr>
                <w:rFonts w:ascii="Arial" w:cs="Arial" w:eastAsia="Arial" w:hAnsi="Arial"/>
                <w:sz w:val="12"/>
                <w:szCs w:val="12"/>
                <w:b w:val="1"/>
                <w:bCs w:val="1"/>
                <w:color w:val="auto"/>
                <w:vertAlign w:val="superscript"/>
              </w:rPr>
              <w:t>(5)</w:t>
            </w: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8"/>
              </w:rPr>
              <w:t>AIP</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161,000</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322,000</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644,000</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1"/>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0"/>
                <w:szCs w:val="10"/>
                <w:color w:val="auto"/>
                <w:w w:val="86"/>
              </w:rPr>
              <w:t>RPSU</w:t>
            </w:r>
          </w:p>
        </w:tc>
        <w:tc>
          <w:tcPr>
            <w:tcW w:w="740" w:type="dxa"/>
            <w:vAlign w:val="bottom"/>
          </w:tcPr>
          <w:p>
            <w:pPr>
              <w:jc w:val="right"/>
              <w:spacing w:after="0"/>
              <w:rPr>
                <w:sz w:val="20"/>
                <w:szCs w:val="20"/>
                <w:color w:val="auto"/>
              </w:rPr>
            </w:pPr>
            <w:r>
              <w:rPr>
                <w:rFonts w:ascii="Arial" w:cs="Arial" w:eastAsia="Arial" w:hAnsi="Arial"/>
                <w:sz w:val="10"/>
                <w:szCs w:val="10"/>
                <w:color w:val="auto"/>
              </w:rPr>
              <w:t>4/15/2022</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2/22/2022</w:t>
            </w:r>
          </w:p>
        </w:tc>
        <w:tc>
          <w:tcPr>
            <w:tcW w:w="100" w:type="dxa"/>
            <w:vAlign w:val="bottom"/>
          </w:tcPr>
          <w:p>
            <w:pPr>
              <w:spacing w:after="0"/>
              <w:rPr>
                <w:sz w:val="12"/>
                <w:szCs w:val="12"/>
                <w:color w:val="auto"/>
              </w:rPr>
            </w:pPr>
          </w:p>
        </w:tc>
        <w:tc>
          <w:tcPr>
            <w:tcW w:w="8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51"/>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51"/>
              <w:spacing w:after="0"/>
              <w:rPr>
                <w:sz w:val="20"/>
                <w:szCs w:val="20"/>
                <w:color w:val="auto"/>
              </w:rPr>
            </w:pPr>
            <w:r>
              <w:rPr>
                <w:rFonts w:ascii="Arial" w:cs="Arial" w:eastAsia="Arial" w:hAnsi="Arial"/>
                <w:sz w:val="10"/>
                <w:szCs w:val="10"/>
                <w:color w:val="auto"/>
              </w:rPr>
              <w:t>3,261</w:t>
            </w:r>
          </w:p>
        </w:tc>
        <w:tc>
          <w:tcPr>
            <w:tcW w:w="880" w:type="dxa"/>
            <w:vAlign w:val="bottom"/>
          </w:tcPr>
          <w:p>
            <w:pPr>
              <w:jc w:val="right"/>
              <w:ind w:right="271"/>
              <w:spacing w:after="0"/>
              <w:rPr>
                <w:sz w:val="20"/>
                <w:szCs w:val="20"/>
                <w:color w:val="auto"/>
              </w:rPr>
            </w:pPr>
            <w:r>
              <w:rPr>
                <w:rFonts w:ascii="Arial" w:cs="Arial" w:eastAsia="Arial" w:hAnsi="Arial"/>
                <w:sz w:val="10"/>
                <w:szCs w:val="10"/>
                <w:color w:val="auto"/>
              </w:rPr>
              <w:t>13,045</w:t>
            </w:r>
          </w:p>
        </w:tc>
        <w:tc>
          <w:tcPr>
            <w:tcW w:w="740" w:type="dxa"/>
            <w:vAlign w:val="bottom"/>
          </w:tcPr>
          <w:p>
            <w:pPr>
              <w:jc w:val="right"/>
              <w:ind w:right="11"/>
              <w:spacing w:after="0"/>
              <w:rPr>
                <w:sz w:val="20"/>
                <w:szCs w:val="20"/>
                <w:color w:val="auto"/>
              </w:rPr>
            </w:pPr>
            <w:r>
              <w:rPr>
                <w:rFonts w:ascii="Arial" w:cs="Arial" w:eastAsia="Arial" w:hAnsi="Arial"/>
                <w:sz w:val="10"/>
                <w:szCs w:val="10"/>
                <w:color w:val="auto"/>
              </w:rPr>
              <w:t>19,568</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414,961</w:t>
            </w:r>
          </w:p>
        </w:tc>
        <w:tc>
          <w:tcPr>
            <w:tcW w:w="0" w:type="dxa"/>
            <w:vAlign w:val="bottom"/>
          </w:tcPr>
          <w:p>
            <w:pPr>
              <w:spacing w:after="0"/>
              <w:rPr>
                <w:sz w:val="1"/>
                <w:szCs w:val="1"/>
                <w:color w:val="auto"/>
              </w:rPr>
            </w:pPr>
          </w:p>
        </w:tc>
      </w:tr>
      <w:tr>
        <w:trPr>
          <w:trHeight w:val="156"/>
        </w:trPr>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4"/>
              </w:rPr>
              <w:t>RSU</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4/15/2022</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2/22/2022</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6,651</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227,730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7" w:lineRule="exact"/>
        <w:rPr>
          <w:sz w:val="20"/>
          <w:szCs w:val="20"/>
          <w:color w:val="auto"/>
        </w:rPr>
      </w:pPr>
    </w:p>
    <w:p>
      <w:pPr>
        <w:ind w:left="180" w:hanging="111"/>
        <w:spacing w:after="0"/>
        <w:tabs>
          <w:tab w:leader="none" w:pos="180" w:val="left"/>
        </w:tabs>
        <w:numPr>
          <w:ilvl w:val="0"/>
          <w:numId w:val="42"/>
        </w:numPr>
        <w:rPr>
          <w:rFonts w:ascii="Arial" w:cs="Arial" w:eastAsia="Arial" w:hAnsi="Arial"/>
          <w:sz w:val="7"/>
          <w:szCs w:val="7"/>
          <w:color w:val="auto"/>
        </w:rPr>
      </w:pPr>
      <w:r>
        <w:rPr>
          <w:rFonts w:ascii="Arial" w:cs="Arial" w:eastAsia="Arial" w:hAnsi="Arial"/>
          <w:sz w:val="11"/>
          <w:szCs w:val="11"/>
          <w:color w:val="auto"/>
        </w:rPr>
        <w:t>Threshold non-equity incentive plan awards include annual incentive plan threshold payments, as presented in the CD&amp;A.</w:t>
      </w:r>
    </w:p>
    <w:p>
      <w:pPr>
        <w:spacing w:after="0" w:line="49" w:lineRule="exact"/>
        <w:rPr>
          <w:rFonts w:ascii="Arial" w:cs="Arial" w:eastAsia="Arial" w:hAnsi="Arial"/>
          <w:sz w:val="7"/>
          <w:szCs w:val="7"/>
          <w:color w:val="auto"/>
        </w:rPr>
      </w:pPr>
    </w:p>
    <w:p>
      <w:pPr>
        <w:ind w:left="180" w:hanging="111"/>
        <w:spacing w:after="0"/>
        <w:tabs>
          <w:tab w:leader="none" w:pos="180" w:val="left"/>
        </w:tabs>
        <w:numPr>
          <w:ilvl w:val="0"/>
          <w:numId w:val="42"/>
        </w:numPr>
        <w:rPr>
          <w:rFonts w:ascii="Arial" w:cs="Arial" w:eastAsia="Arial" w:hAnsi="Arial"/>
          <w:sz w:val="13"/>
          <w:szCs w:val="13"/>
          <w:color w:val="auto"/>
          <w:vertAlign w:val="superscript"/>
        </w:rPr>
      </w:pPr>
      <w:r>
        <w:rPr>
          <w:rFonts w:ascii="Arial" w:cs="Arial" w:eastAsia="Arial" w:hAnsi="Arial"/>
          <w:sz w:val="10"/>
          <w:szCs w:val="10"/>
          <w:color w:val="auto"/>
        </w:rPr>
        <w:t>Target non-equity incentive plan awards include annual incentive plan target payments, as presented in the CD&amp;A.</w:t>
      </w:r>
    </w:p>
    <w:p>
      <w:pPr>
        <w:spacing w:after="0" w:line="43" w:lineRule="exact"/>
        <w:rPr>
          <w:rFonts w:ascii="Arial" w:cs="Arial" w:eastAsia="Arial" w:hAnsi="Arial"/>
          <w:sz w:val="13"/>
          <w:szCs w:val="13"/>
          <w:color w:val="auto"/>
          <w:vertAlign w:val="superscript"/>
        </w:rPr>
      </w:pPr>
    </w:p>
    <w:p>
      <w:pPr>
        <w:ind w:left="180" w:hanging="111"/>
        <w:spacing w:after="0" w:line="219" w:lineRule="auto"/>
        <w:tabs>
          <w:tab w:leader="none" w:pos="180" w:val="left"/>
        </w:tabs>
        <w:numPr>
          <w:ilvl w:val="0"/>
          <w:numId w:val="42"/>
        </w:numPr>
        <w:rPr>
          <w:rFonts w:ascii="Arial" w:cs="Arial" w:eastAsia="Arial" w:hAnsi="Arial"/>
          <w:sz w:val="13"/>
          <w:szCs w:val="13"/>
          <w:color w:val="auto"/>
          <w:vertAlign w:val="superscript"/>
        </w:rPr>
      </w:pPr>
      <w:r>
        <w:rPr>
          <w:rFonts w:ascii="Arial" w:cs="Arial" w:eastAsia="Arial" w:hAnsi="Arial"/>
          <w:sz w:val="10"/>
          <w:szCs w:val="10"/>
          <w:color w:val="auto"/>
        </w:rPr>
        <w:t>Maximum non-equity incentive plan awards include annual incentive plan maximum payments, as presented in the CD&amp;A.</w:t>
      </w:r>
    </w:p>
    <w:p>
      <w:pPr>
        <w:spacing w:after="0" w:line="43" w:lineRule="exact"/>
        <w:rPr>
          <w:rFonts w:ascii="Arial" w:cs="Arial" w:eastAsia="Arial" w:hAnsi="Arial"/>
          <w:sz w:val="13"/>
          <w:szCs w:val="13"/>
          <w:color w:val="auto"/>
          <w:vertAlign w:val="superscript"/>
        </w:rPr>
      </w:pPr>
    </w:p>
    <w:p>
      <w:pPr>
        <w:jc w:val="both"/>
        <w:ind w:left="60" w:firstLine="9"/>
        <w:spacing w:after="0" w:line="303" w:lineRule="auto"/>
        <w:tabs>
          <w:tab w:leader="none" w:pos="174" w:val="left"/>
        </w:tabs>
        <w:numPr>
          <w:ilvl w:val="0"/>
          <w:numId w:val="42"/>
        </w:numPr>
        <w:rPr>
          <w:rFonts w:ascii="Arial" w:cs="Arial" w:eastAsia="Arial" w:hAnsi="Arial"/>
          <w:sz w:val="12"/>
          <w:szCs w:val="12"/>
          <w:color w:val="auto"/>
          <w:vertAlign w:val="superscript"/>
        </w:rPr>
      </w:pPr>
      <w:r>
        <w:rPr>
          <w:rFonts w:ascii="Arial" w:cs="Arial" w:eastAsia="Arial" w:hAnsi="Arial"/>
          <w:sz w:val="9"/>
          <w:szCs w:val="9"/>
          <w:color w:val="auto"/>
        </w:rPr>
        <w:t>Reflects the grant date fair value determined in accordance with the Financial Accounting Standards Board Accounting Standards Codification Topic 718, Comparison—Stock Compensation. The Company uses the Class C common stock price on the date of grant as the fair value of the Company’s RSUs. The fair value of RPSUs is estimated on the date of grant using a Monte Carlo simulation model. For years preceding 2020, the number of RPSUs granted was based on the fair value of RPSUs estimated on the date of grant using a Monte Carlo simulation model. Beginning with awards granted in 2020, the number of RPSUs granted is based on the 10-day average closing price of the Company’s Class C common stock ending on the date of grant. This change in determining fair value of the RPSUs was implemented after reviewing the compensation practices of Compensation Peer Group companies.</w:t>
      </w:r>
    </w:p>
    <w:p>
      <w:pPr>
        <w:spacing w:after="0" w:line="4" w:lineRule="exact"/>
        <w:rPr>
          <w:rFonts w:ascii="Arial" w:cs="Arial" w:eastAsia="Arial" w:hAnsi="Arial"/>
          <w:sz w:val="12"/>
          <w:szCs w:val="12"/>
          <w:color w:val="auto"/>
          <w:vertAlign w:val="superscript"/>
        </w:rPr>
      </w:pPr>
    </w:p>
    <w:p>
      <w:pPr>
        <w:ind w:left="180" w:hanging="111"/>
        <w:spacing w:after="0"/>
        <w:tabs>
          <w:tab w:leader="none" w:pos="180" w:val="left"/>
        </w:tabs>
        <w:numPr>
          <w:ilvl w:val="0"/>
          <w:numId w:val="42"/>
        </w:numPr>
        <w:rPr>
          <w:rFonts w:ascii="Arial" w:cs="Arial" w:eastAsia="Arial" w:hAnsi="Arial"/>
          <w:sz w:val="13"/>
          <w:szCs w:val="13"/>
          <w:color w:val="auto"/>
          <w:vertAlign w:val="superscript"/>
        </w:rPr>
      </w:pPr>
      <w:r>
        <w:rPr>
          <w:rFonts w:ascii="Arial" w:cs="Arial" w:eastAsia="Arial" w:hAnsi="Arial"/>
          <w:sz w:val="10"/>
          <w:szCs w:val="10"/>
          <w:color w:val="auto"/>
        </w:rPr>
        <w:t>Mr. Plotkin voluntarily resigned from his employment with the Company in August 2022.</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Outstanding Equity Awards at Fiscal Year End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 Ended December 31,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ind w:left="800"/>
              <w:spacing w:after="0"/>
              <w:rPr>
                <w:sz w:val="20"/>
                <w:szCs w:val="20"/>
                <w:color w:val="auto"/>
              </w:rPr>
            </w:pPr>
            <w:r>
              <w:rPr>
                <w:rFonts w:ascii="Arial" w:cs="Arial" w:eastAsia="Arial" w:hAnsi="Arial"/>
                <w:sz w:val="10"/>
                <w:szCs w:val="10"/>
                <w:b w:val="1"/>
                <w:bCs w:val="1"/>
                <w:color w:val="auto"/>
                <w:w w:val="92"/>
              </w:rPr>
              <w:t>Option Awards</w:t>
            </w: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rPr>
              <w:t>Stock Awards</w:t>
            </w:r>
          </w:p>
        </w:tc>
        <w:tc>
          <w:tcPr>
            <w:tcW w:w="1420" w:type="dxa"/>
            <w:vAlign w:val="bottom"/>
            <w:tcBorders>
              <w:bottom w:val="single" w:sz="8" w:color="auto"/>
            </w:tcBorders>
          </w:tcPr>
          <w:p>
            <w:pPr>
              <w:spacing w:after="0"/>
              <w:rPr>
                <w:sz w:val="11"/>
                <w:szCs w:val="11"/>
                <w:color w:val="auto"/>
              </w:rPr>
            </w:pPr>
          </w:p>
        </w:tc>
      </w:tr>
      <w:tr>
        <w:trPr>
          <w:trHeight w:val="124"/>
        </w:trPr>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31"/>
              <w:spacing w:after="0"/>
              <w:rPr>
                <w:sz w:val="20"/>
                <w:szCs w:val="20"/>
                <w:color w:val="auto"/>
              </w:rPr>
            </w:pPr>
            <w:r>
              <w:rPr>
                <w:rFonts w:ascii="Arial" w:cs="Arial" w:eastAsia="Arial" w:hAnsi="Arial"/>
                <w:sz w:val="10"/>
                <w:szCs w:val="10"/>
                <w:b w:val="1"/>
                <w:bCs w:val="1"/>
                <w:color w:val="auto"/>
                <w:w w:val="91"/>
              </w:rPr>
              <w:t>Number of</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w w:val="91"/>
              </w:rPr>
              <w:t>Number of</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left="191"/>
              <w:spacing w:after="0"/>
              <w:rPr>
                <w:sz w:val="20"/>
                <w:szCs w:val="20"/>
                <w:color w:val="auto"/>
              </w:rPr>
            </w:pPr>
            <w:r>
              <w:rPr>
                <w:rFonts w:ascii="Arial" w:cs="Arial" w:eastAsia="Arial" w:hAnsi="Arial"/>
                <w:sz w:val="10"/>
                <w:szCs w:val="10"/>
                <w:b w:val="1"/>
                <w:bCs w:val="1"/>
                <w:color w:val="auto"/>
                <w:w w:val="95"/>
              </w:rPr>
              <w:t>Number</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ind w:left="11"/>
              <w:spacing w:after="0"/>
              <w:rPr>
                <w:sz w:val="20"/>
                <w:szCs w:val="20"/>
                <w:color w:val="auto"/>
              </w:rPr>
            </w:pPr>
            <w:r>
              <w:rPr>
                <w:rFonts w:ascii="Arial" w:cs="Arial" w:eastAsia="Arial" w:hAnsi="Arial"/>
                <w:sz w:val="10"/>
                <w:szCs w:val="10"/>
                <w:b w:val="1"/>
                <w:bCs w:val="1"/>
                <w:color w:val="auto"/>
                <w:w w:val="93"/>
              </w:rPr>
              <w:t>Market Value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gridSpan w:val="3"/>
          </w:tcPr>
          <w:p>
            <w:pPr>
              <w:ind w:left="760"/>
              <w:spacing w:after="0"/>
              <w:rPr>
                <w:sz w:val="20"/>
                <w:szCs w:val="20"/>
                <w:color w:val="auto"/>
              </w:rPr>
            </w:pPr>
            <w:r>
              <w:rPr>
                <w:rFonts w:ascii="Arial" w:cs="Arial" w:eastAsia="Arial" w:hAnsi="Arial"/>
                <w:sz w:val="10"/>
                <w:szCs w:val="10"/>
                <w:b w:val="1"/>
                <w:bCs w:val="1"/>
                <w:color w:val="auto"/>
              </w:rPr>
              <w:t>Equity Incentive Plan Awards</w:t>
            </w:r>
          </w:p>
        </w:tc>
      </w:tr>
      <w:tr>
        <w:trPr>
          <w:trHeight w:val="115"/>
        </w:trPr>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31"/>
              <w:spacing w:after="0"/>
              <w:rPr>
                <w:sz w:val="20"/>
                <w:szCs w:val="20"/>
                <w:color w:val="auto"/>
              </w:rPr>
            </w:pPr>
            <w:r>
              <w:rPr>
                <w:rFonts w:ascii="Arial" w:cs="Arial" w:eastAsia="Arial" w:hAnsi="Arial"/>
                <w:sz w:val="10"/>
                <w:szCs w:val="10"/>
                <w:b w:val="1"/>
                <w:bCs w:val="1"/>
                <w:color w:val="auto"/>
                <w:w w:val="87"/>
              </w:rPr>
              <w:t>Securities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w w:val="87"/>
              </w:rPr>
              <w:t>Securities</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left="191"/>
              <w:spacing w:after="0"/>
              <w:rPr>
                <w:sz w:val="20"/>
                <w:szCs w:val="20"/>
                <w:color w:val="auto"/>
              </w:rPr>
            </w:pPr>
            <w:r>
              <w:rPr>
                <w:rFonts w:ascii="Arial" w:cs="Arial" w:eastAsia="Arial" w:hAnsi="Arial"/>
                <w:sz w:val="10"/>
                <w:szCs w:val="10"/>
                <w:b w:val="1"/>
                <w:bCs w:val="1"/>
                <w:color w:val="auto"/>
                <w:w w:val="87"/>
              </w:rPr>
              <w:t>of Shares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89"/>
              </w:rPr>
              <w:t>of Shares or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Number of</w:t>
            </w:r>
          </w:p>
        </w:tc>
        <w:tc>
          <w:tcPr>
            <w:tcW w:w="1420" w:type="dxa"/>
            <w:vAlign w:val="bottom"/>
          </w:tcPr>
          <w:p>
            <w:pPr>
              <w:spacing w:after="0"/>
              <w:rPr>
                <w:sz w:val="10"/>
                <w:szCs w:val="10"/>
                <w:color w:val="auto"/>
              </w:rPr>
            </w:pPr>
          </w:p>
        </w:tc>
      </w:tr>
      <w:tr>
        <w:trPr>
          <w:trHeight w:val="117"/>
        </w:trPr>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51"/>
              <w:spacing w:after="0"/>
              <w:rPr>
                <w:sz w:val="20"/>
                <w:szCs w:val="20"/>
                <w:color w:val="auto"/>
              </w:rPr>
            </w:pPr>
            <w:r>
              <w:rPr>
                <w:rFonts w:ascii="Arial" w:cs="Arial" w:eastAsia="Arial" w:hAnsi="Arial"/>
                <w:sz w:val="10"/>
                <w:szCs w:val="10"/>
                <w:b w:val="1"/>
                <w:bCs w:val="1"/>
                <w:color w:val="auto"/>
                <w:w w:val="91"/>
              </w:rPr>
              <w:t>Underlying</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0"/>
                <w:szCs w:val="10"/>
                <w:b w:val="1"/>
                <w:bCs w:val="1"/>
                <w:color w:val="auto"/>
                <w:w w:val="91"/>
              </w:rPr>
              <w:t>Underlying</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left="211"/>
              <w:spacing w:after="0"/>
              <w:rPr>
                <w:sz w:val="20"/>
                <w:szCs w:val="20"/>
                <w:color w:val="auto"/>
              </w:rPr>
            </w:pPr>
            <w:r>
              <w:rPr>
                <w:rFonts w:ascii="Arial" w:cs="Arial" w:eastAsia="Arial" w:hAnsi="Arial"/>
                <w:sz w:val="10"/>
                <w:szCs w:val="10"/>
                <w:b w:val="1"/>
                <w:bCs w:val="1"/>
                <w:color w:val="auto"/>
                <w:w w:val="91"/>
              </w:rPr>
              <w:t>or Units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85"/>
              </w:rPr>
              <w:t>Units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0"/>
              </w:rPr>
              <w:t>Unearned</w:t>
            </w:r>
          </w:p>
        </w:tc>
        <w:tc>
          <w:tcPr>
            <w:tcW w:w="1420" w:type="dxa"/>
            <w:vAlign w:val="bottom"/>
          </w:tcPr>
          <w:p>
            <w:pPr>
              <w:jc w:val="center"/>
              <w:spacing w:after="0"/>
              <w:rPr>
                <w:sz w:val="20"/>
                <w:szCs w:val="20"/>
                <w:color w:val="auto"/>
              </w:rPr>
            </w:pPr>
            <w:r>
              <w:rPr>
                <w:rFonts w:ascii="Arial" w:cs="Arial" w:eastAsia="Arial" w:hAnsi="Arial"/>
                <w:sz w:val="10"/>
                <w:szCs w:val="10"/>
                <w:b w:val="1"/>
                <w:bCs w:val="1"/>
                <w:color w:val="auto"/>
                <w:w w:val="93"/>
              </w:rPr>
              <w:t>Market Value</w:t>
            </w:r>
          </w:p>
        </w:tc>
      </w:tr>
      <w:tr>
        <w:trPr>
          <w:trHeight w:val="106"/>
        </w:trPr>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left="151"/>
              <w:spacing w:after="0" w:line="106" w:lineRule="exact"/>
              <w:rPr>
                <w:sz w:val="20"/>
                <w:szCs w:val="20"/>
                <w:color w:val="auto"/>
              </w:rPr>
            </w:pPr>
            <w:r>
              <w:rPr>
                <w:rFonts w:ascii="Arial" w:cs="Arial" w:eastAsia="Arial" w:hAnsi="Arial"/>
                <w:sz w:val="10"/>
                <w:szCs w:val="10"/>
                <w:b w:val="1"/>
                <w:bCs w:val="1"/>
                <w:color w:val="auto"/>
                <w:w w:val="87"/>
              </w:rPr>
              <w:t>Unexercised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tcPr>
          <w:p>
            <w:pPr>
              <w:jc w:val="center"/>
              <w:ind w:right="320"/>
              <w:spacing w:after="0" w:line="106" w:lineRule="exact"/>
              <w:rPr>
                <w:sz w:val="20"/>
                <w:szCs w:val="20"/>
                <w:color w:val="auto"/>
              </w:rPr>
            </w:pPr>
            <w:r>
              <w:rPr>
                <w:rFonts w:ascii="Arial" w:cs="Arial" w:eastAsia="Arial" w:hAnsi="Arial"/>
                <w:sz w:val="10"/>
                <w:szCs w:val="10"/>
                <w:b w:val="1"/>
                <w:bCs w:val="1"/>
                <w:color w:val="auto"/>
                <w:w w:val="87"/>
              </w:rPr>
              <w:t>Unexercised</w:t>
            </w:r>
          </w:p>
        </w:tc>
        <w:tc>
          <w:tcPr>
            <w:tcW w:w="46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92"/>
              </w:rPr>
              <w:t>Option</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left="191"/>
              <w:spacing w:after="0" w:line="106" w:lineRule="exact"/>
              <w:rPr>
                <w:sz w:val="20"/>
                <w:szCs w:val="20"/>
                <w:color w:val="auto"/>
              </w:rPr>
            </w:pPr>
            <w:r>
              <w:rPr>
                <w:rFonts w:ascii="Arial" w:cs="Arial" w:eastAsia="Arial" w:hAnsi="Arial"/>
                <w:sz w:val="10"/>
                <w:szCs w:val="10"/>
                <w:b w:val="1"/>
                <w:bCs w:val="1"/>
                <w:color w:val="auto"/>
                <w:w w:val="90"/>
              </w:rPr>
              <w:t>Stock that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90"/>
              </w:rPr>
              <w:t>Stock that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tcPr>
          <w:p>
            <w:pPr>
              <w:jc w:val="center"/>
              <w:ind w:right="160"/>
              <w:spacing w:after="0" w:line="106" w:lineRule="exact"/>
              <w:rPr>
                <w:sz w:val="20"/>
                <w:szCs w:val="20"/>
                <w:color w:val="auto"/>
              </w:rPr>
            </w:pPr>
            <w:r>
              <w:rPr>
                <w:rFonts w:ascii="Arial" w:cs="Arial" w:eastAsia="Arial" w:hAnsi="Arial"/>
                <w:sz w:val="10"/>
                <w:szCs w:val="10"/>
                <w:b w:val="1"/>
                <w:bCs w:val="1"/>
                <w:color w:val="auto"/>
                <w:w w:val="88"/>
              </w:rPr>
              <w:t>Shares that</w:t>
            </w:r>
          </w:p>
        </w:tc>
        <w:tc>
          <w:tcPr>
            <w:tcW w:w="142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89"/>
              </w:rPr>
              <w:t>of Unearned</w:t>
            </w:r>
          </w:p>
        </w:tc>
      </w:tr>
      <w:tr>
        <w:trPr>
          <w:trHeight w:val="117"/>
        </w:trPr>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31"/>
              <w:spacing w:after="0"/>
              <w:rPr>
                <w:sz w:val="20"/>
                <w:szCs w:val="20"/>
                <w:color w:val="auto"/>
              </w:rPr>
            </w:pPr>
            <w:r>
              <w:rPr>
                <w:rFonts w:ascii="Arial" w:cs="Arial" w:eastAsia="Arial" w:hAnsi="Arial"/>
                <w:sz w:val="10"/>
                <w:szCs w:val="10"/>
                <w:b w:val="1"/>
                <w:bCs w:val="1"/>
                <w:color w:val="auto"/>
                <w:w w:val="89"/>
              </w:rPr>
              <w:t>Options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w w:val="89"/>
              </w:rPr>
              <w:t>Options</w:t>
            </w: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87"/>
              </w:rPr>
              <w:t>Exercise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left="171"/>
              <w:spacing w:after="0"/>
              <w:rPr>
                <w:sz w:val="20"/>
                <w:szCs w:val="20"/>
                <w:color w:val="auto"/>
              </w:rPr>
            </w:pPr>
            <w:r>
              <w:rPr>
                <w:rFonts w:ascii="Arial" w:cs="Arial" w:eastAsia="Arial" w:hAnsi="Arial"/>
                <w:sz w:val="10"/>
                <w:szCs w:val="10"/>
                <w:b w:val="1"/>
                <w:bCs w:val="1"/>
                <w:color w:val="auto"/>
                <w:w w:val="86"/>
              </w:rPr>
              <w:t>Option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left="191"/>
              <w:spacing w:after="0"/>
              <w:rPr>
                <w:sz w:val="20"/>
                <w:szCs w:val="20"/>
                <w:color w:val="auto"/>
              </w:rPr>
            </w:pPr>
            <w:r>
              <w:rPr>
                <w:rFonts w:ascii="Arial" w:cs="Arial" w:eastAsia="Arial" w:hAnsi="Arial"/>
                <w:sz w:val="10"/>
                <w:szCs w:val="10"/>
                <w:b w:val="1"/>
                <w:bCs w:val="1"/>
                <w:color w:val="auto"/>
                <w:w w:val="92"/>
              </w:rPr>
              <w:t>Have Not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92"/>
              </w:rPr>
              <w:t>Have Not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Have</w:t>
            </w:r>
          </w:p>
        </w:tc>
        <w:tc>
          <w:tcPr>
            <w:tcW w:w="1420" w:type="dxa"/>
            <w:vAlign w:val="bottom"/>
          </w:tcPr>
          <w:p>
            <w:pPr>
              <w:jc w:val="center"/>
              <w:spacing w:after="0"/>
              <w:rPr>
                <w:sz w:val="20"/>
                <w:szCs w:val="20"/>
                <w:color w:val="auto"/>
              </w:rPr>
            </w:pPr>
            <w:r>
              <w:rPr>
                <w:rFonts w:ascii="Arial" w:cs="Arial" w:eastAsia="Arial" w:hAnsi="Arial"/>
                <w:sz w:val="10"/>
                <w:szCs w:val="10"/>
                <w:b w:val="1"/>
                <w:bCs w:val="1"/>
                <w:color w:val="auto"/>
                <w:w w:val="88"/>
              </w:rPr>
              <w:t>Shares that Have</w:t>
            </w:r>
          </w:p>
        </w:tc>
      </w:tr>
      <w:tr>
        <w:trPr>
          <w:trHeight w:val="117"/>
        </w:trPr>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51"/>
              <w:spacing w:after="0"/>
              <w:rPr>
                <w:sz w:val="20"/>
                <w:szCs w:val="20"/>
                <w:color w:val="auto"/>
              </w:rPr>
            </w:pPr>
            <w:r>
              <w:rPr>
                <w:rFonts w:ascii="Arial" w:cs="Arial" w:eastAsia="Arial" w:hAnsi="Arial"/>
                <w:sz w:val="10"/>
                <w:szCs w:val="10"/>
                <w:b w:val="1"/>
                <w:bCs w:val="1"/>
                <w:color w:val="auto"/>
                <w:w w:val="97"/>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b w:val="1"/>
                <w:bCs w:val="1"/>
                <w:color w:val="auto"/>
                <w:w w:val="97"/>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89"/>
              </w:rPr>
              <w:t>Price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left="171"/>
              <w:spacing w:after="0"/>
              <w:rPr>
                <w:sz w:val="20"/>
                <w:szCs w:val="20"/>
                <w:color w:val="auto"/>
              </w:rPr>
            </w:pPr>
            <w:r>
              <w:rPr>
                <w:rFonts w:ascii="Arial" w:cs="Arial" w:eastAsia="Arial" w:hAnsi="Arial"/>
                <w:sz w:val="10"/>
                <w:szCs w:val="10"/>
                <w:b w:val="1"/>
                <w:bCs w:val="1"/>
                <w:color w:val="auto"/>
                <w:w w:val="89"/>
              </w:rPr>
              <w:t>Expiration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left="191"/>
              <w:spacing w:after="0"/>
              <w:rPr>
                <w:sz w:val="20"/>
                <w:szCs w:val="20"/>
                <w:color w:val="auto"/>
              </w:rPr>
            </w:pPr>
            <w:r>
              <w:rPr>
                <w:rFonts w:ascii="Arial" w:cs="Arial" w:eastAsia="Arial" w:hAnsi="Arial"/>
                <w:sz w:val="10"/>
                <w:szCs w:val="10"/>
                <w:b w:val="1"/>
                <w:bCs w:val="1"/>
                <w:color w:val="auto"/>
                <w:w w:val="85"/>
              </w:rPr>
              <w:t>Vested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85"/>
              </w:rPr>
              <w:t>Vested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7"/>
              </w:rPr>
              <w:t>Not Vested</w:t>
            </w:r>
          </w:p>
        </w:tc>
        <w:tc>
          <w:tcPr>
            <w:tcW w:w="1420" w:type="dxa"/>
            <w:vAlign w:val="bottom"/>
          </w:tcPr>
          <w:p>
            <w:pPr>
              <w:jc w:val="center"/>
              <w:spacing w:after="0"/>
              <w:rPr>
                <w:sz w:val="20"/>
                <w:szCs w:val="20"/>
                <w:color w:val="auto"/>
              </w:rPr>
            </w:pPr>
            <w:r>
              <w:rPr>
                <w:rFonts w:ascii="Arial" w:cs="Arial" w:eastAsia="Arial" w:hAnsi="Arial"/>
                <w:sz w:val="10"/>
                <w:szCs w:val="10"/>
                <w:b w:val="1"/>
                <w:bCs w:val="1"/>
                <w:color w:val="auto"/>
                <w:w w:val="87"/>
              </w:rPr>
              <w:t>Not Vested</w:t>
            </w:r>
          </w:p>
        </w:tc>
      </w:tr>
      <w:tr>
        <w:trPr>
          <w:trHeight w:val="162"/>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Name</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ind w:left="131"/>
              <w:spacing w:after="0"/>
              <w:rPr>
                <w:sz w:val="20"/>
                <w:szCs w:val="20"/>
                <w:color w:val="auto"/>
              </w:rPr>
            </w:pPr>
            <w:r>
              <w:rPr>
                <w:rFonts w:ascii="Arial" w:cs="Arial" w:eastAsia="Arial" w:hAnsi="Arial"/>
                <w:sz w:val="10"/>
                <w:szCs w:val="10"/>
                <w:b w:val="1"/>
                <w:bCs w:val="1"/>
                <w:color w:val="auto"/>
                <w:w w:val="89"/>
              </w:rPr>
              <w:t>Exercisable</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Unexercisable</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ind w:left="171"/>
              <w:spacing w:after="0"/>
              <w:rPr>
                <w:sz w:val="20"/>
                <w:szCs w:val="20"/>
                <w:color w:val="auto"/>
              </w:rPr>
            </w:pPr>
            <w:r>
              <w:rPr>
                <w:rFonts w:ascii="Arial" w:cs="Arial" w:eastAsia="Arial" w:hAnsi="Arial"/>
                <w:sz w:val="10"/>
                <w:szCs w:val="10"/>
                <w:b w:val="1"/>
                <w:bCs w:val="1"/>
                <w:color w:val="auto"/>
                <w:w w:val="92"/>
              </w:rPr>
              <w:t>Date</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ind w:left="191"/>
              <w:spacing w:after="0"/>
              <w:rPr>
                <w:sz w:val="20"/>
                <w:szCs w:val="20"/>
                <w:color w:val="auto"/>
              </w:rPr>
            </w:pPr>
            <w:r>
              <w:rPr>
                <w:rFonts w:ascii="Arial" w:cs="Arial" w:eastAsia="Arial" w:hAnsi="Arial"/>
                <w:sz w:val="10"/>
                <w:szCs w:val="10"/>
                <w:b w:val="1"/>
                <w:bCs w:val="1"/>
                <w:color w:val="auto"/>
                <w:w w:val="97"/>
              </w:rPr>
              <w:t>(#)</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w:t>
            </w:r>
            <w:r>
              <w:rPr>
                <w:rFonts w:ascii="Arial" w:cs="Arial" w:eastAsia="Arial" w:hAnsi="Arial"/>
                <w:sz w:val="12"/>
                <w:szCs w:val="12"/>
                <w:b w:val="1"/>
                <w:bCs w:val="1"/>
                <w:color w:val="auto"/>
                <w:w w:val="81"/>
                <w:vertAlign w:val="superscript"/>
              </w:rPr>
              <w:t>(1)</w:t>
            </w:r>
          </w:p>
        </w:tc>
        <w:tc>
          <w:tcPr>
            <w:tcW w:w="14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w:t>
            </w:r>
            <w:r>
              <w:rPr>
                <w:rFonts w:ascii="Arial" w:cs="Arial" w:eastAsia="Arial" w:hAnsi="Arial"/>
                <w:sz w:val="12"/>
                <w:szCs w:val="12"/>
                <w:b w:val="1"/>
                <w:bCs w:val="1"/>
                <w:color w:val="auto"/>
                <w:w w:val="81"/>
                <w:vertAlign w:val="superscript"/>
              </w:rPr>
              <w:t>(1)</w:t>
            </w:r>
          </w:p>
        </w:tc>
      </w:tr>
      <w:tr>
        <w:trPr>
          <w:trHeight w:val="139"/>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Christopher S. Sotos</w:t>
            </w:r>
          </w:p>
        </w:tc>
        <w:tc>
          <w:tcPr>
            <w:tcW w:w="8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480" w:type="dxa"/>
            <w:vAlign w:val="bottom"/>
            <w:gridSpan w:val="3"/>
            <w:shd w:val="clear" w:color="auto" w:fill="CCEEFF"/>
          </w:tcPr>
          <w:p>
            <w:pPr>
              <w:ind w:left="1020"/>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471"/>
              <w:spacing w:after="0"/>
              <w:rPr>
                <w:sz w:val="20"/>
                <w:szCs w:val="20"/>
                <w:color w:val="auto"/>
              </w:rPr>
            </w:pPr>
            <w:r>
              <w:rPr>
                <w:rFonts w:ascii="Arial" w:cs="Arial" w:eastAsia="Arial" w:hAnsi="Arial"/>
                <w:sz w:val="10"/>
                <w:szCs w:val="10"/>
                <w:color w:val="auto"/>
                <w:w w:val="84"/>
              </w:rPr>
              <w:t>45,836</w:t>
            </w:r>
            <w:r>
              <w:rPr>
                <w:rFonts w:ascii="Arial" w:cs="Arial" w:eastAsia="Arial" w:hAnsi="Arial"/>
                <w:sz w:val="12"/>
                <w:szCs w:val="12"/>
                <w:color w:val="auto"/>
                <w:w w:val="84"/>
                <w:vertAlign w:val="superscript"/>
              </w:rPr>
              <w:t>(2)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1,460,793</w:t>
            </w:r>
          </w:p>
        </w:tc>
        <w:tc>
          <w:tcPr>
            <w:tcW w:w="136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149,062</w:t>
            </w:r>
            <w:r>
              <w:rPr>
                <w:rFonts w:ascii="Arial" w:cs="Arial" w:eastAsia="Arial" w:hAnsi="Arial"/>
                <w:sz w:val="12"/>
                <w:szCs w:val="12"/>
                <w:color w:val="auto"/>
                <w:vertAlign w:val="superscript"/>
              </w:rPr>
              <w:t>(3)</w:t>
            </w: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0"/>
                <w:szCs w:val="10"/>
                <w:color w:val="auto"/>
              </w:rPr>
              <w:t>4,750,606</w:t>
            </w:r>
          </w:p>
        </w:tc>
      </w:tr>
      <w:tr>
        <w:trPr>
          <w:trHeight w:val="149"/>
        </w:trPr>
        <w:tc>
          <w:tcPr>
            <w:tcW w:w="1560" w:type="dxa"/>
            <w:vAlign w:val="bottom"/>
            <w:gridSpan w:val="2"/>
          </w:tcPr>
          <w:p>
            <w:pPr>
              <w:ind w:left="20"/>
              <w:spacing w:after="0"/>
              <w:rPr>
                <w:sz w:val="20"/>
                <w:szCs w:val="20"/>
                <w:color w:val="auto"/>
              </w:rPr>
            </w:pPr>
            <w:r>
              <w:rPr>
                <w:rFonts w:ascii="Arial" w:cs="Arial" w:eastAsia="Arial" w:hAnsi="Arial"/>
                <w:sz w:val="10"/>
                <w:szCs w:val="10"/>
                <w:color w:val="auto"/>
              </w:rPr>
              <w:t>Sarah Rubenstein</w:t>
            </w:r>
          </w:p>
        </w:tc>
        <w:tc>
          <w:tcPr>
            <w:tcW w:w="800" w:type="dxa"/>
            <w:vAlign w:val="bottom"/>
          </w:tcPr>
          <w:p>
            <w:pPr>
              <w:spacing w:after="0"/>
              <w:rPr>
                <w:sz w:val="12"/>
                <w:szCs w:val="12"/>
                <w:color w:val="auto"/>
              </w:rPr>
            </w:pPr>
          </w:p>
        </w:tc>
        <w:tc>
          <w:tcPr>
            <w:tcW w:w="28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1480" w:type="dxa"/>
            <w:vAlign w:val="bottom"/>
            <w:gridSpan w:val="3"/>
          </w:tcPr>
          <w:p>
            <w:pPr>
              <w:ind w:left="1020"/>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2"/>
                <w:szCs w:val="12"/>
                <w:color w:val="auto"/>
              </w:rPr>
            </w:pPr>
          </w:p>
        </w:tc>
        <w:tc>
          <w:tcPr>
            <w:tcW w:w="1160" w:type="dxa"/>
            <w:vAlign w:val="bottom"/>
            <w:gridSpan w:val="3"/>
          </w:tcPr>
          <w:p>
            <w:pPr>
              <w:ind w:left="60"/>
              <w:spacing w:after="0"/>
              <w:rPr>
                <w:sz w:val="20"/>
                <w:szCs w:val="20"/>
                <w:color w:val="auto"/>
              </w:rPr>
            </w:pPr>
            <w:r>
              <w:rPr>
                <w:rFonts w:ascii="Arial" w:cs="Arial" w:eastAsia="Arial" w:hAnsi="Arial"/>
                <w:sz w:val="10"/>
                <w:szCs w:val="10"/>
                <w:color w:val="auto"/>
              </w:rPr>
              <w:t>—</w:t>
            </w: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471"/>
              <w:spacing w:after="0"/>
              <w:rPr>
                <w:sz w:val="20"/>
                <w:szCs w:val="20"/>
                <w:color w:val="auto"/>
              </w:rPr>
            </w:pPr>
            <w:r>
              <w:rPr>
                <w:rFonts w:ascii="Arial" w:cs="Arial" w:eastAsia="Arial" w:hAnsi="Arial"/>
                <w:sz w:val="10"/>
                <w:szCs w:val="10"/>
                <w:color w:val="auto"/>
                <w:w w:val="84"/>
              </w:rPr>
              <w:t>12,735</w:t>
            </w:r>
            <w:r>
              <w:rPr>
                <w:rFonts w:ascii="Arial" w:cs="Arial" w:eastAsia="Arial" w:hAnsi="Arial"/>
                <w:sz w:val="12"/>
                <w:szCs w:val="12"/>
                <w:color w:val="auto"/>
                <w:w w:val="84"/>
                <w:vertAlign w:val="superscript"/>
              </w:rPr>
              <w:t>(4)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ind w:left="20"/>
              <w:spacing w:after="0"/>
              <w:rPr>
                <w:sz w:val="20"/>
                <w:szCs w:val="20"/>
                <w:color w:val="auto"/>
              </w:rPr>
            </w:pPr>
            <w:r>
              <w:rPr>
                <w:rFonts w:ascii="Arial" w:cs="Arial" w:eastAsia="Arial" w:hAnsi="Arial"/>
                <w:sz w:val="10"/>
                <w:szCs w:val="10"/>
                <w:color w:val="auto"/>
              </w:rPr>
              <w:t>405,864</w:t>
            </w:r>
          </w:p>
        </w:tc>
        <w:tc>
          <w:tcPr>
            <w:tcW w:w="1360" w:type="dxa"/>
            <w:vAlign w:val="bottom"/>
            <w:gridSpan w:val="3"/>
          </w:tcPr>
          <w:p>
            <w:pPr>
              <w:ind w:left="140"/>
              <w:spacing w:after="0"/>
              <w:rPr>
                <w:sz w:val="20"/>
                <w:szCs w:val="20"/>
                <w:color w:val="auto"/>
              </w:rPr>
            </w:pPr>
            <w:r>
              <w:rPr>
                <w:rFonts w:ascii="Arial" w:cs="Arial" w:eastAsia="Arial" w:hAnsi="Arial"/>
                <w:sz w:val="10"/>
                <w:szCs w:val="10"/>
                <w:color w:val="auto"/>
              </w:rPr>
              <w:t>7,916</w:t>
            </w:r>
            <w:r>
              <w:rPr>
                <w:rFonts w:ascii="Arial" w:cs="Arial" w:eastAsia="Arial" w:hAnsi="Arial"/>
                <w:sz w:val="12"/>
                <w:szCs w:val="12"/>
                <w:color w:val="auto"/>
                <w:vertAlign w:val="superscript"/>
              </w:rPr>
              <w:t>(5)</w:t>
            </w:r>
          </w:p>
        </w:tc>
        <w:tc>
          <w:tcPr>
            <w:tcW w:w="140" w:type="dxa"/>
            <w:vAlign w:val="bottom"/>
          </w:tcPr>
          <w:p>
            <w:pPr>
              <w:spacing w:after="0"/>
              <w:rPr>
                <w:sz w:val="12"/>
                <w:szCs w:val="12"/>
                <w:color w:val="auto"/>
              </w:rPr>
            </w:pPr>
          </w:p>
        </w:tc>
        <w:tc>
          <w:tcPr>
            <w:tcW w:w="1420" w:type="dxa"/>
            <w:vAlign w:val="bottom"/>
          </w:tcPr>
          <w:p>
            <w:pPr>
              <w:spacing w:after="0"/>
              <w:rPr>
                <w:sz w:val="20"/>
                <w:szCs w:val="20"/>
                <w:color w:val="auto"/>
              </w:rPr>
            </w:pPr>
            <w:r>
              <w:rPr>
                <w:rFonts w:ascii="Arial" w:cs="Arial" w:eastAsia="Arial" w:hAnsi="Arial"/>
                <w:sz w:val="10"/>
                <w:szCs w:val="10"/>
                <w:color w:val="auto"/>
              </w:rPr>
              <w:t>252,283</w:t>
            </w:r>
          </w:p>
        </w:tc>
      </w:tr>
      <w:tr>
        <w:trPr>
          <w:trHeight w:val="149"/>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Kevin P. Malcarney</w:t>
            </w:r>
          </w:p>
        </w:tc>
        <w:tc>
          <w:tcPr>
            <w:tcW w:w="8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480" w:type="dxa"/>
            <w:vAlign w:val="bottom"/>
            <w:gridSpan w:val="3"/>
            <w:shd w:val="clear" w:color="auto" w:fill="CCEEFF"/>
          </w:tcPr>
          <w:p>
            <w:pPr>
              <w:ind w:left="1020"/>
              <w:spacing w:after="0"/>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471"/>
              <w:spacing w:after="0"/>
              <w:rPr>
                <w:sz w:val="20"/>
                <w:szCs w:val="20"/>
                <w:color w:val="auto"/>
              </w:rPr>
            </w:pPr>
            <w:r>
              <w:rPr>
                <w:rFonts w:ascii="Arial" w:cs="Arial" w:eastAsia="Arial" w:hAnsi="Arial"/>
                <w:sz w:val="10"/>
                <w:szCs w:val="10"/>
                <w:color w:val="auto"/>
                <w:w w:val="84"/>
              </w:rPr>
              <w:t>10,115</w:t>
            </w:r>
            <w:r>
              <w:rPr>
                <w:rFonts w:ascii="Arial" w:cs="Arial" w:eastAsia="Arial" w:hAnsi="Arial"/>
                <w:sz w:val="12"/>
                <w:szCs w:val="12"/>
                <w:color w:val="auto"/>
                <w:w w:val="84"/>
                <w:vertAlign w:val="superscript"/>
              </w:rPr>
              <w:t>(6)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322,365</w:t>
            </w:r>
          </w:p>
        </w:tc>
        <w:tc>
          <w:tcPr>
            <w:tcW w:w="1360" w:type="dxa"/>
            <w:vAlign w:val="bottom"/>
            <w:gridSpan w:val="3"/>
            <w:shd w:val="clear" w:color="auto" w:fill="CCEEFF"/>
          </w:tcPr>
          <w:p>
            <w:pPr>
              <w:ind w:left="140"/>
              <w:spacing w:after="0"/>
              <w:rPr>
                <w:sz w:val="20"/>
                <w:szCs w:val="20"/>
                <w:color w:val="auto"/>
              </w:rPr>
            </w:pPr>
            <w:r>
              <w:rPr>
                <w:rFonts w:ascii="Arial" w:cs="Arial" w:eastAsia="Arial" w:hAnsi="Arial"/>
                <w:sz w:val="10"/>
                <w:szCs w:val="10"/>
                <w:color w:val="auto"/>
              </w:rPr>
              <w:t>32,001</w:t>
            </w:r>
            <w:r>
              <w:rPr>
                <w:rFonts w:ascii="Arial" w:cs="Arial" w:eastAsia="Arial" w:hAnsi="Arial"/>
                <w:sz w:val="12"/>
                <w:szCs w:val="12"/>
                <w:color w:val="auto"/>
                <w:vertAlign w:val="superscript"/>
              </w:rPr>
              <w:t>(7)</w:t>
            </w: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0"/>
                <w:szCs w:val="10"/>
                <w:color w:val="auto"/>
              </w:rPr>
              <w:t>1,019,872</w:t>
            </w:r>
          </w:p>
        </w:tc>
      </w:tr>
      <w:tr>
        <w:trPr>
          <w:trHeight w:val="165"/>
        </w:trPr>
        <w:tc>
          <w:tcPr>
            <w:tcW w:w="1560" w:type="dxa"/>
            <w:vAlign w:val="bottom"/>
            <w:gridSpan w:val="2"/>
          </w:tcPr>
          <w:p>
            <w:pPr>
              <w:ind w:left="20"/>
              <w:spacing w:after="0"/>
              <w:rPr>
                <w:sz w:val="20"/>
                <w:szCs w:val="20"/>
                <w:color w:val="auto"/>
              </w:rPr>
            </w:pPr>
            <w:r>
              <w:rPr>
                <w:rFonts w:ascii="Arial" w:cs="Arial" w:eastAsia="Arial" w:hAnsi="Arial"/>
                <w:sz w:val="10"/>
                <w:szCs w:val="10"/>
                <w:color w:val="auto"/>
              </w:rPr>
              <w:t>Chad Plotkin</w:t>
            </w:r>
            <w:r>
              <w:rPr>
                <w:rFonts w:ascii="Arial" w:cs="Arial" w:eastAsia="Arial" w:hAnsi="Arial"/>
                <w:sz w:val="12"/>
                <w:szCs w:val="12"/>
                <w:color w:val="auto"/>
                <w:vertAlign w:val="superscript"/>
              </w:rPr>
              <w:t>(8)</w:t>
            </w:r>
          </w:p>
        </w:tc>
        <w:tc>
          <w:tcPr>
            <w:tcW w:w="800" w:type="dxa"/>
            <w:vAlign w:val="bottom"/>
          </w:tcPr>
          <w:p>
            <w:pPr>
              <w:spacing w:after="0"/>
              <w:rPr>
                <w:sz w:val="14"/>
                <w:szCs w:val="14"/>
                <w:color w:val="auto"/>
              </w:rPr>
            </w:pPr>
          </w:p>
        </w:tc>
        <w:tc>
          <w:tcPr>
            <w:tcW w:w="28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1480" w:type="dxa"/>
            <w:vAlign w:val="bottom"/>
            <w:gridSpan w:val="3"/>
          </w:tcPr>
          <w:p>
            <w:pPr>
              <w:ind w:left="1020"/>
              <w:spacing w:after="0"/>
              <w:rPr>
                <w:sz w:val="20"/>
                <w:szCs w:val="20"/>
                <w:color w:val="auto"/>
              </w:rPr>
            </w:pPr>
            <w:r>
              <w:rPr>
                <w:rFonts w:ascii="Arial" w:cs="Arial" w:eastAsia="Arial" w:hAnsi="Arial"/>
                <w:sz w:val="10"/>
                <w:szCs w:val="10"/>
                <w:color w:val="auto"/>
              </w:rPr>
              <w:t>—</w:t>
            </w:r>
          </w:p>
        </w:tc>
        <w:tc>
          <w:tcPr>
            <w:tcW w:w="46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0"/>
                <w:szCs w:val="10"/>
                <w:color w:val="auto"/>
              </w:rPr>
              <w:t>—</w:t>
            </w:r>
          </w:p>
        </w:tc>
        <w:tc>
          <w:tcPr>
            <w:tcW w:w="320" w:type="dxa"/>
            <w:vAlign w:val="bottom"/>
            <w:gridSpan w:val="2"/>
          </w:tcPr>
          <w:p>
            <w:pPr>
              <w:ind w:left="80"/>
              <w:spacing w:after="0"/>
              <w:rPr>
                <w:sz w:val="20"/>
                <w:szCs w:val="20"/>
                <w:color w:val="auto"/>
              </w:rPr>
            </w:pPr>
            <w:r>
              <w:rPr>
                <w:rFonts w:ascii="Arial" w:cs="Arial" w:eastAsia="Arial" w:hAnsi="Arial"/>
                <w:sz w:val="10"/>
                <w:szCs w:val="10"/>
                <w:color w:val="auto"/>
              </w:rPr>
              <w:t>—</w:t>
            </w:r>
          </w:p>
        </w:tc>
        <w:tc>
          <w:tcPr>
            <w:tcW w:w="880" w:type="dxa"/>
            <w:vAlign w:val="bottom"/>
          </w:tcPr>
          <w:p>
            <w:pPr>
              <w:spacing w:after="0"/>
              <w:rPr>
                <w:sz w:val="14"/>
                <w:szCs w:val="14"/>
                <w:color w:val="auto"/>
              </w:rPr>
            </w:pPr>
          </w:p>
        </w:tc>
        <w:tc>
          <w:tcPr>
            <w:tcW w:w="3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1080" w:type="dxa"/>
            <w:vAlign w:val="bottom"/>
          </w:tcPr>
          <w:p>
            <w:pPr>
              <w:ind w:left="980"/>
              <w:spacing w:after="0"/>
              <w:rPr>
                <w:sz w:val="20"/>
                <w:szCs w:val="20"/>
                <w:color w:val="auto"/>
              </w:rPr>
            </w:pPr>
            <w:r>
              <w:rPr>
                <w:rFonts w:ascii="Arial" w:cs="Arial" w:eastAsia="Arial" w:hAnsi="Arial"/>
                <w:sz w:val="10"/>
                <w:szCs w:val="10"/>
                <w:color w:val="auto"/>
                <w:w w:val="7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1080"/>
              <w:spacing w:after="0"/>
              <w:rPr>
                <w:sz w:val="20"/>
                <w:szCs w:val="20"/>
                <w:color w:val="auto"/>
              </w:rPr>
            </w:pPr>
            <w:r>
              <w:rPr>
                <w:rFonts w:ascii="Arial" w:cs="Arial" w:eastAsia="Arial" w:hAnsi="Arial"/>
                <w:sz w:val="10"/>
                <w:szCs w:val="10"/>
                <w:color w:val="auto"/>
              </w:rPr>
              <w:t>—</w:t>
            </w:r>
          </w:p>
        </w:tc>
        <w:tc>
          <w:tcPr>
            <w:tcW w:w="1420" w:type="dxa"/>
            <w:vAlign w:val="bottom"/>
          </w:tcPr>
          <w:p>
            <w:pPr>
              <w:ind w:left="1280"/>
              <w:spacing w:after="0"/>
              <w:rPr>
                <w:sz w:val="20"/>
                <w:szCs w:val="20"/>
                <w:color w:val="auto"/>
              </w:rPr>
            </w:pPr>
            <w:r>
              <w:rPr>
                <w:rFonts w:ascii="Arial" w:cs="Arial" w:eastAsia="Arial" w:hAnsi="Arial"/>
                <w:sz w:val="10"/>
                <w:szCs w:val="1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138811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87" w:lineRule="exact"/>
        <w:rPr>
          <w:sz w:val="20"/>
          <w:szCs w:val="20"/>
          <w:color w:val="auto"/>
        </w:rPr>
      </w:pPr>
    </w:p>
    <w:p>
      <w:pPr>
        <w:ind w:left="180" w:hanging="111"/>
        <w:spacing w:after="0"/>
        <w:tabs>
          <w:tab w:leader="none" w:pos="180" w:val="left"/>
        </w:tabs>
        <w:numPr>
          <w:ilvl w:val="0"/>
          <w:numId w:val="43"/>
        </w:numPr>
        <w:rPr>
          <w:rFonts w:ascii="Arial" w:cs="Arial" w:eastAsia="Arial" w:hAnsi="Arial"/>
          <w:sz w:val="13"/>
          <w:szCs w:val="13"/>
          <w:color w:val="auto"/>
          <w:vertAlign w:val="superscript"/>
        </w:rPr>
      </w:pPr>
      <w:r>
        <w:rPr>
          <w:rFonts w:ascii="Arial" w:cs="Arial" w:eastAsia="Arial" w:hAnsi="Arial"/>
          <w:sz w:val="10"/>
          <w:szCs w:val="10"/>
          <w:color w:val="auto"/>
        </w:rPr>
        <w:t>Assumes achievement at target award level for 2020, 2021 and 2022 RPSU awards as discussed in the CD&amp;A.</w:t>
      </w:r>
    </w:p>
    <w:p>
      <w:pPr>
        <w:spacing w:after="0" w:line="43" w:lineRule="exact"/>
        <w:rPr>
          <w:rFonts w:ascii="Arial" w:cs="Arial" w:eastAsia="Arial" w:hAnsi="Arial"/>
          <w:sz w:val="13"/>
          <w:szCs w:val="13"/>
          <w:color w:val="auto"/>
          <w:vertAlign w:val="superscript"/>
        </w:rPr>
      </w:pPr>
    </w:p>
    <w:p>
      <w:pPr>
        <w:ind w:left="180" w:hanging="111"/>
        <w:spacing w:after="0" w:line="219" w:lineRule="auto"/>
        <w:tabs>
          <w:tab w:leader="none" w:pos="180" w:val="left"/>
        </w:tabs>
        <w:numPr>
          <w:ilvl w:val="0"/>
          <w:numId w:val="43"/>
        </w:numPr>
        <w:rPr>
          <w:rFonts w:ascii="Arial" w:cs="Arial" w:eastAsia="Arial" w:hAnsi="Arial"/>
          <w:sz w:val="13"/>
          <w:szCs w:val="13"/>
          <w:color w:val="auto"/>
          <w:vertAlign w:val="superscript"/>
        </w:rPr>
      </w:pPr>
      <w:r>
        <w:rPr>
          <w:rFonts w:ascii="Arial" w:cs="Arial" w:eastAsia="Arial" w:hAnsi="Arial"/>
          <w:sz w:val="10"/>
          <w:szCs w:val="10"/>
          <w:color w:val="auto"/>
        </w:rPr>
        <w:t>This amount represents 22,819 RSUs and 1,868 DERs that will vest on April 15, 2023, 13,482 RSUs and 715 DERs that will vest on April 15, 2024, and 6,745 RSUs and 207 DERs that will vest on April 15, 2025.</w:t>
      </w:r>
    </w:p>
    <w:p>
      <w:pPr>
        <w:spacing w:after="0" w:line="43" w:lineRule="exact"/>
        <w:rPr>
          <w:rFonts w:ascii="Arial" w:cs="Arial" w:eastAsia="Arial" w:hAnsi="Arial"/>
          <w:sz w:val="13"/>
          <w:szCs w:val="13"/>
          <w:color w:val="auto"/>
          <w:vertAlign w:val="superscript"/>
        </w:rPr>
      </w:pPr>
    </w:p>
    <w:p>
      <w:pPr>
        <w:ind w:left="180" w:hanging="111"/>
        <w:spacing w:after="0" w:line="219" w:lineRule="auto"/>
        <w:tabs>
          <w:tab w:leader="none" w:pos="180" w:val="left"/>
        </w:tabs>
        <w:numPr>
          <w:ilvl w:val="0"/>
          <w:numId w:val="43"/>
        </w:numPr>
        <w:rPr>
          <w:rFonts w:ascii="Arial" w:cs="Arial" w:eastAsia="Arial" w:hAnsi="Arial"/>
          <w:sz w:val="13"/>
          <w:szCs w:val="13"/>
          <w:color w:val="auto"/>
          <w:vertAlign w:val="superscript"/>
        </w:rPr>
      </w:pPr>
      <w:r>
        <w:rPr>
          <w:rFonts w:ascii="Arial" w:cs="Arial" w:eastAsia="Arial" w:hAnsi="Arial"/>
          <w:sz w:val="10"/>
          <w:szCs w:val="10"/>
          <w:color w:val="auto"/>
        </w:rPr>
        <w:t>This amount represents 56,792 RPSUs and 7,014 DERs that will vest on April 15, 2023, 41,319 RPSUs and 3,114 DERs that will vest on April 15, 2024, and 39,607 RPSUs and 1,216 DERs that will vest on April 15, 2025.</w:t>
      </w:r>
    </w:p>
    <w:p>
      <w:pPr>
        <w:spacing w:after="0" w:line="35" w:lineRule="exact"/>
        <w:rPr>
          <w:rFonts w:ascii="Arial" w:cs="Arial" w:eastAsia="Arial" w:hAnsi="Arial"/>
          <w:sz w:val="13"/>
          <w:szCs w:val="13"/>
          <w:color w:val="auto"/>
          <w:vertAlign w:val="superscript"/>
        </w:rPr>
      </w:pPr>
    </w:p>
    <w:p>
      <w:pPr>
        <w:ind w:left="60" w:firstLine="9"/>
        <w:spacing w:after="0" w:line="277" w:lineRule="auto"/>
        <w:tabs>
          <w:tab w:leader="none" w:pos="164" w:val="left"/>
        </w:tabs>
        <w:numPr>
          <w:ilvl w:val="0"/>
          <w:numId w:val="43"/>
        </w:numPr>
        <w:rPr>
          <w:rFonts w:ascii="Arial" w:cs="Arial" w:eastAsia="Arial" w:hAnsi="Arial"/>
          <w:sz w:val="7"/>
          <w:szCs w:val="7"/>
          <w:color w:val="auto"/>
        </w:rPr>
      </w:pPr>
      <w:r>
        <w:rPr>
          <w:rFonts w:ascii="Arial" w:cs="Arial" w:eastAsia="Arial" w:hAnsi="Arial"/>
          <w:sz w:val="11"/>
          <w:szCs w:val="11"/>
          <w:color w:val="auto"/>
        </w:rPr>
        <w:t>This amount represents 5,115 RSUs and 391 DERs that will vest on April 15, 2023, 1,711 RSUs and 169 DERs that will vest on November 2, 2023, 3,775 RSUs and 226 DERs that will vest on April 15, 2024, and 1,308 RSUs and 40 DERs that will vest on April 15, 2025.</w:t>
      </w:r>
    </w:p>
    <w:p>
      <w:pPr>
        <w:spacing w:after="0" w:line="11" w:lineRule="exact"/>
        <w:rPr>
          <w:rFonts w:ascii="Arial" w:cs="Arial" w:eastAsia="Arial" w:hAnsi="Arial"/>
          <w:sz w:val="7"/>
          <w:szCs w:val="7"/>
          <w:color w:val="auto"/>
        </w:rPr>
      </w:pPr>
    </w:p>
    <w:p>
      <w:pPr>
        <w:ind w:left="180" w:hanging="111"/>
        <w:spacing w:after="0"/>
        <w:tabs>
          <w:tab w:leader="none" w:pos="180" w:val="left"/>
        </w:tabs>
        <w:numPr>
          <w:ilvl w:val="0"/>
          <w:numId w:val="43"/>
        </w:numPr>
        <w:rPr>
          <w:rFonts w:ascii="Arial" w:cs="Arial" w:eastAsia="Arial" w:hAnsi="Arial"/>
          <w:sz w:val="13"/>
          <w:szCs w:val="13"/>
          <w:color w:val="auto"/>
          <w:vertAlign w:val="superscript"/>
        </w:rPr>
      </w:pPr>
      <w:r>
        <w:rPr>
          <w:rFonts w:ascii="Arial" w:cs="Arial" w:eastAsia="Arial" w:hAnsi="Arial"/>
          <w:sz w:val="10"/>
          <w:szCs w:val="10"/>
          <w:color w:val="auto"/>
        </w:rPr>
        <w:t>This amount represents 7,681 RPSUs and 235 DERs that will vest on April 15, 2025.</w:t>
      </w:r>
    </w:p>
    <w:p>
      <w:pPr>
        <w:spacing w:after="0" w:line="43" w:lineRule="exact"/>
        <w:rPr>
          <w:rFonts w:ascii="Arial" w:cs="Arial" w:eastAsia="Arial" w:hAnsi="Arial"/>
          <w:sz w:val="13"/>
          <w:szCs w:val="13"/>
          <w:color w:val="auto"/>
          <w:vertAlign w:val="superscript"/>
        </w:rPr>
      </w:pPr>
    </w:p>
    <w:p>
      <w:pPr>
        <w:ind w:left="60" w:firstLine="9"/>
        <w:spacing w:after="0" w:line="297" w:lineRule="auto"/>
        <w:tabs>
          <w:tab w:leader="none" w:pos="174" w:val="left"/>
        </w:tabs>
        <w:numPr>
          <w:ilvl w:val="0"/>
          <w:numId w:val="43"/>
        </w:numPr>
        <w:rPr>
          <w:rFonts w:ascii="Arial" w:cs="Arial" w:eastAsia="Arial" w:hAnsi="Arial"/>
          <w:sz w:val="12"/>
          <w:szCs w:val="12"/>
          <w:color w:val="auto"/>
          <w:vertAlign w:val="superscript"/>
        </w:rPr>
      </w:pPr>
      <w:r>
        <w:rPr>
          <w:rFonts w:ascii="Arial" w:cs="Arial" w:eastAsia="Arial" w:hAnsi="Arial"/>
          <w:sz w:val="9"/>
          <w:szCs w:val="9"/>
          <w:color w:val="auto"/>
        </w:rPr>
        <w:t>This amount represents 4,778 RSUs and 373 DERs that will vest on April 15, 2023, 3,141 RSUs and 164 DERs that will vest on April 15, 2024, and 1,610 RSUs and 49 DERs that will vest on April 15, 2025. Amounts do not include shares withheld for payment of taxes due to retirement eligibility.</w:t>
      </w:r>
    </w:p>
    <w:p>
      <w:pPr>
        <w:ind w:left="180" w:hanging="111"/>
        <w:spacing w:after="0"/>
        <w:tabs>
          <w:tab w:leader="none" w:pos="180" w:val="left"/>
        </w:tabs>
        <w:numPr>
          <w:ilvl w:val="0"/>
          <w:numId w:val="43"/>
        </w:numPr>
        <w:rPr>
          <w:rFonts w:ascii="Arial" w:cs="Arial" w:eastAsia="Arial" w:hAnsi="Arial"/>
          <w:sz w:val="7"/>
          <w:szCs w:val="7"/>
          <w:color w:val="auto"/>
        </w:rPr>
      </w:pPr>
      <w:r>
        <w:rPr>
          <w:rFonts w:ascii="Arial" w:cs="Arial" w:eastAsia="Arial" w:hAnsi="Arial"/>
          <w:sz w:val="11"/>
          <w:szCs w:val="11"/>
          <w:color w:val="auto"/>
        </w:rPr>
        <w:t>This amount represents 10,827 RPSUs and 1,337 DERs that will vest on April 15, 2023, 9,387 RPSUs and 707 DERs that will vest on April 15, 2024, and 9,453 RPSUs and 290 DERs that will vest on April 15, 2025.</w:t>
      </w:r>
    </w:p>
    <w:p>
      <w:pPr>
        <w:spacing w:after="0" w:line="49" w:lineRule="exact"/>
        <w:rPr>
          <w:rFonts w:ascii="Arial" w:cs="Arial" w:eastAsia="Arial" w:hAnsi="Arial"/>
          <w:sz w:val="7"/>
          <w:szCs w:val="7"/>
          <w:color w:val="auto"/>
        </w:rPr>
      </w:pPr>
    </w:p>
    <w:p>
      <w:pPr>
        <w:ind w:left="180" w:hanging="111"/>
        <w:spacing w:after="0"/>
        <w:tabs>
          <w:tab w:leader="none" w:pos="180" w:val="left"/>
        </w:tabs>
        <w:numPr>
          <w:ilvl w:val="0"/>
          <w:numId w:val="43"/>
        </w:numPr>
        <w:rPr>
          <w:rFonts w:ascii="Arial" w:cs="Arial" w:eastAsia="Arial" w:hAnsi="Arial"/>
          <w:sz w:val="13"/>
          <w:szCs w:val="13"/>
          <w:color w:val="auto"/>
          <w:vertAlign w:val="superscript"/>
        </w:rPr>
      </w:pPr>
      <w:r>
        <w:rPr>
          <w:rFonts w:ascii="Arial" w:cs="Arial" w:eastAsia="Arial" w:hAnsi="Arial"/>
          <w:sz w:val="10"/>
          <w:szCs w:val="10"/>
          <w:color w:val="auto"/>
        </w:rPr>
        <w:t>Mr. Plotkin voluntarily resigned from his employment with the Company in August 2022.</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color w:val="auto"/>
        </w:rPr>
        <w:t>Option Exercises and Stock Vested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 Ended December 31, 2022</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4"/>
          </w:tcPr>
          <w:p>
            <w:pPr>
              <w:ind w:left="800"/>
              <w:spacing w:after="0"/>
              <w:rPr>
                <w:sz w:val="20"/>
                <w:szCs w:val="20"/>
                <w:color w:val="auto"/>
              </w:rPr>
            </w:pPr>
            <w:r>
              <w:rPr>
                <w:rFonts w:ascii="Arial" w:cs="Arial" w:eastAsia="Arial" w:hAnsi="Arial"/>
                <w:sz w:val="11"/>
                <w:szCs w:val="11"/>
                <w:b w:val="1"/>
                <w:bCs w:val="1"/>
                <w:color w:val="auto"/>
              </w:rPr>
              <w:t>Option Awards</w:t>
            </w:r>
          </w:p>
        </w:tc>
        <w:tc>
          <w:tcPr>
            <w:tcW w:w="2880" w:type="dxa"/>
            <w:vAlign w:val="bottom"/>
            <w:gridSpan w:val="3"/>
          </w:tcPr>
          <w:p>
            <w:pPr>
              <w:jc w:val="right"/>
              <w:ind w:right="1035"/>
              <w:spacing w:after="0"/>
              <w:rPr>
                <w:sz w:val="20"/>
                <w:szCs w:val="20"/>
                <w:color w:val="auto"/>
              </w:rPr>
            </w:pPr>
            <w:r>
              <w:rPr>
                <w:rFonts w:ascii="Arial" w:cs="Arial" w:eastAsia="Arial" w:hAnsi="Arial"/>
                <w:sz w:val="11"/>
                <w:szCs w:val="11"/>
                <w:b w:val="1"/>
                <w:bCs w:val="1"/>
                <w:color w:val="auto"/>
              </w:rPr>
              <w:t>Stock Awards</w:t>
            </w:r>
          </w:p>
        </w:tc>
      </w:tr>
      <w:tr>
        <w:trPr>
          <w:trHeight w:val="121"/>
        </w:trPr>
        <w:tc>
          <w:tcPr>
            <w:tcW w:w="5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Borders>
              <w:top w:val="single" w:sz="8" w:color="auto"/>
            </w:tcBorders>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2"/>
              </w:rPr>
              <w:t>Number of Shares</w:t>
            </w:r>
          </w:p>
        </w:tc>
        <w:tc>
          <w:tcPr>
            <w:tcW w:w="10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Borders>
              <w:top w:val="single" w:sz="8" w:color="auto"/>
            </w:tcBorders>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2"/>
              </w:rPr>
              <w:t>Number of Shares</w:t>
            </w:r>
          </w:p>
        </w:tc>
        <w:tc>
          <w:tcPr>
            <w:tcW w:w="1580" w:type="dxa"/>
            <w:vAlign w:val="bottom"/>
            <w:tcBorders>
              <w:top w:val="single" w:sz="8" w:color="auto"/>
            </w:tcBorders>
          </w:tcPr>
          <w:p>
            <w:pPr>
              <w:spacing w:after="0"/>
              <w:rPr>
                <w:sz w:val="10"/>
                <w:szCs w:val="10"/>
                <w:color w:val="auto"/>
              </w:rPr>
            </w:pPr>
          </w:p>
        </w:tc>
      </w:tr>
      <w:tr>
        <w:trPr>
          <w:trHeight w:val="127"/>
        </w:trPr>
        <w:tc>
          <w:tcPr>
            <w:tcW w:w="5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Acquired on</w:t>
            </w:r>
          </w:p>
        </w:tc>
        <w:tc>
          <w:tcPr>
            <w:tcW w:w="11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Value Realized</w:t>
            </w:r>
          </w:p>
        </w:tc>
        <w:tc>
          <w:tcPr>
            <w:tcW w:w="13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Acquired</w:t>
            </w:r>
          </w:p>
        </w:tc>
        <w:tc>
          <w:tcPr>
            <w:tcW w:w="1580" w:type="dxa"/>
            <w:vAlign w:val="bottom"/>
          </w:tcPr>
          <w:p>
            <w:pPr>
              <w:jc w:val="center"/>
              <w:spacing w:after="0"/>
              <w:rPr>
                <w:sz w:val="20"/>
                <w:szCs w:val="20"/>
                <w:color w:val="auto"/>
              </w:rPr>
            </w:pPr>
            <w:r>
              <w:rPr>
                <w:rFonts w:ascii="Arial" w:cs="Arial" w:eastAsia="Arial" w:hAnsi="Arial"/>
                <w:sz w:val="11"/>
                <w:szCs w:val="11"/>
                <w:b w:val="1"/>
                <w:bCs w:val="1"/>
                <w:color w:val="auto"/>
                <w:w w:val="93"/>
              </w:rPr>
              <w:t>Value Realized</w:t>
            </w:r>
          </w:p>
        </w:tc>
      </w:tr>
      <w:tr>
        <w:trPr>
          <w:trHeight w:val="124"/>
        </w:trPr>
        <w:tc>
          <w:tcPr>
            <w:tcW w:w="5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tcPr>
          <w:p>
            <w:pPr>
              <w:jc w:val="center"/>
              <w:ind w:right="100"/>
              <w:spacing w:after="0" w:line="124" w:lineRule="exact"/>
              <w:rPr>
                <w:sz w:val="20"/>
                <w:szCs w:val="20"/>
                <w:color w:val="auto"/>
              </w:rPr>
            </w:pPr>
            <w:r>
              <w:rPr>
                <w:rFonts w:ascii="Arial" w:cs="Arial" w:eastAsia="Arial" w:hAnsi="Arial"/>
                <w:sz w:val="11"/>
                <w:szCs w:val="11"/>
                <w:b w:val="1"/>
                <w:bCs w:val="1"/>
                <w:color w:val="auto"/>
                <w:w w:val="88"/>
              </w:rPr>
              <w:t>Exercise</w:t>
            </w:r>
          </w:p>
        </w:tc>
        <w:tc>
          <w:tcPr>
            <w:tcW w:w="1120" w:type="dxa"/>
            <w:vAlign w:val="bottom"/>
            <w:gridSpan w:val="2"/>
          </w:tcPr>
          <w:p>
            <w:pPr>
              <w:jc w:val="center"/>
              <w:ind w:right="100"/>
              <w:spacing w:after="0" w:line="124" w:lineRule="exact"/>
              <w:rPr>
                <w:sz w:val="20"/>
                <w:szCs w:val="20"/>
                <w:color w:val="auto"/>
              </w:rPr>
            </w:pPr>
            <w:r>
              <w:rPr>
                <w:rFonts w:ascii="Arial" w:cs="Arial" w:eastAsia="Arial" w:hAnsi="Arial"/>
                <w:sz w:val="11"/>
                <w:szCs w:val="11"/>
                <w:b w:val="1"/>
                <w:bCs w:val="1"/>
                <w:color w:val="auto"/>
                <w:w w:val="87"/>
              </w:rPr>
              <w:t>on Exercise</w:t>
            </w:r>
          </w:p>
        </w:tc>
        <w:tc>
          <w:tcPr>
            <w:tcW w:w="1300" w:type="dxa"/>
            <w:vAlign w:val="bottom"/>
            <w:gridSpan w:val="2"/>
          </w:tcPr>
          <w:p>
            <w:pPr>
              <w:jc w:val="center"/>
              <w:ind w:right="80"/>
              <w:spacing w:after="0" w:line="124" w:lineRule="exact"/>
              <w:rPr>
                <w:sz w:val="20"/>
                <w:szCs w:val="20"/>
                <w:color w:val="auto"/>
              </w:rPr>
            </w:pPr>
            <w:r>
              <w:rPr>
                <w:rFonts w:ascii="Arial" w:cs="Arial" w:eastAsia="Arial" w:hAnsi="Arial"/>
                <w:sz w:val="11"/>
                <w:szCs w:val="11"/>
                <w:b w:val="1"/>
                <w:bCs w:val="1"/>
                <w:color w:val="auto"/>
                <w:w w:val="88"/>
              </w:rPr>
              <w:t>on Vesting</w:t>
            </w:r>
          </w:p>
        </w:tc>
        <w:tc>
          <w:tcPr>
            <w:tcW w:w="15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88"/>
              </w:rPr>
              <w:t>on Vesting</w:t>
            </w:r>
          </w:p>
        </w:tc>
      </w:tr>
      <w:tr>
        <w:trPr>
          <w:trHeight w:val="18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r>
              <w:rPr>
                <w:rFonts w:ascii="Arial" w:cs="Arial" w:eastAsia="Arial" w:hAnsi="Arial"/>
                <w:sz w:val="14"/>
                <w:szCs w:val="14"/>
                <w:b w:val="1"/>
                <w:bCs w:val="1"/>
                <w:color w:val="auto"/>
                <w:w w:val="88"/>
                <w:vertAlign w:val="superscript"/>
              </w:rPr>
              <w:t>(1)</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w:t>
            </w:r>
            <w:r>
              <w:rPr>
                <w:rFonts w:ascii="Arial" w:cs="Arial" w:eastAsia="Arial" w:hAnsi="Arial"/>
                <w:sz w:val="14"/>
                <w:szCs w:val="14"/>
                <w:b w:val="1"/>
                <w:bCs w:val="1"/>
                <w:color w:val="auto"/>
                <w:w w:val="88"/>
                <w:vertAlign w:val="superscript"/>
              </w:rPr>
              <w:t>(2)</w:t>
            </w:r>
          </w:p>
        </w:tc>
      </w:tr>
      <w:tr>
        <w:trPr>
          <w:trHeight w:val="192"/>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Christopher S. Sotos</w:t>
            </w: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92" w:lineRule="exact"/>
              <w:rPr>
                <w:sz w:val="20"/>
                <w:szCs w:val="20"/>
                <w:color w:val="auto"/>
              </w:rPr>
            </w:pPr>
            <w:r>
              <w:rPr>
                <w:rFonts w:ascii="Arial" w:cs="Arial" w:eastAsia="Arial" w:hAnsi="Arial"/>
                <w:sz w:val="14"/>
                <w:szCs w:val="14"/>
                <w:color w:val="auto"/>
              </w:rPr>
              <w:t>122,092</w:t>
            </w:r>
            <w:r>
              <w:rPr>
                <w:rFonts w:ascii="Arial" w:cs="Arial" w:eastAsia="Arial" w:hAnsi="Arial"/>
                <w:sz w:val="18"/>
                <w:szCs w:val="18"/>
                <w:color w:val="auto"/>
                <w:vertAlign w:val="superscript"/>
              </w:rPr>
              <w:t>(3)</w:t>
            </w: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4,368,298</w:t>
            </w:r>
          </w:p>
        </w:tc>
      </w:tr>
      <w:tr>
        <w:trPr>
          <w:trHeight w:val="202"/>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Sarah Rubenstein</w:t>
            </w: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201" w:lineRule="exact"/>
              <w:rPr>
                <w:sz w:val="20"/>
                <w:szCs w:val="20"/>
                <w:color w:val="auto"/>
              </w:rPr>
            </w:pPr>
            <w:r>
              <w:rPr>
                <w:rFonts w:ascii="Arial" w:cs="Arial" w:eastAsia="Arial" w:hAnsi="Arial"/>
                <w:sz w:val="14"/>
                <w:szCs w:val="14"/>
                <w:color w:val="auto"/>
              </w:rPr>
              <w:t>6,668</w:t>
            </w:r>
            <w:r>
              <w:rPr>
                <w:rFonts w:ascii="Arial" w:cs="Arial" w:eastAsia="Arial" w:hAnsi="Arial"/>
                <w:sz w:val="18"/>
                <w:szCs w:val="18"/>
                <w:color w:val="auto"/>
                <w:vertAlign w:val="superscript"/>
              </w:rPr>
              <w:t>(4)</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227,324</w:t>
            </w:r>
          </w:p>
        </w:tc>
      </w:tr>
      <w:tr>
        <w:trPr>
          <w:trHeight w:val="202"/>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Kevin P. Malcarney</w:t>
            </w: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201" w:lineRule="exact"/>
              <w:rPr>
                <w:sz w:val="20"/>
                <w:szCs w:val="20"/>
                <w:color w:val="auto"/>
              </w:rPr>
            </w:pPr>
            <w:r>
              <w:rPr>
                <w:rFonts w:ascii="Arial" w:cs="Arial" w:eastAsia="Arial" w:hAnsi="Arial"/>
                <w:sz w:val="14"/>
                <w:szCs w:val="14"/>
                <w:color w:val="auto"/>
              </w:rPr>
              <w:t>24,283</w:t>
            </w:r>
            <w:r>
              <w:rPr>
                <w:rFonts w:ascii="Arial" w:cs="Arial" w:eastAsia="Arial" w:hAnsi="Arial"/>
                <w:sz w:val="18"/>
                <w:szCs w:val="18"/>
                <w:color w:val="auto"/>
                <w:vertAlign w:val="superscript"/>
              </w:rPr>
              <w:t>(5)</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868,759</w:t>
            </w:r>
          </w:p>
        </w:tc>
      </w:tr>
      <w:tr>
        <w:trPr>
          <w:trHeight w:val="255"/>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Chad Plotkin</w:t>
            </w:r>
            <w:r>
              <w:rPr>
                <w:rFonts w:ascii="Arial" w:cs="Arial" w:eastAsia="Arial" w:hAnsi="Arial"/>
                <w:sz w:val="18"/>
                <w:szCs w:val="18"/>
                <w:color w:val="auto"/>
                <w:vertAlign w:val="superscript"/>
              </w:rPr>
              <w:t>(7)</w:t>
            </w: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37,567</w:t>
            </w:r>
            <w:r>
              <w:rPr>
                <w:rFonts w:ascii="Arial" w:cs="Arial" w:eastAsia="Arial" w:hAnsi="Arial"/>
                <w:sz w:val="18"/>
                <w:szCs w:val="18"/>
                <w:color w:val="auto"/>
                <w:vertAlign w:val="superscript"/>
              </w:rPr>
              <w:t>(6)</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1,344,742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138811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6" w:lineRule="exact"/>
        <w:rPr>
          <w:sz w:val="20"/>
          <w:szCs w:val="20"/>
          <w:color w:val="auto"/>
        </w:rPr>
      </w:pPr>
    </w:p>
    <w:p>
      <w:pPr>
        <w:ind w:left="180" w:hanging="111"/>
        <w:spacing w:after="0"/>
        <w:tabs>
          <w:tab w:leader="none" w:pos="180" w:val="left"/>
        </w:tabs>
        <w:numPr>
          <w:ilvl w:val="0"/>
          <w:numId w:val="44"/>
        </w:numPr>
        <w:rPr>
          <w:rFonts w:ascii="Arial" w:cs="Arial" w:eastAsia="Arial" w:hAnsi="Arial"/>
          <w:sz w:val="7"/>
          <w:szCs w:val="7"/>
          <w:color w:val="auto"/>
        </w:rPr>
      </w:pPr>
      <w:r>
        <w:rPr>
          <w:rFonts w:ascii="Arial" w:cs="Arial" w:eastAsia="Arial" w:hAnsi="Arial"/>
          <w:sz w:val="11"/>
          <w:szCs w:val="11"/>
          <w:color w:val="auto"/>
        </w:rPr>
        <w:t>Includes shares and DERs that vested pursuant to underlying awards and converted to Class C common stock in 2022.</w:t>
      </w:r>
    </w:p>
    <w:p>
      <w:pPr>
        <w:spacing w:after="0" w:line="53" w:lineRule="exact"/>
        <w:rPr>
          <w:rFonts w:ascii="Arial" w:cs="Arial" w:eastAsia="Arial" w:hAnsi="Arial"/>
          <w:sz w:val="7"/>
          <w:szCs w:val="7"/>
          <w:color w:val="auto"/>
        </w:rPr>
      </w:pPr>
    </w:p>
    <w:p>
      <w:pPr>
        <w:jc w:val="both"/>
        <w:ind w:left="60" w:firstLine="9"/>
        <w:spacing w:after="0" w:line="313" w:lineRule="auto"/>
        <w:tabs>
          <w:tab w:leader="none" w:pos="174" w:val="left"/>
        </w:tabs>
        <w:numPr>
          <w:ilvl w:val="0"/>
          <w:numId w:val="44"/>
        </w:numPr>
        <w:rPr>
          <w:rFonts w:ascii="Arial" w:cs="Arial" w:eastAsia="Arial" w:hAnsi="Arial"/>
          <w:sz w:val="12"/>
          <w:szCs w:val="12"/>
          <w:color w:val="auto"/>
          <w:vertAlign w:val="superscript"/>
        </w:rPr>
      </w:pPr>
      <w:r>
        <w:rPr>
          <w:rFonts w:ascii="Arial" w:cs="Arial" w:eastAsia="Arial" w:hAnsi="Arial"/>
          <w:sz w:val="9"/>
          <w:szCs w:val="9"/>
          <w:color w:val="auto"/>
        </w:rPr>
        <w:t>The values are based on the December 31, 2021 Class C common stock closing share price of $36.03 for awards and DERs that vested on January 2, 2022, the April 14, 2022 Class C common stock closing share price of $34.24 for awards and DERs that vested on April 15, 2022, the October 14, 2022 Class C common stock closing share price of $31.26 for awards and DERs that vested on October 15, 2022, the November 2, 2022 Class C common stock closing share price of $34.91 for awards and DERs that vested on November 2, 2022. The values for retirement eligible NEOs are based on the Class C common stock closing share price on the dates the awards became eligible for continued vesting and shares and DERs were withheld to cover certain tax withholding obligations.</w:t>
      </w:r>
    </w:p>
    <w:p>
      <w:pPr>
        <w:spacing w:after="0" w:line="133" w:lineRule="exact"/>
        <w:rPr>
          <w:rFonts w:ascii="Arial" w:cs="Arial" w:eastAsia="Arial" w:hAnsi="Arial"/>
          <w:sz w:val="12"/>
          <w:szCs w:val="12"/>
          <w:color w:val="auto"/>
          <w:vertAlign w:val="superscript"/>
        </w:rPr>
      </w:pPr>
    </w:p>
    <w:p>
      <w:pPr>
        <w:ind w:left="60" w:firstLine="9"/>
        <w:spacing w:after="0" w:line="296" w:lineRule="auto"/>
        <w:tabs>
          <w:tab w:leader="none" w:pos="174" w:val="left"/>
        </w:tabs>
        <w:numPr>
          <w:ilvl w:val="0"/>
          <w:numId w:val="44"/>
        </w:numPr>
        <w:rPr>
          <w:rFonts w:ascii="Arial" w:cs="Arial" w:eastAsia="Arial" w:hAnsi="Arial"/>
          <w:sz w:val="7"/>
          <w:szCs w:val="7"/>
          <w:color w:val="auto"/>
        </w:rPr>
      </w:pPr>
      <w:r>
        <w:rPr>
          <w:rFonts w:ascii="Arial" w:cs="Arial" w:eastAsia="Arial" w:hAnsi="Arial"/>
          <w:sz w:val="11"/>
          <w:szCs w:val="11"/>
          <w:color w:val="auto"/>
        </w:rPr>
        <w:t>Represents 9,789 RSUs, 82,007 RPSUs and 13,100 DERs that vested on January 2, 2022 pursuant to the stock compensation awards granted on January 2, 2019. Represents 9,329 RSUs and 839 DERs that vested on April 15, 2022 pursuant to the stock compensation award granted on April 15, 2020. Represents 6,737 RSUs and 291 DERs that vested on April 15, 2022 pursuant to the stock compensation award granted on April 15, 2021.</w:t>
      </w:r>
    </w:p>
    <w:p>
      <w:pPr>
        <w:spacing w:after="0" w:line="6" w:lineRule="exact"/>
        <w:rPr>
          <w:rFonts w:ascii="Arial" w:cs="Arial" w:eastAsia="Arial" w:hAnsi="Arial"/>
          <w:sz w:val="7"/>
          <w:szCs w:val="7"/>
          <w:color w:val="auto"/>
        </w:rPr>
      </w:pPr>
    </w:p>
    <w:p>
      <w:pPr>
        <w:jc w:val="both"/>
        <w:ind w:left="60" w:firstLine="9"/>
        <w:spacing w:after="0" w:line="237" w:lineRule="auto"/>
        <w:tabs>
          <w:tab w:leader="none" w:pos="184" w:val="left"/>
        </w:tabs>
        <w:numPr>
          <w:ilvl w:val="0"/>
          <w:numId w:val="44"/>
        </w:numPr>
        <w:rPr>
          <w:rFonts w:ascii="Arial" w:cs="Arial" w:eastAsia="Arial" w:hAnsi="Arial"/>
          <w:sz w:val="14"/>
          <w:szCs w:val="14"/>
          <w:color w:val="auto"/>
          <w:vertAlign w:val="superscript"/>
        </w:rPr>
      </w:pPr>
      <w:r>
        <w:rPr>
          <w:rFonts w:ascii="Arial" w:cs="Arial" w:eastAsia="Arial" w:hAnsi="Arial"/>
          <w:sz w:val="11"/>
          <w:szCs w:val="11"/>
          <w:color w:val="auto"/>
        </w:rPr>
        <w:t>Represents 689 RSUs and 92 DERs that vested on October 15, 2022 pursuant to the stock compensation award granted on October 15, 2019. Represents 1,343 RSUs and 120 DERs that vested on April 15, 2022 pursuant to the stock compensation award granted on April 15, 2020. Represents 1,706 RSUs and 149 DERs that vested on November 2, 2022 pursuant to the stock compensation award granted on November 2, 2020. Represents 2,463 RSUs and 106 DERs that vested on April 15, 2022 pursuant to the stock compensation award granted on April 15, 2021.</w:t>
      </w:r>
    </w:p>
    <w:p>
      <w:pPr>
        <w:spacing w:after="0" w:line="36" w:lineRule="exact"/>
        <w:rPr>
          <w:rFonts w:ascii="Arial" w:cs="Arial" w:eastAsia="Arial" w:hAnsi="Arial"/>
          <w:sz w:val="14"/>
          <w:szCs w:val="14"/>
          <w:color w:val="auto"/>
          <w:vertAlign w:val="superscript"/>
        </w:rPr>
      </w:pPr>
    </w:p>
    <w:p>
      <w:pPr>
        <w:jc w:val="both"/>
        <w:ind w:left="60" w:firstLine="9"/>
        <w:spacing w:after="0" w:line="279" w:lineRule="auto"/>
        <w:tabs>
          <w:tab w:leader="none" w:pos="174" w:val="left"/>
        </w:tabs>
        <w:numPr>
          <w:ilvl w:val="0"/>
          <w:numId w:val="44"/>
        </w:numPr>
        <w:rPr>
          <w:rFonts w:ascii="Arial" w:cs="Arial" w:eastAsia="Arial" w:hAnsi="Arial"/>
          <w:sz w:val="7"/>
          <w:szCs w:val="7"/>
          <w:color w:val="auto"/>
        </w:rPr>
      </w:pPr>
      <w:r>
        <w:rPr>
          <w:rFonts w:ascii="Arial" w:cs="Arial" w:eastAsia="Arial" w:hAnsi="Arial"/>
          <w:sz w:val="11"/>
          <w:szCs w:val="11"/>
          <w:color w:val="auto"/>
        </w:rPr>
        <w:t>Represents 1,923 RSUs, 16,107 RPSUs and 2,572 DERs that vested on January 2, 2022 pursuant to the stock compensation awards granted on January 2, 2019. Represents 1,615 RSUs and 145 DERs that vested on April 15, 2022 pursuant to the stock compensation award granted on April 15, 2020. Represents 1,530 RSUs and 66 DERs that vested on April 15, 2022 pursuant to the stock compensation award granted on April 15, 2021. Represents 305 shares and 20 DERs that were withheld to cover certain tax obligations in 2022 due to awards becoming eligible for continued vesting in the event of the NEO’s retirement.</w:t>
      </w:r>
    </w:p>
    <w:p>
      <w:pPr>
        <w:spacing w:after="0" w:line="15" w:lineRule="exact"/>
        <w:rPr>
          <w:rFonts w:ascii="Arial" w:cs="Arial" w:eastAsia="Arial" w:hAnsi="Arial"/>
          <w:sz w:val="7"/>
          <w:szCs w:val="7"/>
          <w:color w:val="auto"/>
        </w:rPr>
      </w:pPr>
    </w:p>
    <w:p>
      <w:pPr>
        <w:ind w:left="60" w:firstLine="9"/>
        <w:spacing w:after="0" w:line="305" w:lineRule="auto"/>
        <w:tabs>
          <w:tab w:leader="none" w:pos="174" w:val="left"/>
        </w:tabs>
        <w:numPr>
          <w:ilvl w:val="0"/>
          <w:numId w:val="44"/>
        </w:numPr>
        <w:rPr>
          <w:rFonts w:ascii="Arial" w:cs="Arial" w:eastAsia="Arial" w:hAnsi="Arial"/>
          <w:sz w:val="12"/>
          <w:szCs w:val="12"/>
          <w:color w:val="auto"/>
          <w:vertAlign w:val="superscript"/>
        </w:rPr>
      </w:pPr>
      <w:r>
        <w:rPr>
          <w:rFonts w:ascii="Arial" w:cs="Arial" w:eastAsia="Arial" w:hAnsi="Arial"/>
          <w:sz w:val="9"/>
          <w:szCs w:val="9"/>
          <w:color w:val="auto"/>
        </w:rPr>
        <w:t>Represents 3,045 RSUs, 25,502 RPSUs and 4,073 DERs that vested on January 2, 2022 pursuant to the stock compensation awards granted on January 2, 2019. Represents 2,747 RSUs and 247 DERs that vested on April 15, 2022 pursuant to the stock compensation award granted on April 15, 2020. Represents 1,872 RSUs and 81 DERs that vested on April 15, 2022 pursuant to the stock compensation award granted on April 15, 2021.</w:t>
      </w:r>
    </w:p>
    <w:p>
      <w:pPr>
        <w:ind w:left="180" w:hanging="111"/>
        <w:spacing w:after="0"/>
        <w:tabs>
          <w:tab w:leader="none" w:pos="180" w:val="left"/>
        </w:tabs>
        <w:numPr>
          <w:ilvl w:val="0"/>
          <w:numId w:val="44"/>
        </w:numPr>
        <w:rPr>
          <w:rFonts w:ascii="Arial" w:cs="Arial" w:eastAsia="Arial" w:hAnsi="Arial"/>
          <w:sz w:val="7"/>
          <w:szCs w:val="7"/>
          <w:color w:val="auto"/>
        </w:rPr>
      </w:pPr>
      <w:r>
        <w:rPr>
          <w:rFonts w:ascii="Arial" w:cs="Arial" w:eastAsia="Arial" w:hAnsi="Arial"/>
          <w:sz w:val="11"/>
          <w:szCs w:val="11"/>
          <w:color w:val="auto"/>
        </w:rPr>
        <w:t>Mr. Plotkin voluntarily resigned from his employment with the Company in August 2022.</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Employment Agreements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has not entered into employment agreements with any executive officers other than Mr. Sotos.</w:t>
      </w:r>
    </w:p>
    <w:p>
      <w:pPr>
        <w:spacing w:after="0" w:line="13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4"/>
          <w:szCs w:val="14"/>
          <w:color w:val="auto"/>
        </w:rPr>
        <w:t>On September 23, 2021, the Company and Mr. Sotos entered into an agreement amending and restating Mr. Sotos’ employment agreement, dated as of May 6, 2016, as previously amended, pursuant to which Mr. Sotos continues to serve as the Company’s President and CEO for a new term that began on September 23, 2021 (the “Effective Date”). Under this amended and restated employment agreement, the term of Mr. Sotos’ employment will continue until the earlier of the date that his employment is terminated by either party or December 31, 2024; provided that such employment period will automatically renew on the same terms and conditions for additional one-year terms unless either party provides the other party with written notice of its election not to renew the then-current employment period at least 90 days before such period’s expiration date. The amended and restated employment agreement entitled Mr. Sotos to an annual base salary of $629,330 for the period beginning on the Effective Date and ending on December 31, 2021. For each annual period thereafter, our Board will determine whether to increase Mr. Sotos’ annual base salary. For the 2022 fiscal year, the Board increased Mr. Sotos’ annual base salary to $665,201. The amended and restated employment agreement further provides that Mr. Sotos is eligible to receive an annual bonus at a target amount equal to 100% of base salary (i.e., AIP bonus), with it being understood that such percentage may be increased by the Company from time to time, in each case based on achievement of criteria determined by the Board with input from Mr. Sotos. The maximum award opportunity each year is 200% of the target amount. The amended and restated employment agreement further provides that Mr. Sotos is eligible to participate in the LTIP, on such terms as are set forth in the plan. Mr. Sotos’ target LTIP award for the 2022 fiscal year was approximately 315% of base salary.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69" w:name="page70"/>
    <w:bookmarkEnd w:id="69"/>
    <w:p>
      <w:pPr>
        <w:ind w:left="320"/>
        <w:spacing w:after="0"/>
        <w:rPr>
          <w:sz w:val="20"/>
          <w:szCs w:val="20"/>
          <w:color w:val="auto"/>
        </w:rPr>
      </w:pPr>
      <w:r>
        <w:rPr>
          <w:rFonts w:ascii="Arial" w:cs="Arial" w:eastAsia="Arial" w:hAnsi="Arial"/>
          <w:sz w:val="12"/>
          <w:szCs w:val="12"/>
          <w:color w:val="auto"/>
        </w:rPr>
        <w:t>In addition to the compensation and benefits described above, as well as paid vacation and director and officer liability insurance, the amended and restated employment agreement provides that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Mr. Sotos will receive the following:</w:t>
      </w:r>
    </w:p>
    <w:p>
      <w:pPr>
        <w:spacing w:after="0" w:line="126" w:lineRule="exact"/>
        <w:rPr>
          <w:sz w:val="20"/>
          <w:szCs w:val="20"/>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Reimbursement for annual tax return preparation expenses and tax advice and financial planning, up to a maximum of $12,000 per year;</w:t>
      </w:r>
    </w:p>
    <w:p>
      <w:pPr>
        <w:spacing w:after="0" w:line="93"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45"/>
        </w:numPr>
        <w:rPr>
          <w:rFonts w:ascii="Arial" w:cs="Arial" w:eastAsia="Arial" w:hAnsi="Arial"/>
          <w:sz w:val="14"/>
          <w:szCs w:val="14"/>
          <w:color w:val="auto"/>
        </w:rPr>
      </w:pPr>
      <w:r>
        <w:rPr>
          <w:rFonts w:ascii="Arial" w:cs="Arial" w:eastAsia="Arial" w:hAnsi="Arial"/>
          <w:sz w:val="14"/>
          <w:szCs w:val="14"/>
          <w:color w:val="auto"/>
        </w:rPr>
        <w:t>Eligibility to participate in the Company’s retirement plans, health and welfare plans, and disability insurance plans under the same terms, and to the same extent, as other senior management of the Company; and</w:t>
      </w:r>
    </w:p>
    <w:p>
      <w:pPr>
        <w:spacing w:after="0" w:line="47"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Reimbursement for the costs of litigation or other disputes incurred in asserting any claims under the amended and restated employment agreement, unless the court finds in favor of the Company.</w:t>
      </w:r>
    </w:p>
    <w:p>
      <w:pPr>
        <w:spacing w:after="0" w:line="47"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The amended and restated employment agreement also provided Mr. Sotos with a reimbursement for legal fees incurred in connection with reviewing and finalizing his amended and restated employment agreement, up to a maximum of $12,000 (as noted above, Mr. Sotos received a reimbursement of $8,190 in 2021 under this provision of his employment agreement).</w:t>
      </w:r>
    </w:p>
    <w:p>
      <w:pPr>
        <w:spacing w:after="0" w:line="67" w:lineRule="exact"/>
        <w:rPr>
          <w:sz w:val="20"/>
          <w:szCs w:val="20"/>
          <w:color w:val="auto"/>
        </w:rPr>
      </w:pPr>
    </w:p>
    <w:p>
      <w:pPr>
        <w:jc w:val="both"/>
        <w:ind w:firstLine="318"/>
        <w:spacing w:after="0" w:line="172" w:lineRule="exact"/>
        <w:rPr>
          <w:sz w:val="20"/>
          <w:szCs w:val="20"/>
          <w:color w:val="auto"/>
        </w:rPr>
      </w:pPr>
      <w:r>
        <w:rPr>
          <w:rFonts w:ascii="Arial" w:cs="Arial" w:eastAsia="Arial" w:hAnsi="Arial"/>
          <w:sz w:val="14"/>
          <w:szCs w:val="14"/>
          <w:color w:val="auto"/>
        </w:rPr>
        <w:t>The amended and restated employment agreement further entitles Mr. Sotos to certain severance payments and benefits in the event his employment terminates under certain circumstances. These severance payments and benefits are described and quantified under the section “Severance and Change</w:t>
      </w:r>
      <w:r>
        <w:rPr>
          <w:rFonts w:ascii="MS PGothic" w:cs="MS PGothic" w:eastAsia="MS PGothic" w:hAnsi="MS PGothic"/>
          <w:sz w:val="14"/>
          <w:szCs w:val="14"/>
          <w:color w:val="auto"/>
        </w:rPr>
        <w:t>‑</w:t>
      </w:r>
      <w:r>
        <w:rPr>
          <w:rFonts w:ascii="Arial" w:cs="Arial" w:eastAsia="Arial" w:hAnsi="Arial"/>
          <w:sz w:val="14"/>
          <w:szCs w:val="14"/>
          <w:color w:val="auto"/>
        </w:rPr>
        <w:t>in</w:t>
      </w:r>
      <w:r>
        <w:rPr>
          <w:rFonts w:ascii="MS PGothic" w:cs="MS PGothic" w:eastAsia="MS PGothic" w:hAnsi="MS PGothic"/>
          <w:sz w:val="14"/>
          <w:szCs w:val="14"/>
          <w:color w:val="auto"/>
        </w:rPr>
        <w:t>‑</w:t>
      </w:r>
      <w:r>
        <w:rPr>
          <w:rFonts w:ascii="Arial" w:cs="Arial" w:eastAsia="Arial" w:hAnsi="Arial"/>
          <w:sz w:val="14"/>
          <w:szCs w:val="14"/>
          <w:color w:val="auto"/>
        </w:rPr>
        <w:t>Control” below. In addition, under the amended and restated employment agreement, the Company has agreed to indemnify Mr. Sotos against any claims arising as a result of his position with the Company to the fullest extent permitted by the Company’s certificate of incorporation, bylaws or Board resolutions or, if greater, Delaware law.</w:t>
      </w:r>
    </w:p>
    <w:p>
      <w:pPr>
        <w:spacing w:after="0" w:line="119" w:lineRule="exact"/>
        <w:rPr>
          <w:sz w:val="20"/>
          <w:szCs w:val="20"/>
          <w:color w:val="auto"/>
        </w:rPr>
      </w:pPr>
    </w:p>
    <w:p>
      <w:pPr>
        <w:jc w:val="both"/>
        <w:ind w:firstLine="318"/>
        <w:spacing w:after="0" w:line="172" w:lineRule="exact"/>
        <w:rPr>
          <w:sz w:val="20"/>
          <w:szCs w:val="20"/>
          <w:color w:val="auto"/>
        </w:rPr>
      </w:pPr>
      <w:r>
        <w:rPr>
          <w:rFonts w:ascii="Arial" w:cs="Arial" w:eastAsia="Arial" w:hAnsi="Arial"/>
          <w:sz w:val="14"/>
          <w:szCs w:val="14"/>
          <w:color w:val="auto"/>
        </w:rPr>
        <w:t>The amended and restated employment agreement includes non</w:t>
      </w:r>
      <w:r>
        <w:rPr>
          <w:rFonts w:ascii="MS PGothic" w:cs="MS PGothic" w:eastAsia="MS PGothic" w:hAnsi="MS PGothic"/>
          <w:sz w:val="14"/>
          <w:szCs w:val="14"/>
          <w:color w:val="auto"/>
        </w:rPr>
        <w:t>‑</w:t>
      </w:r>
      <w:r>
        <w:rPr>
          <w:rFonts w:ascii="Arial" w:cs="Arial" w:eastAsia="Arial" w:hAnsi="Arial"/>
          <w:sz w:val="14"/>
          <w:szCs w:val="14"/>
          <w:color w:val="auto"/>
        </w:rPr>
        <w:t>competition and non</w:t>
      </w:r>
      <w:r>
        <w:rPr>
          <w:rFonts w:ascii="MS PGothic" w:cs="MS PGothic" w:eastAsia="MS PGothic" w:hAnsi="MS PGothic"/>
          <w:sz w:val="14"/>
          <w:szCs w:val="14"/>
          <w:color w:val="auto"/>
        </w:rPr>
        <w:t>‑</w:t>
      </w:r>
      <w:r>
        <w:rPr>
          <w:rFonts w:ascii="Arial" w:cs="Arial" w:eastAsia="Arial" w:hAnsi="Arial"/>
          <w:sz w:val="14"/>
          <w:szCs w:val="14"/>
          <w:color w:val="auto"/>
        </w:rPr>
        <w:t>solicitation restrictions on Mr. Sotos during the term of his employment and for one year after his termination of employment. The amended and restated employment agreement also includes confidentiality, indemnification obligations and intellectual property restrictions and an obligation for Mr. Sotos to cooperate with the Company in the event of any internal, administrative, regulatory, or judicial proceeding. The provisions of the amended and restated employment agreement may only be waived with the written consent of the Company and Mr. Sotos.</w:t>
      </w:r>
    </w:p>
    <w:p>
      <w:pPr>
        <w:spacing w:after="0" w:line="119" w:lineRule="exact"/>
        <w:rPr>
          <w:sz w:val="20"/>
          <w:szCs w:val="20"/>
          <w:color w:val="auto"/>
        </w:rPr>
      </w:pPr>
    </w:p>
    <w:p>
      <w:pPr>
        <w:spacing w:after="0" w:line="161" w:lineRule="exact"/>
        <w:rPr>
          <w:sz w:val="20"/>
          <w:szCs w:val="20"/>
          <w:color w:val="auto"/>
        </w:rPr>
      </w:pPr>
      <w:r>
        <w:rPr>
          <w:rFonts w:ascii="Arial" w:cs="Arial" w:eastAsia="Arial" w:hAnsi="Arial"/>
          <w:sz w:val="14"/>
          <w:szCs w:val="14"/>
          <w:b w:val="1"/>
          <w:bCs w:val="1"/>
          <w:i w:val="1"/>
          <w:iCs w:val="1"/>
          <w:color w:val="auto"/>
        </w:rPr>
        <w:t>Severance and Change</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In</w:t>
      </w:r>
      <w:r>
        <w:rPr>
          <w:rFonts w:ascii="MS PGothic" w:cs="MS PGothic" w:eastAsia="MS PGothic" w:hAnsi="MS PGothic"/>
          <w:sz w:val="14"/>
          <w:szCs w:val="14"/>
          <w:b w:val="1"/>
          <w:bCs w:val="1"/>
          <w:i w:val="1"/>
          <w:iCs w:val="1"/>
          <w:color w:val="auto"/>
        </w:rPr>
        <w:t>‑</w:t>
      </w:r>
      <w:r>
        <w:rPr>
          <w:rFonts w:ascii="Arial" w:cs="Arial" w:eastAsia="Arial" w:hAnsi="Arial"/>
          <w:sz w:val="14"/>
          <w:szCs w:val="14"/>
          <w:b w:val="1"/>
          <w:bCs w:val="1"/>
          <w:i w:val="1"/>
          <w:iCs w:val="1"/>
          <w:color w:val="auto"/>
        </w:rPr>
        <w:t>Control</w:t>
      </w:r>
    </w:p>
    <w:p>
      <w:pPr>
        <w:spacing w:after="0" w:line="13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3"/>
          <w:szCs w:val="13"/>
          <w:color w:val="auto"/>
        </w:rPr>
        <w:t>Each NEO’s RPSU and RSU award agreements under the LTIP provide for special treatment in the event of such NEO’s termination of employment under certain circumstances. Upon death or disability, an NEO’s RSUs and RPSUs will vest in full and the performance metrics with respect to the RPSUs will be deemed to be achieved at target levels. Upon retirement, an NEO’s RSUs and RPSUs will remain eligible for vesting pursuant to the award agreement as though the NEO was continuously employed by the Company throughout the relevant period; provided that retirement occurs more than 12 months following the applicable award’s grant date. Further, if an NEO’s employment is involuntarily terminated by the Company without cause (as defined in Mr. Sotos’ amended and restated employment agreement with respect to Mr. Sotos, and as defined in the LTIP with respect to the other NEOs) during the “Change in Control Period” (as defined below), (i) such NEO’s RSUs will vest in full immediately upon the later of such change in control or such termination of employment and (ii) the Compensation Committee will, pursuant to the terms and conditions of the LTIP and RPSU award agreement(s), determine the final amount payable to the NEO, if any, pursuant to his or her RPSUs. In general, no RPSU or RSU that is granted to an NEO provides for accelerated vesting upon any other involuntary termination. RSUs granted to Ms. Rubenstein prior to her promotion to Senior Vice President and Chief Accounting Officer provide pro-rated vesting for certain involuntary terminations of service that occur in connection with certain significant business events. Mr. Plotkin’s outstanding RPSUs and RSUs were forfeited as of the time of his resignation in August 2022.</w:t>
      </w:r>
    </w:p>
    <w:p>
      <w:pPr>
        <w:spacing w:after="0" w:line="9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“Change in Control Period” is the period commencing six months immediately prior to, and ending 24 months immediately following, a change in control of the Company (as defined in the LTIP and Mr. Sotos’ employment agreement as applicable).</w:t>
      </w:r>
    </w:p>
    <w:p>
      <w:pPr>
        <w:spacing w:after="0" w:line="90" w:lineRule="exact"/>
        <w:rPr>
          <w:sz w:val="20"/>
          <w:szCs w:val="20"/>
          <w:color w:val="auto"/>
        </w:rPr>
      </w:pPr>
    </w:p>
    <w:p>
      <w:pPr>
        <w:jc w:val="both"/>
        <w:ind w:firstLine="318"/>
        <w:spacing w:after="0" w:line="174" w:lineRule="exact"/>
        <w:rPr>
          <w:sz w:val="20"/>
          <w:szCs w:val="20"/>
          <w:color w:val="auto"/>
        </w:rPr>
      </w:pPr>
      <w:r>
        <w:rPr>
          <w:rFonts w:ascii="Arial" w:cs="Arial" w:eastAsia="Arial" w:hAnsi="Arial"/>
          <w:sz w:val="14"/>
          <w:szCs w:val="14"/>
          <w:color w:val="auto"/>
        </w:rPr>
        <w:t>In addition to the above-described treatment of the equity awards, Mr. Sotos, pursuant to his amended and restated employment agreement, and the other NEOs, pursuant to the CIC Plan and in some cases, the AIP, are entitled to certain additional severance payments and benefits in the event of termination of employment under certain circumstances, including following a change</w:t>
      </w:r>
      <w:r>
        <w:rPr>
          <w:rFonts w:ascii="MS PGothic" w:cs="MS PGothic" w:eastAsia="MS PGothic" w:hAnsi="MS PGothic"/>
          <w:sz w:val="14"/>
          <w:szCs w:val="14"/>
          <w:color w:val="auto"/>
        </w:rPr>
        <w:t>‑</w:t>
      </w:r>
      <w:r>
        <w:rPr>
          <w:rFonts w:ascii="Arial" w:cs="Arial" w:eastAsia="Arial" w:hAnsi="Arial"/>
          <w:sz w:val="14"/>
          <w:szCs w:val="14"/>
          <w:color w:val="auto"/>
        </w:rPr>
        <w:t>in</w:t>
      </w:r>
      <w:r>
        <w:rPr>
          <w:rFonts w:ascii="MS PGothic" w:cs="MS PGothic" w:eastAsia="MS PGothic" w:hAnsi="MS PGothic"/>
          <w:sz w:val="14"/>
          <w:szCs w:val="14"/>
          <w:color w:val="auto"/>
        </w:rPr>
        <w:t>‑</w:t>
      </w:r>
      <w:r>
        <w:rPr>
          <w:rFonts w:ascii="Arial" w:cs="Arial" w:eastAsia="Arial" w:hAnsi="Arial"/>
          <w:sz w:val="14"/>
          <w:szCs w:val="14"/>
          <w:color w:val="auto"/>
        </w:rPr>
        <w:t>control.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i w:val="1"/>
          <w:iCs w:val="1"/>
          <w:color w:val="auto"/>
        </w:rPr>
        <w:t>Mr. Sotos’ Benefits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If Mr. Sotos’ employment is involuntarily terminated by the Company without cause or if he terminates his employment for good reason, subject to Mr. Sotos executing a release of claims,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Company agrees to provide Mr. Sotos with the following severance benefits:</w:t>
      </w:r>
    </w:p>
    <w:p>
      <w:pPr>
        <w:spacing w:after="0" w:line="41" w:lineRule="exact"/>
        <w:rPr>
          <w:sz w:val="20"/>
          <w:szCs w:val="20"/>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lump sum payment equal to no less than 1.5 times Mr. Sotos’ annual base salary in effect at the time of Mr. Sotos’ termination of employment;</w:t>
      </w:r>
    </w:p>
    <w:p>
      <w:pPr>
        <w:spacing w:after="0" w:line="93" w:lineRule="exact"/>
        <w:rPr>
          <w:rFonts w:ascii="Arial" w:cs="Arial" w:eastAsia="Arial" w:hAnsi="Arial"/>
          <w:sz w:val="14"/>
          <w:szCs w:val="14"/>
          <w:color w:val="auto"/>
        </w:rPr>
      </w:pPr>
    </w:p>
    <w:p>
      <w:pPr>
        <w:jc w:val="both"/>
        <w:ind w:left="760" w:hanging="246"/>
        <w:spacing w:after="0" w:line="174" w:lineRule="exact"/>
        <w:tabs>
          <w:tab w:leader="none" w:pos="756"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lump sum payment equal to the bonus that Mr. Sotos would have earned if his employment had not terminated (i.e., contingent on satisfaction of the performance goals applicable to such bonus) under the then</w:t>
      </w:r>
      <w:r>
        <w:rPr>
          <w:rFonts w:ascii="MS PGothic" w:cs="MS PGothic" w:eastAsia="MS PGothic" w:hAnsi="MS PGothic"/>
          <w:sz w:val="14"/>
          <w:szCs w:val="14"/>
          <w:color w:val="auto"/>
        </w:rPr>
        <w:t>‑</w:t>
      </w:r>
      <w:r>
        <w:rPr>
          <w:rFonts w:ascii="Arial" w:cs="Arial" w:eastAsia="Arial" w:hAnsi="Arial"/>
          <w:sz w:val="14"/>
          <w:szCs w:val="14"/>
          <w:color w:val="auto"/>
        </w:rPr>
        <w:t>current bonus plan, which amount will be pro</w:t>
      </w:r>
      <w:r>
        <w:rPr>
          <w:rFonts w:ascii="MS PGothic" w:cs="MS PGothic" w:eastAsia="MS PGothic" w:hAnsi="MS PGothic"/>
          <w:sz w:val="14"/>
          <w:szCs w:val="14"/>
          <w:color w:val="auto"/>
        </w:rPr>
        <w:t>‑</w:t>
      </w:r>
      <w:r>
        <w:rPr>
          <w:rFonts w:ascii="Arial" w:cs="Arial" w:eastAsia="Arial" w:hAnsi="Arial"/>
          <w:sz w:val="14"/>
          <w:szCs w:val="14"/>
          <w:color w:val="auto"/>
        </w:rPr>
        <w:t>rated based on the number of days during the year that he was employed by the Company and paid at the time annual bonus payments are generally made to the Company’s executive officers;</w:t>
      </w:r>
    </w:p>
    <w:p>
      <w:pPr>
        <w:spacing w:after="0" w:line="74" w:lineRule="exact"/>
        <w:rPr>
          <w:rFonts w:ascii="Arial" w:cs="Arial" w:eastAsia="Arial" w:hAnsi="Arial"/>
          <w:sz w:val="14"/>
          <w:szCs w:val="14"/>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Any unpaid bonus amount for the prior fiscal year to the extent not paid prior to the termination date; and</w:t>
      </w:r>
    </w:p>
    <w:p>
      <w:pPr>
        <w:spacing w:after="0" w:line="93" w:lineRule="exact"/>
        <w:rPr>
          <w:rFonts w:ascii="Arial" w:cs="Arial" w:eastAsia="Arial" w:hAnsi="Arial"/>
          <w:sz w:val="14"/>
          <w:szCs w:val="14"/>
          <w:color w:val="auto"/>
        </w:rPr>
      </w:pPr>
    </w:p>
    <w:p>
      <w:pPr>
        <w:jc w:val="both"/>
        <w:ind w:left="760" w:hanging="246"/>
        <w:spacing w:after="0" w:line="267" w:lineRule="auto"/>
        <w:tabs>
          <w:tab w:leader="none" w:pos="756"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Reimbursement of the portion of COBRA premiums based on the monthly premium cost that would have been paid by the Company immediately prior to Mr. Sotos’ termination of employment for a period of 18 months after the date of termination, except that such coverage will be discontinued if Mr. Sotos becomes eligible for medical benefits from a subsequent employer or otherwise.</w:t>
      </w:r>
    </w:p>
    <w:p>
      <w:pPr>
        <w:spacing w:after="0" w:line="9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If Mr. Sotos’ employment is involuntarily terminated by the Company without cause or if he terminates his employment for good reason within the six months immediately prior to, or the 24 months immediately following, a change in control of the Company (i.e., the Change in Control Period with respect to Mr. Sotos), in lieu of the severance benefits set forth above, the Company will provide Mr. Sotos with the following severance benefits:</w:t>
      </w:r>
    </w:p>
    <w:p>
      <w:pPr>
        <w:spacing w:after="0" w:line="14" w:lineRule="exact"/>
        <w:rPr>
          <w:sz w:val="20"/>
          <w:szCs w:val="20"/>
          <w:color w:val="auto"/>
        </w:rPr>
      </w:pPr>
    </w:p>
    <w:p>
      <w:pPr>
        <w:ind w:left="760" w:hanging="246"/>
        <w:spacing w:after="0" w:line="281" w:lineRule="auto"/>
        <w:tabs>
          <w:tab w:leader="none" w:pos="756" w:val="left"/>
        </w:tabs>
        <w:numPr>
          <w:ilvl w:val="0"/>
          <w:numId w:val="47"/>
        </w:numPr>
        <w:rPr>
          <w:rFonts w:ascii="Arial" w:cs="Arial" w:eastAsia="Arial" w:hAnsi="Arial"/>
          <w:sz w:val="14"/>
          <w:szCs w:val="14"/>
          <w:color w:val="auto"/>
        </w:rPr>
      </w:pPr>
      <w:r>
        <w:rPr>
          <w:rFonts w:ascii="Arial" w:cs="Arial" w:eastAsia="Arial" w:hAnsi="Arial"/>
          <w:sz w:val="14"/>
          <w:szCs w:val="14"/>
          <w:color w:val="auto"/>
        </w:rPr>
        <w:t>A lump sum payment of no less than three times the sum of (a) Mr. Sotos’ base salary in effect at the time of Mr. Sotos’ termination of employment, or if greater, at such time that is immediately prior to the change in control and (b) Mr. Sotos’ target bonus opportunity under the then-current bonus plan for the year of termination;</w:t>
      </w:r>
    </w:p>
    <w:p>
      <w:pPr>
        <w:spacing w:after="0" w:line="47" w:lineRule="exact"/>
        <w:rPr>
          <w:rFonts w:ascii="Arial" w:cs="Arial" w:eastAsia="Arial" w:hAnsi="Arial"/>
          <w:sz w:val="14"/>
          <w:szCs w:val="14"/>
          <w:color w:val="auto"/>
        </w:rPr>
      </w:pPr>
    </w:p>
    <w:p>
      <w:pPr>
        <w:ind w:left="760" w:hanging="246"/>
        <w:spacing w:after="0" w:line="175" w:lineRule="exact"/>
        <w:tabs>
          <w:tab w:leader="none" w:pos="756" w:val="left"/>
        </w:tabs>
        <w:numPr>
          <w:ilvl w:val="0"/>
          <w:numId w:val="47"/>
        </w:numPr>
        <w:rPr>
          <w:rFonts w:ascii="Arial" w:cs="Arial" w:eastAsia="Arial" w:hAnsi="Arial"/>
          <w:sz w:val="14"/>
          <w:szCs w:val="14"/>
          <w:color w:val="auto"/>
        </w:rPr>
      </w:pPr>
      <w:r>
        <w:rPr>
          <w:rFonts w:ascii="Arial" w:cs="Arial" w:eastAsia="Arial" w:hAnsi="Arial"/>
          <w:sz w:val="14"/>
          <w:szCs w:val="14"/>
          <w:color w:val="auto"/>
        </w:rPr>
        <w:t>A lump sum payment equal to the target bonus opportunity under the then</w:t>
      </w:r>
      <w:r>
        <w:rPr>
          <w:rFonts w:ascii="MS PGothic" w:cs="MS PGothic" w:eastAsia="MS PGothic" w:hAnsi="MS PGothic"/>
          <w:sz w:val="14"/>
          <w:szCs w:val="14"/>
          <w:color w:val="auto"/>
        </w:rPr>
        <w:t>‑</w:t>
      </w:r>
      <w:r>
        <w:rPr>
          <w:rFonts w:ascii="Arial" w:cs="Arial" w:eastAsia="Arial" w:hAnsi="Arial"/>
          <w:sz w:val="14"/>
          <w:szCs w:val="14"/>
          <w:color w:val="auto"/>
        </w:rPr>
        <w:t>current bonus plan, which amount will be pro</w:t>
      </w:r>
      <w:r>
        <w:rPr>
          <w:rFonts w:ascii="MS PGothic" w:cs="MS PGothic" w:eastAsia="MS PGothic" w:hAnsi="MS PGothic"/>
          <w:sz w:val="14"/>
          <w:szCs w:val="14"/>
          <w:color w:val="auto"/>
        </w:rPr>
        <w:t>‑</w:t>
      </w:r>
      <w:r>
        <w:rPr>
          <w:rFonts w:ascii="Arial" w:cs="Arial" w:eastAsia="Arial" w:hAnsi="Arial"/>
          <w:sz w:val="14"/>
          <w:szCs w:val="14"/>
          <w:color w:val="auto"/>
        </w:rPr>
        <w:t>rated based on the number of days during the year that he was employed by the Company;</w:t>
      </w:r>
    </w:p>
    <w:p>
      <w:pPr>
        <w:spacing w:after="0" w:line="75"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Any unpaid bonus amount for the prior fiscal year to the extent not paid prior to the termination date; and</w:t>
      </w:r>
    </w:p>
    <w:p>
      <w:pPr>
        <w:spacing w:after="0" w:line="93" w:lineRule="exact"/>
        <w:rPr>
          <w:rFonts w:ascii="Arial" w:cs="Arial" w:eastAsia="Arial" w:hAnsi="Arial"/>
          <w:sz w:val="14"/>
          <w:szCs w:val="14"/>
          <w:color w:val="auto"/>
        </w:rPr>
      </w:pPr>
    </w:p>
    <w:p>
      <w:pPr>
        <w:jc w:val="both"/>
        <w:ind w:left="760" w:hanging="246"/>
        <w:spacing w:after="0" w:line="267" w:lineRule="auto"/>
        <w:tabs>
          <w:tab w:leader="none" w:pos="756"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Reimbursement of the portion of COBRA premiums based on the monthly premium cost that would have been paid by the Company immediately prior to Mr. Sotos’ termination of employment for a period of 18 months after the date of termination, except that such coverage will be discontinued if Mr. Sotos becomes eligible for medical benefits from a subsequent employer or otherwise.</w:t>
      </w:r>
    </w:p>
    <w:p>
      <w:pPr>
        <w:spacing w:after="0" w:line="99" w:lineRule="exact"/>
        <w:rPr>
          <w:sz w:val="20"/>
          <w:szCs w:val="20"/>
          <w:color w:val="auto"/>
        </w:rPr>
      </w:pPr>
    </w:p>
    <w:p>
      <w:pPr>
        <w:jc w:val="both"/>
        <w:ind w:firstLine="318"/>
        <w:spacing w:after="0" w:line="174" w:lineRule="exact"/>
        <w:rPr>
          <w:sz w:val="20"/>
          <w:szCs w:val="20"/>
          <w:color w:val="auto"/>
        </w:rPr>
      </w:pPr>
      <w:r>
        <w:rPr>
          <w:rFonts w:ascii="Arial" w:cs="Arial" w:eastAsia="Arial" w:hAnsi="Arial"/>
          <w:sz w:val="14"/>
          <w:szCs w:val="14"/>
          <w:color w:val="auto"/>
        </w:rPr>
        <w:t>If Mr. Sotos’ employment is terminated as a result of his death or disability, the Company agrees to pay him an amount equal to the target bonus opportunity for the year of termination, which amount will be pro</w:t>
      </w:r>
      <w:r>
        <w:rPr>
          <w:rFonts w:ascii="MS PGothic" w:cs="MS PGothic" w:eastAsia="MS PGothic" w:hAnsi="MS PGothic"/>
          <w:sz w:val="14"/>
          <w:szCs w:val="14"/>
          <w:color w:val="auto"/>
        </w:rPr>
        <w:t>‑</w:t>
      </w:r>
      <w:r>
        <w:rPr>
          <w:rFonts w:ascii="Arial" w:cs="Arial" w:eastAsia="Arial" w:hAnsi="Arial"/>
          <w:sz w:val="14"/>
          <w:szCs w:val="14"/>
          <w:color w:val="auto"/>
        </w:rPr>
        <w:t>rated based on the number of days during the year that Mr. Sotos was employed by the Company. In addition, the Company will pay Mr. Sotos any unpaid bonus amount for the prior fiscal year to the extent not paid prior to the termination date.</w:t>
      </w:r>
    </w:p>
    <w:p>
      <w:pPr>
        <w:spacing w:after="0" w:line="117" w:lineRule="exact"/>
        <w:rPr>
          <w:sz w:val="20"/>
          <w:szCs w:val="20"/>
          <w:color w:val="auto"/>
        </w:rPr>
      </w:pPr>
    </w:p>
    <w:p>
      <w:pPr>
        <w:jc w:val="both"/>
        <w:ind w:firstLine="318"/>
        <w:spacing w:after="0" w:line="174" w:lineRule="exact"/>
        <w:rPr>
          <w:sz w:val="20"/>
          <w:szCs w:val="20"/>
          <w:color w:val="auto"/>
        </w:rPr>
      </w:pPr>
      <w:r>
        <w:rPr>
          <w:rFonts w:ascii="Arial" w:cs="Arial" w:eastAsia="Arial" w:hAnsi="Arial"/>
          <w:sz w:val="14"/>
          <w:szCs w:val="14"/>
          <w:color w:val="auto"/>
        </w:rPr>
        <w:t>If an excise tax under Section 4999 of the Code would be triggered by any payments under Mr. Sotos’ amended and restated employment agreement or otherwise upon a change</w:t>
      </w:r>
      <w:r>
        <w:rPr>
          <w:rFonts w:ascii="MS PGothic" w:cs="MS PGothic" w:eastAsia="MS PGothic" w:hAnsi="MS PGothic"/>
          <w:sz w:val="14"/>
          <w:szCs w:val="14"/>
          <w:color w:val="auto"/>
        </w:rPr>
        <w:t>‑</w:t>
      </w:r>
      <w:r>
        <w:rPr>
          <w:rFonts w:ascii="Arial" w:cs="Arial" w:eastAsia="Arial" w:hAnsi="Arial"/>
          <w:sz w:val="14"/>
          <w:szCs w:val="14"/>
          <w:color w:val="auto"/>
        </w:rPr>
        <w:t>in</w:t>
      </w:r>
      <w:r>
        <w:rPr>
          <w:rFonts w:ascii="MS PGothic" w:cs="MS PGothic" w:eastAsia="MS PGothic" w:hAnsi="MS PGothic"/>
          <w:sz w:val="14"/>
          <w:szCs w:val="14"/>
          <w:color w:val="auto"/>
        </w:rPr>
        <w:t>‑</w:t>
      </w:r>
      <w:r>
        <w:rPr>
          <w:rFonts w:ascii="Arial" w:cs="Arial" w:eastAsia="Arial" w:hAnsi="Arial"/>
          <w:sz w:val="14"/>
          <w:szCs w:val="14"/>
          <w:color w:val="auto"/>
        </w:rPr>
        <w:t>control, the Company will reduce such payments so that no amounts are subject to Section 4999 of the Code, if such reduction would cause the amount to be retained by Mr. Sotos to be greater than if Mr. Sotos were required to pay such excise tax.</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NEO Benefits</w:t>
      </w:r>
    </w:p>
    <w:p>
      <w:pPr>
        <w:spacing w:after="0" w:line="13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Eligible NEOs may receive a discretionary payment of the pro-rated target bonus under the AIP in the event of such NEO’s termination of employment under certain circumstances, including upon his or her termination due to retirement or involuntary termination without cause. Such amount, if payable in the Compensation Committee’s discretion, will be pro-rated based on the number of days during the year that he or she was employed by the Company. In addition, under the CIC Plan, in the event of involuntary termination without cause, eligible NEOs are entitled to a general severance benefit equal to 1.5 times base salary payable in a lump sum amount and reimbursement for COBRA benefits continuation cost for a period of 18 months.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1" w:name="page72"/>
    <w:bookmarkEnd w:id="71"/>
    <w:p>
      <w:pPr>
        <w:jc w:val="both"/>
        <w:ind w:firstLine="318"/>
        <w:spacing w:after="0" w:line="278" w:lineRule="auto"/>
        <w:rPr>
          <w:sz w:val="20"/>
          <w:szCs w:val="20"/>
          <w:color w:val="auto"/>
        </w:rPr>
      </w:pPr>
      <w:r>
        <w:rPr>
          <w:rFonts w:ascii="Arial" w:cs="Arial" w:eastAsia="Arial" w:hAnsi="Arial"/>
          <w:sz w:val="13"/>
          <w:szCs w:val="13"/>
          <w:color w:val="auto"/>
        </w:rPr>
        <w:t>The CIC Plan also provides a change-in-control benefit in the event that, within six months prior to, as well as 24 months following, a change-in-control, an eligible NEO’s employment is either involuntarily terminated by the Company without cause or voluntarily terminated by such NEO for good reason. Mr. Plotkin’s change-in-control benefit consisted of an amount equal to 2.99 times the sum of his base salary plus the annual target incentive for the year of termination, payable in a lump sum amount. The change-in-control benefit for Mr. Malcarney consists of an amount equal to 2.99 times the sum of his base salary plus the annual target incentive for the year of termination. Ms. Rubenstein became eligible to participate in the CIC Plan upon her promotion to Senior Vice President and Chief Accounting Officer in January 2022. The change-in-control benefit for Ms. Rubenstein consists of an amount equal to 2.0 times the sum of her base salary plus the annual target incentive for the year of termination. Prior to her promotion, Ms. Rubenstein was eligible for change-in-control and severance benefits under the Key Management Change-in-Control and General Severance Plan. All such NEOs are also eligible for an amount equal to their target bonus for the year of termination, pro-rated for the number of days during the performance period that such NEO was employed by the Company and reimbursement for all or a portion of such NEO’s COBRA benefits continuation cost for a period of 18 months, such that the NEO maintains the same coverage level and cost, on an after-tax basis, as in effect immediately prior to his or her termination of employment.</w:t>
      </w:r>
    </w:p>
    <w:p>
      <w:pPr>
        <w:spacing w:after="0" w:line="9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As a condition of receiving severance or change-in-control benefits, an eligible NEO must execute a release of claims and acknowledge the restrictive covenants in the CIC Plan. Such restrictive covenants include non-competition, non-solicitation and non-disparagement covenants applicable for one year after termination, confidentiality and intellectual property obligations. The provisions of the CIC Plan may only be waived by the written consent of the Compensation Committee and the applicable NEO.</w:t>
      </w:r>
    </w:p>
    <w:p>
      <w:pPr>
        <w:spacing w:after="0" w:line="9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If an excise tax under Section 4999 of the Code would be triggered for an eligible NEO by any payments under the CIC Plan or otherwise upon a change-in-control, the Company will reduce such payments so that no amounts are subject to Section 4999 of the Code, if such reduction would cause the amount to be retained by such NEO to be greater than if such NEO were required to pay such excise tax.</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Definition of Change-In-Control, Etc.</w:t>
      </w:r>
    </w:p>
    <w:p>
      <w:pPr>
        <w:spacing w:after="0" w:line="189"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In general, under Mr. Sotos’ amended and restated employment agreement and the CIC Plan, a “change-in-control” occurs in the event: (a) any person or entity (with certain exceptions), becomes the direct or indirect beneficial owner of 50% or more of the Company’s then-outstanding voting or common stock or obtains the power to, directly or indirectly, vote or cause to be voted 50% or more of the Company’s capital stock entitled to vote in the election of directors, including by contract or through proxy, (b) directors serving on the Board as of a specified date cease to constitute at least a majority of the Board unless such directors are approved by a vote of at least a majority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unless the previous stockholders of the Company own more than 50% of the then-outstanding common stock and combined voting power of the company resulting from such change-in-control transaction, or (d) the stockholders approve a plan or proposal to liquidate or dissolve the Company.</w:t>
      </w:r>
    </w:p>
    <w:p>
      <w:pPr>
        <w:spacing w:after="0" w:line="106"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An involuntary termination without “cause” means the NEO’s termination by the Company for any reason other than the NEO’s (a) conviction of, or agreement to a plea of nolo contendere to, a felony or other crime involving moral turpitude (including an indictment therefore under the CIC Plan), (b) willful failure to perform his or her duties (or in Mr. Sotos’ case, his material duties pursuant to his amended and restated employment agreement), (c) willful gross neglect or willful misconduct (including a material act of theft, fraud, malfeasance or dishonesty in connection with his or her performance of duties under the CIC Plan), or (d) breach of any written agreement between the Company or NEO, a violation of the Company’s Code of Conduct or other written policy (or in Mr. Sotos’ case, a material breach of such a written agreement or material violation of the Company’s Code of Conduct).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2" w:name="page73"/>
    <w:bookmarkEnd w:id="72"/>
    <w:p>
      <w:pPr>
        <w:jc w:val="both"/>
        <w:ind w:firstLine="318"/>
        <w:spacing w:after="0" w:line="255" w:lineRule="auto"/>
        <w:rPr>
          <w:sz w:val="20"/>
          <w:szCs w:val="20"/>
          <w:color w:val="auto"/>
        </w:rPr>
      </w:pPr>
      <w:r>
        <w:rPr>
          <w:rFonts w:ascii="Arial" w:cs="Arial" w:eastAsia="Arial" w:hAnsi="Arial"/>
          <w:sz w:val="14"/>
          <w:szCs w:val="14"/>
          <w:color w:val="auto"/>
        </w:rPr>
        <w:t>A voluntary termination for “good reason” means the resignation of the NEO in the event of (a) a reduction in his or her base salary or target total compensation by more than 15%, excluding across-the-board reductions to his or her base salary or annual bonus target, or if during the Change in Control Period, any reduction of base salary or target total compensation (without regard to whether the reduction applies on an across-the-board basis), (b) a material reduction in his or her benefits under or relative level of participation in the Company’s employee benefit plans, (c) a material diminution in his or her title, authority, duties or responsibilities, (d) a relocation of his or her principal place of employment by more than 50 miles or (e) the failure of a successor to the Company to agree, in writing, to assume the CIC Plan, or in the case of Mr. Sotos, his amended and restated employment agreement, within 15 days after a merger, consolidation, sale or similar transaction. In Mr. Sotos’ case only, “good reason” also includes (i) in lieu of the event described in the preceding subclause (a), a reduction in his base salary, annual bonus target, or target long-term incentive awards by more than 15%, excluding across-the-board reductions to his base salary, annual bonus target, and/or target long-term incentive awards, or if during the period that is within the six months immediately prior to, or 24 months immediately following a change in control of the Company, any reduction of base salary, annual bonus target, or target long-term incentive awards (without regard to whether the reduction applies on an across-the-board basis), (ii) any material failure by the Company to comply with his amended and restated employment agreement, (iii) his removal from the Board, (iv) the failure to elect him to the Board during any regular election, or (v) a change in reporting structure of the Company requiring Mr. Sotos to report to anyone other than the Board.</w:t>
      </w:r>
    </w:p>
    <w:p>
      <w:pPr>
        <w:spacing w:after="0" w:line="113" w:lineRule="exact"/>
        <w:rPr>
          <w:sz w:val="20"/>
          <w:szCs w:val="20"/>
          <w:color w:val="auto"/>
        </w:rPr>
      </w:pPr>
    </w:p>
    <w:p>
      <w:pPr>
        <w:spacing w:after="0" w:line="161" w:lineRule="exact"/>
        <w:rPr>
          <w:sz w:val="20"/>
          <w:szCs w:val="20"/>
          <w:color w:val="auto"/>
        </w:rPr>
      </w:pPr>
      <w:r>
        <w:rPr>
          <w:rFonts w:ascii="Arial" w:cs="Arial" w:eastAsia="Arial" w:hAnsi="Arial"/>
          <w:sz w:val="14"/>
          <w:szCs w:val="14"/>
          <w:i w:val="1"/>
          <w:iCs w:val="1"/>
          <w:color w:val="auto"/>
        </w:rPr>
        <w:t>Potential Payments Upon Termination or Change</w:t>
      </w:r>
      <w:r>
        <w:rPr>
          <w:rFonts w:ascii="MS PGothic" w:cs="MS PGothic" w:eastAsia="MS PGothic" w:hAnsi="MS PGothic"/>
          <w:sz w:val="14"/>
          <w:szCs w:val="14"/>
          <w:i w:val="1"/>
          <w:iCs w:val="1"/>
          <w:color w:val="auto"/>
        </w:rPr>
        <w:t>‑</w:t>
      </w:r>
      <w:r>
        <w:rPr>
          <w:rFonts w:ascii="Arial" w:cs="Arial" w:eastAsia="Arial" w:hAnsi="Arial"/>
          <w:sz w:val="14"/>
          <w:szCs w:val="14"/>
          <w:i w:val="1"/>
          <w:iCs w:val="1"/>
          <w:color w:val="auto"/>
        </w:rPr>
        <w:t>In</w:t>
      </w:r>
      <w:r>
        <w:rPr>
          <w:rFonts w:ascii="MS PGothic" w:cs="MS PGothic" w:eastAsia="MS PGothic" w:hAnsi="MS PGothic"/>
          <w:sz w:val="14"/>
          <w:szCs w:val="14"/>
          <w:i w:val="1"/>
          <w:iCs w:val="1"/>
          <w:color w:val="auto"/>
        </w:rPr>
        <w:t>‑</w:t>
      </w:r>
      <w:r>
        <w:rPr>
          <w:rFonts w:ascii="Arial" w:cs="Arial" w:eastAsia="Arial" w:hAnsi="Arial"/>
          <w:sz w:val="14"/>
          <w:szCs w:val="14"/>
          <w:i w:val="1"/>
          <w:iCs w:val="1"/>
          <w:color w:val="auto"/>
        </w:rPr>
        <w:t>Control</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amount of compensation payable to each NEO in each circumstance is shown in the table below, assuming that termination of employment occurred as of December 31, 2022, and including payments that would have been earned as of such date. The amounts shown below do not include benefits payable under the Company’s 401(k) plan.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Involuntary Not for</w:t>
            </w:r>
          </w:p>
        </w:tc>
        <w:tc>
          <w:tcPr>
            <w:tcW w:w="14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Cause or Voluntary</w:t>
            </w:r>
          </w:p>
        </w:tc>
        <w:tc>
          <w:tcPr>
            <w:tcW w:w="14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jc w:val="center"/>
              <w:ind w:right="15"/>
              <w:spacing w:after="0"/>
              <w:rPr>
                <w:sz w:val="20"/>
                <w:szCs w:val="20"/>
                <w:color w:val="auto"/>
              </w:rPr>
            </w:pPr>
            <w:r>
              <w:rPr>
                <w:rFonts w:ascii="Arial" w:cs="Arial" w:eastAsia="Arial" w:hAnsi="Arial"/>
                <w:sz w:val="11"/>
                <w:szCs w:val="11"/>
                <w:b w:val="1"/>
                <w:bCs w:val="1"/>
                <w:color w:val="auto"/>
                <w:w w:val="97"/>
              </w:rPr>
              <w:t>Involuntary</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Voluntary</w:t>
            </w:r>
          </w:p>
        </w:tc>
        <w:tc>
          <w:tcPr>
            <w:tcW w:w="22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for Good Reason</w:t>
            </w:r>
          </w:p>
        </w:tc>
        <w:tc>
          <w:tcPr>
            <w:tcW w:w="14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27"/>
        </w:trPr>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jc w:val="center"/>
              <w:spacing w:after="0"/>
              <w:rPr>
                <w:sz w:val="20"/>
                <w:szCs w:val="20"/>
                <w:color w:val="auto"/>
              </w:rPr>
            </w:pPr>
            <w:r>
              <w:rPr>
                <w:rFonts w:ascii="Arial" w:cs="Arial" w:eastAsia="Arial" w:hAnsi="Arial"/>
                <w:sz w:val="11"/>
                <w:szCs w:val="11"/>
                <w:b w:val="1"/>
                <w:bCs w:val="1"/>
                <w:color w:val="auto"/>
                <w:w w:val="95"/>
              </w:rPr>
              <w:t>Termination</w:t>
            </w:r>
          </w:p>
        </w:tc>
        <w:tc>
          <w:tcPr>
            <w:tcW w:w="13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Termination</w:t>
            </w:r>
          </w:p>
        </w:tc>
        <w:tc>
          <w:tcPr>
            <w:tcW w:w="22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Following</w:t>
            </w:r>
          </w:p>
        </w:tc>
        <w:tc>
          <w:tcPr>
            <w:tcW w:w="1400" w:type="dxa"/>
            <w:vAlign w:val="bottom"/>
          </w:tcPr>
          <w:p>
            <w:pPr>
              <w:jc w:val="right"/>
              <w:ind w:right="434"/>
              <w:spacing w:after="0"/>
              <w:rPr>
                <w:sz w:val="20"/>
                <w:szCs w:val="20"/>
                <w:color w:val="auto"/>
              </w:rPr>
            </w:pPr>
            <w:r>
              <w:rPr>
                <w:rFonts w:ascii="Arial" w:cs="Arial" w:eastAsia="Arial" w:hAnsi="Arial"/>
                <w:sz w:val="11"/>
                <w:szCs w:val="11"/>
                <w:b w:val="1"/>
                <w:bCs w:val="1"/>
                <w:color w:val="auto"/>
              </w:rPr>
              <w:t>Death or</w:t>
            </w:r>
          </w:p>
        </w:tc>
        <w:tc>
          <w:tcPr>
            <w:tcW w:w="1280" w:type="dxa"/>
            <w:vAlign w:val="bottom"/>
          </w:tcPr>
          <w:p>
            <w:pPr>
              <w:spacing w:after="0"/>
              <w:rPr>
                <w:sz w:val="11"/>
                <w:szCs w:val="11"/>
                <w:color w:val="auto"/>
              </w:rPr>
            </w:pPr>
          </w:p>
        </w:tc>
      </w:tr>
      <w:tr>
        <w:trPr>
          <w:trHeight w:val="167"/>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Named Executive Officer</w:t>
            </w:r>
          </w:p>
        </w:tc>
        <w:tc>
          <w:tcPr>
            <w:tcW w:w="10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Not for Cause ($)</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for Good Reason ($)</w:t>
            </w:r>
          </w:p>
        </w:tc>
        <w:tc>
          <w:tcPr>
            <w:tcW w:w="100" w:type="dxa"/>
            <w:vAlign w:val="bottom"/>
            <w:tcBorders>
              <w:bottom w:val="single" w:sz="8" w:color="CCEEFF"/>
            </w:tcBorders>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a Change in Control ($)</w:t>
            </w:r>
          </w:p>
        </w:tc>
        <w:tc>
          <w:tcPr>
            <w:tcW w:w="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334"/>
              <w:spacing w:after="0"/>
              <w:rPr>
                <w:sz w:val="20"/>
                <w:szCs w:val="20"/>
                <w:color w:val="auto"/>
              </w:rPr>
            </w:pPr>
            <w:r>
              <w:rPr>
                <w:rFonts w:ascii="Arial" w:cs="Arial" w:eastAsia="Arial" w:hAnsi="Arial"/>
                <w:sz w:val="11"/>
                <w:szCs w:val="11"/>
                <w:b w:val="1"/>
                <w:bCs w:val="1"/>
                <w:color w:val="auto"/>
              </w:rPr>
              <w:t>Disability ($)</w:t>
            </w: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1"/>
                <w:szCs w:val="11"/>
                <w:b w:val="1"/>
                <w:bCs w:val="1"/>
                <w:color w:val="auto"/>
              </w:rPr>
              <w:t>Qualified Retirement</w:t>
            </w:r>
          </w:p>
        </w:tc>
      </w:tr>
      <w:tr>
        <w:trPr>
          <w:trHeight w:val="202"/>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Christopher S. Sotos</w:t>
            </w:r>
          </w:p>
        </w:tc>
        <w:tc>
          <w:tcPr>
            <w:tcW w:w="19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1,683,534</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1,683,534</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10,888,490</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6,876,752</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3080" w:type="dxa"/>
            <w:vAlign w:val="bottom"/>
            <w:gridSpan w:val="2"/>
          </w:tcPr>
          <w:p>
            <w:pPr>
              <w:ind w:left="20"/>
              <w:spacing w:after="0" w:line="201" w:lineRule="exact"/>
              <w:rPr>
                <w:sz w:val="20"/>
                <w:szCs w:val="20"/>
                <w:color w:val="auto"/>
              </w:rPr>
            </w:pPr>
            <w:r>
              <w:rPr>
                <w:rFonts w:ascii="Arial" w:cs="Arial" w:eastAsia="Arial" w:hAnsi="Arial"/>
                <w:sz w:val="14"/>
                <w:szCs w:val="14"/>
                <w:color w:val="auto"/>
              </w:rPr>
              <w:t>Sarah Rubenstein</w:t>
            </w:r>
            <w:r>
              <w:rPr>
                <w:rFonts w:ascii="Arial" w:cs="Arial" w:eastAsia="Arial" w:hAnsi="Arial"/>
                <w:sz w:val="18"/>
                <w:szCs w:val="18"/>
                <w:color w:val="auto"/>
                <w:vertAlign w:val="superscript"/>
              </w:rPr>
              <w:t>(1)</w:t>
            </w:r>
          </w:p>
        </w:tc>
        <w:tc>
          <w:tcPr>
            <w:tcW w:w="1940" w:type="dxa"/>
            <w:vAlign w:val="bottom"/>
          </w:tcPr>
          <w:p>
            <w:pPr>
              <w:jc w:val="right"/>
              <w:ind w:right="55"/>
              <w:spacing w:after="0"/>
              <w:rPr>
                <w:sz w:val="20"/>
                <w:szCs w:val="20"/>
                <w:color w:val="auto"/>
              </w:rPr>
            </w:pPr>
            <w:r>
              <w:rPr>
                <w:rFonts w:ascii="Arial" w:cs="Arial" w:eastAsia="Arial" w:hAnsi="Arial"/>
                <w:sz w:val="14"/>
                <w:szCs w:val="14"/>
                <w:color w:val="auto"/>
              </w:rPr>
              <w:t>789,655</w:t>
            </w: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120" w:type="dxa"/>
            <w:vAlign w:val="bottom"/>
          </w:tcPr>
          <w:p>
            <w:pPr>
              <w:jc w:val="right"/>
              <w:spacing w:after="0"/>
              <w:rPr>
                <w:sz w:val="20"/>
                <w:szCs w:val="20"/>
                <w:color w:val="auto"/>
              </w:rPr>
            </w:pPr>
            <w:r>
              <w:rPr>
                <w:rFonts w:ascii="Arial" w:cs="Arial" w:eastAsia="Arial" w:hAnsi="Arial"/>
                <w:sz w:val="14"/>
                <w:szCs w:val="14"/>
                <w:color w:val="auto"/>
              </w:rPr>
              <w:t>1,830,963</w:t>
            </w:r>
          </w:p>
        </w:tc>
        <w:tc>
          <w:tcPr>
            <w:tcW w:w="80" w:type="dxa"/>
            <w:vAlign w:val="bottom"/>
          </w:tcPr>
          <w:p>
            <w:pPr>
              <w:spacing w:after="0"/>
              <w:rPr>
                <w:sz w:val="17"/>
                <w:szCs w:val="17"/>
                <w:color w:val="auto"/>
              </w:rPr>
            </w:pPr>
          </w:p>
        </w:tc>
        <w:tc>
          <w:tcPr>
            <w:tcW w:w="1400" w:type="dxa"/>
            <w:vAlign w:val="bottom"/>
          </w:tcPr>
          <w:p>
            <w:pPr>
              <w:jc w:val="right"/>
              <w:ind w:right="54"/>
              <w:spacing w:after="0"/>
              <w:rPr>
                <w:sz w:val="20"/>
                <w:szCs w:val="20"/>
                <w:color w:val="auto"/>
              </w:rPr>
            </w:pPr>
            <w:r>
              <w:rPr>
                <w:rFonts w:ascii="Arial" w:cs="Arial" w:eastAsia="Arial" w:hAnsi="Arial"/>
                <w:sz w:val="14"/>
                <w:szCs w:val="14"/>
                <w:color w:val="auto"/>
              </w:rPr>
              <w:t>820,750</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308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4"/>
                <w:szCs w:val="14"/>
                <w:color w:val="auto"/>
              </w:rPr>
              <w:t>Kevin P. Malcarney</w:t>
            </w:r>
            <w:r>
              <w:rPr>
                <w:rFonts w:ascii="Arial" w:cs="Arial" w:eastAsia="Arial" w:hAnsi="Arial"/>
                <w:sz w:val="18"/>
                <w:szCs w:val="18"/>
                <w:color w:val="auto"/>
                <w:vertAlign w:val="superscript"/>
              </w:rPr>
              <w:t>(2)</w:t>
            </w:r>
          </w:p>
        </w:tc>
        <w:tc>
          <w:tcPr>
            <w:tcW w:w="19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897,351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3,613,118</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1,602,367</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1,133,550</w:t>
            </w:r>
          </w:p>
        </w:tc>
      </w:tr>
      <w:tr>
        <w:trPr>
          <w:trHeight w:val="255"/>
        </w:trPr>
        <w:tc>
          <w:tcPr>
            <w:tcW w:w="3080" w:type="dxa"/>
            <w:vAlign w:val="bottom"/>
            <w:gridSpan w:val="2"/>
          </w:tcPr>
          <w:p>
            <w:pPr>
              <w:ind w:left="20"/>
              <w:spacing w:after="0"/>
              <w:rPr>
                <w:sz w:val="20"/>
                <w:szCs w:val="20"/>
                <w:color w:val="auto"/>
              </w:rPr>
            </w:pPr>
            <w:r>
              <w:rPr>
                <w:rFonts w:ascii="Arial" w:cs="Arial" w:eastAsia="Arial" w:hAnsi="Arial"/>
                <w:sz w:val="14"/>
                <w:szCs w:val="14"/>
                <w:color w:val="auto"/>
              </w:rPr>
              <w:t>Chad Plotkin</w:t>
            </w:r>
            <w:r>
              <w:rPr>
                <w:rFonts w:ascii="Arial" w:cs="Arial" w:eastAsia="Arial" w:hAnsi="Arial"/>
                <w:sz w:val="18"/>
                <w:szCs w:val="18"/>
                <w:color w:val="auto"/>
                <w:vertAlign w:val="superscript"/>
              </w:rPr>
              <w:t>(3)</w:t>
            </w:r>
          </w:p>
        </w:tc>
        <w:tc>
          <w:tcPr>
            <w:tcW w:w="1940" w:type="dxa"/>
            <w:vAlign w:val="bottom"/>
          </w:tcPr>
          <w:p>
            <w:pPr>
              <w:jc w:val="right"/>
              <w:ind w:right="55"/>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54"/>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138811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07" w:lineRule="exact"/>
        <w:rPr>
          <w:sz w:val="20"/>
          <w:szCs w:val="20"/>
          <w:color w:val="auto"/>
        </w:rPr>
      </w:pPr>
    </w:p>
    <w:p>
      <w:pPr>
        <w:ind w:left="120" w:hanging="115"/>
        <w:spacing w:after="0"/>
        <w:tabs>
          <w:tab w:leader="none" w:pos="120" w:val="left"/>
        </w:tabs>
        <w:numPr>
          <w:ilvl w:val="0"/>
          <w:numId w:val="48"/>
        </w:numPr>
        <w:rPr>
          <w:rFonts w:ascii="Arial" w:cs="Arial" w:eastAsia="Arial" w:hAnsi="Arial"/>
          <w:sz w:val="14"/>
          <w:szCs w:val="14"/>
          <w:color w:val="auto"/>
          <w:vertAlign w:val="superscript"/>
        </w:rPr>
      </w:pPr>
      <w:r>
        <w:rPr>
          <w:rFonts w:ascii="Arial" w:cs="Arial" w:eastAsia="Arial" w:hAnsi="Arial"/>
          <w:sz w:val="11"/>
          <w:szCs w:val="11"/>
          <w:color w:val="auto"/>
        </w:rPr>
        <w:t>Ms. Rubenstein was promoted to Senior Vice President and Chief Accounting Officer in January 2022 and appointed as the principal financial officer for the Company in August 2022.</w:t>
      </w:r>
    </w:p>
    <w:p>
      <w:pPr>
        <w:spacing w:after="0" w:line="24" w:lineRule="exact"/>
        <w:rPr>
          <w:rFonts w:ascii="Arial" w:cs="Arial" w:eastAsia="Arial" w:hAnsi="Arial"/>
          <w:sz w:val="14"/>
          <w:szCs w:val="14"/>
          <w:color w:val="auto"/>
          <w:vertAlign w:val="superscript"/>
        </w:rPr>
      </w:pPr>
    </w:p>
    <w:p>
      <w:pPr>
        <w:ind w:firstLine="5"/>
        <w:spacing w:after="0" w:line="277" w:lineRule="auto"/>
        <w:tabs>
          <w:tab w:leader="none" w:pos="115" w:val="left"/>
        </w:tabs>
        <w:numPr>
          <w:ilvl w:val="0"/>
          <w:numId w:val="48"/>
        </w:numPr>
        <w:rPr>
          <w:rFonts w:ascii="Arial" w:cs="Arial" w:eastAsia="Arial" w:hAnsi="Arial"/>
          <w:sz w:val="7"/>
          <w:szCs w:val="7"/>
          <w:color w:val="auto"/>
        </w:rPr>
      </w:pPr>
      <w:r>
        <w:rPr>
          <w:rFonts w:ascii="Arial" w:cs="Arial" w:eastAsia="Arial" w:hAnsi="Arial"/>
          <w:sz w:val="11"/>
          <w:szCs w:val="11"/>
          <w:color w:val="auto"/>
        </w:rPr>
        <w:t>Mr. Malcarney was promoted to Executive Vice President, General Counsel and Corporate Secretary in January 2022. He met the definition of Qualified Retirement in 2022 and is therefore entitled to certain payments and vesting of awards in the event he retires before they vest.</w:t>
      </w:r>
    </w:p>
    <w:p>
      <w:pPr>
        <w:spacing w:after="0" w:line="5" w:lineRule="exact"/>
        <w:rPr>
          <w:rFonts w:ascii="Arial" w:cs="Arial" w:eastAsia="Arial" w:hAnsi="Arial"/>
          <w:sz w:val="7"/>
          <w:szCs w:val="7"/>
          <w:color w:val="auto"/>
        </w:rPr>
      </w:pPr>
    </w:p>
    <w:p>
      <w:pPr>
        <w:ind w:firstLine="5"/>
        <w:spacing w:after="0" w:line="227" w:lineRule="auto"/>
        <w:tabs>
          <w:tab w:leader="none" w:pos="121" w:val="left"/>
        </w:tabs>
        <w:numPr>
          <w:ilvl w:val="0"/>
          <w:numId w:val="48"/>
        </w:numPr>
        <w:rPr>
          <w:rFonts w:ascii="Arial" w:cs="Arial" w:eastAsia="Arial" w:hAnsi="Arial"/>
          <w:sz w:val="14"/>
          <w:szCs w:val="14"/>
          <w:color w:val="auto"/>
          <w:vertAlign w:val="superscript"/>
        </w:rPr>
      </w:pPr>
      <w:r>
        <w:rPr>
          <w:rFonts w:ascii="Arial" w:cs="Arial" w:eastAsia="Arial" w:hAnsi="Arial"/>
          <w:sz w:val="11"/>
          <w:szCs w:val="11"/>
          <w:color w:val="auto"/>
        </w:rPr>
        <w:t>Mr. Plotkin was promoted to Executive Vice President and Chief Financial Officer in January 2022. Mr. Plotkin voluntarily resigned from his employment with the Company in August 2022. Accordingly, disclosure is limited to the voluntary termination event (without good reason) that actually occurred, such that, no termination benefits were due or owing to Mr. Plotkin in connection with such voluntary termination event.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CEO Pay Ratio</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As a result of the rules under the Dodd-Frank Act, the SEC requires disclosure of the CEO to median employee pay ratio. The following is a reasonable estimate, prepared under applicable SEC rules, of the ratio of the annual total compensation of our CEO, Mr. Sotos, to the annual total compensation of our median employee.</w:t>
      </w:r>
    </w:p>
    <w:p>
      <w:pPr>
        <w:spacing w:after="0" w:line="90"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We determined that we could use in our 2022 CEO pay ratio analysis the same median employee that we identified in 2021 given that there was no change in either our employee population or our employee compensation arrangements that we believe would significantly impact our pay ratio disclosure. In light of the Thermal sale that occurred in 2022, a new median employee was identified in 2022. Our median employee’s annual total compensation for 2022 was determined using the same rules that apply to reporting the compensation of our NEOs (including our CEO) in the “Total” column of the “Summary Compensation Table — 2020 — 2022” above. The following total compensation amounts were determined based on that methodology:</w:t>
      </w:r>
    </w:p>
    <w:p>
      <w:pPr>
        <w:spacing w:after="0" w:line="4" w:lineRule="exact"/>
        <w:rPr>
          <w:sz w:val="20"/>
          <w:szCs w:val="20"/>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annual total compensation of the median employee for 2022 was $136,464.</w:t>
      </w:r>
    </w:p>
    <w:p>
      <w:pPr>
        <w:spacing w:after="0" w:line="40"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annual total compensation of Mr. Sotos for 2022 was $3,348,224.</w:t>
      </w:r>
    </w:p>
    <w:p>
      <w:pPr>
        <w:spacing w:after="0" w:line="29"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a result, we estimate that Mr. Sotos’ 2022 annual total compensation was approximately 25 times that of our median employee.</w:t>
      </w:r>
    </w:p>
    <w:p>
      <w:pPr>
        <w:spacing w:after="0" w:line="136"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73" w:name="page74"/>
    <w:bookmarkEnd w:id="73"/>
    <w:p>
      <w:pPr>
        <w:ind w:right="4480"/>
        <w:spacing w:after="0" w:line="445" w:lineRule="auto"/>
        <w:rPr>
          <w:sz w:val="20"/>
          <w:szCs w:val="20"/>
          <w:color w:val="auto"/>
        </w:rPr>
      </w:pPr>
      <w:r>
        <w:rPr>
          <w:rFonts w:ascii="Arial" w:cs="Arial" w:eastAsia="Arial" w:hAnsi="Arial"/>
          <w:sz w:val="14"/>
          <w:szCs w:val="14"/>
          <w:b w:val="1"/>
          <w:bCs w:val="1"/>
          <w:color w:val="auto"/>
        </w:rPr>
        <w:t>Item 12 — Security Ownership of Certain Beneficial Owners and Management and Related Stockholder Matters Clearway Energy LLC Ownership</w:t>
      </w:r>
    </w:p>
    <w:p>
      <w:pPr>
        <w:spacing w:after="0" w:line="1"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As of December 31, 2022, GIP, through CEG, owned 42,738,750 of each of the Company’s Class B units and Class D units, and Clearway, Inc. owned 34,613,853 of the Company’s Class A units and 82,283,460 of the Company’s Class C units. As of December 31, 2022, Clearway, Inc., through its holdings of Class A units and Class C units, owned a 57.88% economic interest in the Company. Clearway, Inc. consolidates the results of the Company through its controlling interest as sole managing member. As of December 31, 2022, CEG, through its holdings of Class B units and Class D units, owned a 42.12% economic interest in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Clearway Energy, Inc. Ownership</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Ownership of Executive Officers</w:t>
      </w:r>
    </w:p>
    <w:p>
      <w:pPr>
        <w:spacing w:after="0" w:line="136"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The following table sets forth information concerning beneficial ownership of Clearway, Inc.’s Class A and Class C common stock and combined voting power of Class A, Class B, Class C and Class D common stock for: (a) each NEO and (b) all executive officers as a group. The percentage of beneficial ownership is based on 34,613,853 shares of Class A common stock outstanding as of January 31, 2023, and 82,283,460 shares of Class C common stock outstanding as of January 31, 2023, and percentage of combined voting power is based on 78,598,805 votes represented by Clearway, Inc.’s outstanding Class A, Class B, Class C and Class D common stock in the aggregate as of January 31, 2023. The percentage of beneficial ownership and the percentage of combined voting power also include any shares that such person has the right to acquire within 60 days of January 31, 2023. Unless otherwise indicated, each person has sole voting and dispositive power with respect to the shares set forth in the following table.</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address of the beneficial owners is Clearway Energy, Inc., 300 Carnegie Center, Suite 300, Princeton, New Jersey 08540.</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1"/>
              </w:rPr>
              <w:t>Common Stock</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2360" w:type="dxa"/>
            <w:vAlign w:val="bottom"/>
            <w:gridSpan w:val="2"/>
          </w:tcPr>
          <w:p>
            <w:pPr>
              <w:ind w:left="700"/>
              <w:spacing w:after="0" w:line="117" w:lineRule="exact"/>
              <w:rPr>
                <w:sz w:val="20"/>
                <w:szCs w:val="20"/>
                <w:color w:val="auto"/>
              </w:rPr>
            </w:pPr>
            <w:r>
              <w:rPr>
                <w:rFonts w:ascii="Arial" w:cs="Arial" w:eastAsia="Arial" w:hAnsi="Arial"/>
                <w:sz w:val="11"/>
                <w:szCs w:val="11"/>
                <w:b w:val="1"/>
                <w:bCs w:val="1"/>
                <w:color w:val="auto"/>
              </w:rPr>
              <w:t>Class A Common Stock</w:t>
            </w:r>
          </w:p>
        </w:tc>
        <w:tc>
          <w:tcPr>
            <w:tcW w:w="320" w:type="dxa"/>
            <w:vAlign w:val="bottom"/>
          </w:tcPr>
          <w:p>
            <w:pPr>
              <w:spacing w:after="0"/>
              <w:rPr>
                <w:sz w:val="10"/>
                <w:szCs w:val="10"/>
                <w:color w:val="auto"/>
              </w:rPr>
            </w:pPr>
          </w:p>
        </w:tc>
        <w:tc>
          <w:tcPr>
            <w:tcW w:w="2200" w:type="dxa"/>
            <w:vAlign w:val="bottom"/>
            <w:gridSpan w:val="2"/>
          </w:tcPr>
          <w:p>
            <w:pPr>
              <w:ind w:left="560"/>
              <w:spacing w:after="0" w:line="117" w:lineRule="exact"/>
              <w:rPr>
                <w:sz w:val="20"/>
                <w:szCs w:val="20"/>
                <w:color w:val="auto"/>
              </w:rPr>
            </w:pPr>
            <w:r>
              <w:rPr>
                <w:rFonts w:ascii="Arial" w:cs="Arial" w:eastAsia="Arial" w:hAnsi="Arial"/>
                <w:sz w:val="11"/>
                <w:szCs w:val="11"/>
                <w:b w:val="1"/>
                <w:bCs w:val="1"/>
                <w:color w:val="auto"/>
              </w:rPr>
              <w:t>Class C Common Stock</w:t>
            </w:r>
          </w:p>
        </w:tc>
        <w:tc>
          <w:tcPr>
            <w:tcW w:w="200" w:type="dxa"/>
            <w:vAlign w:val="bottom"/>
          </w:tcPr>
          <w:p>
            <w:pPr>
              <w:spacing w:after="0"/>
              <w:rPr>
                <w:sz w:val="10"/>
                <w:szCs w:val="10"/>
                <w:color w:val="auto"/>
              </w:rPr>
            </w:pPr>
          </w:p>
        </w:tc>
        <w:tc>
          <w:tcPr>
            <w:tcW w:w="1260" w:type="dxa"/>
            <w:vAlign w:val="bottom"/>
            <w:gridSpan w:val="3"/>
          </w:tcPr>
          <w:p>
            <w:pPr>
              <w:jc w:val="center"/>
              <w:spacing w:after="0" w:line="117" w:lineRule="exact"/>
              <w:rPr>
                <w:sz w:val="20"/>
                <w:szCs w:val="20"/>
                <w:color w:val="auto"/>
              </w:rPr>
            </w:pPr>
            <w:r>
              <w:rPr>
                <w:rFonts w:ascii="Arial" w:cs="Arial" w:eastAsia="Arial" w:hAnsi="Arial"/>
                <w:sz w:val="11"/>
                <w:szCs w:val="11"/>
                <w:b w:val="1"/>
                <w:bCs w:val="1"/>
                <w:color w:val="auto"/>
              </w:rPr>
              <w:t>% of</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2"/>
              </w:rPr>
              <w:t>Combined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9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2"/>
              </w:rPr>
              <w:t>% of Class A</w:t>
            </w: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2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2"/>
              </w:rPr>
              <w:t>% of Class C</w:t>
            </w:r>
          </w:p>
        </w:tc>
        <w:tc>
          <w:tcPr>
            <w:tcW w:w="20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800" w:type="dxa"/>
            <w:vAlign w:val="bottom"/>
            <w:gridSpan w:val="2"/>
          </w:tcPr>
          <w:p>
            <w:pPr>
              <w:spacing w:after="0"/>
              <w:rPr>
                <w:sz w:val="20"/>
                <w:szCs w:val="20"/>
                <w:color w:val="auto"/>
              </w:rPr>
            </w:pPr>
            <w:r>
              <w:rPr>
                <w:rFonts w:ascii="Arial" w:cs="Arial" w:eastAsia="Arial" w:hAnsi="Arial"/>
                <w:sz w:val="11"/>
                <w:szCs w:val="11"/>
                <w:b w:val="1"/>
                <w:bCs w:val="1"/>
                <w:color w:val="auto"/>
              </w:rPr>
              <w:t>Executive Officers</w:t>
            </w:r>
          </w:p>
        </w:tc>
        <w:tc>
          <w:tcPr>
            <w:tcW w:w="1420" w:type="dxa"/>
            <w:vAlign w:val="bottom"/>
          </w:tcPr>
          <w:p>
            <w:pPr>
              <w:jc w:val="right"/>
              <w:ind w:right="454"/>
              <w:spacing w:after="0" w:line="137" w:lineRule="exact"/>
              <w:rPr>
                <w:sz w:val="20"/>
                <w:szCs w:val="20"/>
                <w:color w:val="auto"/>
              </w:rPr>
            </w:pPr>
            <w:r>
              <w:rPr>
                <w:rFonts w:ascii="Arial" w:cs="Arial" w:eastAsia="Arial" w:hAnsi="Arial"/>
                <w:sz w:val="11"/>
                <w:szCs w:val="11"/>
                <w:b w:val="1"/>
                <w:bCs w:val="1"/>
                <w:color w:val="auto"/>
              </w:rPr>
              <w:t>Number</w:t>
            </w:r>
            <w:r>
              <w:rPr>
                <w:rFonts w:ascii="Arial" w:cs="Arial" w:eastAsia="Arial" w:hAnsi="Arial"/>
                <w:sz w:val="14"/>
                <w:szCs w:val="14"/>
                <w:b w:val="1"/>
                <w:bCs w:val="1"/>
                <w:color w:val="auto"/>
                <w:vertAlign w:val="superscript"/>
              </w:rPr>
              <w:t>(1)</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1"/>
              </w:rPr>
              <w:t>Common Stock</w:t>
            </w:r>
          </w:p>
        </w:tc>
        <w:tc>
          <w:tcPr>
            <w:tcW w:w="320" w:type="dxa"/>
            <w:vAlign w:val="bottom"/>
          </w:tcPr>
          <w:p>
            <w:pPr>
              <w:spacing w:after="0"/>
              <w:rPr>
                <w:sz w:val="11"/>
                <w:szCs w:val="11"/>
                <w:color w:val="auto"/>
              </w:rPr>
            </w:pPr>
          </w:p>
        </w:tc>
        <w:tc>
          <w:tcPr>
            <w:tcW w:w="1180" w:type="dxa"/>
            <w:vAlign w:val="bottom"/>
          </w:tcPr>
          <w:p>
            <w:pPr>
              <w:jc w:val="right"/>
              <w:ind w:right="434"/>
              <w:spacing w:after="0" w:line="137" w:lineRule="exact"/>
              <w:rPr>
                <w:sz w:val="20"/>
                <w:szCs w:val="20"/>
                <w:color w:val="auto"/>
              </w:rPr>
            </w:pPr>
            <w:r>
              <w:rPr>
                <w:rFonts w:ascii="Arial" w:cs="Arial" w:eastAsia="Arial" w:hAnsi="Arial"/>
                <w:sz w:val="11"/>
                <w:szCs w:val="11"/>
                <w:b w:val="1"/>
                <w:bCs w:val="1"/>
                <w:color w:val="auto"/>
              </w:rPr>
              <w:t>Number</w:t>
            </w:r>
            <w:r>
              <w:rPr>
                <w:rFonts w:ascii="Arial" w:cs="Arial" w:eastAsia="Arial" w:hAnsi="Arial"/>
                <w:sz w:val="14"/>
                <w:szCs w:val="14"/>
                <w:b w:val="1"/>
                <w:bCs w:val="1"/>
                <w:color w:val="auto"/>
                <w:vertAlign w:val="superscript"/>
              </w:rPr>
              <w:t>(1)</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91"/>
              </w:rPr>
              <w:t>Common Stock</w:t>
            </w:r>
          </w:p>
        </w:tc>
        <w:tc>
          <w:tcPr>
            <w:tcW w:w="200" w:type="dxa"/>
            <w:vAlign w:val="bottom"/>
          </w:tcPr>
          <w:p>
            <w:pPr>
              <w:spacing w:after="0"/>
              <w:rPr>
                <w:sz w:val="11"/>
                <w:szCs w:val="11"/>
                <w:color w:val="auto"/>
              </w:rPr>
            </w:pPr>
          </w:p>
        </w:tc>
        <w:tc>
          <w:tcPr>
            <w:tcW w:w="1260" w:type="dxa"/>
            <w:vAlign w:val="bottom"/>
            <w:gridSpan w:val="3"/>
          </w:tcPr>
          <w:p>
            <w:pPr>
              <w:jc w:val="center"/>
              <w:spacing w:after="0" w:line="137" w:lineRule="exact"/>
              <w:rPr>
                <w:sz w:val="20"/>
                <w:szCs w:val="20"/>
                <w:color w:val="auto"/>
              </w:rPr>
            </w:pPr>
            <w:r>
              <w:rPr>
                <w:rFonts w:ascii="Arial" w:cs="Arial" w:eastAsia="Arial" w:hAnsi="Arial"/>
                <w:sz w:val="11"/>
                <w:szCs w:val="11"/>
                <w:b w:val="1"/>
                <w:bCs w:val="1"/>
                <w:color w:val="auto"/>
                <w:w w:val="90"/>
              </w:rPr>
              <w:t>Voting Power</w:t>
            </w:r>
            <w:r>
              <w:rPr>
                <w:rFonts w:ascii="Arial" w:cs="Arial" w:eastAsia="Arial" w:hAnsi="Arial"/>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Christopher S. Sotos</w:t>
            </w:r>
          </w:p>
        </w:tc>
        <w:tc>
          <w:tcPr>
            <w:tcW w:w="1420" w:type="dxa"/>
            <w:vAlign w:val="bottom"/>
            <w:shd w:val="clear" w:color="auto" w:fill="CCEEFF"/>
          </w:tcPr>
          <w:p>
            <w:pPr>
              <w:jc w:val="right"/>
              <w:ind w:right="54"/>
              <w:spacing w:after="0" w:line="171" w:lineRule="exact"/>
              <w:rPr>
                <w:sz w:val="20"/>
                <w:szCs w:val="20"/>
                <w:color w:val="auto"/>
              </w:rPr>
            </w:pPr>
            <w:r>
              <w:rPr>
                <w:rFonts w:ascii="Arial" w:cs="Arial" w:eastAsia="Arial" w:hAnsi="Arial"/>
                <w:sz w:val="14"/>
                <w:szCs w:val="14"/>
                <w:color w:val="auto"/>
              </w:rPr>
              <w:t>27,100</w:t>
            </w:r>
            <w:r>
              <w:rPr>
                <w:rFonts w:ascii="Arial" w:cs="Arial" w:eastAsia="Arial" w:hAnsi="Arial"/>
                <w:sz w:val="18"/>
                <w:szCs w:val="18"/>
                <w:color w:val="auto"/>
                <w:vertAlign w:val="superscript"/>
              </w:rPr>
              <w:t>(3)</w:t>
            </w: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94"/>
              <w:spacing w:after="0" w:line="171" w:lineRule="exact"/>
              <w:rPr>
                <w:sz w:val="20"/>
                <w:szCs w:val="20"/>
                <w:color w:val="auto"/>
              </w:rPr>
            </w:pPr>
            <w:r>
              <w:rPr>
                <w:rFonts w:ascii="Arial" w:cs="Arial" w:eastAsia="Arial" w:hAnsi="Arial"/>
                <w:sz w:val="14"/>
                <w:szCs w:val="14"/>
                <w:color w:val="auto"/>
              </w:rPr>
              <w:t>331,940</w:t>
            </w:r>
            <w:r>
              <w:rPr>
                <w:rFonts w:ascii="Arial" w:cs="Arial" w:eastAsia="Arial" w:hAnsi="Arial"/>
                <w:sz w:val="18"/>
                <w:szCs w:val="18"/>
                <w:color w:val="auto"/>
                <w:vertAlign w:val="superscript"/>
              </w:rPr>
              <w:t>(3)</w:t>
            </w: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color w:val="auto"/>
              </w:rPr>
              <w:t>Sarah Rubenstein</w:t>
            </w:r>
          </w:p>
        </w:tc>
        <w:tc>
          <w:tcPr>
            <w:tcW w:w="1420" w:type="dxa"/>
            <w:vAlign w:val="bottom"/>
          </w:tcPr>
          <w:p>
            <w:pPr>
              <w:jc w:val="right"/>
              <w:ind w:right="54"/>
              <w:spacing w:after="0" w:line="181" w:lineRule="exact"/>
              <w:rPr>
                <w:sz w:val="20"/>
                <w:szCs w:val="20"/>
                <w:color w:val="auto"/>
              </w:rPr>
            </w:pPr>
            <w:r>
              <w:rPr>
                <w:rFonts w:ascii="Arial" w:cs="Arial" w:eastAsia="Arial" w:hAnsi="Arial"/>
                <w:sz w:val="14"/>
                <w:szCs w:val="14"/>
                <w:color w:val="auto"/>
              </w:rPr>
              <w:t>380</w:t>
            </w:r>
            <w:r>
              <w:rPr>
                <w:rFonts w:ascii="Arial" w:cs="Arial" w:eastAsia="Arial" w:hAnsi="Arial"/>
                <w:sz w:val="18"/>
                <w:szCs w:val="18"/>
                <w:color w:val="auto"/>
                <w:vertAlign w:val="superscript"/>
              </w:rPr>
              <w:t>(4)</w:t>
            </w:r>
          </w:p>
        </w:tc>
        <w:tc>
          <w:tcPr>
            <w:tcW w:w="940" w:type="dxa"/>
            <w:vAlign w:val="bottom"/>
          </w:tcPr>
          <w:p>
            <w:pPr>
              <w:spacing w:after="0"/>
              <w:rPr>
                <w:sz w:val="15"/>
                <w:szCs w:val="15"/>
                <w:color w:val="auto"/>
              </w:rPr>
            </w:pPr>
          </w:p>
        </w:tc>
        <w:tc>
          <w:tcPr>
            <w:tcW w:w="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4"/>
              <w:spacing w:after="0" w:line="181" w:lineRule="exact"/>
              <w:rPr>
                <w:sz w:val="20"/>
                <w:szCs w:val="20"/>
                <w:color w:val="auto"/>
              </w:rPr>
            </w:pPr>
            <w:r>
              <w:rPr>
                <w:rFonts w:ascii="Arial" w:cs="Arial" w:eastAsia="Arial" w:hAnsi="Arial"/>
                <w:sz w:val="14"/>
                <w:szCs w:val="14"/>
                <w:color w:val="auto"/>
              </w:rPr>
              <w:t>18,532</w:t>
            </w:r>
            <w:r>
              <w:rPr>
                <w:rFonts w:ascii="Arial" w:cs="Arial" w:eastAsia="Arial" w:hAnsi="Arial"/>
                <w:sz w:val="18"/>
                <w:szCs w:val="18"/>
                <w:color w:val="auto"/>
                <w:vertAlign w:val="superscript"/>
              </w:rPr>
              <w:t>(4)</w:t>
            </w:r>
          </w:p>
        </w:tc>
        <w:tc>
          <w:tcPr>
            <w:tcW w:w="10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Kevin P. Malcarney</w:t>
            </w:r>
          </w:p>
        </w:tc>
        <w:tc>
          <w:tcPr>
            <w:tcW w:w="1420" w:type="dxa"/>
            <w:vAlign w:val="bottom"/>
            <w:shd w:val="clear" w:color="auto" w:fill="CCEEFF"/>
          </w:tcPr>
          <w:p>
            <w:pPr>
              <w:jc w:val="right"/>
              <w:ind w:right="54"/>
              <w:spacing w:after="0" w:line="181" w:lineRule="exact"/>
              <w:rPr>
                <w:sz w:val="20"/>
                <w:szCs w:val="20"/>
                <w:color w:val="auto"/>
              </w:rPr>
            </w:pPr>
            <w:r>
              <w:rPr>
                <w:rFonts w:ascii="Arial" w:cs="Arial" w:eastAsia="Arial" w:hAnsi="Arial"/>
                <w:sz w:val="14"/>
                <w:szCs w:val="14"/>
                <w:color w:val="auto"/>
              </w:rPr>
              <w:t>600</w:t>
            </w:r>
            <w:r>
              <w:rPr>
                <w:rFonts w:ascii="Arial" w:cs="Arial" w:eastAsia="Arial" w:hAnsi="Arial"/>
                <w:sz w:val="18"/>
                <w:szCs w:val="18"/>
                <w:color w:val="auto"/>
                <w:vertAlign w:val="superscript"/>
              </w:rPr>
              <w:t>(5)</w:t>
            </w: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94"/>
              <w:spacing w:after="0" w:line="181" w:lineRule="exact"/>
              <w:rPr>
                <w:sz w:val="20"/>
                <w:szCs w:val="20"/>
                <w:color w:val="auto"/>
              </w:rPr>
            </w:pPr>
            <w:r>
              <w:rPr>
                <w:rFonts w:ascii="Arial" w:cs="Arial" w:eastAsia="Arial" w:hAnsi="Arial"/>
                <w:sz w:val="14"/>
                <w:szCs w:val="14"/>
                <w:color w:val="auto"/>
              </w:rPr>
              <w:t>67,881</w:t>
            </w:r>
            <w:r>
              <w:rPr>
                <w:rFonts w:ascii="Arial" w:cs="Arial" w:eastAsia="Arial" w:hAnsi="Arial"/>
                <w:sz w:val="18"/>
                <w:szCs w:val="18"/>
                <w:color w:val="auto"/>
                <w:vertAlign w:val="superscript"/>
              </w:rPr>
              <w:t>(5)</w:t>
            </w: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800" w:type="dxa"/>
            <w:vAlign w:val="bottom"/>
            <w:gridSpan w:val="2"/>
          </w:tcPr>
          <w:p>
            <w:pPr>
              <w:ind w:left="40"/>
              <w:spacing w:after="0"/>
              <w:rPr>
                <w:sz w:val="20"/>
                <w:szCs w:val="20"/>
                <w:color w:val="auto"/>
              </w:rPr>
            </w:pPr>
            <w:r>
              <w:rPr>
                <w:rFonts w:ascii="Arial" w:cs="Arial" w:eastAsia="Arial" w:hAnsi="Arial"/>
                <w:sz w:val="14"/>
                <w:szCs w:val="14"/>
                <w:color w:val="auto"/>
              </w:rPr>
              <w:t>All executive officers as a group (three people)</w:t>
            </w:r>
          </w:p>
        </w:tc>
        <w:tc>
          <w:tcPr>
            <w:tcW w:w="1420" w:type="dxa"/>
            <w:vAlign w:val="bottom"/>
          </w:tcPr>
          <w:p>
            <w:pPr>
              <w:jc w:val="right"/>
              <w:ind w:right="54"/>
              <w:spacing w:after="0"/>
              <w:rPr>
                <w:sz w:val="20"/>
                <w:szCs w:val="20"/>
                <w:color w:val="auto"/>
              </w:rPr>
            </w:pPr>
            <w:r>
              <w:rPr>
                <w:rFonts w:ascii="Arial" w:cs="Arial" w:eastAsia="Arial" w:hAnsi="Arial"/>
                <w:sz w:val="14"/>
                <w:szCs w:val="14"/>
                <w:color w:val="auto"/>
              </w:rPr>
              <w:t>28,080</w:t>
            </w:r>
            <w:r>
              <w:rPr>
                <w:rFonts w:ascii="Arial" w:cs="Arial" w:eastAsia="Arial" w:hAnsi="Arial"/>
                <w:sz w:val="18"/>
                <w:szCs w:val="18"/>
                <w:color w:val="auto"/>
                <w:vertAlign w:val="superscript"/>
              </w:rPr>
              <w:t>(6)</w:t>
            </w:r>
          </w:p>
        </w:tc>
        <w:tc>
          <w:tcPr>
            <w:tcW w:w="940" w:type="dxa"/>
            <w:vAlign w:val="bottom"/>
          </w:tcPr>
          <w:p>
            <w:pPr>
              <w:spacing w:after="0"/>
              <w:rPr>
                <w:sz w:val="20"/>
                <w:szCs w:val="20"/>
                <w:color w:val="auto"/>
              </w:rPr>
            </w:pPr>
          </w:p>
        </w:tc>
        <w:tc>
          <w:tcPr>
            <w:tcW w:w="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4"/>
              <w:spacing w:after="0"/>
              <w:rPr>
                <w:sz w:val="20"/>
                <w:szCs w:val="20"/>
                <w:color w:val="auto"/>
              </w:rPr>
            </w:pPr>
            <w:r>
              <w:rPr>
                <w:rFonts w:ascii="Arial" w:cs="Arial" w:eastAsia="Arial" w:hAnsi="Arial"/>
                <w:sz w:val="14"/>
                <w:szCs w:val="14"/>
                <w:color w:val="auto"/>
              </w:rPr>
              <w:t>418,353</w:t>
            </w:r>
            <w:r>
              <w:rPr>
                <w:rFonts w:ascii="Arial" w:cs="Arial" w:eastAsia="Arial" w:hAnsi="Arial"/>
                <w:sz w:val="18"/>
                <w:szCs w:val="18"/>
                <w:color w:val="auto"/>
                <w:vertAlign w:val="superscript"/>
              </w:rPr>
              <w:t>(6)</w:t>
            </w:r>
          </w:p>
        </w:tc>
        <w:tc>
          <w:tcPr>
            <w:tcW w:w="10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138811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 Less than one percent of outstanding Class A common stock, Class C common stock or combined voting power, as applicable.</w:t>
      </w:r>
    </w:p>
    <w:p>
      <w:pPr>
        <w:spacing w:after="0" w:line="33" w:lineRule="exact"/>
        <w:rPr>
          <w:sz w:val="20"/>
          <w:szCs w:val="20"/>
          <w:color w:val="auto"/>
        </w:rPr>
      </w:pPr>
    </w:p>
    <w:p>
      <w:pPr>
        <w:ind w:firstLine="5"/>
        <w:spacing w:after="0" w:line="295" w:lineRule="auto"/>
        <w:tabs>
          <w:tab w:leader="none" w:pos="160" w:val="left"/>
        </w:tabs>
        <w:numPr>
          <w:ilvl w:val="0"/>
          <w:numId w:val="50"/>
        </w:numPr>
        <w:rPr>
          <w:rFonts w:ascii="Arial" w:cs="Arial" w:eastAsia="Arial" w:hAnsi="Arial"/>
          <w:sz w:val="10"/>
          <w:szCs w:val="10"/>
          <w:color w:val="auto"/>
        </w:rPr>
      </w:pPr>
      <w:r>
        <w:rPr>
          <w:rFonts w:ascii="Arial" w:cs="Arial" w:eastAsia="Arial" w:hAnsi="Arial"/>
          <w:sz w:val="10"/>
          <w:szCs w:val="10"/>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jc w:val="both"/>
        <w:ind w:firstLine="5"/>
        <w:spacing w:after="0" w:line="256" w:lineRule="auto"/>
        <w:tabs>
          <w:tab w:leader="none" w:pos="160" w:val="left"/>
        </w:tabs>
        <w:numPr>
          <w:ilvl w:val="0"/>
          <w:numId w:val="50"/>
        </w:numPr>
        <w:rPr>
          <w:rFonts w:ascii="Arial" w:cs="Arial" w:eastAsia="Arial" w:hAnsi="Arial"/>
          <w:sz w:val="11"/>
          <w:szCs w:val="11"/>
          <w:color w:val="auto"/>
        </w:rPr>
      </w:pPr>
      <w:r>
        <w:rPr>
          <w:rFonts w:ascii="Arial" w:cs="Arial" w:eastAsia="Arial" w:hAnsi="Arial"/>
          <w:sz w:val="11"/>
          <w:szCs w:val="11"/>
          <w:color w:val="auto"/>
        </w:rPr>
        <w:t>Represents the voting power of all of the classes of Clearway, Inc.’s common stock together as a single class. Each holder of Class A or Class B common stock is entitled to one vote for each share held. Each holder of Class C or Class D common stock is entitled to 1/100th of one vote for each share held. Holders of shares of Clearway, Inc.’s Class A, Class B, Class C and Class D common stock vote together as a single class on all matters presented to its stockholders for their vote or approval, except as otherwise provided by applicable law.</w:t>
      </w:r>
    </w:p>
    <w:p>
      <w:pPr>
        <w:spacing w:after="0" w:line="1" w:lineRule="exact"/>
        <w:rPr>
          <w:rFonts w:ascii="Arial" w:cs="Arial" w:eastAsia="Arial" w:hAnsi="Arial"/>
          <w:sz w:val="11"/>
          <w:szCs w:val="11"/>
          <w:color w:val="auto"/>
        </w:rPr>
      </w:pPr>
    </w:p>
    <w:p>
      <w:pPr>
        <w:ind w:right="240" w:firstLine="5"/>
        <w:spacing w:after="0" w:line="285" w:lineRule="auto"/>
        <w:tabs>
          <w:tab w:leader="none" w:pos="160" w:val="left"/>
        </w:tabs>
        <w:numPr>
          <w:ilvl w:val="0"/>
          <w:numId w:val="50"/>
        </w:numPr>
        <w:rPr>
          <w:rFonts w:ascii="Arial" w:cs="Arial" w:eastAsia="Arial" w:hAnsi="Arial"/>
          <w:sz w:val="10"/>
          <w:szCs w:val="10"/>
          <w:color w:val="auto"/>
        </w:rPr>
      </w:pPr>
      <w:r>
        <w:rPr>
          <w:rFonts w:ascii="Arial" w:cs="Arial" w:eastAsia="Arial" w:hAnsi="Arial"/>
          <w:sz w:val="10"/>
          <w:szCs w:val="10"/>
          <w:color w:val="auto"/>
        </w:rPr>
        <w:t>Includes 12,391 DERs to be paid in Class C common stock. Excludes 20,227 RSUs, 12,268 DERs and 80,926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ind w:right="120" w:firstLine="5"/>
        <w:spacing w:after="0" w:line="280" w:lineRule="auto"/>
        <w:tabs>
          <w:tab w:leader="none" w:pos="160" w:val="left"/>
        </w:tabs>
        <w:numPr>
          <w:ilvl w:val="0"/>
          <w:numId w:val="50"/>
        </w:numPr>
        <w:rPr>
          <w:rFonts w:ascii="Arial" w:cs="Arial" w:eastAsia="Arial" w:hAnsi="Arial"/>
          <w:sz w:val="10"/>
          <w:szCs w:val="10"/>
          <w:color w:val="auto"/>
        </w:rPr>
      </w:pPr>
      <w:r>
        <w:rPr>
          <w:rFonts w:ascii="Arial" w:cs="Arial" w:eastAsia="Arial" w:hAnsi="Arial"/>
          <w:sz w:val="10"/>
          <w:szCs w:val="10"/>
          <w:color w:val="auto"/>
        </w:rPr>
        <w:t>Includes 392 DERs to be paid in Class C common stock. Excludes 6,794 RSUs, 672 DERs and 7,681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ind w:right="20" w:firstLine="5"/>
        <w:spacing w:after="0" w:line="287" w:lineRule="auto"/>
        <w:tabs>
          <w:tab w:leader="none" w:pos="160" w:val="left"/>
        </w:tabs>
        <w:numPr>
          <w:ilvl w:val="0"/>
          <w:numId w:val="50"/>
        </w:numPr>
        <w:rPr>
          <w:rFonts w:ascii="Arial" w:cs="Arial" w:eastAsia="Arial" w:hAnsi="Arial"/>
          <w:sz w:val="10"/>
          <w:szCs w:val="10"/>
          <w:color w:val="auto"/>
        </w:rPr>
      </w:pPr>
      <w:r>
        <w:rPr>
          <w:rFonts w:ascii="Arial" w:cs="Arial" w:eastAsia="Arial" w:hAnsi="Arial"/>
          <w:sz w:val="10"/>
          <w:szCs w:val="10"/>
          <w:color w:val="auto"/>
        </w:rPr>
        <w:t>Includes 2,380 DERs to be paid in Class C common stock. Excludes 4,751 RSUs, 2,550 DERs and 18,840 RPSUs. Each RSU represents the right to receive one share of Class C common stock upon vesting. Each RPSU represents the potential to receive Class C common stock based upon Clearway, Inc. achieving a certain level of total shareholder return relative to Clearway, Inc.’s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1" w:lineRule="exact"/>
        <w:rPr>
          <w:rFonts w:ascii="Arial" w:cs="Arial" w:eastAsia="Arial" w:hAnsi="Arial"/>
          <w:sz w:val="10"/>
          <w:szCs w:val="10"/>
          <w:color w:val="auto"/>
        </w:rPr>
      </w:pPr>
    </w:p>
    <w:p>
      <w:pPr>
        <w:ind w:left="160" w:hanging="155"/>
        <w:spacing w:after="0"/>
        <w:tabs>
          <w:tab w:leader="none" w:pos="160" w:val="left"/>
        </w:tabs>
        <w:numPr>
          <w:ilvl w:val="0"/>
          <w:numId w:val="50"/>
        </w:numPr>
        <w:rPr>
          <w:rFonts w:ascii="Arial" w:cs="Arial" w:eastAsia="Arial" w:hAnsi="Arial"/>
          <w:sz w:val="11"/>
          <w:szCs w:val="11"/>
          <w:color w:val="auto"/>
        </w:rPr>
      </w:pPr>
      <w:r>
        <w:rPr>
          <w:rFonts w:ascii="Arial" w:cs="Arial" w:eastAsia="Arial" w:hAnsi="Arial"/>
          <w:sz w:val="11"/>
          <w:szCs w:val="11"/>
          <w:color w:val="auto"/>
        </w:rPr>
        <w:t>Consists of the total holdings of all executive officers as a group.</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color w:val="auto"/>
        </w:rPr>
        <w:t>Item 13 — Certain Relationships and Related Transactions, and Director Independence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Relationship with GIP and Clearway Energy, Inc.</w:t>
      </w:r>
    </w:p>
    <w:p>
      <w:pPr>
        <w:spacing w:after="0" w:line="140"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color w:val="auto"/>
        </w:rPr>
        <w:t>GIP, through its ownership of CEG, indirectly owns all of Clearway, Inc.’s outstanding Class B common stock and Class D common stock, which represents, in the aggregate, 54.91% of the voting interest in Clearway, Inc.’s stock, and receives distributions from the Company through its ownership of the Company’s Class B and Class D units. Holders of Clearway, Inc.’s Class A common stock and Class C common stock hold, in the aggregate, the remaining 45.09% of the voting interest in Clearway, Inc.’s stock. Each holder of Clearway, Inc.’s Class A or Class B common stock is entitled to one vote for each share held. Each holder of Clearway, Inc.’s Class C or Class D common stock is entitled to 1/100th of one vote for each share held. The holders of Clearway, Inc.’s outstanding shares of Class A and Class C common stock are entitled to dividends as declared. Clearway, Inc., through its holdings of the Company’s Class A units and Class C units, owns a 57.88% economic interest in the Company. GIP, through CEG’s holdings of the Company’s Class B units and Class D units, owns a 42.12% economic interest in the Company.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CEG Master Services Agreements</w:t>
      </w:r>
    </w:p>
    <w:p>
      <w:pPr>
        <w:spacing w:after="0" w:line="136"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The Company, along with Clearway, Inc. and Clearway Energy Operating LLC, entered into Master Services Agreements with CEG (the “CEG Master Services Agreements”), pursuant to which CEG and certain of its affiliates or third-party service providers provide certain services, including operational and administrative services, which include human resources, information systems, external affairs, accounting, procurement, and risk management services, to the Company and certain of its subsidiaries, and the Company and certain of its subsidiaries provide certain services, including accounting, internal audit, tax and treasury services, to CEG, in exchange for the payment of fees in respect of such services. For the year ended December 31, 2022, the Company paid approximately $4,810,000 under the CEG Master Services Agreements. In addition, certain Thermal segment projects reimbursed CEG approximately $228,000 during the year ended December 31, 2022 for costs incurred by CEG on behalf of such entities.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CEG ROFO Agreement and Committed Investments</w:t>
      </w:r>
    </w:p>
    <w:p>
      <w:pPr>
        <w:spacing w:after="0" w:line="17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On August 31, 2018, the Company entered into a ROFO Agreement with CEG, or the CEG ROFO Agreement, and, solely for certain purposes thereof, GIP, pursuant to which CEG granted the Company and its subsidiaries a right of first offer on any proposed sale or transfer of certain assets owned by CEG. On August 1, 2019, the CEG ROFO Agreement was amended to grant the Company and its affiliates a right of first offer on any proposed sale, transfer or other disposition of certain assets of CEG, or the CEG ROFO Assets, until August 31, 2023, as listed in the table below. CEG is not obligated to sell the remaining CEG ROFO Assets to the Company and, if offered by CEG, the Company cannot be sure whether these assets will be offered on acceptable terms or that the Company will choose to consummate such acquisitions.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assets listed below, all of which are included in co-investment partnerships, represent the Company’s currently committed investments in projects with CEG and the CEG ROFO Assets: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Asset</w:t>
            </w:r>
          </w:p>
        </w:tc>
        <w:tc>
          <w:tcPr>
            <w:tcW w:w="22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Technology</w:t>
            </w:r>
          </w:p>
        </w:tc>
        <w:tc>
          <w:tcPr>
            <w:tcW w:w="200" w:type="dxa"/>
            <w:vAlign w:val="bottom"/>
            <w:tcBorders>
              <w:bottom w:val="single" w:sz="8" w:color="CCEEFF"/>
            </w:tcBorders>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Gross Capacity (MW)</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State</w:t>
            </w:r>
          </w:p>
        </w:tc>
        <w:tc>
          <w:tcPr>
            <w:tcW w:w="2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rPr>
              <w:t>COD</w:t>
            </w:r>
          </w:p>
        </w:tc>
        <w:tc>
          <w:tcPr>
            <w:tcW w:w="2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Status</w:t>
            </w:r>
          </w:p>
        </w:tc>
      </w:tr>
      <w:tr>
        <w:trPr>
          <w:trHeight w:val="163"/>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Daggett Solar 3</w:t>
            </w:r>
          </w:p>
        </w:tc>
        <w:tc>
          <w:tcPr>
            <w:tcW w:w="20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88"/>
              </w:rPr>
              <w:t>Solar/Storage</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300</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9"/>
              </w:rPr>
              <w:t>CA</w:t>
            </w:r>
          </w:p>
        </w:tc>
        <w:tc>
          <w:tcPr>
            <w:tcW w:w="17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1H23</w:t>
            </w: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Committed</w:t>
            </w:r>
          </w:p>
        </w:tc>
      </w:tr>
      <w:tr>
        <w:trPr>
          <w:trHeight w:val="168"/>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Daggett Solar 2</w:t>
            </w:r>
          </w:p>
        </w:tc>
        <w:tc>
          <w:tcPr>
            <w:tcW w:w="2020" w:type="dxa"/>
            <w:vAlign w:val="bottom"/>
            <w:gridSpan w:val="2"/>
          </w:tcPr>
          <w:p>
            <w:pPr>
              <w:jc w:val="center"/>
              <w:ind w:right="200"/>
              <w:spacing w:after="0"/>
              <w:rPr>
                <w:sz w:val="20"/>
                <w:szCs w:val="20"/>
                <w:color w:val="auto"/>
              </w:rPr>
            </w:pPr>
            <w:r>
              <w:rPr>
                <w:rFonts w:ascii="Arial" w:cs="Arial" w:eastAsia="Arial" w:hAnsi="Arial"/>
                <w:sz w:val="13"/>
                <w:szCs w:val="13"/>
                <w:color w:val="auto"/>
                <w:w w:val="88"/>
              </w:rPr>
              <w:t>Solar/Storage</w:t>
            </w:r>
          </w:p>
        </w:tc>
        <w:tc>
          <w:tcPr>
            <w:tcW w:w="1980" w:type="dxa"/>
            <w:vAlign w:val="bottom"/>
          </w:tcPr>
          <w:p>
            <w:pPr>
              <w:jc w:val="center"/>
              <w:spacing w:after="0"/>
              <w:rPr>
                <w:sz w:val="20"/>
                <w:szCs w:val="20"/>
                <w:color w:val="auto"/>
              </w:rPr>
            </w:pPr>
            <w:r>
              <w:rPr>
                <w:rFonts w:ascii="Arial" w:cs="Arial" w:eastAsia="Arial" w:hAnsi="Arial"/>
                <w:sz w:val="13"/>
                <w:szCs w:val="13"/>
                <w:color w:val="auto"/>
                <w:w w:val="92"/>
              </w:rPr>
              <w:t>182</w:t>
            </w: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CA</w:t>
            </w:r>
          </w:p>
        </w:tc>
        <w:tc>
          <w:tcPr>
            <w:tcW w:w="1700" w:type="dxa"/>
            <w:vAlign w:val="bottom"/>
            <w:gridSpan w:val="2"/>
          </w:tcPr>
          <w:p>
            <w:pPr>
              <w:ind w:left="600"/>
              <w:spacing w:after="0"/>
              <w:rPr>
                <w:sz w:val="20"/>
                <w:szCs w:val="20"/>
                <w:color w:val="auto"/>
              </w:rPr>
            </w:pPr>
            <w:r>
              <w:rPr>
                <w:rFonts w:ascii="Arial" w:cs="Arial" w:eastAsia="Arial" w:hAnsi="Arial"/>
                <w:sz w:val="13"/>
                <w:szCs w:val="13"/>
                <w:color w:val="auto"/>
              </w:rPr>
              <w:t>2H23</w:t>
            </w:r>
          </w:p>
        </w:tc>
        <w:tc>
          <w:tcPr>
            <w:tcW w:w="1220" w:type="dxa"/>
            <w:vAlign w:val="bottom"/>
          </w:tcPr>
          <w:p>
            <w:pPr>
              <w:jc w:val="center"/>
              <w:spacing w:after="0"/>
              <w:rPr>
                <w:sz w:val="20"/>
                <w:szCs w:val="20"/>
                <w:color w:val="auto"/>
              </w:rPr>
            </w:pPr>
            <w:r>
              <w:rPr>
                <w:rFonts w:ascii="Arial" w:cs="Arial" w:eastAsia="Arial" w:hAnsi="Arial"/>
                <w:sz w:val="13"/>
                <w:szCs w:val="13"/>
                <w:color w:val="auto"/>
                <w:w w:val="92"/>
              </w:rPr>
              <w:t>Committed</w:t>
            </w:r>
          </w:p>
        </w:tc>
      </w:tr>
      <w:tr>
        <w:trPr>
          <w:trHeight w:val="172"/>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Arica</w:t>
            </w:r>
          </w:p>
        </w:tc>
        <w:tc>
          <w:tcPr>
            <w:tcW w:w="202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88"/>
              </w:rPr>
              <w:t>Solar/Storage</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263</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9"/>
              </w:rPr>
              <w:t>CA</w:t>
            </w:r>
          </w:p>
        </w:tc>
        <w:tc>
          <w:tcPr>
            <w:tcW w:w="170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2H23</w:t>
            </w: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Committed</w:t>
            </w:r>
          </w:p>
        </w:tc>
      </w:tr>
      <w:tr>
        <w:trPr>
          <w:trHeight w:val="165"/>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Victory Pass</w:t>
            </w:r>
          </w:p>
        </w:tc>
        <w:tc>
          <w:tcPr>
            <w:tcW w:w="2020" w:type="dxa"/>
            <w:vAlign w:val="bottom"/>
            <w:gridSpan w:val="2"/>
          </w:tcPr>
          <w:p>
            <w:pPr>
              <w:jc w:val="center"/>
              <w:ind w:right="200"/>
              <w:spacing w:after="0"/>
              <w:rPr>
                <w:sz w:val="20"/>
                <w:szCs w:val="20"/>
                <w:color w:val="auto"/>
              </w:rPr>
            </w:pPr>
            <w:r>
              <w:rPr>
                <w:rFonts w:ascii="Arial" w:cs="Arial" w:eastAsia="Arial" w:hAnsi="Arial"/>
                <w:sz w:val="13"/>
                <w:szCs w:val="13"/>
                <w:color w:val="auto"/>
                <w:w w:val="88"/>
              </w:rPr>
              <w:t>Solar/Storage</w:t>
            </w:r>
          </w:p>
        </w:tc>
        <w:tc>
          <w:tcPr>
            <w:tcW w:w="1980" w:type="dxa"/>
            <w:vAlign w:val="bottom"/>
          </w:tcPr>
          <w:p>
            <w:pPr>
              <w:jc w:val="center"/>
              <w:spacing w:after="0"/>
              <w:rPr>
                <w:sz w:val="20"/>
                <w:szCs w:val="20"/>
                <w:color w:val="auto"/>
              </w:rPr>
            </w:pPr>
            <w:r>
              <w:rPr>
                <w:rFonts w:ascii="Arial" w:cs="Arial" w:eastAsia="Arial" w:hAnsi="Arial"/>
                <w:sz w:val="13"/>
                <w:szCs w:val="13"/>
                <w:color w:val="auto"/>
                <w:w w:val="92"/>
              </w:rPr>
              <w:t>200</w:t>
            </w: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CA</w:t>
            </w:r>
          </w:p>
        </w:tc>
        <w:tc>
          <w:tcPr>
            <w:tcW w:w="1700" w:type="dxa"/>
            <w:vAlign w:val="bottom"/>
            <w:gridSpan w:val="2"/>
          </w:tcPr>
          <w:p>
            <w:pPr>
              <w:ind w:left="600"/>
              <w:spacing w:after="0"/>
              <w:rPr>
                <w:sz w:val="20"/>
                <w:szCs w:val="20"/>
                <w:color w:val="auto"/>
              </w:rPr>
            </w:pPr>
            <w:r>
              <w:rPr>
                <w:rFonts w:ascii="Arial" w:cs="Arial" w:eastAsia="Arial" w:hAnsi="Arial"/>
                <w:sz w:val="13"/>
                <w:szCs w:val="13"/>
                <w:color w:val="auto"/>
              </w:rPr>
              <w:t>2H23</w:t>
            </w:r>
          </w:p>
        </w:tc>
        <w:tc>
          <w:tcPr>
            <w:tcW w:w="1220" w:type="dxa"/>
            <w:vAlign w:val="bottom"/>
          </w:tcPr>
          <w:p>
            <w:pPr>
              <w:jc w:val="center"/>
              <w:spacing w:after="0"/>
              <w:rPr>
                <w:sz w:val="20"/>
                <w:szCs w:val="20"/>
                <w:color w:val="auto"/>
              </w:rPr>
            </w:pPr>
            <w:r>
              <w:rPr>
                <w:rFonts w:ascii="Arial" w:cs="Arial" w:eastAsia="Arial" w:hAnsi="Arial"/>
                <w:sz w:val="13"/>
                <w:szCs w:val="13"/>
                <w:color w:val="auto"/>
                <w:w w:val="92"/>
              </w:rPr>
              <w:t>Committed</w:t>
            </w:r>
          </w:p>
        </w:tc>
      </w:tr>
    </w:tbl>
    <w:p>
      <w:pPr>
        <w:spacing w:after="0" w:line="195" w:lineRule="exact"/>
        <w:rPr>
          <w:sz w:val="20"/>
          <w:szCs w:val="20"/>
          <w:color w:val="auto"/>
        </w:rPr>
      </w:pPr>
    </w:p>
    <w:p>
      <w:pPr>
        <w:jc w:val="both"/>
        <w:ind w:firstLine="318"/>
        <w:spacing w:after="0" w:line="172" w:lineRule="exact"/>
        <w:rPr>
          <w:sz w:val="20"/>
          <w:szCs w:val="20"/>
          <w:color w:val="auto"/>
        </w:rPr>
      </w:pPr>
      <w:r>
        <w:rPr>
          <w:rFonts w:ascii="Arial" w:cs="Arial" w:eastAsia="Arial" w:hAnsi="Arial"/>
          <w:sz w:val="12"/>
          <w:szCs w:val="12"/>
          <w:color w:val="auto"/>
        </w:rPr>
        <w:t>Prior to engaging in any negotiation regarding any disposition, sale or other transfer of any of the remaining CEG ROFO Assets, CEG will deliver a written notice to the Company setting forth the material terms and conditions of the proposed transaction. During the 30</w:t>
      </w:r>
      <w:r>
        <w:rPr>
          <w:rFonts w:ascii="MS PGothic" w:cs="MS PGothic" w:eastAsia="MS PGothic" w:hAnsi="MS PGothic"/>
          <w:sz w:val="12"/>
          <w:szCs w:val="12"/>
          <w:color w:val="auto"/>
        </w:rPr>
        <w:t>‑</w:t>
      </w:r>
      <w:r>
        <w:rPr>
          <w:rFonts w:ascii="Arial" w:cs="Arial" w:eastAsia="Arial" w:hAnsi="Arial"/>
          <w:sz w:val="12"/>
          <w:szCs w:val="12"/>
          <w:color w:val="auto"/>
        </w:rPr>
        <w:t>day period after the delivery of such notice, the Company will negotiate with CEG in good faith to reach an agreement on the transaction. If the Company and CEG do not reach an agreement within such 30</w:t>
      </w:r>
      <w:r>
        <w:rPr>
          <w:rFonts w:ascii="MS PGothic" w:cs="MS PGothic" w:eastAsia="MS PGothic" w:hAnsi="MS PGothic"/>
          <w:sz w:val="12"/>
          <w:szCs w:val="12"/>
          <w:color w:val="auto"/>
        </w:rPr>
        <w:t>‑</w:t>
      </w:r>
      <w:r>
        <w:rPr>
          <w:rFonts w:ascii="Arial" w:cs="Arial" w:eastAsia="Arial" w:hAnsi="Arial"/>
          <w:sz w:val="12"/>
          <w:szCs w:val="12"/>
          <w:color w:val="auto"/>
        </w:rPr>
        <w:t>day period, CEG will be able to within the next 180 calendar days, sell, transfer, dispose or recontract such CEG ROFO Asset to a third-party (or to agree in writing to undertake such transaction with a third-party on terms generally no less favorable to CEG than those offered pursuant to the written notice).</w:t>
      </w:r>
    </w:p>
    <w:p>
      <w:pPr>
        <w:spacing w:after="0" w:line="119"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Under the CEG ROFO Agreement, CEG is not obligated to sell the remaining CEG ROFO Assets. In addition, any offer to sell under the CEG ROFO Agreement will be subject to an inherent conflict of interest because the same professionals within CEG’s organization that are involved in acquisitions that are suitable for the Company have responsibilities within CEG’s broader asset management business. Notwithstanding the significance of the services to be rendered by CEG or their designated affiliates on the Company’s behalf or of the assets which the Company may elect to acquire from CEG in accordance with the terms of the CEG ROFO Agreement or otherwise, CEG does not owe fiduciary duties to the Company or its unit holders. Any material transaction with CEG (including the proposed acquisition of any CEG ROFO Asset) will be subject to the Company’s related person transaction policy, which will require prior approval of such transaction by the Company’s Corporate Governance, Conflicts and Nominating Committee.</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and CEG work collaboratively in considering new assets to be added under the CEG ROFO Agreement or to be acquired by the Company outside of the CEG ROFO Agreement.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Drop Drown Transactions and Partnerships with CEG</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Daggett 3 Drop Down</w:t>
      </w:r>
    </w:p>
    <w:p>
      <w:pPr>
        <w:spacing w:after="0" w:line="136"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color w:val="auto"/>
        </w:rPr>
        <w:t>On February 17, 2023, Daggett Solar Investment LLC, a subsidiary of the Company, acquired the Class A membership interests in Daggett Renewable Holdco LLC from Clearway Renew LLC, a subsidiary of CEG, for cash consideration of $21 million. Simultaneously, Daggett Renewable Holdco LLC acquired Daggett TargetCo LLC, the indirect owner of the Daggett 3 solar project, a 300 MW solar project with matching storage capacity that is currently under construction and located in San Bernardino, California. Daggett Renewable Holdco LLC is a partnership between the Company and a third-party investor. Daggett TargetCo LLC consolidates, as the direct owner of the primary beneficiary, a tax equity fund, Daggett TE Holdco LLC, which holds the Daggett 3 solar project. Daggett 3 has PPAs with investment-grade counterparties that have a 15-year weighted average contract duration that will commence when the project reaches commercial operations, which is expected to occur in the first half of 2023. The acquisition was funded with existing sources of liquidity.</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Waiawa Drop Down</w:t>
      </w:r>
    </w:p>
    <w:p>
      <w:pPr>
        <w:spacing w:after="0" w:line="13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On October 3, 2022, the Company, through its indirect subsidiary, Lighthouse Renewable Holdco LLC, acquired Waiawa BL Borrower Holdco LLC, the indirect owner of the Waiawa solar project, a 36 MW solar project with matching storage capacity located in Honolulu, Hawaii, from Clearway Renew LLC for cash consideration of $20 million. Lighthouse Renewable Holdco LLC is a partnership between the Company and a third-party investor. Waiawa BL Borrower Holdco LLC consolidates, as the direct owner of the primary beneficiary, a tax equity fund, Waiawa TE Holdco LLC, which directly holds the Waiawa solar project . Waiawa has a 20-year PPA with an investment-grade utility that commenced in January 2023.</w:t>
      </w:r>
    </w:p>
    <w:p>
      <w:pPr>
        <w:spacing w:after="0" w:line="8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In connection with the Waiawa Drop Down, the Company assumed non-recourse project-level debt, which included a construction loan, sponsor equity bridge loan and tax equity bridge loan. The $26 million sponsor equity bridge loan was repaid at acquisition date, along with $2 million in associated fees, utilizing $12 million from the cash equity investor, as well as $16 million of the Company's purchase price, which was contributed back to the Company by CEG.</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Capistrano Wind Portfolio Acquisition</w:t>
      </w:r>
    </w:p>
    <w:p>
      <w:pPr>
        <w:spacing w:after="0" w:line="136"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color w:val="auto"/>
        </w:rPr>
        <w:t>On August 22, 2022, the Company, through its wholly-owned indirect subsidiary, Capistrano Portfolio Holdco LLC, acquired the Capistrano Wind Portfolio from Capistrano Wind Partners LLC, an indirect subsidiary of CEG, for a base purchase price of approximately $255 million, less working capital adjustments in the net amount of approximately $16 million, representing total net consideration of approximately $239 million. Concurrent with the acquisition, the Company also entered into a development agreement with Clearway Renew LLC, whereby Clearway Renew LLC paid $10 million to the Company at acquisition date for an exclusive right to develop, construct and repower the projects in the Capistrano Wind Portfolio, which was utilized to partially fund the acquisition of the Capistrano Wind Portfolio. The Capistrano Wind Portfolio consists of five wind projects located in Texas, Nebraska and Wyoming with a combined capacity of 413 MW. The assets within the portfolio sell power under PPAs with investment-grade counterparties that have a weighted average remaining contract duration of approximately 9 years.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Mililani I Drop Down</w:t>
      </w:r>
    </w:p>
    <w:p>
      <w:pPr>
        <w:spacing w:after="0" w:line="13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On March 25, 2022, the Company, through its indirect subsidiary, Lighthouse Renewable Holdco LLC, acquired Mililani BL Borrower Holdco LLC, the indirect owner of the Mililani I solar project, a 39 MW solar project with matching storage capacity located in Honolulu, Hawaii, from Clearway Renew LLC for cash consideration of $22 million. Lighthouse Renewable Holdco LLC is a partnership between the Company and a third-party investor. Mililani BL Borrower Holdco LLC consolidates, as the direct owner of the primary beneficiary, a tax equity fund, Mililani TE Holdco LLC, which directly holds the Mililani I solar project. Mililani I has a 20-year PPA with an investment-grade utility that commenced in July 2022.</w:t>
      </w:r>
    </w:p>
    <w:p>
      <w:pPr>
        <w:spacing w:after="0" w:line="89"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In connection with the Mililani I Drop Down, the Company assumed non-recourse project-level debt, which included a construction loan, sponsor equity bridge loan and tax equity bridge loan. The $27 million sponsor equity bridge loan was repaid at acquisition date, along with $2 million in associated fees, utilizing $14 million from the cash equity investor, as well as $15 million of the Company's purchase price, which was contributed back to the Company by CEG. On December 7, 2022, when the project reached substantial completion, the tax equity investor contributed an additional $42 million and CEG contributed an additional $11 million, which was utilized, along with the $18 million in escrow, to repay the $60 million tax equity bridge loan, to fund $7 million in construction completion reserves and to pay $4 million in associated fees. The Company also paid an additional $3 million to Clearway Renew LLC for construction management fees.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Black Rock Drop Down</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On December 29, 2021, the Company, through its indirect subsidiary, Lighthouse Renewable Holding Sub LLC, acquired the Class B membership interests in Black Rock Wind Holding LLC from Clearway Renew LLC. During the year ended December 31, 2022, the Company paid an additional $23 million to Clearway Renew LLC as final cash consideration.</w:t>
      </w:r>
    </w:p>
    <w:p>
      <w:pPr>
        <w:sectPr>
          <w:pgSz w:w="11900" w:h="16838" w:orient="portrait"/>
          <w:cols w:equalWidth="0" w:num="1">
            <w:col w:w="11280"/>
          </w:cols>
          <w:pgMar w:left="300" w:top="729" w:right="319" w:bottom="0" w:gutter="0" w:footer="0" w:header="0"/>
        </w:sectPr>
      </w:pPr>
    </w:p>
    <w:bookmarkStart w:id="75" w:name="page76"/>
    <w:bookmarkEnd w:id="75"/>
    <w:p>
      <w:pPr>
        <w:ind w:left="320"/>
        <w:spacing w:after="0"/>
        <w:rPr>
          <w:sz w:val="20"/>
          <w:szCs w:val="20"/>
          <w:color w:val="auto"/>
        </w:rPr>
      </w:pPr>
      <w:r>
        <w:rPr>
          <w:rFonts w:ascii="Arial" w:cs="Arial" w:eastAsia="Arial" w:hAnsi="Arial"/>
          <w:sz w:val="14"/>
          <w:szCs w:val="14"/>
          <w:i w:val="1"/>
          <w:iCs w:val="1"/>
          <w:color w:val="auto"/>
        </w:rPr>
        <w:t>Mesquite Sky Drop Down</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On December 17, 2021, the Company, through its indirect subsidiary Lighthouse Renewable Holdco 2 LLC, acquired the Class B membership interests in Mesquite Sky Holding LLC from Clearway Renew LLC. During the year ended December 31, 2022, the Company paid an additional $7 million to Clearway Renew LLC as final cash consideration.</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Pinnacle Repowering Partnership</w:t>
      </w:r>
    </w:p>
    <w:p>
      <w:pPr>
        <w:spacing w:after="0" w:line="125" w:lineRule="exact"/>
        <w:rPr>
          <w:sz w:val="20"/>
          <w:szCs w:val="20"/>
          <w:color w:val="auto"/>
        </w:rPr>
      </w:pPr>
    </w:p>
    <w:p>
      <w:pPr>
        <w:jc w:val="both"/>
        <w:ind w:firstLine="318"/>
        <w:spacing w:after="0" w:line="272" w:lineRule="auto"/>
        <w:rPr>
          <w:sz w:val="20"/>
          <w:szCs w:val="20"/>
          <w:color w:val="auto"/>
        </w:rPr>
      </w:pPr>
      <w:r>
        <w:rPr>
          <w:rFonts w:ascii="Arial" w:cs="Arial" w:eastAsia="Arial" w:hAnsi="Arial"/>
          <w:sz w:val="13"/>
          <w:szCs w:val="13"/>
          <w:color w:val="auto"/>
        </w:rPr>
        <w:t>On February 26, 2021, the Company entered into an amended agreement with CWSP Pinnacle Holding LLC, an indirect subsidiary of CEG, with respect to Pinnacle Repowering Partnership LLC in order to facilitate the repowering of the Pinnacle wind project, a wind facility located in Mineral County, West Virginia. On March 10, 2021, the Company contributed its interest in the Pinnacle wind project to Pinnacle Repowering Partnership LLC concurrent with entering into a financing agreement. The Company owns 100% of the Class A membership interests in Pinnacle Repowering Partnership LLC, which is a VIE, and the Company consolidates its interest as the primary beneficiary and managing member. CWSP Pinnacle Holding LLC owns 100% of the Class B membership interests in Pinnacle Repowering Partnership LLC. On April 15, 2022, the Company acquired the Class B membership interests of Pinnacle Repowering Partnership LLC from CWSP Pinnacle Holding LLC for cash consideration of $10 million and the Company now owns and consolidates 100% of the membership interests in Pinnacle Repowering Partnership LLC.</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Additionally during the year ended December 31, 2022, the Company paid $172,000 in project distributions.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Kawailoa Solar Partnership</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On August 1, 2022, the Company sold 100% of its Class A membership interests in Kawailoa Solar Partnership LLC, or the Kawailoa Partnership LLC, to Clearway Renew LLC for cash proceeds of $9 million. There were no project contributions from or distributions to Clearway Renew LLC during the year ended December 31, 2022.</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Oahu Solar Partnership</w:t>
      </w:r>
    </w:p>
    <w:p>
      <w:pPr>
        <w:spacing w:after="0" w:line="13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4"/>
          <w:szCs w:val="14"/>
          <w:color w:val="auto"/>
        </w:rPr>
        <w:t>On August 1, 2022, the Company acquired the Class B membership interests of Zephyr Oahu Partnership LLC, or the Oahu Solar Partnership, from Clearway Renew LLC for cash consideration of $1 million and the Company now owns and consolidates 100% of the membership interests in the Oahu Solar Partnership. During the year ended December 31, 2022, Clearway Renew LLC contributed $1 million into the Oahu Partnership.</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Operations and Maintenance Agreements</w:t>
      </w:r>
    </w:p>
    <w:p>
      <w:pPr>
        <w:spacing w:after="0" w:line="136" w:lineRule="exact"/>
        <w:rPr>
          <w:sz w:val="20"/>
          <w:szCs w:val="20"/>
          <w:color w:val="auto"/>
        </w:rPr>
      </w:pPr>
    </w:p>
    <w:p>
      <w:pPr>
        <w:jc w:val="both"/>
        <w:ind w:firstLine="318"/>
        <w:spacing w:after="0" w:line="172" w:lineRule="exact"/>
        <w:rPr>
          <w:sz w:val="20"/>
          <w:szCs w:val="20"/>
          <w:color w:val="auto"/>
        </w:rPr>
      </w:pPr>
      <w:r>
        <w:rPr>
          <w:rFonts w:ascii="Arial" w:cs="Arial" w:eastAsia="Arial" w:hAnsi="Arial"/>
          <w:sz w:val="14"/>
          <w:szCs w:val="14"/>
          <w:color w:val="auto"/>
        </w:rPr>
        <w:t>CEG provides operations and maintenance (“O&amp;M”) and day</w:t>
      </w:r>
      <w:r>
        <w:rPr>
          <w:rFonts w:ascii="MS PGothic" w:cs="MS PGothic" w:eastAsia="MS PGothic" w:hAnsi="MS PGothic"/>
          <w:sz w:val="14"/>
          <w:szCs w:val="14"/>
          <w:color w:val="auto"/>
        </w:rPr>
        <w:t>‑</w:t>
      </w:r>
      <w:r>
        <w:rPr>
          <w:rFonts w:ascii="Arial" w:cs="Arial" w:eastAsia="Arial" w:hAnsi="Arial"/>
          <w:sz w:val="14"/>
          <w:szCs w:val="14"/>
          <w:color w:val="auto"/>
        </w:rPr>
        <w:t>to</w:t>
      </w:r>
      <w:r>
        <w:rPr>
          <w:rFonts w:ascii="MS PGothic" w:cs="MS PGothic" w:eastAsia="MS PGothic" w:hAnsi="MS PGothic"/>
          <w:sz w:val="14"/>
          <w:szCs w:val="14"/>
          <w:color w:val="auto"/>
        </w:rPr>
        <w:t>‑</w:t>
      </w:r>
      <w:r>
        <w:rPr>
          <w:rFonts w:ascii="Arial" w:cs="Arial" w:eastAsia="Arial" w:hAnsi="Arial"/>
          <w:sz w:val="14"/>
          <w:szCs w:val="14"/>
          <w:color w:val="auto"/>
        </w:rPr>
        <w:t>day operational support to the Company’s utility scale solar and wind facilities in accordance with O&amp;M agreements with the Company. Each of the counterparties to the O&amp;M agreements is an affiliate of CEG. The O&amp;M agreements for which the amount paid to CEG exceeded $120,000 during the year ended December 31, 2022 are described in the table below. Under these O&amp;M agreements, the Company generally pays an annual or monthly fee, which may be subject to annual adjustment, plus any reimbursable expenses.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0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Project</w:t>
            </w:r>
          </w:p>
        </w:tc>
        <w:tc>
          <w:tcPr>
            <w:tcW w:w="5360" w:type="dxa"/>
            <w:vAlign w:val="bottom"/>
            <w:gridSpan w:val="2"/>
            <w:vMerge w:val="restart"/>
          </w:tcPr>
          <w:p>
            <w:pPr>
              <w:ind w:left="1940"/>
              <w:spacing w:after="0"/>
              <w:rPr>
                <w:sz w:val="20"/>
                <w:szCs w:val="20"/>
                <w:color w:val="auto"/>
              </w:rPr>
            </w:pPr>
            <w:r>
              <w:rPr>
                <w:rFonts w:ascii="Arial" w:cs="Arial" w:eastAsia="Arial" w:hAnsi="Arial"/>
                <w:sz w:val="14"/>
                <w:szCs w:val="14"/>
                <w:b w:val="1"/>
                <w:bCs w:val="1"/>
                <w:color w:val="auto"/>
              </w:rPr>
              <w:t>Agreement Description</w:t>
            </w:r>
          </w:p>
        </w:tc>
        <w:tc>
          <w:tcPr>
            <w:tcW w:w="2020" w:type="dxa"/>
            <w:vAlign w:val="bottom"/>
          </w:tcPr>
          <w:p>
            <w:pPr>
              <w:jc w:val="right"/>
              <w:ind w:right="410"/>
              <w:spacing w:after="0"/>
              <w:rPr>
                <w:sz w:val="20"/>
                <w:szCs w:val="20"/>
                <w:color w:val="auto"/>
              </w:rPr>
            </w:pPr>
            <w:r>
              <w:rPr>
                <w:rFonts w:ascii="Arial" w:cs="Arial" w:eastAsia="Arial" w:hAnsi="Arial"/>
                <w:sz w:val="11"/>
                <w:szCs w:val="11"/>
                <w:b w:val="1"/>
                <w:bCs w:val="1"/>
                <w:color w:val="auto"/>
              </w:rPr>
              <w:t>Approximate Amount</w:t>
            </w:r>
          </w:p>
        </w:tc>
        <w:tc>
          <w:tcPr>
            <w:tcW w:w="0" w:type="dxa"/>
            <w:vAlign w:val="bottom"/>
          </w:tcPr>
          <w:p>
            <w:pPr>
              <w:spacing w:after="0"/>
              <w:rPr>
                <w:sz w:val="1"/>
                <w:szCs w:val="1"/>
                <w:color w:val="auto"/>
              </w:rPr>
            </w:pPr>
          </w:p>
        </w:tc>
      </w:tr>
      <w:tr>
        <w:trPr>
          <w:trHeight w:val="159"/>
        </w:trPr>
        <w:tc>
          <w:tcPr>
            <w:tcW w:w="3900" w:type="dxa"/>
            <w:vAlign w:val="bottom"/>
            <w:gridSpan w:val="2"/>
            <w:vMerge w:val="continue"/>
          </w:tcPr>
          <w:p>
            <w:pPr>
              <w:spacing w:after="0"/>
              <w:rPr>
                <w:sz w:val="13"/>
                <w:szCs w:val="13"/>
                <w:color w:val="auto"/>
              </w:rPr>
            </w:pPr>
          </w:p>
        </w:tc>
        <w:tc>
          <w:tcPr>
            <w:tcW w:w="5360" w:type="dxa"/>
            <w:vAlign w:val="bottom"/>
            <w:gridSpan w:val="2"/>
            <w:vMerge w:val="continue"/>
          </w:tcPr>
          <w:p>
            <w:pPr>
              <w:spacing w:after="0"/>
              <w:rPr>
                <w:sz w:val="13"/>
                <w:szCs w:val="13"/>
                <w:color w:val="auto"/>
              </w:rPr>
            </w:pPr>
          </w:p>
        </w:tc>
        <w:tc>
          <w:tcPr>
            <w:tcW w:w="2020" w:type="dxa"/>
            <w:vAlign w:val="bottom"/>
          </w:tcPr>
          <w:p>
            <w:pPr>
              <w:jc w:val="right"/>
              <w:ind w:right="610"/>
              <w:spacing w:after="0"/>
              <w:rPr>
                <w:sz w:val="20"/>
                <w:szCs w:val="20"/>
                <w:color w:val="auto"/>
              </w:rPr>
            </w:pPr>
            <w:r>
              <w:rPr>
                <w:rFonts w:ascii="Arial" w:cs="Arial" w:eastAsia="Arial" w:hAnsi="Arial"/>
                <w:sz w:val="11"/>
                <w:szCs w:val="11"/>
                <w:b w:val="1"/>
                <w:bCs w:val="1"/>
                <w:color w:val="auto"/>
              </w:rPr>
              <w:t>Paid to CEG</w:t>
            </w:r>
          </w:p>
        </w:tc>
        <w:tc>
          <w:tcPr>
            <w:tcW w:w="0" w:type="dxa"/>
            <w:vAlign w:val="bottom"/>
          </w:tcPr>
          <w:p>
            <w:pPr>
              <w:spacing w:after="0"/>
              <w:rPr>
                <w:sz w:val="1"/>
                <w:szCs w:val="1"/>
                <w:color w:val="auto"/>
              </w:rPr>
            </w:pPr>
          </w:p>
        </w:tc>
      </w:tr>
      <w:tr>
        <w:trPr>
          <w:trHeight w:val="171"/>
        </w:trPr>
        <w:tc>
          <w:tcPr>
            <w:tcW w:w="38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Solar</w:t>
            </w:r>
          </w:p>
        </w:tc>
        <w:tc>
          <w:tcPr>
            <w:tcW w:w="80" w:type="dxa"/>
            <w:vAlign w:val="bottom"/>
          </w:tcPr>
          <w:p>
            <w:pPr>
              <w:spacing w:after="0"/>
              <w:rPr>
                <w:sz w:val="14"/>
                <w:szCs w:val="14"/>
                <w:color w:val="auto"/>
              </w:rPr>
            </w:pPr>
          </w:p>
        </w:tc>
        <w:tc>
          <w:tcPr>
            <w:tcW w:w="5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Agua Caliente</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December 22, 2017</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$4,439,000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Borrego</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August 1, 2012</w:t>
            </w:r>
          </w:p>
        </w:tc>
        <w:tc>
          <w:tcPr>
            <w:tcW w:w="2020" w:type="dxa"/>
            <w:vAlign w:val="bottom"/>
          </w:tcPr>
          <w:p>
            <w:pPr>
              <w:jc w:val="right"/>
              <w:spacing w:after="0"/>
              <w:rPr>
                <w:sz w:val="20"/>
                <w:szCs w:val="20"/>
                <w:color w:val="auto"/>
              </w:rPr>
            </w:pPr>
            <w:r>
              <w:rPr>
                <w:rFonts w:ascii="Arial" w:cs="Arial" w:eastAsia="Arial" w:hAnsi="Arial"/>
                <w:sz w:val="14"/>
                <w:szCs w:val="14"/>
                <w:color w:val="auto"/>
              </w:rPr>
              <w:t>$473,000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Buckthorn Solar</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May 22, 2017</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Chestnut Fund LLC</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Feb 9, 2018</w:t>
            </w:r>
          </w:p>
        </w:tc>
        <w:tc>
          <w:tcPr>
            <w:tcW w:w="2020" w:type="dxa"/>
            <w:vAlign w:val="bottom"/>
          </w:tcPr>
          <w:p>
            <w:pPr>
              <w:jc w:val="right"/>
              <w:spacing w:after="0"/>
              <w:rPr>
                <w:sz w:val="20"/>
                <w:szCs w:val="20"/>
                <w:color w:val="auto"/>
              </w:rPr>
            </w:pPr>
            <w:r>
              <w:rPr>
                <w:rFonts w:ascii="Arial" w:cs="Arial" w:eastAsia="Arial" w:hAnsi="Arial"/>
                <w:sz w:val="14"/>
                <w:szCs w:val="14"/>
                <w:color w:val="auto"/>
              </w:rPr>
              <w:t>$997,000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Clearway &amp; EFS Distributed Solar LLC</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October 28, 2016</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CS4 Fund LLC</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November 29, 2018</w:t>
            </w:r>
          </w:p>
        </w:tc>
        <w:tc>
          <w:tcPr>
            <w:tcW w:w="2020" w:type="dxa"/>
            <w:vAlign w:val="bottom"/>
          </w:tcPr>
          <w:p>
            <w:pPr>
              <w:jc w:val="right"/>
              <w:spacing w:after="0"/>
              <w:rPr>
                <w:sz w:val="20"/>
                <w:szCs w:val="20"/>
                <w:color w:val="auto"/>
              </w:rPr>
            </w:pPr>
            <w:r>
              <w:rPr>
                <w:rFonts w:ascii="Arial" w:cs="Arial" w:eastAsia="Arial" w:hAnsi="Arial"/>
                <w:sz w:val="14"/>
                <w:szCs w:val="14"/>
                <w:color w:val="auto"/>
              </w:rPr>
              <w:t>$972,000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CVSR</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September 30, 2011</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$3,442,000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DG CS Holdco LLC</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November 2, 2020</w:t>
            </w:r>
          </w:p>
        </w:tc>
        <w:tc>
          <w:tcPr>
            <w:tcW w:w="2020" w:type="dxa"/>
            <w:vAlign w:val="bottom"/>
          </w:tcPr>
          <w:p>
            <w:pPr>
              <w:jc w:val="right"/>
              <w:spacing w:after="0"/>
              <w:rPr>
                <w:sz w:val="20"/>
                <w:szCs w:val="20"/>
                <w:color w:val="auto"/>
              </w:rPr>
            </w:pPr>
            <w:r>
              <w:rPr>
                <w:rFonts w:ascii="Arial" w:cs="Arial" w:eastAsia="Arial" w:hAnsi="Arial"/>
                <w:sz w:val="14"/>
                <w:szCs w:val="14"/>
                <w:color w:val="auto"/>
              </w:rPr>
              <w:t>$360,000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DGPV Fund 1 LLC</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June 12, 2015</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DGPV Fund 2 LLC</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September 4, 2015</w:t>
            </w:r>
          </w:p>
        </w:tc>
        <w:tc>
          <w:tcPr>
            <w:tcW w:w="2020" w:type="dxa"/>
            <w:vAlign w:val="bottom"/>
          </w:tcPr>
          <w:p>
            <w:pPr>
              <w:jc w:val="right"/>
              <w:spacing w:after="0"/>
              <w:rPr>
                <w:sz w:val="20"/>
                <w:szCs w:val="20"/>
                <w:color w:val="auto"/>
              </w:rPr>
            </w:pPr>
            <w:r>
              <w:rPr>
                <w:rFonts w:ascii="Arial" w:cs="Arial" w:eastAsia="Arial" w:hAnsi="Arial"/>
                <w:sz w:val="14"/>
                <w:szCs w:val="14"/>
                <w:color w:val="auto"/>
              </w:rPr>
              <w:t>$1,038,000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DGPV Fund 4 LLC</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June 16, 2017</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Golden Fields Solar III LLC</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February 25, 2020</w:t>
            </w:r>
          </w:p>
        </w:tc>
        <w:tc>
          <w:tcPr>
            <w:tcW w:w="2020" w:type="dxa"/>
            <w:vAlign w:val="bottom"/>
          </w:tcPr>
          <w:p>
            <w:pPr>
              <w:jc w:val="right"/>
              <w:spacing w:after="0"/>
              <w:rPr>
                <w:sz w:val="20"/>
                <w:szCs w:val="20"/>
                <w:color w:val="auto"/>
              </w:rPr>
            </w:pPr>
            <w:r>
              <w:rPr>
                <w:rFonts w:ascii="Arial" w:cs="Arial" w:eastAsia="Arial" w:hAnsi="Arial"/>
                <w:sz w:val="14"/>
                <w:szCs w:val="14"/>
                <w:color w:val="auto"/>
              </w:rPr>
              <w:t>$1,643,000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Golden Puma Fund LLC</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March 30, 2017</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Kansas South</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June 13, 2017</w:t>
            </w:r>
          </w:p>
        </w:tc>
        <w:tc>
          <w:tcPr>
            <w:tcW w:w="2020" w:type="dxa"/>
            <w:vAlign w:val="bottom"/>
          </w:tcPr>
          <w:p>
            <w:pPr>
              <w:jc w:val="right"/>
              <w:spacing w:after="0"/>
              <w:rPr>
                <w:sz w:val="20"/>
                <w:szCs w:val="20"/>
                <w:color w:val="auto"/>
              </w:rPr>
            </w:pPr>
            <w:r>
              <w:rPr>
                <w:rFonts w:ascii="Arial" w:cs="Arial" w:eastAsia="Arial" w:hAnsi="Arial"/>
                <w:sz w:val="14"/>
                <w:szCs w:val="14"/>
                <w:color w:val="auto"/>
              </w:rPr>
              <w:t>$635,000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Kawailoa</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December 14, 2017</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Lanikuhana Solar LLC</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December 28, 2017</w:t>
            </w:r>
          </w:p>
        </w:tc>
        <w:tc>
          <w:tcPr>
            <w:tcW w:w="2020" w:type="dxa"/>
            <w:vAlign w:val="bottom"/>
          </w:tcPr>
          <w:p>
            <w:pPr>
              <w:jc w:val="right"/>
              <w:spacing w:after="0"/>
              <w:rPr>
                <w:sz w:val="20"/>
                <w:szCs w:val="20"/>
                <w:color w:val="auto"/>
              </w:rPr>
            </w:pPr>
            <w:r>
              <w:rPr>
                <w:rFonts w:ascii="Arial" w:cs="Arial" w:eastAsia="Arial" w:hAnsi="Arial"/>
                <w:sz w:val="14"/>
                <w:szCs w:val="14"/>
                <w:color w:val="auto"/>
              </w:rPr>
              <w:t>$656,000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Mililani I</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May 28, 2021</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Solar Blythe</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November 1, 2017</w:t>
            </w:r>
          </w:p>
        </w:tc>
        <w:tc>
          <w:tcPr>
            <w:tcW w:w="2020" w:type="dxa"/>
            <w:vAlign w:val="bottom"/>
          </w:tcPr>
          <w:p>
            <w:pPr>
              <w:jc w:val="right"/>
              <w:spacing w:after="0"/>
              <w:rPr>
                <w:sz w:val="20"/>
                <w:szCs w:val="20"/>
                <w:color w:val="auto"/>
              </w:rPr>
            </w:pPr>
            <w:r>
              <w:rPr>
                <w:rFonts w:ascii="Arial" w:cs="Arial" w:eastAsia="Arial" w:hAnsi="Arial"/>
                <w:sz w:val="14"/>
                <w:szCs w:val="14"/>
                <w:color w:val="auto"/>
              </w:rPr>
              <w:t>$267,000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Solar Blythe II</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March 1, 2017</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Solar Community 1 LLC</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February 9, 2018</w:t>
            </w:r>
          </w:p>
        </w:tc>
        <w:tc>
          <w:tcPr>
            <w:tcW w:w="2020" w:type="dxa"/>
            <w:vAlign w:val="bottom"/>
          </w:tcPr>
          <w:p>
            <w:pPr>
              <w:jc w:val="right"/>
              <w:spacing w:after="0"/>
              <w:rPr>
                <w:sz w:val="20"/>
                <w:szCs w:val="20"/>
                <w:color w:val="auto"/>
              </w:rPr>
            </w:pPr>
            <w:r>
              <w:rPr>
                <w:rFonts w:ascii="Arial" w:cs="Arial" w:eastAsia="Arial" w:hAnsi="Arial"/>
                <w:sz w:val="14"/>
                <w:szCs w:val="14"/>
                <w:color w:val="auto"/>
              </w:rPr>
              <w:t>$135,000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SPP Fund II</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October 31, 2017</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SPP Fund III</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October 31, 2017</w:t>
            </w:r>
          </w:p>
        </w:tc>
        <w:tc>
          <w:tcPr>
            <w:tcW w:w="2020" w:type="dxa"/>
            <w:vAlign w:val="bottom"/>
          </w:tcPr>
          <w:p>
            <w:pPr>
              <w:jc w:val="right"/>
              <w:spacing w:after="0"/>
              <w:rPr>
                <w:sz w:val="20"/>
                <w:szCs w:val="20"/>
                <w:color w:val="auto"/>
              </w:rPr>
            </w:pPr>
            <w:r>
              <w:rPr>
                <w:rFonts w:ascii="Arial" w:cs="Arial" w:eastAsia="Arial" w:hAnsi="Arial"/>
                <w:sz w:val="14"/>
                <w:szCs w:val="14"/>
                <w:color w:val="auto"/>
              </w:rPr>
              <w:t>$217,000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TA High Desert</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June 9, 2017</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Utah Solar Portfolio</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June 13, 2022</w:t>
            </w:r>
          </w:p>
        </w:tc>
        <w:tc>
          <w:tcPr>
            <w:tcW w:w="2020" w:type="dxa"/>
            <w:vAlign w:val="bottom"/>
          </w:tcPr>
          <w:p>
            <w:pPr>
              <w:jc w:val="right"/>
              <w:spacing w:after="0"/>
              <w:rPr>
                <w:sz w:val="20"/>
                <w:szCs w:val="20"/>
                <w:color w:val="auto"/>
              </w:rPr>
            </w:pPr>
            <w:r>
              <w:rPr>
                <w:rFonts w:ascii="Arial" w:cs="Arial" w:eastAsia="Arial" w:hAnsi="Arial"/>
                <w:sz w:val="14"/>
                <w:szCs w:val="14"/>
                <w:color w:val="auto"/>
              </w:rPr>
              <w:t>$1,298,000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Utah Solar Holdings II LLC</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December 1, 2021</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Waipio PV LLC</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December 28, 2017</w:t>
            </w:r>
          </w:p>
        </w:tc>
        <w:tc>
          <w:tcPr>
            <w:tcW w:w="2020" w:type="dxa"/>
            <w:vAlign w:val="bottom"/>
          </w:tcPr>
          <w:p>
            <w:pPr>
              <w:jc w:val="right"/>
              <w:spacing w:after="0"/>
              <w:rPr>
                <w:sz w:val="20"/>
                <w:szCs w:val="20"/>
                <w:color w:val="auto"/>
              </w:rPr>
            </w:pPr>
            <w:r>
              <w:rPr>
                <w:rFonts w:ascii="Arial" w:cs="Arial" w:eastAsia="Arial" w:hAnsi="Arial"/>
                <w:sz w:val="14"/>
                <w:szCs w:val="14"/>
                <w:color w:val="auto"/>
              </w:rPr>
              <w:t>$1,282,000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Wind</w:t>
            </w:r>
          </w:p>
        </w:tc>
        <w:tc>
          <w:tcPr>
            <w:tcW w:w="5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Alta Wind I</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December 12, 2016</w:t>
            </w:r>
          </w:p>
        </w:tc>
        <w:tc>
          <w:tcPr>
            <w:tcW w:w="2020" w:type="dxa"/>
            <w:vAlign w:val="bottom"/>
          </w:tcPr>
          <w:p>
            <w:pPr>
              <w:jc w:val="right"/>
              <w:spacing w:after="0"/>
              <w:rPr>
                <w:sz w:val="20"/>
                <w:szCs w:val="20"/>
                <w:color w:val="auto"/>
              </w:rPr>
            </w:pPr>
            <w:r>
              <w:rPr>
                <w:rFonts w:ascii="Arial" w:cs="Arial" w:eastAsia="Arial" w:hAnsi="Arial"/>
                <w:sz w:val="14"/>
                <w:szCs w:val="14"/>
                <w:color w:val="auto"/>
              </w:rPr>
              <w:t>$1,584,000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Alta Wind II</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December 12, 2016</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Alta Wind III</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December 12, 2016</w:t>
            </w:r>
          </w:p>
        </w:tc>
        <w:tc>
          <w:tcPr>
            <w:tcW w:w="2020" w:type="dxa"/>
            <w:vAlign w:val="bottom"/>
          </w:tcPr>
          <w:p>
            <w:pPr>
              <w:jc w:val="right"/>
              <w:spacing w:after="0"/>
              <w:rPr>
                <w:sz w:val="20"/>
                <w:szCs w:val="20"/>
                <w:color w:val="auto"/>
              </w:rPr>
            </w:pPr>
            <w:r>
              <w:rPr>
                <w:rFonts w:ascii="Arial" w:cs="Arial" w:eastAsia="Arial" w:hAnsi="Arial"/>
                <w:sz w:val="14"/>
                <w:szCs w:val="14"/>
                <w:color w:val="auto"/>
              </w:rPr>
              <w:t>$754,000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Alta Wind IV</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December 12, 2016</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Alta Wind V</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December 12, 2016</w:t>
            </w:r>
          </w:p>
        </w:tc>
        <w:tc>
          <w:tcPr>
            <w:tcW w:w="2020" w:type="dxa"/>
            <w:vAlign w:val="bottom"/>
          </w:tcPr>
          <w:p>
            <w:pPr>
              <w:jc w:val="right"/>
              <w:spacing w:after="0"/>
              <w:rPr>
                <w:sz w:val="20"/>
                <w:szCs w:val="20"/>
                <w:color w:val="auto"/>
              </w:rPr>
            </w:pPr>
            <w:r>
              <w:rPr>
                <w:rFonts w:ascii="Arial" w:cs="Arial" w:eastAsia="Arial" w:hAnsi="Arial"/>
                <w:sz w:val="14"/>
                <w:szCs w:val="14"/>
                <w:color w:val="auto"/>
              </w:rPr>
              <w:t>$854,000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Alta Wind X</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December 12, 2016</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$2,627,000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Alta Wind XI</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December 12, 2016</w:t>
            </w:r>
          </w:p>
        </w:tc>
        <w:tc>
          <w:tcPr>
            <w:tcW w:w="2020" w:type="dxa"/>
            <w:vAlign w:val="bottom"/>
          </w:tcPr>
          <w:p>
            <w:pPr>
              <w:jc w:val="right"/>
              <w:spacing w:after="0"/>
              <w:rPr>
                <w:sz w:val="20"/>
                <w:szCs w:val="20"/>
                <w:color w:val="auto"/>
              </w:rPr>
            </w:pPr>
            <w:r>
              <w:rPr>
                <w:rFonts w:ascii="Arial" w:cs="Arial" w:eastAsia="Arial" w:hAnsi="Arial"/>
                <w:sz w:val="14"/>
                <w:szCs w:val="14"/>
                <w:color w:val="auto"/>
              </w:rPr>
              <w:t>$1,690,000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Black Rock</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December 30, 2020</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Broken Bow</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Nov 6, 2017</w:t>
            </w:r>
          </w:p>
        </w:tc>
        <w:tc>
          <w:tcPr>
            <w:tcW w:w="2020" w:type="dxa"/>
            <w:vAlign w:val="bottom"/>
          </w:tcPr>
          <w:p>
            <w:pPr>
              <w:jc w:val="right"/>
              <w:spacing w:after="0"/>
              <w:rPr>
                <w:sz w:val="20"/>
                <w:szCs w:val="20"/>
                <w:color w:val="auto"/>
              </w:rPr>
            </w:pPr>
            <w:r>
              <w:rPr>
                <w:rFonts w:ascii="Arial" w:cs="Arial" w:eastAsia="Arial" w:hAnsi="Arial"/>
                <w:sz w:val="14"/>
                <w:szCs w:val="14"/>
                <w:color w:val="auto"/>
              </w:rPr>
              <w:t>$584,000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Buffalo Bear</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May 1, 2016</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Cedro Hill</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Nov 11, 2015</w:t>
            </w:r>
          </w:p>
        </w:tc>
        <w:tc>
          <w:tcPr>
            <w:tcW w:w="2020" w:type="dxa"/>
            <w:vAlign w:val="bottom"/>
          </w:tcPr>
          <w:p>
            <w:pPr>
              <w:jc w:val="right"/>
              <w:spacing w:after="0"/>
              <w:rPr>
                <w:sz w:val="20"/>
                <w:szCs w:val="20"/>
                <w:color w:val="auto"/>
              </w:rPr>
            </w:pPr>
            <w:r>
              <w:rPr>
                <w:rFonts w:ascii="Arial" w:cs="Arial" w:eastAsia="Arial" w:hAnsi="Arial"/>
                <w:sz w:val="14"/>
                <w:szCs w:val="14"/>
                <w:color w:val="auto"/>
              </w:rPr>
              <w:t>$1,450,000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Crosswinds</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May 1, 2016</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Elbow Creek</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October 31, 2018</w:t>
            </w:r>
          </w:p>
        </w:tc>
        <w:tc>
          <w:tcPr>
            <w:tcW w:w="2020" w:type="dxa"/>
            <w:vAlign w:val="bottom"/>
          </w:tcPr>
          <w:p>
            <w:pPr>
              <w:jc w:val="right"/>
              <w:spacing w:after="0"/>
              <w:rPr>
                <w:sz w:val="20"/>
                <w:szCs w:val="20"/>
                <w:color w:val="auto"/>
              </w:rPr>
            </w:pPr>
            <w:r>
              <w:rPr>
                <w:rFonts w:ascii="Arial" w:cs="Arial" w:eastAsia="Arial" w:hAnsi="Arial"/>
                <w:sz w:val="14"/>
                <w:szCs w:val="14"/>
                <w:color w:val="auto"/>
              </w:rPr>
              <w:t>$1,491,000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Forward</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October 20, 2016</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Goat Wind</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February 18, 2008</w:t>
            </w:r>
          </w:p>
        </w:tc>
        <w:tc>
          <w:tcPr>
            <w:tcW w:w="2020" w:type="dxa"/>
            <w:vAlign w:val="bottom"/>
          </w:tcPr>
          <w:p>
            <w:pPr>
              <w:jc w:val="right"/>
              <w:spacing w:after="0"/>
              <w:rPr>
                <w:sz w:val="20"/>
                <w:szCs w:val="20"/>
                <w:color w:val="auto"/>
              </w:rPr>
            </w:pPr>
            <w:r>
              <w:rPr>
                <w:rFonts w:ascii="Arial" w:cs="Arial" w:eastAsia="Arial" w:hAnsi="Arial"/>
                <w:sz w:val="14"/>
                <w:szCs w:val="14"/>
                <w:color w:val="auto"/>
              </w:rPr>
              <w:t>$2,682,000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Hardin</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May 1, 2016</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Langford</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July 30, 2018</w:t>
            </w:r>
          </w:p>
        </w:tc>
        <w:tc>
          <w:tcPr>
            <w:tcW w:w="2020" w:type="dxa"/>
            <w:vAlign w:val="bottom"/>
          </w:tcPr>
          <w:p>
            <w:pPr>
              <w:jc w:val="right"/>
              <w:spacing w:after="0"/>
              <w:rPr>
                <w:sz w:val="20"/>
                <w:szCs w:val="20"/>
                <w:color w:val="auto"/>
              </w:rPr>
            </w:pPr>
            <w:r>
              <w:rPr>
                <w:rFonts w:ascii="Arial" w:cs="Arial" w:eastAsia="Arial" w:hAnsi="Arial"/>
                <w:sz w:val="14"/>
                <w:szCs w:val="14"/>
                <w:color w:val="auto"/>
              </w:rPr>
              <w:t>$2,734,000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Laredo Ridge</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December 24, 2015</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Lookout</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February 11, 2008</w:t>
            </w:r>
          </w:p>
        </w:tc>
        <w:tc>
          <w:tcPr>
            <w:tcW w:w="2020" w:type="dxa"/>
            <w:vAlign w:val="bottom"/>
          </w:tcPr>
          <w:p>
            <w:pPr>
              <w:jc w:val="right"/>
              <w:spacing w:after="0"/>
              <w:rPr>
                <w:sz w:val="20"/>
                <w:szCs w:val="20"/>
                <w:color w:val="auto"/>
              </w:rPr>
            </w:pPr>
            <w:r>
              <w:rPr>
                <w:rFonts w:ascii="Arial" w:cs="Arial" w:eastAsia="Arial" w:hAnsi="Arial"/>
                <w:sz w:val="14"/>
                <w:szCs w:val="14"/>
                <w:color w:val="auto"/>
              </w:rPr>
              <w:t>$1,057,000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Mesquite Sky</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December 30, 2020</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Mesquite Star</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May 7, 2019</w:t>
            </w:r>
          </w:p>
        </w:tc>
        <w:tc>
          <w:tcPr>
            <w:tcW w:w="2020" w:type="dxa"/>
            <w:vAlign w:val="bottom"/>
          </w:tcPr>
          <w:p>
            <w:pPr>
              <w:jc w:val="right"/>
              <w:spacing w:after="0"/>
              <w:rPr>
                <w:sz w:val="20"/>
                <w:szCs w:val="20"/>
                <w:color w:val="auto"/>
              </w:rPr>
            </w:pPr>
            <w:r>
              <w:rPr>
                <w:rFonts w:ascii="Arial" w:cs="Arial" w:eastAsia="Arial" w:hAnsi="Arial"/>
                <w:sz w:val="14"/>
                <w:szCs w:val="14"/>
                <w:color w:val="auto"/>
              </w:rPr>
              <w:t>$1,874,000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Mt. Storm</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April 23, 2021</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Mountain Wind Power I &amp; II</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September 17, 2016</w:t>
            </w:r>
          </w:p>
        </w:tc>
        <w:tc>
          <w:tcPr>
            <w:tcW w:w="2020" w:type="dxa"/>
            <w:vAlign w:val="bottom"/>
          </w:tcPr>
          <w:p>
            <w:pPr>
              <w:jc w:val="right"/>
              <w:spacing w:after="0"/>
              <w:rPr>
                <w:sz w:val="20"/>
                <w:szCs w:val="20"/>
                <w:color w:val="auto"/>
              </w:rPr>
            </w:pPr>
            <w:r>
              <w:rPr>
                <w:rFonts w:ascii="Arial" w:cs="Arial" w:eastAsia="Arial" w:hAnsi="Arial"/>
                <w:sz w:val="14"/>
                <w:szCs w:val="14"/>
                <w:color w:val="auto"/>
              </w:rPr>
              <w:t>$1,016,000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Ocotillo</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November 3, 2020</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Odin</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September 16, 2016</w:t>
            </w:r>
          </w:p>
        </w:tc>
        <w:tc>
          <w:tcPr>
            <w:tcW w:w="2020" w:type="dxa"/>
            <w:vAlign w:val="bottom"/>
          </w:tcPr>
          <w:p>
            <w:pPr>
              <w:jc w:val="right"/>
              <w:spacing w:after="0"/>
              <w:rPr>
                <w:sz w:val="20"/>
                <w:szCs w:val="20"/>
                <w:color w:val="auto"/>
              </w:rPr>
            </w:pPr>
            <w:r>
              <w:rPr>
                <w:rFonts w:ascii="Arial" w:cs="Arial" w:eastAsia="Arial" w:hAnsi="Arial"/>
                <w:sz w:val="14"/>
                <w:szCs w:val="14"/>
                <w:color w:val="auto"/>
              </w:rPr>
              <w:t>$474,000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Pinnacle</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December 1, 2016</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Rattlesnake</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February 5, 2020</w:t>
            </w:r>
          </w:p>
        </w:tc>
        <w:tc>
          <w:tcPr>
            <w:tcW w:w="2020" w:type="dxa"/>
            <w:vAlign w:val="bottom"/>
          </w:tcPr>
          <w:p>
            <w:pPr>
              <w:jc w:val="right"/>
              <w:spacing w:after="0"/>
              <w:rPr>
                <w:sz w:val="20"/>
                <w:szCs w:val="20"/>
                <w:color w:val="auto"/>
              </w:rPr>
            </w:pPr>
            <w:r>
              <w:rPr>
                <w:rFonts w:ascii="Arial" w:cs="Arial" w:eastAsia="Arial" w:hAnsi="Arial"/>
                <w:sz w:val="14"/>
                <w:szCs w:val="14"/>
                <w:color w:val="auto"/>
              </w:rPr>
              <w:t>$1,459,000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Sleeping Bear</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May 1, 2016</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Spanish Fork</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September 16, 2016</w:t>
            </w:r>
          </w:p>
        </w:tc>
        <w:tc>
          <w:tcPr>
            <w:tcW w:w="2020" w:type="dxa"/>
            <w:vAlign w:val="bottom"/>
          </w:tcPr>
          <w:p>
            <w:pPr>
              <w:jc w:val="right"/>
              <w:spacing w:after="0"/>
              <w:rPr>
                <w:sz w:val="20"/>
                <w:szCs w:val="20"/>
                <w:color w:val="auto"/>
              </w:rPr>
            </w:pPr>
            <w:r>
              <w:rPr>
                <w:rFonts w:ascii="Arial" w:cs="Arial" w:eastAsia="Arial" w:hAnsi="Arial"/>
                <w:sz w:val="14"/>
                <w:szCs w:val="14"/>
                <w:color w:val="auto"/>
              </w:rPr>
              <w:t>$364,000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South Trent</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Management O&amp;M Agreement, dated October 1, 2015</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$1,732,000</w:t>
            </w:r>
          </w:p>
        </w:tc>
        <w:tc>
          <w:tcPr>
            <w:tcW w:w="0" w:type="dxa"/>
            <w:vAlign w:val="bottom"/>
          </w:tcPr>
          <w:p>
            <w:pPr>
              <w:spacing w:after="0"/>
              <w:rPr>
                <w:sz w:val="1"/>
                <w:szCs w:val="1"/>
                <w:color w:val="auto"/>
              </w:rPr>
            </w:pPr>
          </w:p>
        </w:tc>
      </w:tr>
      <w:tr>
        <w:trPr>
          <w:trHeight w:val="180"/>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Taloga</w:t>
            </w:r>
          </w:p>
        </w:tc>
        <w:tc>
          <w:tcPr>
            <w:tcW w:w="5360" w:type="dxa"/>
            <w:vAlign w:val="bottom"/>
            <w:gridSpan w:val="2"/>
          </w:tcPr>
          <w:p>
            <w:pPr>
              <w:ind w:left="20"/>
              <w:spacing w:after="0"/>
              <w:rPr>
                <w:sz w:val="20"/>
                <w:szCs w:val="20"/>
                <w:color w:val="auto"/>
              </w:rPr>
            </w:pPr>
            <w:r>
              <w:rPr>
                <w:rFonts w:ascii="Arial" w:cs="Arial" w:eastAsia="Arial" w:hAnsi="Arial"/>
                <w:sz w:val="14"/>
                <w:szCs w:val="14"/>
                <w:color w:val="auto"/>
              </w:rPr>
              <w:t>O&amp;M Agreement, dated July 1, 2016</w:t>
            </w:r>
          </w:p>
        </w:tc>
        <w:tc>
          <w:tcPr>
            <w:tcW w:w="2020" w:type="dxa"/>
            <w:vAlign w:val="bottom"/>
          </w:tcPr>
          <w:p>
            <w:pPr>
              <w:jc w:val="right"/>
              <w:spacing w:after="0"/>
              <w:rPr>
                <w:sz w:val="20"/>
                <w:szCs w:val="20"/>
                <w:color w:val="auto"/>
              </w:rPr>
            </w:pPr>
            <w:r>
              <w:rPr>
                <w:rFonts w:ascii="Arial" w:cs="Arial" w:eastAsia="Arial" w:hAnsi="Arial"/>
                <w:sz w:val="14"/>
                <w:szCs w:val="14"/>
                <w:color w:val="auto"/>
              </w:rPr>
              <w:t>$2,679,000</w:t>
            </w:r>
          </w:p>
        </w:tc>
        <w:tc>
          <w:tcPr>
            <w:tcW w:w="0" w:type="dxa"/>
            <w:vAlign w:val="bottom"/>
          </w:tcPr>
          <w:p>
            <w:pPr>
              <w:spacing w:after="0"/>
              <w:rPr>
                <w:sz w:val="1"/>
                <w:szCs w:val="1"/>
                <w:color w:val="auto"/>
              </w:rPr>
            </w:pPr>
          </w:p>
        </w:tc>
      </w:tr>
      <w:tr>
        <w:trPr>
          <w:trHeight w:val="181"/>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Wildorado</w:t>
            </w:r>
          </w:p>
        </w:tc>
        <w:tc>
          <w:tcPr>
            <w:tcW w:w="5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O&amp;M Agreement, dated February 11, 2008</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$2,172,000</w:t>
            </w:r>
          </w:p>
        </w:tc>
        <w:tc>
          <w:tcPr>
            <w:tcW w:w="0" w:type="dxa"/>
            <w:vAlign w:val="bottom"/>
          </w:tcPr>
          <w:p>
            <w:pPr>
              <w:spacing w:after="0"/>
              <w:rPr>
                <w:sz w:val="1"/>
                <w:szCs w:val="1"/>
                <w:color w:val="auto"/>
              </w:rPr>
            </w:pPr>
          </w:p>
        </w:tc>
      </w:tr>
    </w:tbl>
    <w:p>
      <w:pPr>
        <w:sectPr>
          <w:pgSz w:w="11900" w:h="16838" w:orient="portrait"/>
          <w:cols w:equalWidth="0" w:num="1">
            <w:col w:w="11280"/>
          </w:cols>
          <w:pgMar w:left="300" w:top="129" w:right="319" w:bottom="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i w:val="1"/>
          <w:iCs w:val="1"/>
          <w:color w:val="auto"/>
        </w:rPr>
        <w:t>Asset Management and Administrative Services Agreements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CEG provides day-to-day administrative support to certain of the Company’s project-level entities in accordance with asset management and administrative services agreements (the “ASAs”). The ASAs for which the amount involved exceeded $120,000 during the year ended December 31, 2022 are described in the table below. Under these agreements, the Company generally pays an annual or monthly fee, which may be subject to annual adjustment, plus any reimbursable expenses.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2"/>
        </w:trPr>
        <w:tc>
          <w:tcPr>
            <w:tcW w:w="2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Project</w:t>
            </w:r>
          </w:p>
        </w:tc>
        <w:tc>
          <w:tcPr>
            <w:tcW w:w="654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Agreement Description</w:t>
            </w:r>
          </w:p>
        </w:tc>
        <w:tc>
          <w:tcPr>
            <w:tcW w:w="1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0"/>
        </w:trPr>
        <w:tc>
          <w:tcPr>
            <w:tcW w:w="2980" w:type="dxa"/>
            <w:vAlign w:val="bottom"/>
            <w:gridSpan w:val="2"/>
            <w:vMerge w:val="continue"/>
          </w:tcPr>
          <w:p>
            <w:pPr>
              <w:spacing w:after="0"/>
              <w:rPr>
                <w:sz w:val="15"/>
                <w:szCs w:val="15"/>
                <w:color w:val="auto"/>
              </w:rPr>
            </w:pPr>
          </w:p>
        </w:tc>
        <w:tc>
          <w:tcPr>
            <w:tcW w:w="6540" w:type="dxa"/>
            <w:vAlign w:val="bottom"/>
            <w:gridSpan w:val="2"/>
            <w:vMerge w:val="continue"/>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Paid to CEG</w:t>
            </w:r>
          </w:p>
        </w:tc>
        <w:tc>
          <w:tcPr>
            <w:tcW w:w="0" w:type="dxa"/>
            <w:vAlign w:val="bottom"/>
          </w:tcPr>
          <w:p>
            <w:pPr>
              <w:spacing w:after="0"/>
              <w:rPr>
                <w:sz w:val="1"/>
                <w:szCs w:val="1"/>
                <w:color w:val="auto"/>
              </w:rPr>
            </w:pPr>
          </w:p>
        </w:tc>
      </w:tr>
      <w:tr>
        <w:trPr>
          <w:trHeight w:val="171"/>
        </w:trPr>
        <w:tc>
          <w:tcPr>
            <w:tcW w:w="288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Solar</w:t>
            </w:r>
          </w:p>
        </w:tc>
        <w:tc>
          <w:tcPr>
            <w:tcW w:w="100" w:type="dxa"/>
            <w:vAlign w:val="bottom"/>
          </w:tcPr>
          <w:p>
            <w:pPr>
              <w:spacing w:after="0"/>
              <w:rPr>
                <w:sz w:val="14"/>
                <w:szCs w:val="14"/>
                <w:color w:val="auto"/>
              </w:rPr>
            </w:pPr>
          </w:p>
        </w:tc>
        <w:tc>
          <w:tcPr>
            <w:tcW w:w="6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Agua Caliente</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 Management Agreement, dated January 18, 2012</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Arial" w:cs="Arial" w:eastAsia="Arial" w:hAnsi="Arial"/>
                <w:sz w:val="14"/>
                <w:szCs w:val="14"/>
                <w:color w:val="auto"/>
              </w:rPr>
              <w:t>Alpine</w:t>
            </w:r>
          </w:p>
        </w:tc>
        <w:tc>
          <w:tcPr>
            <w:tcW w:w="6540" w:type="dxa"/>
            <w:vAlign w:val="bottom"/>
            <w:gridSpan w:val="2"/>
          </w:tcPr>
          <w:p>
            <w:pPr>
              <w:spacing w:after="0"/>
              <w:rPr>
                <w:sz w:val="20"/>
                <w:szCs w:val="20"/>
                <w:color w:val="auto"/>
              </w:rPr>
            </w:pPr>
            <w:r>
              <w:rPr>
                <w:rFonts w:ascii="Arial" w:cs="Arial" w:eastAsia="Arial" w:hAnsi="Arial"/>
                <w:sz w:val="14"/>
                <w:szCs w:val="14"/>
                <w:color w:val="auto"/>
              </w:rPr>
              <w:t>Asset Management Agreement, dated March 15, 2012</w:t>
            </w:r>
          </w:p>
        </w:tc>
        <w:tc>
          <w:tcPr>
            <w:tcW w:w="1760" w:type="dxa"/>
            <w:vAlign w:val="bottom"/>
          </w:tcPr>
          <w:p>
            <w:pPr>
              <w:jc w:val="right"/>
              <w:spacing w:after="0"/>
              <w:rPr>
                <w:sz w:val="20"/>
                <w:szCs w:val="20"/>
                <w:color w:val="auto"/>
              </w:rPr>
            </w:pPr>
            <w:r>
              <w:rPr>
                <w:rFonts w:ascii="Arial" w:cs="Arial" w:eastAsia="Arial" w:hAnsi="Arial"/>
                <w:sz w:val="14"/>
                <w:szCs w:val="14"/>
                <w:color w:val="auto"/>
              </w:rPr>
              <w:t>$153,000</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Buckthorn Solar</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 Management Agreement, dated May 22, 2017</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Arial" w:cs="Arial" w:eastAsia="Arial" w:hAnsi="Arial"/>
                <w:sz w:val="14"/>
                <w:szCs w:val="14"/>
                <w:color w:val="auto"/>
              </w:rPr>
              <w:t>Chestnut Fund LLC</w:t>
            </w:r>
          </w:p>
        </w:tc>
        <w:tc>
          <w:tcPr>
            <w:tcW w:w="6540" w:type="dxa"/>
            <w:vAlign w:val="bottom"/>
            <w:gridSpan w:val="2"/>
          </w:tcPr>
          <w:p>
            <w:pPr>
              <w:spacing w:after="0"/>
              <w:rPr>
                <w:sz w:val="20"/>
                <w:szCs w:val="20"/>
                <w:color w:val="auto"/>
              </w:rPr>
            </w:pPr>
            <w:r>
              <w:rPr>
                <w:rFonts w:ascii="Arial" w:cs="Arial" w:eastAsia="Arial" w:hAnsi="Arial"/>
                <w:sz w:val="14"/>
                <w:szCs w:val="14"/>
                <w:color w:val="auto"/>
              </w:rPr>
              <w:t>Asset Management Agreement, dated July 31, 2017</w:t>
            </w:r>
          </w:p>
        </w:tc>
        <w:tc>
          <w:tcPr>
            <w:tcW w:w="1760" w:type="dxa"/>
            <w:vAlign w:val="bottom"/>
          </w:tcPr>
          <w:p>
            <w:pPr>
              <w:jc w:val="right"/>
              <w:spacing w:after="0"/>
              <w:rPr>
                <w:sz w:val="20"/>
                <w:szCs w:val="20"/>
                <w:color w:val="auto"/>
              </w:rPr>
            </w:pPr>
            <w:r>
              <w:rPr>
                <w:rFonts w:ascii="Arial" w:cs="Arial" w:eastAsia="Arial" w:hAnsi="Arial"/>
                <w:sz w:val="14"/>
                <w:szCs w:val="14"/>
                <w:color w:val="auto"/>
              </w:rPr>
              <w:t>$209,000</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CS4 Fund LLC</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 Management Agreement, dated November 29, 2018</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Arial" w:cs="Arial" w:eastAsia="Arial" w:hAnsi="Arial"/>
                <w:sz w:val="14"/>
                <w:szCs w:val="14"/>
                <w:color w:val="auto"/>
              </w:rPr>
              <w:t>CVSR</w:t>
            </w:r>
          </w:p>
        </w:tc>
        <w:tc>
          <w:tcPr>
            <w:tcW w:w="6540" w:type="dxa"/>
            <w:vAlign w:val="bottom"/>
            <w:gridSpan w:val="2"/>
          </w:tcPr>
          <w:p>
            <w:pPr>
              <w:spacing w:after="0"/>
              <w:rPr>
                <w:sz w:val="20"/>
                <w:szCs w:val="20"/>
                <w:color w:val="auto"/>
              </w:rPr>
            </w:pPr>
            <w:r>
              <w:rPr>
                <w:rFonts w:ascii="Arial" w:cs="Arial" w:eastAsia="Arial" w:hAnsi="Arial"/>
                <w:sz w:val="14"/>
                <w:szCs w:val="14"/>
                <w:color w:val="auto"/>
              </w:rPr>
              <w:t>Asset Management Agreement, dated April 26, 2016</w:t>
            </w:r>
          </w:p>
        </w:tc>
        <w:tc>
          <w:tcPr>
            <w:tcW w:w="1760" w:type="dxa"/>
            <w:vAlign w:val="bottom"/>
          </w:tcPr>
          <w:p>
            <w:pPr>
              <w:jc w:val="right"/>
              <w:spacing w:after="0"/>
              <w:rPr>
                <w:sz w:val="20"/>
                <w:szCs w:val="20"/>
                <w:color w:val="auto"/>
              </w:rPr>
            </w:pPr>
            <w:r>
              <w:rPr>
                <w:rFonts w:ascii="Arial" w:cs="Arial" w:eastAsia="Arial" w:hAnsi="Arial"/>
                <w:sz w:val="14"/>
                <w:szCs w:val="14"/>
                <w:color w:val="auto"/>
              </w:rPr>
              <w:t>$227,000</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DG CS Holdco LLC</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 Management Agreement, dated November 2, 2020</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Arial" w:cs="Arial" w:eastAsia="Arial" w:hAnsi="Arial"/>
                <w:sz w:val="14"/>
                <w:szCs w:val="14"/>
                <w:color w:val="auto"/>
              </w:rPr>
              <w:t>DGPV Fund 2 LLC</w:t>
            </w:r>
          </w:p>
        </w:tc>
        <w:tc>
          <w:tcPr>
            <w:tcW w:w="6540" w:type="dxa"/>
            <w:vAlign w:val="bottom"/>
            <w:gridSpan w:val="2"/>
          </w:tcPr>
          <w:p>
            <w:pPr>
              <w:spacing w:after="0"/>
              <w:rPr>
                <w:sz w:val="20"/>
                <w:szCs w:val="20"/>
                <w:color w:val="auto"/>
              </w:rPr>
            </w:pPr>
            <w:r>
              <w:rPr>
                <w:rFonts w:ascii="Arial" w:cs="Arial" w:eastAsia="Arial" w:hAnsi="Arial"/>
                <w:sz w:val="14"/>
                <w:szCs w:val="14"/>
                <w:color w:val="auto"/>
              </w:rPr>
              <w:t>Asset Management Agreement, dated April 28,2017</w:t>
            </w:r>
          </w:p>
        </w:tc>
        <w:tc>
          <w:tcPr>
            <w:tcW w:w="1760" w:type="dxa"/>
            <w:vAlign w:val="bottom"/>
          </w:tcPr>
          <w:p>
            <w:pPr>
              <w:jc w:val="right"/>
              <w:spacing w:after="0"/>
              <w:rPr>
                <w:sz w:val="20"/>
                <w:szCs w:val="20"/>
                <w:color w:val="auto"/>
              </w:rPr>
            </w:pPr>
            <w:r>
              <w:rPr>
                <w:rFonts w:ascii="Arial" w:cs="Arial" w:eastAsia="Arial" w:hAnsi="Arial"/>
                <w:sz w:val="14"/>
                <w:szCs w:val="14"/>
                <w:color w:val="auto"/>
              </w:rPr>
              <w:t>$156,000</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Kawailoa</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 Management Agreement, dated December 14, 2017</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Arial" w:cs="Arial" w:eastAsia="Arial" w:hAnsi="Arial"/>
                <w:sz w:val="14"/>
                <w:szCs w:val="14"/>
                <w:color w:val="auto"/>
              </w:rPr>
              <w:t>Oahu Solar</w:t>
            </w:r>
          </w:p>
        </w:tc>
        <w:tc>
          <w:tcPr>
            <w:tcW w:w="6540" w:type="dxa"/>
            <w:vAlign w:val="bottom"/>
            <w:gridSpan w:val="2"/>
          </w:tcPr>
          <w:p>
            <w:pPr>
              <w:spacing w:after="0"/>
              <w:rPr>
                <w:sz w:val="20"/>
                <w:szCs w:val="20"/>
                <w:color w:val="auto"/>
              </w:rPr>
            </w:pPr>
            <w:r>
              <w:rPr>
                <w:rFonts w:ascii="Arial" w:cs="Arial" w:eastAsia="Arial" w:hAnsi="Arial"/>
                <w:sz w:val="14"/>
                <w:szCs w:val="14"/>
                <w:color w:val="auto"/>
              </w:rPr>
              <w:t>Asset Management Agreement, dated December 28, 2017</w:t>
            </w:r>
          </w:p>
        </w:tc>
        <w:tc>
          <w:tcPr>
            <w:tcW w:w="1760" w:type="dxa"/>
            <w:vAlign w:val="bottom"/>
          </w:tcPr>
          <w:p>
            <w:pPr>
              <w:jc w:val="right"/>
              <w:spacing w:after="0"/>
              <w:rPr>
                <w:sz w:val="20"/>
                <w:szCs w:val="20"/>
                <w:color w:val="auto"/>
              </w:rPr>
            </w:pPr>
            <w:r>
              <w:rPr>
                <w:rFonts w:ascii="Arial" w:cs="Arial" w:eastAsia="Arial" w:hAnsi="Arial"/>
                <w:sz w:val="14"/>
                <w:szCs w:val="14"/>
                <w:color w:val="auto"/>
              </w:rPr>
              <w:t>$213,000</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Rosamond Central</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Project Administration Agreement, dated February 25, 2020</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Arial" w:cs="Arial" w:eastAsia="Arial" w:hAnsi="Arial"/>
                <w:sz w:val="14"/>
                <w:szCs w:val="14"/>
                <w:color w:val="auto"/>
              </w:rPr>
              <w:t>SPP P-IV Master Lessee</w:t>
            </w:r>
          </w:p>
        </w:tc>
        <w:tc>
          <w:tcPr>
            <w:tcW w:w="6540" w:type="dxa"/>
            <w:vAlign w:val="bottom"/>
            <w:gridSpan w:val="2"/>
          </w:tcPr>
          <w:p>
            <w:pPr>
              <w:spacing w:after="0"/>
              <w:rPr>
                <w:sz w:val="20"/>
                <w:szCs w:val="20"/>
                <w:color w:val="auto"/>
              </w:rPr>
            </w:pPr>
            <w:r>
              <w:rPr>
                <w:rFonts w:ascii="Arial" w:cs="Arial" w:eastAsia="Arial" w:hAnsi="Arial"/>
                <w:sz w:val="14"/>
                <w:szCs w:val="14"/>
                <w:color w:val="auto"/>
              </w:rPr>
              <w:t>Asset Management Agreement, dated July 12, 2012</w:t>
            </w:r>
          </w:p>
        </w:tc>
        <w:tc>
          <w:tcPr>
            <w:tcW w:w="1760" w:type="dxa"/>
            <w:vAlign w:val="bottom"/>
          </w:tcPr>
          <w:p>
            <w:pPr>
              <w:jc w:val="right"/>
              <w:spacing w:after="0"/>
              <w:rPr>
                <w:sz w:val="20"/>
                <w:szCs w:val="20"/>
                <w:color w:val="auto"/>
              </w:rPr>
            </w:pPr>
            <w:r>
              <w:rPr>
                <w:rFonts w:ascii="Arial" w:cs="Arial" w:eastAsia="Arial" w:hAnsi="Arial"/>
                <w:sz w:val="14"/>
                <w:szCs w:val="14"/>
                <w:color w:val="auto"/>
              </w:rPr>
              <w:t>$191,000</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Utah Solar Holdings LLC</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 Management Agreement, dated December 1, 2021</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Arial" w:cs="Arial" w:eastAsia="Arial" w:hAnsi="Arial"/>
                <w:sz w:val="14"/>
                <w:szCs w:val="14"/>
                <w:color w:val="auto"/>
              </w:rPr>
              <w:t>Utah Solar Holdings II LLC</w:t>
            </w:r>
          </w:p>
        </w:tc>
        <w:tc>
          <w:tcPr>
            <w:tcW w:w="6540" w:type="dxa"/>
            <w:vAlign w:val="bottom"/>
            <w:gridSpan w:val="2"/>
          </w:tcPr>
          <w:p>
            <w:pPr>
              <w:spacing w:after="0"/>
              <w:rPr>
                <w:sz w:val="20"/>
                <w:szCs w:val="20"/>
                <w:color w:val="auto"/>
              </w:rPr>
            </w:pPr>
            <w:r>
              <w:rPr>
                <w:rFonts w:ascii="Arial" w:cs="Arial" w:eastAsia="Arial" w:hAnsi="Arial"/>
                <w:sz w:val="14"/>
                <w:szCs w:val="14"/>
                <w:color w:val="auto"/>
              </w:rPr>
              <w:t>Asset Management Agreement, dated December 1, 2021</w:t>
            </w:r>
          </w:p>
        </w:tc>
        <w:tc>
          <w:tcPr>
            <w:tcW w:w="1760" w:type="dxa"/>
            <w:vAlign w:val="bottom"/>
          </w:tcPr>
          <w:p>
            <w:pPr>
              <w:jc w:val="right"/>
              <w:spacing w:after="0"/>
              <w:rPr>
                <w:sz w:val="20"/>
                <w:szCs w:val="20"/>
                <w:color w:val="auto"/>
              </w:rPr>
            </w:pPr>
            <w:r>
              <w:rPr>
                <w:rFonts w:ascii="Arial" w:cs="Arial" w:eastAsia="Arial" w:hAnsi="Arial"/>
                <w:sz w:val="14"/>
                <w:szCs w:val="14"/>
                <w:color w:val="auto"/>
              </w:rPr>
              <w:t>$429,000</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Wind</w:t>
            </w:r>
          </w:p>
        </w:tc>
        <w:tc>
          <w:tcPr>
            <w:tcW w:w="6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Arial" w:cs="Arial" w:eastAsia="Arial" w:hAnsi="Arial"/>
                <w:sz w:val="14"/>
                <w:szCs w:val="14"/>
                <w:color w:val="auto"/>
              </w:rPr>
              <w:t>Black Rock</w:t>
            </w:r>
          </w:p>
        </w:tc>
        <w:tc>
          <w:tcPr>
            <w:tcW w:w="6540" w:type="dxa"/>
            <w:vAlign w:val="bottom"/>
            <w:gridSpan w:val="2"/>
          </w:tcPr>
          <w:p>
            <w:pPr>
              <w:spacing w:after="0"/>
              <w:rPr>
                <w:sz w:val="20"/>
                <w:szCs w:val="20"/>
                <w:color w:val="auto"/>
              </w:rPr>
            </w:pPr>
            <w:r>
              <w:rPr>
                <w:rFonts w:ascii="Arial" w:cs="Arial" w:eastAsia="Arial" w:hAnsi="Arial"/>
                <w:sz w:val="14"/>
                <w:szCs w:val="14"/>
                <w:color w:val="auto"/>
              </w:rPr>
              <w:t>Project Administration Agreement, dated December 30, 2020</w:t>
            </w:r>
          </w:p>
        </w:tc>
        <w:tc>
          <w:tcPr>
            <w:tcW w:w="1760" w:type="dxa"/>
            <w:vAlign w:val="bottom"/>
          </w:tcPr>
          <w:p>
            <w:pPr>
              <w:jc w:val="right"/>
              <w:spacing w:after="0"/>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Buffalo Bear</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Amended and Restated Services Agreement, dated September 15, 2011</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Arial" w:cs="Arial" w:eastAsia="Arial" w:hAnsi="Arial"/>
                <w:sz w:val="14"/>
                <w:szCs w:val="14"/>
                <w:color w:val="auto"/>
              </w:rPr>
              <w:t>Elbow Creek</w:t>
            </w:r>
          </w:p>
        </w:tc>
        <w:tc>
          <w:tcPr>
            <w:tcW w:w="6540" w:type="dxa"/>
            <w:vAlign w:val="bottom"/>
            <w:gridSpan w:val="2"/>
          </w:tcPr>
          <w:p>
            <w:pPr>
              <w:spacing w:after="0"/>
              <w:rPr>
                <w:sz w:val="20"/>
                <w:szCs w:val="20"/>
                <w:color w:val="auto"/>
              </w:rPr>
            </w:pPr>
            <w:r>
              <w:rPr>
                <w:rFonts w:ascii="Arial" w:cs="Arial" w:eastAsia="Arial" w:hAnsi="Arial"/>
                <w:sz w:val="14"/>
                <w:szCs w:val="14"/>
                <w:color w:val="auto"/>
              </w:rPr>
              <w:t>Project Administration Agreement, dated January 1, 2018</w:t>
            </w:r>
          </w:p>
        </w:tc>
        <w:tc>
          <w:tcPr>
            <w:tcW w:w="1760" w:type="dxa"/>
            <w:vAlign w:val="bottom"/>
          </w:tcPr>
          <w:p>
            <w:pPr>
              <w:jc w:val="right"/>
              <w:spacing w:after="0"/>
              <w:rPr>
                <w:sz w:val="20"/>
                <w:szCs w:val="20"/>
                <w:color w:val="auto"/>
              </w:rPr>
            </w:pPr>
            <w:r>
              <w:rPr>
                <w:rFonts w:ascii="Arial" w:cs="Arial" w:eastAsia="Arial" w:hAnsi="Arial"/>
                <w:sz w:val="14"/>
                <w:szCs w:val="14"/>
                <w:color w:val="auto"/>
              </w:rPr>
              <w:t>$238,000</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Forward</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Services Agreement, dated January 1, 2012</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Arial" w:cs="Arial" w:eastAsia="Arial" w:hAnsi="Arial"/>
                <w:sz w:val="14"/>
                <w:szCs w:val="14"/>
                <w:color w:val="auto"/>
              </w:rPr>
              <w:t>Langford</w:t>
            </w:r>
          </w:p>
        </w:tc>
        <w:tc>
          <w:tcPr>
            <w:tcW w:w="6540" w:type="dxa"/>
            <w:vAlign w:val="bottom"/>
            <w:gridSpan w:val="2"/>
          </w:tcPr>
          <w:p>
            <w:pPr>
              <w:spacing w:after="0"/>
              <w:rPr>
                <w:sz w:val="20"/>
                <w:szCs w:val="20"/>
                <w:color w:val="auto"/>
              </w:rPr>
            </w:pPr>
            <w:r>
              <w:rPr>
                <w:rFonts w:ascii="Arial" w:cs="Arial" w:eastAsia="Arial" w:hAnsi="Arial"/>
                <w:sz w:val="14"/>
                <w:szCs w:val="14"/>
                <w:color w:val="auto"/>
              </w:rPr>
              <w:t>Project Administration Agreement, dated April 24, 2020</w:t>
            </w:r>
          </w:p>
        </w:tc>
        <w:tc>
          <w:tcPr>
            <w:tcW w:w="1760" w:type="dxa"/>
            <w:vAlign w:val="bottom"/>
          </w:tcPr>
          <w:p>
            <w:pPr>
              <w:jc w:val="right"/>
              <w:spacing w:after="0"/>
              <w:rPr>
                <w:sz w:val="20"/>
                <w:szCs w:val="20"/>
                <w:color w:val="auto"/>
              </w:rPr>
            </w:pPr>
            <w:r>
              <w:rPr>
                <w:rFonts w:ascii="Arial" w:cs="Arial" w:eastAsia="Arial" w:hAnsi="Arial"/>
                <w:sz w:val="14"/>
                <w:szCs w:val="14"/>
                <w:color w:val="auto"/>
              </w:rPr>
              <w:t>$157,000</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Laredo Ridge</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Support Services Agreement, dated May 27, 2010</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Arial" w:cs="Arial" w:eastAsia="Arial" w:hAnsi="Arial"/>
                <w:sz w:val="14"/>
                <w:szCs w:val="14"/>
                <w:color w:val="auto"/>
              </w:rPr>
              <w:t>Lookout</w:t>
            </w:r>
          </w:p>
        </w:tc>
        <w:tc>
          <w:tcPr>
            <w:tcW w:w="6540" w:type="dxa"/>
            <w:vAlign w:val="bottom"/>
            <w:gridSpan w:val="2"/>
          </w:tcPr>
          <w:p>
            <w:pPr>
              <w:spacing w:after="0"/>
              <w:rPr>
                <w:sz w:val="20"/>
                <w:szCs w:val="20"/>
                <w:color w:val="auto"/>
              </w:rPr>
            </w:pPr>
            <w:r>
              <w:rPr>
                <w:rFonts w:ascii="Arial" w:cs="Arial" w:eastAsia="Arial" w:hAnsi="Arial"/>
                <w:sz w:val="14"/>
                <w:szCs w:val="14"/>
                <w:color w:val="auto"/>
              </w:rPr>
              <w:t>Services Agreement, dated January 1, 2012</w:t>
            </w:r>
          </w:p>
        </w:tc>
        <w:tc>
          <w:tcPr>
            <w:tcW w:w="1760" w:type="dxa"/>
            <w:vAlign w:val="bottom"/>
          </w:tcPr>
          <w:p>
            <w:pPr>
              <w:jc w:val="right"/>
              <w:spacing w:after="0"/>
              <w:rPr>
                <w:sz w:val="20"/>
                <w:szCs w:val="20"/>
                <w:color w:val="auto"/>
              </w:rPr>
            </w:pPr>
            <w:r>
              <w:rPr>
                <w:rFonts w:ascii="Arial" w:cs="Arial" w:eastAsia="Arial" w:hAnsi="Arial"/>
                <w:sz w:val="14"/>
                <w:szCs w:val="14"/>
                <w:color w:val="auto"/>
              </w:rPr>
              <w:t>$219,000</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Mesquite Sky</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Project Administration Agreement, dated December 30, 2020</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Arial" w:cs="Arial" w:eastAsia="Arial" w:hAnsi="Arial"/>
                <w:sz w:val="14"/>
                <w:szCs w:val="14"/>
                <w:color w:val="auto"/>
              </w:rPr>
              <w:t>Mesquite Star</w:t>
            </w:r>
          </w:p>
        </w:tc>
        <w:tc>
          <w:tcPr>
            <w:tcW w:w="6540" w:type="dxa"/>
            <w:vAlign w:val="bottom"/>
            <w:gridSpan w:val="2"/>
          </w:tcPr>
          <w:p>
            <w:pPr>
              <w:spacing w:after="0"/>
              <w:rPr>
                <w:sz w:val="20"/>
                <w:szCs w:val="20"/>
                <w:color w:val="auto"/>
              </w:rPr>
            </w:pPr>
            <w:r>
              <w:rPr>
                <w:rFonts w:ascii="Arial" w:cs="Arial" w:eastAsia="Arial" w:hAnsi="Arial"/>
                <w:sz w:val="14"/>
                <w:szCs w:val="14"/>
                <w:color w:val="auto"/>
              </w:rPr>
              <w:t>Services Agreement, dated May 7, 2019</w:t>
            </w:r>
          </w:p>
        </w:tc>
        <w:tc>
          <w:tcPr>
            <w:tcW w:w="1760" w:type="dxa"/>
            <w:vAlign w:val="bottom"/>
          </w:tcPr>
          <w:p>
            <w:pPr>
              <w:jc w:val="right"/>
              <w:spacing w:after="0"/>
              <w:rPr>
                <w:sz w:val="20"/>
                <w:szCs w:val="20"/>
                <w:color w:val="auto"/>
              </w:rPr>
            </w:pPr>
            <w:r>
              <w:rPr>
                <w:rFonts w:ascii="Arial" w:cs="Arial" w:eastAsia="Arial" w:hAnsi="Arial"/>
                <w:sz w:val="14"/>
                <w:szCs w:val="14"/>
                <w:color w:val="auto"/>
              </w:rPr>
              <w:t>$267,000</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Mt. Storm</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Project Administration Agreement, dated April 23th, 2021</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Arial" w:cs="Arial" w:eastAsia="Arial" w:hAnsi="Arial"/>
                <w:sz w:val="14"/>
                <w:szCs w:val="14"/>
                <w:color w:val="auto"/>
              </w:rPr>
              <w:t>Pinnacle</w:t>
            </w:r>
          </w:p>
        </w:tc>
        <w:tc>
          <w:tcPr>
            <w:tcW w:w="6540" w:type="dxa"/>
            <w:vAlign w:val="bottom"/>
            <w:gridSpan w:val="2"/>
          </w:tcPr>
          <w:p>
            <w:pPr>
              <w:spacing w:after="0"/>
              <w:rPr>
                <w:sz w:val="20"/>
                <w:szCs w:val="20"/>
                <w:color w:val="auto"/>
              </w:rPr>
            </w:pPr>
            <w:r>
              <w:rPr>
                <w:rFonts w:ascii="Arial" w:cs="Arial" w:eastAsia="Arial" w:hAnsi="Arial"/>
                <w:sz w:val="14"/>
                <w:szCs w:val="14"/>
                <w:color w:val="auto"/>
              </w:rPr>
              <w:t>Amended and Restated Services Agreement, dated September 15, 2011</w:t>
            </w:r>
          </w:p>
        </w:tc>
        <w:tc>
          <w:tcPr>
            <w:tcW w:w="1760" w:type="dxa"/>
            <w:vAlign w:val="bottom"/>
          </w:tcPr>
          <w:p>
            <w:pPr>
              <w:jc w:val="right"/>
              <w:spacing w:after="0"/>
              <w:rPr>
                <w:sz w:val="20"/>
                <w:szCs w:val="20"/>
                <w:color w:val="auto"/>
              </w:rPr>
            </w:pPr>
            <w:r>
              <w:rPr>
                <w:rFonts w:ascii="Arial" w:cs="Arial" w:eastAsia="Arial" w:hAnsi="Arial"/>
                <w:sz w:val="14"/>
                <w:szCs w:val="14"/>
                <w:color w:val="auto"/>
              </w:rPr>
              <w:t>$226,000</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Rattlesnake</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Project Administration Agreement, dated February 5, 2020</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Arial" w:cs="Arial" w:eastAsia="Arial" w:hAnsi="Arial"/>
                <w:sz w:val="14"/>
                <w:szCs w:val="14"/>
                <w:color w:val="auto"/>
              </w:rPr>
              <w:t>Sleeping Bear</w:t>
            </w:r>
          </w:p>
        </w:tc>
        <w:tc>
          <w:tcPr>
            <w:tcW w:w="6540" w:type="dxa"/>
            <w:vAlign w:val="bottom"/>
            <w:gridSpan w:val="2"/>
          </w:tcPr>
          <w:p>
            <w:pPr>
              <w:spacing w:after="0"/>
              <w:rPr>
                <w:sz w:val="20"/>
                <w:szCs w:val="20"/>
                <w:color w:val="auto"/>
              </w:rPr>
            </w:pPr>
            <w:r>
              <w:rPr>
                <w:rFonts w:ascii="Arial" w:cs="Arial" w:eastAsia="Arial" w:hAnsi="Arial"/>
                <w:sz w:val="14"/>
                <w:szCs w:val="14"/>
                <w:color w:val="auto"/>
              </w:rPr>
              <w:t>Services Agreement, dated January 1, 2012</w:t>
            </w:r>
          </w:p>
        </w:tc>
        <w:tc>
          <w:tcPr>
            <w:tcW w:w="1760" w:type="dxa"/>
            <w:vAlign w:val="bottom"/>
          </w:tcPr>
          <w:p>
            <w:pPr>
              <w:jc w:val="right"/>
              <w:spacing w:after="0"/>
              <w:rPr>
                <w:sz w:val="20"/>
                <w:szCs w:val="20"/>
                <w:color w:val="auto"/>
              </w:rPr>
            </w:pPr>
            <w:r>
              <w:rPr>
                <w:rFonts w:ascii="Arial" w:cs="Arial" w:eastAsia="Arial" w:hAnsi="Arial"/>
                <w:sz w:val="14"/>
                <w:szCs w:val="14"/>
                <w:color w:val="auto"/>
              </w:rPr>
              <w:t>$219,000</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South Trent</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Project Administration Agreement, dated October 1, 2015</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Arial" w:cs="Arial" w:eastAsia="Arial" w:hAnsi="Arial"/>
                <w:sz w:val="14"/>
                <w:szCs w:val="14"/>
                <w:color w:val="auto"/>
              </w:rPr>
              <w:t>Spanish Fork</w:t>
            </w:r>
          </w:p>
        </w:tc>
        <w:tc>
          <w:tcPr>
            <w:tcW w:w="6540" w:type="dxa"/>
            <w:vAlign w:val="bottom"/>
            <w:gridSpan w:val="2"/>
          </w:tcPr>
          <w:p>
            <w:pPr>
              <w:spacing w:after="0"/>
              <w:rPr>
                <w:sz w:val="20"/>
                <w:szCs w:val="20"/>
                <w:color w:val="auto"/>
              </w:rPr>
            </w:pPr>
            <w:r>
              <w:rPr>
                <w:rFonts w:ascii="Arial" w:cs="Arial" w:eastAsia="Arial" w:hAnsi="Arial"/>
                <w:sz w:val="14"/>
                <w:szCs w:val="14"/>
                <w:color w:val="auto"/>
              </w:rPr>
              <w:t>Services Agreement, dated January 1, 2012</w:t>
            </w:r>
          </w:p>
        </w:tc>
        <w:tc>
          <w:tcPr>
            <w:tcW w:w="1760" w:type="dxa"/>
            <w:vAlign w:val="bottom"/>
          </w:tcPr>
          <w:p>
            <w:pPr>
              <w:jc w:val="right"/>
              <w:spacing w:after="0"/>
              <w:rPr>
                <w:sz w:val="20"/>
                <w:szCs w:val="20"/>
                <w:color w:val="auto"/>
              </w:rPr>
            </w:pPr>
            <w:r>
              <w:rPr>
                <w:rFonts w:ascii="Arial" w:cs="Arial" w:eastAsia="Arial" w:hAnsi="Arial"/>
                <w:sz w:val="14"/>
                <w:szCs w:val="14"/>
                <w:color w:val="auto"/>
              </w:rPr>
              <w:t>$219,000</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Taloga</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Services Agreement, dated November 20, 2012</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$174,000</w:t>
            </w:r>
          </w:p>
        </w:tc>
        <w:tc>
          <w:tcPr>
            <w:tcW w:w="0" w:type="dxa"/>
            <w:vAlign w:val="bottom"/>
          </w:tcPr>
          <w:p>
            <w:pPr>
              <w:spacing w:after="0"/>
              <w:rPr>
                <w:sz w:val="1"/>
                <w:szCs w:val="1"/>
                <w:color w:val="auto"/>
              </w:rPr>
            </w:pPr>
          </w:p>
        </w:tc>
      </w:tr>
      <w:tr>
        <w:trPr>
          <w:trHeight w:val="180"/>
        </w:trPr>
        <w:tc>
          <w:tcPr>
            <w:tcW w:w="2980" w:type="dxa"/>
            <w:vAlign w:val="bottom"/>
            <w:gridSpan w:val="2"/>
          </w:tcPr>
          <w:p>
            <w:pPr>
              <w:ind w:left="140"/>
              <w:spacing w:after="0"/>
              <w:rPr>
                <w:sz w:val="20"/>
                <w:szCs w:val="20"/>
                <w:color w:val="auto"/>
              </w:rPr>
            </w:pPr>
            <w:r>
              <w:rPr>
                <w:rFonts w:ascii="Arial" w:cs="Arial" w:eastAsia="Arial" w:hAnsi="Arial"/>
                <w:sz w:val="14"/>
                <w:szCs w:val="14"/>
                <w:color w:val="auto"/>
              </w:rPr>
              <w:t>Viento Funding II, LLC</w:t>
            </w:r>
          </w:p>
        </w:tc>
        <w:tc>
          <w:tcPr>
            <w:tcW w:w="6540" w:type="dxa"/>
            <w:vAlign w:val="bottom"/>
            <w:gridSpan w:val="2"/>
          </w:tcPr>
          <w:p>
            <w:pPr>
              <w:spacing w:after="0"/>
              <w:rPr>
                <w:sz w:val="20"/>
                <w:szCs w:val="20"/>
                <w:color w:val="auto"/>
              </w:rPr>
            </w:pPr>
            <w:r>
              <w:rPr>
                <w:rFonts w:ascii="Arial" w:cs="Arial" w:eastAsia="Arial" w:hAnsi="Arial"/>
                <w:sz w:val="14"/>
                <w:szCs w:val="14"/>
                <w:color w:val="auto"/>
              </w:rPr>
              <w:t>Management and Administration Agreement, dated July 1, 2013</w:t>
            </w:r>
          </w:p>
        </w:tc>
        <w:tc>
          <w:tcPr>
            <w:tcW w:w="1760" w:type="dxa"/>
            <w:vAlign w:val="bottom"/>
          </w:tcPr>
          <w:p>
            <w:pPr>
              <w:jc w:val="right"/>
              <w:spacing w:after="0"/>
              <w:rPr>
                <w:sz w:val="20"/>
                <w:szCs w:val="20"/>
                <w:color w:val="auto"/>
              </w:rPr>
            </w:pPr>
            <w:r>
              <w:rPr>
                <w:rFonts w:ascii="Arial" w:cs="Arial" w:eastAsia="Arial" w:hAnsi="Arial"/>
                <w:sz w:val="14"/>
                <w:szCs w:val="14"/>
                <w:color w:val="auto"/>
              </w:rPr>
              <w:t>$269,000</w:t>
            </w:r>
          </w:p>
        </w:tc>
        <w:tc>
          <w:tcPr>
            <w:tcW w:w="0" w:type="dxa"/>
            <w:vAlign w:val="bottom"/>
          </w:tcPr>
          <w:p>
            <w:pPr>
              <w:spacing w:after="0"/>
              <w:rPr>
                <w:sz w:val="1"/>
                <w:szCs w:val="1"/>
                <w:color w:val="auto"/>
              </w:rPr>
            </w:pPr>
          </w:p>
        </w:tc>
      </w:tr>
      <w:tr>
        <w:trPr>
          <w:trHeight w:val="181"/>
        </w:trPr>
        <w:tc>
          <w:tcPr>
            <w:tcW w:w="2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Wildorado</w:t>
            </w:r>
          </w:p>
        </w:tc>
        <w:tc>
          <w:tcPr>
            <w:tcW w:w="6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Project Administration Agreement, dated September 25, 2017</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$243,000</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Land Lease Agreements</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Company is party to various land lease agreements with CEG. The land lease agreements for which the amount involved exceeded $120,000 during the year ended December 31, 2022 are described in the table below. Under these agreements, the Company generally pays a quarterly or monthly fee, which may be subject to annual adjustment.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Project</w:t>
            </w:r>
          </w:p>
        </w:tc>
        <w:tc>
          <w:tcPr>
            <w:tcW w:w="6000" w:type="dxa"/>
            <w:vAlign w:val="bottom"/>
            <w:gridSpan w:val="2"/>
            <w:vMerge w:val="restart"/>
          </w:tcPr>
          <w:p>
            <w:pPr>
              <w:ind w:left="2260"/>
              <w:spacing w:after="0"/>
              <w:rPr>
                <w:sz w:val="20"/>
                <w:szCs w:val="20"/>
                <w:color w:val="auto"/>
              </w:rPr>
            </w:pPr>
            <w:r>
              <w:rPr>
                <w:rFonts w:ascii="Arial" w:cs="Arial" w:eastAsia="Arial" w:hAnsi="Arial"/>
                <w:sz w:val="14"/>
                <w:szCs w:val="14"/>
                <w:b w:val="1"/>
                <w:bCs w:val="1"/>
                <w:color w:val="auto"/>
              </w:rPr>
              <w:t>Agreement Description</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4"/>
        </w:trPr>
        <w:tc>
          <w:tcPr>
            <w:tcW w:w="3520" w:type="dxa"/>
            <w:vAlign w:val="bottom"/>
            <w:gridSpan w:val="2"/>
            <w:vMerge w:val="continue"/>
          </w:tcPr>
          <w:p>
            <w:pPr>
              <w:spacing w:after="0"/>
              <w:rPr>
                <w:sz w:val="16"/>
                <w:szCs w:val="16"/>
                <w:color w:val="auto"/>
              </w:rPr>
            </w:pPr>
          </w:p>
        </w:tc>
        <w:tc>
          <w:tcPr>
            <w:tcW w:w="6000" w:type="dxa"/>
            <w:vAlign w:val="bottom"/>
            <w:gridSpan w:val="2"/>
            <w:vMerge w:val="continue"/>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Paid to CEG</w:t>
            </w:r>
          </w:p>
        </w:tc>
        <w:tc>
          <w:tcPr>
            <w:tcW w:w="0" w:type="dxa"/>
            <w:vAlign w:val="bottom"/>
          </w:tcPr>
          <w:p>
            <w:pPr>
              <w:spacing w:after="0"/>
              <w:rPr>
                <w:sz w:val="1"/>
                <w:szCs w:val="1"/>
                <w:color w:val="auto"/>
              </w:rPr>
            </w:pPr>
          </w:p>
        </w:tc>
      </w:tr>
      <w:tr>
        <w:trPr>
          <w:trHeight w:val="171"/>
        </w:trPr>
        <w:tc>
          <w:tcPr>
            <w:tcW w:w="34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Solar</w:t>
            </w:r>
          </w:p>
        </w:tc>
        <w:tc>
          <w:tcPr>
            <w:tcW w:w="100" w:type="dxa"/>
            <w:vAlign w:val="bottom"/>
          </w:tcPr>
          <w:p>
            <w:pPr>
              <w:spacing w:after="0"/>
              <w:rPr>
                <w:sz w:val="14"/>
                <w:szCs w:val="14"/>
                <w:color w:val="auto"/>
              </w:rPr>
            </w:pPr>
          </w:p>
        </w:tc>
        <w:tc>
          <w:tcPr>
            <w:tcW w:w="5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Mililani I</w:t>
            </w: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 Lease Agreement, dated November 19, 2020</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$780,000</w:t>
            </w:r>
          </w:p>
        </w:tc>
        <w:tc>
          <w:tcPr>
            <w:tcW w:w="0" w:type="dxa"/>
            <w:vAlign w:val="bottom"/>
          </w:tcPr>
          <w:p>
            <w:pPr>
              <w:spacing w:after="0"/>
              <w:rPr>
                <w:sz w:val="1"/>
                <w:szCs w:val="1"/>
                <w:color w:val="auto"/>
              </w:rPr>
            </w:pPr>
          </w:p>
        </w:tc>
      </w:tr>
      <w:tr>
        <w:trPr>
          <w:trHeight w:val="180"/>
        </w:trPr>
        <w:tc>
          <w:tcPr>
            <w:tcW w:w="3520" w:type="dxa"/>
            <w:vAlign w:val="bottom"/>
            <w:gridSpan w:val="2"/>
          </w:tcPr>
          <w:p>
            <w:pPr>
              <w:ind w:left="140"/>
              <w:spacing w:after="0"/>
              <w:rPr>
                <w:sz w:val="20"/>
                <w:szCs w:val="20"/>
                <w:color w:val="auto"/>
              </w:rPr>
            </w:pPr>
            <w:r>
              <w:rPr>
                <w:rFonts w:ascii="Arial" w:cs="Arial" w:eastAsia="Arial" w:hAnsi="Arial"/>
                <w:sz w:val="14"/>
                <w:szCs w:val="14"/>
                <w:color w:val="auto"/>
              </w:rPr>
              <w:t>Oahu Solar</w:t>
            </w:r>
          </w:p>
        </w:tc>
        <w:tc>
          <w:tcPr>
            <w:tcW w:w="6000" w:type="dxa"/>
            <w:vAlign w:val="bottom"/>
            <w:gridSpan w:val="2"/>
          </w:tcPr>
          <w:p>
            <w:pPr>
              <w:ind w:left="20"/>
              <w:spacing w:after="0"/>
              <w:rPr>
                <w:sz w:val="20"/>
                <w:szCs w:val="20"/>
                <w:color w:val="auto"/>
              </w:rPr>
            </w:pPr>
            <w:r>
              <w:rPr>
                <w:rFonts w:ascii="Arial" w:cs="Arial" w:eastAsia="Arial" w:hAnsi="Arial"/>
                <w:sz w:val="14"/>
                <w:szCs w:val="14"/>
                <w:color w:val="auto"/>
              </w:rPr>
              <w:t>Land Lease Agreement, dated September 19, 2019</w:t>
            </w:r>
          </w:p>
        </w:tc>
        <w:tc>
          <w:tcPr>
            <w:tcW w:w="1760" w:type="dxa"/>
            <w:vAlign w:val="bottom"/>
          </w:tcPr>
          <w:p>
            <w:pPr>
              <w:jc w:val="right"/>
              <w:spacing w:after="0"/>
              <w:rPr>
                <w:sz w:val="20"/>
                <w:szCs w:val="20"/>
                <w:color w:val="auto"/>
              </w:rPr>
            </w:pPr>
            <w:r>
              <w:rPr>
                <w:rFonts w:ascii="Arial" w:cs="Arial" w:eastAsia="Arial" w:hAnsi="Arial"/>
                <w:sz w:val="14"/>
                <w:szCs w:val="14"/>
                <w:color w:val="auto"/>
              </w:rPr>
              <w:t>$895,000</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Rosamond Central</w:t>
            </w: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 Lease Agreement, dated November 18, 2020</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$552,000</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Insurance Reimbursements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During 2022, the Company paid approximately $1,210,000 for insurance premium reimbursements to CEG.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Fourth Amended and Restated Limited Liability Company Agreement of Clearway Energy LLC</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following is a description of the material terms of Clearway Energy LLC’s Fourth Amended and Restated Limited Liability Company Agreement (the “LLC Agreement”). For the year ended December 31, 2022, Clearway Energy LLC made approximately $166,708,000 in distributions to Clearway, Inc. (the holder of Class A and Class C units) and $121,590,000 to CEG (the holder of Class B and Class D units). In addition to the quarterly distributions, the Company distributed an additional $11,100,000 to Clearway, Inc. and $8,111,000 to CEG during the third quarter of 2022 in order for Clearway, Inc. to make certain tax payments associated with the sale of the Thermal Business.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Governance</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Clearway, Inc. serves as the sole managing member of the Company. As such, Clearway, Inc. and effectively Clearway, Inc.’s Board, control the business and affairs of the Company and are responsible for the management of the business.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Voting and Economic Rights of Members</w:t>
      </w:r>
    </w:p>
    <w:p>
      <w:pPr>
        <w:spacing w:after="0" w:line="136"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The Company has four classes of Units: Class A units, Class B units, Class C units and Class D units. Class A units and Class C units may be issued only to Clearway, Inc.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Clearway, Inc.’s Class B common stock, and each holder of a Class D unit will also be issued a share of Clearway, Inc.’s Class D common stock. Each Class B unit is exchangeable for a share of Clearway, Inc.’s Class A common stock and each Class D unit is exchangeable for a share of Clearway, Inc.’s Class D common stock, in each case subject to equitable adjustments for stock splits, dividends and reclassifications in accordance with the terms of the Exchange Agreement (as described below).</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Net profits and net losses and distributions by the Company are allocated and made to holders of units in accordance with the respective number of membership units of the Company held.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Generally, the Company will make distributions to holders of units for the purpose of funding tax obligations in respect of income of the Company that is allocated to the members of the Company.</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Clearway, Inc.’s Coordination with Clearway Energy LLC</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Any time Clearway, Inc. issues a share of Class A common stock or a share of Class C common stock for cash, the net proceeds therefrom will promptly be transferred to the Company, and the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Company will either:</w:t>
      </w:r>
    </w:p>
    <w:p>
      <w:pPr>
        <w:spacing w:after="0" w:line="168" w:lineRule="exact"/>
        <w:rPr>
          <w:sz w:val="20"/>
          <w:szCs w:val="20"/>
          <w:color w:val="auto"/>
        </w:rPr>
      </w:pPr>
    </w:p>
    <w:p>
      <w:pPr>
        <w:ind w:left="760" w:hanging="246"/>
        <w:spacing w:after="0" w:line="281" w:lineRule="auto"/>
        <w:tabs>
          <w:tab w:leader="none" w:pos="709" w:val="left"/>
        </w:tabs>
        <w:numPr>
          <w:ilvl w:val="0"/>
          <w:numId w:val="51"/>
        </w:numPr>
        <w:rPr>
          <w:rFonts w:ascii="Arial" w:cs="Arial" w:eastAsia="Arial" w:hAnsi="Arial"/>
          <w:sz w:val="14"/>
          <w:szCs w:val="14"/>
          <w:color w:val="auto"/>
        </w:rPr>
      </w:pPr>
      <w:r>
        <w:rPr>
          <w:rFonts w:ascii="Arial" w:cs="Arial" w:eastAsia="Arial" w:hAnsi="Arial"/>
          <w:sz w:val="14"/>
          <w:szCs w:val="14"/>
          <w:color w:val="auto"/>
        </w:rPr>
        <w:t>transfer a newly issued Class A unit of the Company to Clearway, Inc. in the case of the issuance of a share of Class A common stock, or a newly issued Class C unit of the Company to Clearway, Inc. in the case of the issuance of a share of Class C common stock; or</w:t>
      </w:r>
    </w:p>
    <w:p>
      <w:pPr>
        <w:spacing w:after="0" w:line="36" w:lineRule="exact"/>
        <w:rPr>
          <w:rFonts w:ascii="Arial" w:cs="Arial" w:eastAsia="Arial" w:hAnsi="Arial"/>
          <w:sz w:val="14"/>
          <w:szCs w:val="14"/>
          <w:color w:val="auto"/>
        </w:rPr>
      </w:pPr>
    </w:p>
    <w:p>
      <w:pPr>
        <w:ind w:left="760" w:hanging="246"/>
        <w:spacing w:after="0" w:line="259" w:lineRule="auto"/>
        <w:tabs>
          <w:tab w:leader="none" w:pos="706" w:val="left"/>
        </w:tabs>
        <w:numPr>
          <w:ilvl w:val="0"/>
          <w:numId w:val="51"/>
        </w:numPr>
        <w:rPr>
          <w:rFonts w:ascii="Arial" w:cs="Arial" w:eastAsia="Arial" w:hAnsi="Arial"/>
          <w:sz w:val="14"/>
          <w:szCs w:val="14"/>
          <w:color w:val="auto"/>
        </w:rPr>
      </w:pPr>
      <w:r>
        <w:rPr>
          <w:rFonts w:ascii="Arial" w:cs="Arial" w:eastAsia="Arial" w:hAnsi="Arial"/>
          <w:sz w:val="14"/>
          <w:szCs w:val="14"/>
          <w:color w:val="auto"/>
        </w:rPr>
        <w:t>use the net proceeds to purchase a Class B unit of the Company from CEG in the case of the issuance of a share of Class A common stock, which Class B unit will automatically convert into a Class A unit of the Company when transferred to Clearway, Inc., or a Class D unit of the Company from CEG in the case of the issuance of a share of Class C common stock, which Class D unit will automatically convert into a Class C unit of the Company when transferred to Clearway, Inc.</w:t>
      </w:r>
    </w:p>
    <w:p>
      <w:pPr>
        <w:spacing w:after="0" w:line="52" w:lineRule="exact"/>
        <w:rPr>
          <w:sz w:val="20"/>
          <w:szCs w:val="20"/>
          <w:color w:val="auto"/>
        </w:rPr>
      </w:pPr>
    </w:p>
    <w:p>
      <w:pPr>
        <w:ind w:firstLine="318"/>
        <w:spacing w:after="0" w:line="321" w:lineRule="auto"/>
        <w:rPr>
          <w:sz w:val="20"/>
          <w:szCs w:val="20"/>
          <w:color w:val="auto"/>
        </w:rPr>
      </w:pPr>
      <w:r>
        <w:rPr>
          <w:rFonts w:ascii="Arial" w:cs="Arial" w:eastAsia="Arial" w:hAnsi="Arial"/>
          <w:sz w:val="13"/>
          <w:szCs w:val="13"/>
          <w:color w:val="auto"/>
        </w:rPr>
        <w:t>If Clearway, Inc. elects to redeem any shares of their Class A common stock or Class C common stock for cash, the Company will, immediately prior to such redemption, redeem an equal number of Class A units or Class C units, as applicable, held by Clearway, Inc. upon the same terms and for the same price, as the shares of Class A common stock so redeemed.</w:t>
      </w:r>
    </w:p>
    <w:p>
      <w:pPr>
        <w:sectPr>
          <w:pgSz w:w="11900" w:h="16838" w:orient="portrait"/>
          <w:cols w:equalWidth="0" w:num="1">
            <w:col w:w="11280"/>
          </w:cols>
          <w:pgMar w:left="300" w:top="129" w:right="319" w:bottom="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i w:val="1"/>
          <w:iCs w:val="1"/>
          <w:color w:val="auto"/>
        </w:rPr>
        <w:t>Exchange Agreement</w:t>
      </w:r>
    </w:p>
    <w:p>
      <w:pPr>
        <w:spacing w:after="0" w:line="136" w:lineRule="exact"/>
        <w:rPr>
          <w:sz w:val="20"/>
          <w:szCs w:val="20"/>
          <w:color w:val="auto"/>
        </w:rPr>
      </w:pPr>
    </w:p>
    <w:p>
      <w:pPr>
        <w:jc w:val="both"/>
        <w:ind w:firstLine="318"/>
        <w:spacing w:after="0" w:line="172" w:lineRule="exact"/>
        <w:rPr>
          <w:sz w:val="20"/>
          <w:szCs w:val="20"/>
          <w:color w:val="auto"/>
        </w:rPr>
      </w:pPr>
      <w:r>
        <w:rPr>
          <w:rFonts w:ascii="Arial" w:cs="Arial" w:eastAsia="Arial" w:hAnsi="Arial"/>
          <w:sz w:val="13"/>
          <w:szCs w:val="13"/>
          <w:color w:val="auto"/>
        </w:rPr>
        <w:t>Clearway, Inc. entered into an Amended and Restated Exchange Agreement with NRG (the “Exchange Agreement”), which was assigned to CEG upon the GIP Transaction. Under the Exchange Agreement, CEG (and certain permitted assignees and permitted transferees who acquire Class B units or Class D units of the Company) may from time to time cause us to exchange their Class B units for shares of Clearway, Inc.’s Class A common stock on a one</w:t>
      </w:r>
      <w:r>
        <w:rPr>
          <w:rFonts w:ascii="MS PGothic" w:cs="MS PGothic" w:eastAsia="MS PGothic" w:hAnsi="MS PGothic"/>
          <w:sz w:val="13"/>
          <w:szCs w:val="13"/>
          <w:color w:val="auto"/>
        </w:rPr>
        <w:t>‑</w:t>
      </w:r>
      <w:r>
        <w:rPr>
          <w:rFonts w:ascii="Arial" w:cs="Arial" w:eastAsia="Arial" w:hAnsi="Arial"/>
          <w:sz w:val="13"/>
          <w:szCs w:val="13"/>
          <w:color w:val="auto"/>
        </w:rPr>
        <w:t>for</w:t>
      </w:r>
      <w:r>
        <w:rPr>
          <w:rFonts w:ascii="MS PGothic" w:cs="MS PGothic" w:eastAsia="MS PGothic" w:hAnsi="MS PGothic"/>
          <w:sz w:val="13"/>
          <w:szCs w:val="13"/>
          <w:color w:val="auto"/>
        </w:rPr>
        <w:t>‑</w:t>
      </w:r>
      <w:r>
        <w:rPr>
          <w:rFonts w:ascii="Arial" w:cs="Arial" w:eastAsia="Arial" w:hAnsi="Arial"/>
          <w:sz w:val="13"/>
          <w:szCs w:val="13"/>
          <w:color w:val="auto"/>
        </w:rPr>
        <w:t>one basis, subject to adjustments for stock splits, stock dividends and reclassifications, or exchange their Class D units for shares of Clearway, Inc.’s Class C common stock on a one</w:t>
      </w:r>
      <w:r>
        <w:rPr>
          <w:rFonts w:ascii="MS PGothic" w:cs="MS PGothic" w:eastAsia="MS PGothic" w:hAnsi="MS PGothic"/>
          <w:sz w:val="13"/>
          <w:szCs w:val="13"/>
          <w:color w:val="auto"/>
        </w:rPr>
        <w:t>‑</w:t>
      </w:r>
      <w:r>
        <w:rPr>
          <w:rFonts w:ascii="Arial" w:cs="Arial" w:eastAsia="Arial" w:hAnsi="Arial"/>
          <w:sz w:val="13"/>
          <w:szCs w:val="13"/>
          <w:color w:val="auto"/>
        </w:rPr>
        <w:t>for</w:t>
      </w:r>
      <w:r>
        <w:rPr>
          <w:rFonts w:ascii="MS PGothic" w:cs="MS PGothic" w:eastAsia="MS PGothic" w:hAnsi="MS PGothic"/>
          <w:sz w:val="13"/>
          <w:szCs w:val="13"/>
          <w:color w:val="auto"/>
        </w:rPr>
        <w:t>‑</w:t>
      </w:r>
      <w:r>
        <w:rPr>
          <w:rFonts w:ascii="Arial" w:cs="Arial" w:eastAsia="Arial" w:hAnsi="Arial"/>
          <w:sz w:val="13"/>
          <w:szCs w:val="13"/>
          <w:color w:val="auto"/>
        </w:rPr>
        <w:t>one basis, subject to equitable adjustments for stock splits, stock dividends and reclassifications.</w:t>
      </w:r>
    </w:p>
    <w:p>
      <w:pPr>
        <w:spacing w:after="0" w:line="119"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When CEG or its permitted transferee exchanges a Class B unit of the Company for a share of Clearway, Inc.’s Class A common stock, Clearway, Inc. will automatically redeem and cancel a corresponding share of their Class B common stock and the Class B unit will automatically convert into a Class A unit when issued to Clearway, Inc.; similarly, when CEG or its permitted transferee exchanges a Class D unit of the Company for a share of Clearway, Inc.’s Class C common stock, Clearway, Inc. will automatically redeem and cancel a corresponding share of their Class D common stock and the Class D unit will automatically convert into a Class C unit when issued to Clearway, Inc. As a result, when a holder exchanges its Class B units for shares of Clearway, Inc.’s Class A common stock, or its Class D units for shares of Clearway, Inc.’s Class C common stock, Clearway, Inc.’s interest in the Company will be correspondingly increased.</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 of Officers</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Clearway, Inc. has entered into indemnification agreements with each of its executive officers. The indemnification agreements provide the executive officers with contractual rights to indemnification, expense advancement and reimbursement to the fullest extent permitted under Delaware law.</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Registration Rights Agreement</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Clearway, Inc. entered into an Amended and Restated Registration Rights Agreement with NRG (the “Registration Rights Agreement”), which was assigned to CEG upon the GIP Transaction. Under the Registration Rights Agreement, CEG and its affiliates are entitled to demand registration rights, including the right to demand that a shelf registration statement be filed, and “piggyback” registration rights, for shares of Clearway, Inc.’s Class A common stock that are issuable upon exchange of Class B units of the Company that CEG owns and shares of Clearway, Inc.’s Class C common stock that are issuable upon exchange of the Class D units of the Company that CEG owns.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Procedures for Review, Approval and Ratification of Related Person Transactions; Conflicts of Interest</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Company does not have a separate policy regarding related party transactions, as all of its officers are subject to the written Related Person Policy of Clearway, Inc., which provides that the Corporate Governance, Conflicts and Nominating Committee of Clearway, Inc.’s Board of Directors will periodically review all related person transactions that are required to be disclosed under SEC rules and, when appropriate, initially authorize or ratify all such transactions.</w:t>
      </w:r>
    </w:p>
    <w:p>
      <w:pPr>
        <w:spacing w:after="0" w:line="99"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The Related Person Policy operates in conjunction with Clearway, Inc.’s Code of Conduct and is applicable to all “Related Person Transactions”, which are all transactions, arrangements or relationships in which:</w:t>
      </w:r>
    </w:p>
    <w:p>
      <w:pPr>
        <w:spacing w:after="0" w:line="5" w:lineRule="exact"/>
        <w:rPr>
          <w:sz w:val="20"/>
          <w:szCs w:val="20"/>
          <w:color w:val="auto"/>
        </w:rPr>
      </w:pPr>
    </w:p>
    <w:p>
      <w:pPr>
        <w:ind w:left="1020" w:hanging="506"/>
        <w:spacing w:after="0"/>
        <w:tabs>
          <w:tab w:leader="none" w:pos="10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aggregate amount involved will or may be expected to exceed $50,000 in any calendar year;</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Clearway, Inc. is a participant; and</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Related Person (as that term is defined below) has or will have a direct or indirect interest.</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“Related Person” is:</w:t>
      </w:r>
    </w:p>
    <w:p>
      <w:pPr>
        <w:spacing w:after="0" w:line="51" w:lineRule="exact"/>
        <w:rPr>
          <w:sz w:val="20"/>
          <w:szCs w:val="20"/>
          <w:color w:val="auto"/>
        </w:rPr>
      </w:pPr>
    </w:p>
    <w:p>
      <w:pPr>
        <w:ind w:left="1020" w:hanging="506"/>
        <w:spacing w:after="0"/>
        <w:tabs>
          <w:tab w:leader="none" w:pos="10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person who is, or at any time during the applicable period was, a director of the Company or a nominee for director or an executive officer;</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person who is known to Clearway, Inc. to be the beneficial owner of more than 5% of any class of Clearway, Inc.’s voting stock;</w:t>
      </w:r>
    </w:p>
    <w:p>
      <w:pPr>
        <w:spacing w:after="0" w:line="93" w:lineRule="exact"/>
        <w:rPr>
          <w:rFonts w:ascii="Arial" w:cs="Arial" w:eastAsia="Arial" w:hAnsi="Arial"/>
          <w:sz w:val="14"/>
          <w:szCs w:val="14"/>
          <w:color w:val="auto"/>
        </w:rPr>
      </w:pPr>
    </w:p>
    <w:p>
      <w:pPr>
        <w:jc w:val="both"/>
        <w:ind w:left="1020" w:hanging="506"/>
        <w:spacing w:after="0" w:line="172" w:lineRule="exact"/>
        <w:tabs>
          <w:tab w:leader="none" w:pos="1016"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immediate family member of any of the persons referenced in the preceding two bullets, which means any child, stepchild, parent, stepparent, spouse, sibling, mother</w:t>
      </w:r>
      <w:r>
        <w:rPr>
          <w:rFonts w:ascii="MS PGothic" w:cs="MS PGothic" w:eastAsia="MS PGothic" w:hAnsi="MS PGothic"/>
          <w:sz w:val="14"/>
          <w:szCs w:val="14"/>
          <w:color w:val="auto"/>
        </w:rPr>
        <w:t>‑</w:t>
      </w:r>
      <w:r>
        <w:rPr>
          <w:rFonts w:ascii="Arial" w:cs="Arial" w:eastAsia="Arial" w:hAnsi="Arial"/>
          <w:sz w:val="14"/>
          <w:szCs w:val="14"/>
          <w:color w:val="auto"/>
        </w:rPr>
        <w:t>in</w:t>
      </w:r>
      <w:r>
        <w:rPr>
          <w:rFonts w:ascii="MS PGothic" w:cs="MS PGothic" w:eastAsia="MS PGothic" w:hAnsi="MS PGothic"/>
          <w:sz w:val="14"/>
          <w:szCs w:val="14"/>
          <w:color w:val="auto"/>
        </w:rPr>
        <w:t>‑</w:t>
      </w:r>
      <w:r>
        <w:rPr>
          <w:rFonts w:ascii="Arial" w:cs="Arial" w:eastAsia="Arial" w:hAnsi="Arial"/>
          <w:sz w:val="14"/>
          <w:szCs w:val="14"/>
          <w:color w:val="auto"/>
        </w:rPr>
        <w:t>law, father</w:t>
      </w:r>
      <w:r>
        <w:rPr>
          <w:rFonts w:ascii="MS PGothic" w:cs="MS PGothic" w:eastAsia="MS PGothic" w:hAnsi="MS PGothic"/>
          <w:sz w:val="14"/>
          <w:szCs w:val="14"/>
          <w:color w:val="auto"/>
        </w:rPr>
        <w:t>‑</w:t>
      </w:r>
      <w:r>
        <w:rPr>
          <w:rFonts w:ascii="Arial" w:cs="Arial" w:eastAsia="Arial" w:hAnsi="Arial"/>
          <w:sz w:val="14"/>
          <w:szCs w:val="14"/>
          <w:color w:val="auto"/>
        </w:rPr>
        <w:t>in</w:t>
      </w:r>
      <w:r>
        <w:rPr>
          <w:rFonts w:ascii="MS PGothic" w:cs="MS PGothic" w:eastAsia="MS PGothic" w:hAnsi="MS PGothic"/>
          <w:sz w:val="14"/>
          <w:szCs w:val="14"/>
          <w:color w:val="auto"/>
        </w:rPr>
        <w:t>‑</w:t>
      </w:r>
      <w:r>
        <w:rPr>
          <w:rFonts w:ascii="Arial" w:cs="Arial" w:eastAsia="Arial" w:hAnsi="Arial"/>
          <w:sz w:val="14"/>
          <w:szCs w:val="14"/>
          <w:color w:val="auto"/>
        </w:rPr>
        <w:t>law, son</w:t>
      </w:r>
      <w:r>
        <w:rPr>
          <w:rFonts w:ascii="MS PGothic" w:cs="MS PGothic" w:eastAsia="MS PGothic" w:hAnsi="MS PGothic"/>
          <w:sz w:val="14"/>
          <w:szCs w:val="14"/>
          <w:color w:val="auto"/>
        </w:rPr>
        <w:t>‑</w:t>
      </w:r>
      <w:r>
        <w:rPr>
          <w:rFonts w:ascii="Arial" w:cs="Arial" w:eastAsia="Arial" w:hAnsi="Arial"/>
          <w:sz w:val="14"/>
          <w:szCs w:val="14"/>
          <w:color w:val="auto"/>
        </w:rPr>
        <w:t>in</w:t>
      </w:r>
      <w:r>
        <w:rPr>
          <w:rFonts w:ascii="MS PGothic" w:cs="MS PGothic" w:eastAsia="MS PGothic" w:hAnsi="MS PGothic"/>
          <w:sz w:val="14"/>
          <w:szCs w:val="14"/>
          <w:color w:val="auto"/>
        </w:rPr>
        <w:t>‑</w:t>
      </w:r>
      <w:r>
        <w:rPr>
          <w:rFonts w:ascii="Arial" w:cs="Arial" w:eastAsia="Arial" w:hAnsi="Arial"/>
          <w:sz w:val="14"/>
          <w:szCs w:val="14"/>
          <w:color w:val="auto"/>
        </w:rPr>
        <w:t>law, daughter</w:t>
      </w:r>
      <w:r>
        <w:rPr>
          <w:rFonts w:ascii="MS PGothic" w:cs="MS PGothic" w:eastAsia="MS PGothic" w:hAnsi="MS PGothic"/>
          <w:sz w:val="14"/>
          <w:szCs w:val="14"/>
          <w:color w:val="auto"/>
        </w:rPr>
        <w:t>‑</w:t>
      </w:r>
      <w:r>
        <w:rPr>
          <w:rFonts w:ascii="Arial" w:cs="Arial" w:eastAsia="Arial" w:hAnsi="Arial"/>
          <w:sz w:val="14"/>
          <w:szCs w:val="14"/>
          <w:color w:val="auto"/>
        </w:rPr>
        <w:t>in</w:t>
      </w:r>
      <w:r>
        <w:rPr>
          <w:rFonts w:ascii="MS PGothic" w:cs="MS PGothic" w:eastAsia="MS PGothic" w:hAnsi="MS PGothic"/>
          <w:sz w:val="14"/>
          <w:szCs w:val="14"/>
          <w:color w:val="auto"/>
        </w:rPr>
        <w:t>‑</w:t>
      </w:r>
      <w:r>
        <w:rPr>
          <w:rFonts w:ascii="Arial" w:cs="Arial" w:eastAsia="Arial" w:hAnsi="Arial"/>
          <w:sz w:val="14"/>
          <w:szCs w:val="14"/>
          <w:color w:val="auto"/>
        </w:rPr>
        <w:t>law, brother</w:t>
      </w:r>
      <w:r>
        <w:rPr>
          <w:rFonts w:ascii="MS PGothic" w:cs="MS PGothic" w:eastAsia="MS PGothic" w:hAnsi="MS PGothic"/>
          <w:sz w:val="14"/>
          <w:szCs w:val="14"/>
          <w:color w:val="auto"/>
        </w:rPr>
        <w:t>‑</w:t>
      </w:r>
      <w:r>
        <w:rPr>
          <w:rFonts w:ascii="Arial" w:cs="Arial" w:eastAsia="Arial" w:hAnsi="Arial"/>
          <w:sz w:val="14"/>
          <w:szCs w:val="14"/>
          <w:color w:val="auto"/>
        </w:rPr>
        <w:t>in</w:t>
      </w:r>
      <w:r>
        <w:rPr>
          <w:rFonts w:ascii="MS PGothic" w:cs="MS PGothic" w:eastAsia="MS PGothic" w:hAnsi="MS PGothic"/>
          <w:sz w:val="14"/>
          <w:szCs w:val="14"/>
          <w:color w:val="auto"/>
        </w:rPr>
        <w:t>‑</w:t>
      </w:r>
      <w:r>
        <w:rPr>
          <w:rFonts w:ascii="Arial" w:cs="Arial" w:eastAsia="Arial" w:hAnsi="Arial"/>
          <w:sz w:val="14"/>
          <w:szCs w:val="14"/>
          <w:color w:val="auto"/>
        </w:rPr>
        <w:t>law or sister</w:t>
      </w:r>
      <w:r>
        <w:rPr>
          <w:rFonts w:ascii="MS PGothic" w:cs="MS PGothic" w:eastAsia="MS PGothic" w:hAnsi="MS PGothic"/>
          <w:sz w:val="14"/>
          <w:szCs w:val="14"/>
          <w:color w:val="auto"/>
        </w:rPr>
        <w:t>‑</w:t>
      </w:r>
      <w:r>
        <w:rPr>
          <w:rFonts w:ascii="Arial" w:cs="Arial" w:eastAsia="Arial" w:hAnsi="Arial"/>
          <w:sz w:val="14"/>
          <w:szCs w:val="14"/>
          <w:color w:val="auto"/>
        </w:rPr>
        <w:t>in</w:t>
      </w:r>
      <w:r>
        <w:rPr>
          <w:rFonts w:ascii="MS PGothic" w:cs="MS PGothic" w:eastAsia="MS PGothic" w:hAnsi="MS PGothic"/>
          <w:sz w:val="14"/>
          <w:szCs w:val="14"/>
          <w:color w:val="auto"/>
        </w:rPr>
        <w:t>‑</w:t>
      </w:r>
      <w:r>
        <w:rPr>
          <w:rFonts w:ascii="Arial" w:cs="Arial" w:eastAsia="Arial" w:hAnsi="Arial"/>
          <w:sz w:val="14"/>
          <w:szCs w:val="14"/>
          <w:color w:val="auto"/>
        </w:rPr>
        <w:t>law of the director, nominee for director, executive officer or more than 5% beneficial owner of any class of Clearway, Inc.’s voting stock, and any person (other than a tenant or employee) sharing the household of such director, nominee for director, executive officer or more than 5% beneficial owner of any class of the Company’s voting stock; and</w:t>
      </w:r>
    </w:p>
    <w:p>
      <w:pPr>
        <w:spacing w:after="0" w:line="77" w:lineRule="exact"/>
        <w:rPr>
          <w:rFonts w:ascii="Arial" w:cs="Arial" w:eastAsia="Arial" w:hAnsi="Arial"/>
          <w:sz w:val="14"/>
          <w:szCs w:val="14"/>
          <w:color w:val="auto"/>
        </w:rPr>
      </w:pPr>
    </w:p>
    <w:p>
      <w:pPr>
        <w:ind w:left="1020" w:hanging="506"/>
        <w:spacing w:after="0" w:line="281" w:lineRule="auto"/>
        <w:tabs>
          <w:tab w:leader="none" w:pos="1016"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firm, corporation or other entity in which any of the foregoing persons is a partner or principal or in a similar position or in which such person has a 10% or greater beneficial ownership interest.</w:t>
      </w:r>
    </w:p>
    <w:p>
      <w:pPr>
        <w:spacing w:after="0" w:line="9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 ongoing, related transactions; and (g) whether entering into the transaction would be consistent with the Related Person Transaction Policy.</w:t>
      </w:r>
    </w:p>
    <w:p>
      <w:pPr>
        <w:spacing w:after="0" w:line="107"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If the aggregate amount involved is expected to be less than $500,000, the transaction may be approved or ratified by the Chair of the Corporate Governance, Conflicts and Nominating Committee.</w:t>
      </w:r>
    </w:p>
    <w:p>
      <w:pPr>
        <w:spacing w:after="0" w:line="90" w:lineRule="exact"/>
        <w:rPr>
          <w:sz w:val="20"/>
          <w:szCs w:val="20"/>
          <w:color w:val="auto"/>
        </w:rPr>
      </w:pPr>
    </w:p>
    <w:p>
      <w:pPr>
        <w:jc w:val="both"/>
        <w:ind w:firstLine="318"/>
        <w:spacing w:after="0" w:line="172" w:lineRule="exact"/>
        <w:rPr>
          <w:sz w:val="20"/>
          <w:szCs w:val="20"/>
          <w:color w:val="auto"/>
        </w:rPr>
      </w:pPr>
      <w:r>
        <w:rPr>
          <w:rFonts w:ascii="Arial" w:cs="Arial" w:eastAsia="Arial" w:hAnsi="Arial"/>
          <w:sz w:val="14"/>
          <w:szCs w:val="14"/>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w:t>
      </w:r>
      <w:r>
        <w:rPr>
          <w:rFonts w:ascii="MS PGothic" w:cs="MS PGothic" w:eastAsia="MS PGothic" w:hAnsi="MS PGothic"/>
          <w:sz w:val="14"/>
          <w:szCs w:val="14"/>
          <w:color w:val="auto"/>
        </w:rPr>
        <w:t>‑</w:t>
      </w:r>
      <w:r>
        <w:rPr>
          <w:rFonts w:ascii="Arial" w:cs="Arial" w:eastAsia="Arial" w:hAnsi="Arial"/>
          <w:sz w:val="14"/>
          <w:szCs w:val="14"/>
          <w:color w:val="auto"/>
        </w:rPr>
        <w:t>party under the same or similar circumstances and the extent of the Related Person’s interest in the transaction. This Related Person Policy also provides that certain transactions, based on their nature and/or monetary amount, are deemed to be pre</w:t>
      </w:r>
      <w:r>
        <w:rPr>
          <w:rFonts w:ascii="MS PGothic" w:cs="MS PGothic" w:eastAsia="MS PGothic" w:hAnsi="MS PGothic"/>
          <w:sz w:val="14"/>
          <w:szCs w:val="14"/>
          <w:color w:val="auto"/>
        </w:rPr>
        <w:t>‑</w:t>
      </w:r>
      <w:r>
        <w:rPr>
          <w:rFonts w:ascii="Arial" w:cs="Arial" w:eastAsia="Arial" w:hAnsi="Arial"/>
          <w:sz w:val="14"/>
          <w:szCs w:val="14"/>
          <w:color w:val="auto"/>
        </w:rPr>
        <w:t>approved or ratified by the Corporate Governance, Conflicts and Nominating Committee and do not require separate approval or ratification.</w:t>
      </w:r>
    </w:p>
    <w:p>
      <w:pPr>
        <w:spacing w:after="0" w:line="11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pacing w:after="0" w:line="90"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The Committee’s activities with respect to the review and approval or ratification of all Related Person Transactions are reported periodically to Clearway, Inc.’s Board of Directors. Any transaction between us and any Related Person, including CEG, will be subject to the prior review and approval of the Company’s Corporate Governance, Conflicts and Nominating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color w:val="auto"/>
        </w:rPr>
        <w:t>Item 14 — Principal Accounting Fees and Services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and Nonaudit Fees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presents fees for professional services rendered by Ernst &amp; Young LLP, the Company’s principal independent registered public accounting firm, for the years ended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2022 and December 31, 2021:</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r>
      <w:tr>
        <w:trPr>
          <w:trHeight w:val="171"/>
        </w:trPr>
        <w:tc>
          <w:tcPr>
            <w:tcW w:w="80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r>
      <w:tr>
        <w:trPr>
          <w:trHeight w:val="17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Audit Fees</w:t>
            </w:r>
          </w:p>
        </w:tc>
        <w:tc>
          <w:tcPr>
            <w:tcW w:w="94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4,484,400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4,424,556</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Tax Fees</w:t>
            </w: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9"/>
              </w:rPr>
              <w:t>1,560,400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6"/>
              </w:rPr>
              <w:t>1,605,408</w:t>
            </w:r>
          </w:p>
        </w:tc>
      </w:tr>
      <w:tr>
        <w:trPr>
          <w:trHeight w:val="18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 Other Fees</w:t>
            </w: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6,560</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6,560</w:t>
            </w:r>
          </w:p>
        </w:tc>
      </w:tr>
      <w:tr>
        <w:trPr>
          <w:trHeight w:val="171"/>
        </w:trPr>
        <w:tc>
          <w:tcPr>
            <w:tcW w:w="8060" w:type="dxa"/>
            <w:vAlign w:val="bottom"/>
          </w:tcPr>
          <w:p>
            <w:pPr>
              <w:ind w:left="10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6,051,360</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6,036,524</w:t>
            </w:r>
          </w:p>
        </w:tc>
      </w:tr>
      <w:tr>
        <w:trPr>
          <w:trHeight w:val="20"/>
        </w:trPr>
        <w:tc>
          <w:tcPr>
            <w:tcW w:w="8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Fees</w:t>
      </w:r>
    </w:p>
    <w:p>
      <w:pPr>
        <w:spacing w:after="0" w:line="14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For 2022 and 2021, Ernst &amp; Young LLP billed the Company approximately $4,484,400 and $4,424,556, respectively, for the integrated audit of the Company’s annual consolidated financial statements, internal control over financial reporting, and the review of the Company’s quarterly consolidated financial statements on Form 10-Q that are customary under the standards of the Public Company Accounting Oversight Board (United States).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Audit-Related Fees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2022 and 2021, there were no audit-related fees billed to the Company by Ernst &amp; Young LLP.</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Fees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2022 and 2021, Ernst &amp; Young LLP billed the Company approximately $1,560,400 and $1,605,408, respectively, relating mainly to compliance work.</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 Other Fees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each of 2022 and 2021, Ernst &amp; Young LLP billed the Company approximately $6,560 in other fees relating to online subscription fees.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Policy on Audit Committee Pre-approval</w:t>
      </w:r>
    </w:p>
    <w:p>
      <w:pPr>
        <w:spacing w:after="0" w:line="14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Audit Committee of Clearway Energy, Inc. is responsible for appointing, setting compensation for, and overseeing the work of the independent registered public accounting firm of the Company. The Audit Committee of Clearway Energy, Inc. has established a policy regarding pre-approval of all audit and permissible nonaudit services provided by the independent registered public accounting firm of the Company.</w:t>
      </w:r>
    </w:p>
    <w:p>
      <w:pPr>
        <w:spacing w:after="0" w:line="9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Audit Committee of Clearway Energy, Inc. will annually review and pre-approve services that are expected to be provided by the independent registered public accounting firm. The term of the pre-approval will be 12 months from the date of the pre-approval, unless the Audit Committee of Clearway Energy, Inc. approves a shorter time period. The Audit Committee may periodically amend and/or supplement the pre-approved services based on subsequent determinations.</w:t>
      </w:r>
    </w:p>
    <w:p>
      <w:pPr>
        <w:spacing w:after="0" w:line="9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Unless the Audit Committee of Clearway Energy, Inc. has pre-approved Audit Services or a specified category of nonaudit services, any engagement to provide such services must be pre-approved by the Audit Committee of Clearway Energy, Inc. if it is to be provided by the independent registered public accounting firm. The Audit Committee of Clearway Energy, Inc. must also pre-approve any proposed services exceeding the pre-approved budgeted fee levels for a specified type of service.</w:t>
      </w:r>
    </w:p>
    <w:p>
      <w:pPr>
        <w:spacing w:after="0" w:line="9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Audit Committee of Clearway Energy, Inc. has authorized its Chair to pre-approve services in amounts up to $100,000 per engagement. Engagements exceeding $100,000 must be approved by the full Audit Committee of Clearway Energy, Inc. Engagements pre-approved by the Chair are reported to the Audit Committee of Clearway Energy, Inc. at its next scheduled meeting. The Audit Committee of Clearway Energy, Inc. approved all of the audit-related fees, tax fees and all other fees disclosed above.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14"/>
          <w:szCs w:val="14"/>
          <w:b w:val="1"/>
          <w:bCs w:val="1"/>
          <w:color w:val="auto"/>
        </w:rPr>
        <w:t>PART IV</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 Exhibits, Financial Statement Schedules</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(a)(1) Financial Statements</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following consolidated financial statements of Clearway Energy LLC and related notes thereto, together with the Report of Independent Registered Public Accounting Firm of Ernst &amp;</w:t>
      </w:r>
    </w:p>
    <w:p>
      <w:pPr>
        <w:spacing w:after="0" w:line="42" w:lineRule="exact"/>
        <w:rPr>
          <w:sz w:val="20"/>
          <w:szCs w:val="20"/>
          <w:color w:val="auto"/>
        </w:rPr>
      </w:pPr>
    </w:p>
    <w:p>
      <w:pPr>
        <w:ind w:left="760"/>
        <w:spacing w:after="0"/>
        <w:rPr>
          <w:sz w:val="20"/>
          <w:szCs w:val="20"/>
          <w:color w:val="auto"/>
        </w:rPr>
      </w:pPr>
      <w:r>
        <w:rPr>
          <w:rFonts w:ascii="Arial" w:cs="Arial" w:eastAsia="Arial" w:hAnsi="Arial"/>
          <w:sz w:val="14"/>
          <w:szCs w:val="14"/>
          <w:color w:val="auto"/>
        </w:rPr>
        <w:t>Young LLP (PCAOB ID: 42) and Report of Independent Registered Public Accounting Firm of KPMG LLP (PCAOB ID: 185) thereon, are included herein:</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Consolidated Statements of Income — Years ended December 31, 2022, 2021 and 2020</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Consolidated Statements of Comprehensive Income — Years ended December 31, 2022, 2021 and 2020</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Consolidated Balance Sheets — As of December 31, 2022 and 2021</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Consolidated Statements of Cash Flows — Years ended December 31, 2022, 2021 and 2020</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Consolidated Statements of Members’ Equity — Years ended December 31, 2022, 2021 and 2020</w:t>
      </w:r>
    </w:p>
    <w:p>
      <w:pPr>
        <w:spacing w:after="0" w:line="13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Notes to Consolidated Financial Statements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(a)(2) Financial Statement Schedules</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following schedules of Clearway Energy, Inc. are filed as part of Item 15 of this report and should be read in conjunction with the Consolidated Financial Statements:</w:t>
      </w:r>
    </w:p>
    <w:p>
      <w:pPr>
        <w:spacing w:after="0" w:line="136" w:lineRule="exact"/>
        <w:rPr>
          <w:sz w:val="20"/>
          <w:szCs w:val="20"/>
          <w:color w:val="auto"/>
        </w:rPr>
      </w:pPr>
    </w:p>
    <w:p>
      <w:pPr>
        <w:ind w:left="760" w:right="40"/>
        <w:spacing w:after="0" w:line="281" w:lineRule="auto"/>
        <w:rPr>
          <w:sz w:val="20"/>
          <w:szCs w:val="20"/>
          <w:color w:val="auto"/>
        </w:rPr>
      </w:pPr>
      <w:r>
        <w:rPr>
          <w:rFonts w:ascii="Arial" w:cs="Arial" w:eastAsia="Arial" w:hAnsi="Arial"/>
          <w:sz w:val="14"/>
          <w:szCs w:val="14"/>
          <w:color w:val="auto"/>
        </w:rPr>
        <w:t>Schedule I — Clearway Energy LLC (Parent) Condensed Financial Statements for the years ended December 31, 2022, 2021 and 2020, are included in Clearway Energy LLC’s Annual Report on Form 10-K pursuant to the requirements of Rule 5-04(c) of Regulation S-X</w:t>
      </w:r>
    </w:p>
    <w:p>
      <w:pPr>
        <w:spacing w:after="0" w:line="90" w:lineRule="exact"/>
        <w:rPr>
          <w:sz w:val="20"/>
          <w:szCs w:val="20"/>
          <w:color w:val="auto"/>
        </w:rPr>
      </w:pPr>
    </w:p>
    <w:p>
      <w:pPr>
        <w:ind w:left="760"/>
        <w:spacing w:after="0" w:line="281" w:lineRule="auto"/>
        <w:rPr>
          <w:sz w:val="20"/>
          <w:szCs w:val="20"/>
          <w:color w:val="auto"/>
        </w:rPr>
      </w:pPr>
      <w:r>
        <w:rPr>
          <w:rFonts w:ascii="Arial" w:cs="Arial" w:eastAsia="Arial" w:hAnsi="Arial"/>
          <w:sz w:val="14"/>
          <w:szCs w:val="14"/>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(a)(3) Exhibits: See Exhibit Index submitted as a separate section of this report</w:t>
      </w:r>
    </w:p>
    <w:p>
      <w:pPr>
        <w:spacing w:after="0" w:line="136" w:lineRule="exact"/>
        <w:rPr>
          <w:sz w:val="20"/>
          <w:szCs w:val="20"/>
          <w:color w:val="auto"/>
        </w:rPr>
      </w:pPr>
    </w:p>
    <w:p>
      <w:pPr>
        <w:ind w:left="580" w:hanging="193"/>
        <w:spacing w:after="0"/>
        <w:tabs>
          <w:tab w:leader="none" w:pos="5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Exhibits</w:t>
      </w:r>
    </w:p>
    <w:p>
      <w:pPr>
        <w:spacing w:after="0" w:line="136"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See Exhibit Index submitted as a separate section of this report</w:t>
      </w:r>
    </w:p>
    <w:p>
      <w:pPr>
        <w:spacing w:after="0" w:line="136" w:lineRule="exact"/>
        <w:rPr>
          <w:rFonts w:ascii="Arial" w:cs="Arial" w:eastAsia="Arial" w:hAnsi="Arial"/>
          <w:sz w:val="14"/>
          <w:szCs w:val="14"/>
          <w:color w:val="auto"/>
        </w:rPr>
      </w:pPr>
    </w:p>
    <w:p>
      <w:pPr>
        <w:ind w:left="580" w:hanging="193"/>
        <w:spacing w:after="0"/>
        <w:tabs>
          <w:tab w:leader="none" w:pos="5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9" w:right="379" w:bottom="1440" w:gutter="0" w:footer="0" w:header="0"/>
        </w:sectPr>
      </w:pPr>
    </w:p>
    <w:bookmarkStart w:id="80" w:name="page81"/>
    <w:bookmarkEnd w:id="80"/>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To the Members of Clearway Energy LLC:</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 on the Financial Statements</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We have audited the accompanying consolidated balance sheets of Clearway Energy LLC (the Company) as of December 31, 2022 and 2021, the related consolidated statements of income, comprehensive income, members’ equity and cash flows for each of the two years in the period ended December 31, 2022,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w:t>
      </w:r>
    </w:p>
    <w:p>
      <w:pPr>
        <w:spacing w:after="0" w:line="125"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9"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Critical Audit Matters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40" w:type="dxa"/>
            <w:vAlign w:val="bottom"/>
          </w:tcPr>
          <w:p>
            <w:pPr>
              <w:spacing w:after="0"/>
              <w:rPr>
                <w:sz w:val="15"/>
                <w:szCs w:val="15"/>
                <w:color w:val="auto"/>
              </w:rPr>
            </w:pPr>
          </w:p>
        </w:tc>
        <w:tc>
          <w:tcPr>
            <w:tcW w:w="9340" w:type="dxa"/>
            <w:vAlign w:val="bottom"/>
          </w:tcPr>
          <w:p>
            <w:pPr>
              <w:ind w:left="500"/>
              <w:spacing w:after="0"/>
              <w:rPr>
                <w:sz w:val="20"/>
                <w:szCs w:val="20"/>
                <w:color w:val="auto"/>
              </w:rPr>
            </w:pPr>
            <w:r>
              <w:rPr>
                <w:rFonts w:ascii="Arial" w:cs="Arial" w:eastAsia="Arial" w:hAnsi="Arial"/>
                <w:sz w:val="14"/>
                <w:szCs w:val="14"/>
                <w:b w:val="1"/>
                <w:bCs w:val="1"/>
                <w:i w:val="1"/>
                <w:iCs w:val="1"/>
                <w:color w:val="auto"/>
              </w:rPr>
              <w:t>Allocation of earnings to noncontrolling interests in tax equity arrangements</w:t>
            </w:r>
          </w:p>
        </w:tc>
      </w:tr>
      <w:tr>
        <w:trPr>
          <w:trHeight w:val="361"/>
        </w:trPr>
        <w:tc>
          <w:tcPr>
            <w:tcW w:w="1940" w:type="dxa"/>
            <w:vAlign w:val="bottom"/>
          </w:tcPr>
          <w:p>
            <w:pPr>
              <w:ind w:left="20"/>
              <w:spacing w:after="0"/>
              <w:rPr>
                <w:sz w:val="20"/>
                <w:szCs w:val="20"/>
                <w:color w:val="auto"/>
              </w:rPr>
            </w:pPr>
            <w:r>
              <w:rPr>
                <w:rFonts w:ascii="Arial" w:cs="Arial" w:eastAsia="Arial" w:hAnsi="Arial"/>
                <w:sz w:val="14"/>
                <w:szCs w:val="14"/>
                <w:i w:val="1"/>
                <w:iCs w:val="1"/>
                <w:color w:val="auto"/>
              </w:rPr>
              <w:t>Description of the Matter</w:t>
            </w:r>
          </w:p>
        </w:tc>
        <w:tc>
          <w:tcPr>
            <w:tcW w:w="9340" w:type="dxa"/>
            <w:vAlign w:val="bottom"/>
          </w:tcPr>
          <w:p>
            <w:pPr>
              <w:ind w:left="500"/>
              <w:spacing w:after="0"/>
              <w:rPr>
                <w:sz w:val="20"/>
                <w:szCs w:val="20"/>
                <w:color w:val="auto"/>
              </w:rPr>
            </w:pPr>
            <w:r>
              <w:rPr>
                <w:rFonts w:ascii="Arial" w:cs="Arial" w:eastAsia="Arial" w:hAnsi="Arial"/>
                <w:sz w:val="14"/>
                <w:szCs w:val="14"/>
                <w:color w:val="auto"/>
                <w:w w:val="93"/>
              </w:rPr>
              <w:t>As described in Note 5 to the consolidated financial statements, during 2022, tax equity investors purchased noncontrolling interests in Mililani TE Holdco</w:t>
            </w:r>
          </w:p>
        </w:tc>
      </w:tr>
      <w:tr>
        <w:trPr>
          <w:trHeight w:val="149"/>
        </w:trPr>
        <w:tc>
          <w:tcPr>
            <w:tcW w:w="1940" w:type="dxa"/>
            <w:vAlign w:val="bottom"/>
          </w:tcPr>
          <w:p>
            <w:pPr>
              <w:spacing w:after="0"/>
              <w:rPr>
                <w:sz w:val="12"/>
                <w:szCs w:val="12"/>
                <w:color w:val="auto"/>
              </w:rPr>
            </w:pPr>
          </w:p>
        </w:tc>
        <w:tc>
          <w:tcPr>
            <w:tcW w:w="9340" w:type="dxa"/>
            <w:vAlign w:val="bottom"/>
          </w:tcPr>
          <w:p>
            <w:pPr>
              <w:ind w:left="500"/>
              <w:spacing w:after="0" w:line="149" w:lineRule="exact"/>
              <w:rPr>
                <w:sz w:val="20"/>
                <w:szCs w:val="20"/>
                <w:color w:val="auto"/>
              </w:rPr>
            </w:pPr>
            <w:r>
              <w:rPr>
                <w:rFonts w:ascii="Arial" w:cs="Arial" w:eastAsia="Arial" w:hAnsi="Arial"/>
                <w:sz w:val="14"/>
                <w:szCs w:val="14"/>
                <w:color w:val="auto"/>
                <w:w w:val="93"/>
              </w:rPr>
              <w:t>LLC and Waiawa TE Holdco LLC (the “new tax equity arrangements”). Each tax equity investor received Class A membership interests in the respective</w:t>
            </w:r>
          </w:p>
        </w:tc>
      </w:tr>
      <w:tr>
        <w:trPr>
          <w:trHeight w:val="149"/>
        </w:trPr>
        <w:tc>
          <w:tcPr>
            <w:tcW w:w="1940" w:type="dxa"/>
            <w:vAlign w:val="bottom"/>
          </w:tcPr>
          <w:p>
            <w:pPr>
              <w:spacing w:after="0"/>
              <w:rPr>
                <w:sz w:val="12"/>
                <w:szCs w:val="12"/>
                <w:color w:val="auto"/>
              </w:rPr>
            </w:pPr>
          </w:p>
        </w:tc>
        <w:tc>
          <w:tcPr>
            <w:tcW w:w="9340" w:type="dxa"/>
            <w:vAlign w:val="bottom"/>
          </w:tcPr>
          <w:p>
            <w:pPr>
              <w:ind w:left="500"/>
              <w:spacing w:after="0" w:line="149" w:lineRule="exact"/>
              <w:rPr>
                <w:sz w:val="20"/>
                <w:szCs w:val="20"/>
                <w:color w:val="auto"/>
              </w:rPr>
            </w:pPr>
            <w:r>
              <w:rPr>
                <w:rFonts w:ascii="Arial" w:cs="Arial" w:eastAsia="Arial" w:hAnsi="Arial"/>
                <w:sz w:val="14"/>
                <w:szCs w:val="14"/>
                <w:color w:val="auto"/>
                <w:w w:val="95"/>
              </w:rPr>
              <w:t>entity. The Company utilizes the output of a hypothetical liquidation at book value (HLBV) model to determine the earnings allocated to the tax equity</w:t>
            </w:r>
          </w:p>
        </w:tc>
      </w:tr>
      <w:tr>
        <w:trPr>
          <w:trHeight w:val="180"/>
        </w:trPr>
        <w:tc>
          <w:tcPr>
            <w:tcW w:w="1940" w:type="dxa"/>
            <w:vAlign w:val="bottom"/>
          </w:tcPr>
          <w:p>
            <w:pPr>
              <w:spacing w:after="0"/>
              <w:rPr>
                <w:sz w:val="15"/>
                <w:szCs w:val="15"/>
                <w:color w:val="auto"/>
              </w:rPr>
            </w:pPr>
          </w:p>
        </w:tc>
        <w:tc>
          <w:tcPr>
            <w:tcW w:w="9340" w:type="dxa"/>
            <w:vAlign w:val="bottom"/>
          </w:tcPr>
          <w:p>
            <w:pPr>
              <w:ind w:left="500"/>
              <w:spacing w:after="0"/>
              <w:rPr>
                <w:sz w:val="20"/>
                <w:szCs w:val="20"/>
                <w:color w:val="auto"/>
              </w:rPr>
            </w:pPr>
            <w:r>
              <w:rPr>
                <w:rFonts w:ascii="Arial" w:cs="Arial" w:eastAsia="Arial" w:hAnsi="Arial"/>
                <w:sz w:val="14"/>
                <w:szCs w:val="14"/>
                <w:color w:val="auto"/>
              </w:rPr>
              <w:t>noncontrolling interest holders as the contractual agreements between the parties represent substantive profit-sharing arrangements.</w:t>
            </w:r>
          </w:p>
        </w:tc>
      </w:tr>
      <w:tr>
        <w:trPr>
          <w:trHeight w:val="319"/>
        </w:trPr>
        <w:tc>
          <w:tcPr>
            <w:tcW w:w="1940" w:type="dxa"/>
            <w:vAlign w:val="bottom"/>
          </w:tcPr>
          <w:p>
            <w:pPr>
              <w:spacing w:after="0"/>
              <w:rPr>
                <w:sz w:val="24"/>
                <w:szCs w:val="24"/>
                <w:color w:val="auto"/>
              </w:rPr>
            </w:pPr>
          </w:p>
        </w:tc>
        <w:tc>
          <w:tcPr>
            <w:tcW w:w="9340" w:type="dxa"/>
            <w:vAlign w:val="bottom"/>
          </w:tcPr>
          <w:p>
            <w:pPr>
              <w:ind w:left="500"/>
              <w:spacing w:after="0"/>
              <w:rPr>
                <w:sz w:val="20"/>
                <w:szCs w:val="20"/>
                <w:color w:val="auto"/>
              </w:rPr>
            </w:pPr>
            <w:r>
              <w:rPr>
                <w:rFonts w:ascii="Arial" w:cs="Arial" w:eastAsia="Arial" w:hAnsi="Arial"/>
                <w:sz w:val="14"/>
                <w:szCs w:val="14"/>
                <w:color w:val="auto"/>
                <w:w w:val="92"/>
              </w:rPr>
              <w:t>Auditing the allocation of earnings using the HLBV method to the new tax equity arrangements was complex due to the judgments required at the inception</w:t>
            </w:r>
          </w:p>
        </w:tc>
      </w:tr>
      <w:tr>
        <w:trPr>
          <w:trHeight w:val="149"/>
        </w:trPr>
        <w:tc>
          <w:tcPr>
            <w:tcW w:w="1940" w:type="dxa"/>
            <w:vAlign w:val="bottom"/>
          </w:tcPr>
          <w:p>
            <w:pPr>
              <w:spacing w:after="0"/>
              <w:rPr>
                <w:sz w:val="12"/>
                <w:szCs w:val="12"/>
                <w:color w:val="auto"/>
              </w:rPr>
            </w:pPr>
          </w:p>
        </w:tc>
        <w:tc>
          <w:tcPr>
            <w:tcW w:w="9340" w:type="dxa"/>
            <w:vAlign w:val="bottom"/>
          </w:tcPr>
          <w:p>
            <w:pPr>
              <w:ind w:left="500"/>
              <w:spacing w:after="0" w:line="149" w:lineRule="exact"/>
              <w:rPr>
                <w:sz w:val="20"/>
                <w:szCs w:val="20"/>
                <w:color w:val="auto"/>
              </w:rPr>
            </w:pPr>
            <w:r>
              <w:rPr>
                <w:rFonts w:ascii="Arial" w:cs="Arial" w:eastAsia="Arial" w:hAnsi="Arial"/>
                <w:sz w:val="14"/>
                <w:szCs w:val="14"/>
                <w:color w:val="auto"/>
                <w:w w:val="97"/>
              </w:rPr>
              <w:t>of the arrangement to evaluate whether the HLBV model appropriately reflects the unique substantive profit-sharing terms and features within each</w:t>
            </w:r>
          </w:p>
        </w:tc>
      </w:tr>
      <w:tr>
        <w:trPr>
          <w:trHeight w:val="159"/>
        </w:trPr>
        <w:tc>
          <w:tcPr>
            <w:tcW w:w="1940" w:type="dxa"/>
            <w:vAlign w:val="bottom"/>
          </w:tcPr>
          <w:p>
            <w:pPr>
              <w:spacing w:after="0"/>
              <w:rPr>
                <w:sz w:val="13"/>
                <w:szCs w:val="13"/>
                <w:color w:val="auto"/>
              </w:rPr>
            </w:pPr>
          </w:p>
        </w:tc>
        <w:tc>
          <w:tcPr>
            <w:tcW w:w="9340" w:type="dxa"/>
            <w:vAlign w:val="bottom"/>
          </w:tcPr>
          <w:p>
            <w:pPr>
              <w:ind w:left="500"/>
              <w:spacing w:after="0" w:line="159" w:lineRule="exact"/>
              <w:rPr>
                <w:sz w:val="20"/>
                <w:szCs w:val="20"/>
                <w:color w:val="auto"/>
              </w:rPr>
            </w:pPr>
            <w:r>
              <w:rPr>
                <w:rFonts w:ascii="Arial" w:cs="Arial" w:eastAsia="Arial" w:hAnsi="Arial"/>
                <w:sz w:val="14"/>
                <w:szCs w:val="14"/>
                <w:color w:val="auto"/>
                <w:w w:val="94"/>
              </w:rPr>
              <w:t>arrangement. A greater extent of audit effort and specialized skill and knowledge was required with respect to evaluating the appropriateness of the tax</w:t>
            </w:r>
          </w:p>
        </w:tc>
      </w:tr>
      <w:tr>
        <w:trPr>
          <w:trHeight w:val="149"/>
        </w:trPr>
        <w:tc>
          <w:tcPr>
            <w:tcW w:w="1940" w:type="dxa"/>
            <w:vAlign w:val="bottom"/>
          </w:tcPr>
          <w:p>
            <w:pPr>
              <w:spacing w:after="0"/>
              <w:rPr>
                <w:sz w:val="12"/>
                <w:szCs w:val="12"/>
                <w:color w:val="auto"/>
              </w:rPr>
            </w:pPr>
          </w:p>
        </w:tc>
        <w:tc>
          <w:tcPr>
            <w:tcW w:w="9340" w:type="dxa"/>
            <w:vAlign w:val="bottom"/>
          </w:tcPr>
          <w:p>
            <w:pPr>
              <w:ind w:left="500"/>
              <w:spacing w:after="0" w:line="149" w:lineRule="exact"/>
              <w:rPr>
                <w:sz w:val="20"/>
                <w:szCs w:val="20"/>
                <w:color w:val="auto"/>
              </w:rPr>
            </w:pPr>
            <w:r>
              <w:rPr>
                <w:rFonts w:ascii="Arial" w:cs="Arial" w:eastAsia="Arial" w:hAnsi="Arial"/>
                <w:sz w:val="14"/>
                <w:szCs w:val="14"/>
                <w:color w:val="auto"/>
                <w:w w:val="97"/>
              </w:rPr>
              <w:t>capital account balances used in the HLBV model for compliance with the provisions of the Internal Revenue Code, as well as compliance with the</w:t>
            </w:r>
          </w:p>
        </w:tc>
      </w:tr>
      <w:tr>
        <w:trPr>
          <w:trHeight w:val="180"/>
        </w:trPr>
        <w:tc>
          <w:tcPr>
            <w:tcW w:w="1940" w:type="dxa"/>
            <w:vAlign w:val="bottom"/>
          </w:tcPr>
          <w:p>
            <w:pPr>
              <w:spacing w:after="0"/>
              <w:rPr>
                <w:sz w:val="15"/>
                <w:szCs w:val="15"/>
                <w:color w:val="auto"/>
              </w:rPr>
            </w:pPr>
          </w:p>
        </w:tc>
        <w:tc>
          <w:tcPr>
            <w:tcW w:w="9340" w:type="dxa"/>
            <w:vAlign w:val="bottom"/>
          </w:tcPr>
          <w:p>
            <w:pPr>
              <w:ind w:left="500"/>
              <w:spacing w:after="0"/>
              <w:rPr>
                <w:sz w:val="20"/>
                <w:szCs w:val="20"/>
                <w:color w:val="auto"/>
              </w:rPr>
            </w:pPr>
            <w:r>
              <w:rPr>
                <w:rFonts w:ascii="Arial" w:cs="Arial" w:eastAsia="Arial" w:hAnsi="Arial"/>
                <w:sz w:val="14"/>
                <w:szCs w:val="14"/>
                <w:color w:val="auto"/>
              </w:rPr>
              <w:t>contractual provisions in each agreement.</w:t>
            </w:r>
          </w:p>
        </w:tc>
      </w:tr>
      <w:tr>
        <w:trPr>
          <w:trHeight w:val="679"/>
        </w:trPr>
        <w:tc>
          <w:tcPr>
            <w:tcW w:w="1940" w:type="dxa"/>
            <w:vAlign w:val="bottom"/>
          </w:tcPr>
          <w:p>
            <w:pPr>
              <w:spacing w:after="0"/>
              <w:rPr>
                <w:sz w:val="24"/>
                <w:szCs w:val="24"/>
                <w:color w:val="auto"/>
              </w:rPr>
            </w:pPr>
          </w:p>
        </w:tc>
        <w:tc>
          <w:tcPr>
            <w:tcW w:w="9340" w:type="dxa"/>
            <w:vAlign w:val="bottom"/>
          </w:tcPr>
          <w:p>
            <w:pPr>
              <w:ind w:left="3640"/>
              <w:spacing w:after="0"/>
              <w:rPr>
                <w:sz w:val="20"/>
                <w:szCs w:val="20"/>
                <w:color w:val="auto"/>
              </w:rPr>
            </w:pPr>
            <w:r>
              <w:rPr>
                <w:rFonts w:ascii="Arial" w:cs="Arial" w:eastAsia="Arial" w:hAnsi="Arial"/>
                <w:sz w:val="14"/>
                <w:szCs w:val="14"/>
                <w:color w:val="auto"/>
              </w:rPr>
              <w:t>78</w:t>
            </w:r>
          </w:p>
        </w:tc>
      </w:tr>
      <w:tr>
        <w:trPr>
          <w:trHeight w:val="87"/>
        </w:trPr>
        <w:tc>
          <w:tcPr>
            <w:tcW w:w="1940" w:type="dxa"/>
            <w:vAlign w:val="bottom"/>
            <w:tcBorders>
              <w:bottom w:val="single" w:sz="8" w:color="9A9A9A"/>
            </w:tcBorders>
          </w:tcPr>
          <w:p>
            <w:pPr>
              <w:spacing w:after="0"/>
              <w:rPr>
                <w:sz w:val="7"/>
                <w:szCs w:val="7"/>
                <w:color w:val="auto"/>
              </w:rPr>
            </w:pPr>
          </w:p>
        </w:tc>
        <w:tc>
          <w:tcPr>
            <w:tcW w:w="9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81" w:name="page82"/>
    <w:bookmarkEnd w:id="81"/>
    <w:p>
      <w:pPr>
        <w:ind w:left="20"/>
        <w:spacing w:after="0"/>
        <w:rPr>
          <w:sz w:val="20"/>
          <w:szCs w:val="20"/>
          <w:color w:val="auto"/>
        </w:rPr>
      </w:pPr>
      <w:r>
        <w:rPr>
          <w:rFonts w:ascii="Arial" w:cs="Arial" w:eastAsia="Arial" w:hAnsi="Arial"/>
          <w:sz w:val="12"/>
          <w:szCs w:val="12"/>
          <w:i w:val="1"/>
          <w:iCs w:val="1"/>
          <w:color w:val="auto"/>
        </w:rPr>
        <w:t>How We Addressed the Matter in 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We obtained an understanding, evaluated the design and tested the operating effectiveness of the control over the Company’s process for establishing the</w:t>
      </w:r>
    </w:p>
    <w:p>
      <w:pPr>
        <w:spacing w:after="0" w:line="30" w:lineRule="exact"/>
        <w:rPr>
          <w:sz w:val="20"/>
          <w:szCs w:val="20"/>
          <w:color w:val="auto"/>
        </w:rPr>
      </w:pPr>
    </w:p>
    <w:p>
      <w:pPr>
        <w:sectPr>
          <w:pgSz w:w="11900" w:h="16838" w:orient="portrait"/>
          <w:cols w:equalWidth="0" w:num="2">
            <w:col w:w="2140" w:space="300"/>
            <w:col w:w="8820"/>
          </w:cols>
          <w:pgMar w:left="300" w:top="765" w:right="339" w:bottom="1440" w:gutter="0" w:footer="0" w:header="0"/>
        </w:sectPr>
      </w:pPr>
    </w:p>
    <w:p>
      <w:pPr>
        <w:ind w:left="20"/>
        <w:spacing w:after="0"/>
        <w:rPr>
          <w:sz w:val="20"/>
          <w:szCs w:val="20"/>
          <w:color w:val="auto"/>
        </w:rPr>
      </w:pPr>
      <w:r>
        <w:rPr>
          <w:rFonts w:ascii="Arial" w:cs="Arial" w:eastAsia="Arial" w:hAnsi="Arial"/>
          <w:sz w:val="13"/>
          <w:szCs w:val="13"/>
          <w:i w:val="1"/>
          <w:iCs w:val="1"/>
          <w:color w:val="auto"/>
        </w:rPr>
        <w:t>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HLBV model for the new tax equity arrangements. For example, we tested a control over management’s review of the substantive profit-sharing terms and</w:t>
      </w:r>
    </w:p>
    <w:p>
      <w:pPr>
        <w:spacing w:after="0" w:line="9" w:lineRule="exact"/>
        <w:rPr>
          <w:sz w:val="20"/>
          <w:szCs w:val="20"/>
          <w:color w:val="auto"/>
        </w:rPr>
      </w:pPr>
    </w:p>
    <w:p>
      <w:pPr>
        <w:sectPr>
          <w:pgSz w:w="11900" w:h="16838" w:orient="portrait"/>
          <w:cols w:equalWidth="0" w:num="2">
            <w:col w:w="1720" w:space="720"/>
            <w:col w:w="8820"/>
          </w:cols>
          <w:pgMar w:left="300" w:top="765" w:right="339" w:bottom="1440" w:gutter="0" w:footer="0" w:header="0"/>
          <w:type w:val="continuous"/>
        </w:sectPr>
      </w:pPr>
    </w:p>
    <w:p>
      <w:pPr>
        <w:ind w:left="2440"/>
        <w:spacing w:after="0"/>
        <w:rPr>
          <w:sz w:val="20"/>
          <w:szCs w:val="20"/>
          <w:color w:val="auto"/>
        </w:rPr>
      </w:pPr>
      <w:r>
        <w:rPr>
          <w:rFonts w:ascii="Arial" w:cs="Arial" w:eastAsia="Arial" w:hAnsi="Arial"/>
          <w:sz w:val="14"/>
          <w:szCs w:val="14"/>
          <w:color w:val="auto"/>
        </w:rPr>
        <w:t>features within each arrangement and evaluated whether they are properly reflected in each HLBV model.</w:t>
      </w:r>
    </w:p>
    <w:p>
      <w:pPr>
        <w:spacing w:after="0" w:line="160"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To test the allocation of earnings to noncontrolling interest holders in the new tax equity arrangements, we read the related agreements to understand the</w:t>
      </w:r>
    </w:p>
    <w:p>
      <w:pPr>
        <w:spacing w:after="0" w:line="10"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business purpose and the substantive profit-sharing provisions. We evaluated each HLBV model for consistency with the contractual provisions in the</w:t>
      </w:r>
    </w:p>
    <w:p>
      <w:pPr>
        <w:ind w:left="2440"/>
        <w:spacing w:after="0"/>
        <w:rPr>
          <w:sz w:val="20"/>
          <w:szCs w:val="20"/>
          <w:color w:val="auto"/>
        </w:rPr>
      </w:pPr>
      <w:r>
        <w:rPr>
          <w:rFonts w:ascii="Arial" w:cs="Arial" w:eastAsia="Arial" w:hAnsi="Arial"/>
          <w:sz w:val="13"/>
          <w:szCs w:val="13"/>
          <w:color w:val="auto"/>
        </w:rPr>
        <w:t>related agreements and tested the initial recognition of the noncontrolling interest balance by agreeing capital contributions to supporting documentation.</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We involved tax subject matter professionals to assist in evaluating the calculation of the tax capital accounts used in each HLBV model for compliance</w:t>
      </w:r>
    </w:p>
    <w:p>
      <w:pPr>
        <w:ind w:left="2440"/>
        <w:spacing w:after="0"/>
        <w:rPr>
          <w:sz w:val="20"/>
          <w:szCs w:val="20"/>
          <w:color w:val="auto"/>
        </w:rPr>
      </w:pPr>
      <w:r>
        <w:rPr>
          <w:rFonts w:ascii="Arial" w:cs="Arial" w:eastAsia="Arial" w:hAnsi="Arial"/>
          <w:sz w:val="12"/>
          <w:szCs w:val="12"/>
          <w:color w:val="auto"/>
        </w:rPr>
        <w:t>with the provisions of the Internal Revenue Code, as well as compliance with the contractual provisions in the agreements. Additionally, we tested the year</w:t>
      </w:r>
    </w:p>
    <w:p>
      <w:pPr>
        <w:spacing w:after="0" w:line="10" w:lineRule="exact"/>
        <w:rPr>
          <w:sz w:val="20"/>
          <w:szCs w:val="20"/>
          <w:color w:val="auto"/>
        </w:rPr>
      </w:pPr>
    </w:p>
    <w:p>
      <w:pPr>
        <w:ind w:left="2440"/>
        <w:spacing w:after="0"/>
        <w:rPr>
          <w:sz w:val="20"/>
          <w:szCs w:val="20"/>
          <w:color w:val="auto"/>
        </w:rPr>
      </w:pPr>
      <w:r>
        <w:rPr>
          <w:rFonts w:ascii="Arial" w:cs="Arial" w:eastAsia="Arial" w:hAnsi="Arial"/>
          <w:sz w:val="13"/>
          <w:szCs w:val="13"/>
          <w:color w:val="auto"/>
        </w:rPr>
        <w:t>end noncontrolling interest balances for the new tax equity arrangements by agreeing contributions and distributions to supporting documentation and</w:t>
      </w:r>
    </w:p>
    <w:p>
      <w:pPr>
        <w:ind w:left="2440"/>
        <w:spacing w:after="0"/>
        <w:rPr>
          <w:sz w:val="20"/>
          <w:szCs w:val="20"/>
          <w:color w:val="auto"/>
        </w:rPr>
      </w:pPr>
      <w:r>
        <w:rPr>
          <w:rFonts w:ascii="Arial" w:cs="Arial" w:eastAsia="Arial" w:hAnsi="Arial"/>
          <w:sz w:val="14"/>
          <w:szCs w:val="14"/>
          <w:color w:val="auto"/>
        </w:rPr>
        <w:t>recalculating the allocation of earnings using each HLBV model.</w:t>
      </w:r>
    </w:p>
    <w:p>
      <w:pPr>
        <w:spacing w:after="0" w:line="241" w:lineRule="exact"/>
        <w:rPr>
          <w:sz w:val="20"/>
          <w:szCs w:val="20"/>
          <w:color w:val="auto"/>
        </w:rPr>
      </w:pPr>
    </w:p>
    <w:p>
      <w:pPr>
        <w:ind w:left="2440"/>
        <w:spacing w:after="0"/>
        <w:rPr>
          <w:sz w:val="20"/>
          <w:szCs w:val="20"/>
          <w:color w:val="auto"/>
        </w:rPr>
      </w:pPr>
      <w:r>
        <w:rPr>
          <w:rFonts w:ascii="Arial" w:cs="Arial" w:eastAsia="Arial" w:hAnsi="Arial"/>
          <w:sz w:val="14"/>
          <w:szCs w:val="14"/>
          <w:b w:val="1"/>
          <w:bCs w:val="1"/>
          <w:i w:val="1"/>
          <w:iCs w:val="1"/>
          <w:color w:val="auto"/>
        </w:rPr>
        <w:t>Fair value of Level 3 energy related commodity contracts</w:t>
      </w:r>
    </w:p>
    <w:p>
      <w:pPr>
        <w:sectPr>
          <w:pgSz w:w="11900" w:h="16838" w:orient="portrait"/>
          <w:cols w:equalWidth="0" w:num="1">
            <w:col w:w="11260"/>
          </w:cols>
          <w:pgMar w:left="300" w:top="765" w:right="339" w:bottom="1440" w:gutter="0" w:footer="0" w:header="0"/>
          <w:type w:val="continuous"/>
        </w:sect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As described in Note 6 to the consolidated financial statements, as of December 31, 2022, the aggregate fair value of energy related commodity contracts classified as Level 3 derivative instruments was $353 million. The Company’s determination of the fair value of long-term power commodity contracts</w:t>
      </w:r>
    </w:p>
    <w:p>
      <w:pPr>
        <w:spacing w:after="0" w:line="1" w:lineRule="exact"/>
        <w:rPr>
          <w:sz w:val="20"/>
          <w:szCs w:val="20"/>
          <w:color w:val="auto"/>
        </w:rPr>
      </w:pPr>
    </w:p>
    <w:p>
      <w:pPr>
        <w:sectPr>
          <w:pgSz w:w="11900" w:h="16838" w:orient="portrait"/>
          <w:cols w:equalWidth="0" w:num="2">
            <w:col w:w="1720" w:space="720"/>
            <w:col w:w="8820"/>
          </w:cols>
          <w:pgMar w:left="300" w:top="765" w:right="339" w:bottom="1440" w:gutter="0" w:footer="0" w:header="0"/>
          <w:type w:val="continuous"/>
        </w:sectPr>
      </w:pPr>
    </w:p>
    <w:p>
      <w:pPr>
        <w:jc w:val="both"/>
        <w:ind w:left="2440"/>
        <w:spacing w:after="0" w:line="258" w:lineRule="auto"/>
        <w:rPr>
          <w:sz w:val="20"/>
          <w:szCs w:val="20"/>
          <w:color w:val="auto"/>
        </w:rPr>
      </w:pPr>
      <w:r>
        <w:rPr>
          <w:rFonts w:ascii="Arial" w:cs="Arial" w:eastAsia="Arial" w:hAnsi="Arial"/>
          <w:sz w:val="12"/>
          <w:szCs w:val="12"/>
          <w:color w:val="auto"/>
        </w:rPr>
        <w:t>executed in illiquid markets are considered Level 3 fair value measurements as they contain significant unobservable inputs, including forward market energy pricing curves. The Company uses a discounted cash flow valuation technique to determine the fair value of its energy related commodity contracts.</w:t>
      </w:r>
    </w:p>
    <w:p>
      <w:pPr>
        <w:spacing w:after="0" w:line="139" w:lineRule="exact"/>
        <w:rPr>
          <w:sz w:val="20"/>
          <w:szCs w:val="20"/>
          <w:color w:val="auto"/>
        </w:rPr>
      </w:pPr>
    </w:p>
    <w:p>
      <w:pPr>
        <w:ind w:left="2440"/>
        <w:spacing w:after="0" w:line="249" w:lineRule="auto"/>
        <w:rPr>
          <w:sz w:val="20"/>
          <w:szCs w:val="20"/>
          <w:color w:val="auto"/>
        </w:rPr>
      </w:pPr>
      <w:r>
        <w:rPr>
          <w:rFonts w:ascii="Arial" w:cs="Arial" w:eastAsia="Arial" w:hAnsi="Arial"/>
          <w:sz w:val="14"/>
          <w:szCs w:val="14"/>
          <w:color w:val="auto"/>
        </w:rPr>
        <w:t>Auditing the fair value measurement of energy related commodity contracts classified as Level 3 financial instruments was complex due to the judgmental nature of the forward market energy pricing curve assumptions used as an input into the valuation models.</w:t>
      </w:r>
    </w:p>
    <w:p>
      <w:pPr>
        <w:sectPr>
          <w:pgSz w:w="11900" w:h="16838" w:orient="portrait"/>
          <w:cols w:equalWidth="0" w:num="1">
            <w:col w:w="11260"/>
          </w:cols>
          <w:pgMar w:left="300" w:top="765" w:right="339" w:bottom="1440" w:gutter="0" w:footer="0" w:header="0"/>
          <w:type w:val="continuous"/>
        </w:sectPr>
      </w:pPr>
    </w:p>
    <w:p>
      <w:pPr>
        <w:spacing w:after="0" w:line="207" w:lineRule="exact"/>
        <w:rPr>
          <w:sz w:val="20"/>
          <w:szCs w:val="20"/>
          <w:color w:val="auto"/>
        </w:rPr>
      </w:pPr>
    </w:p>
    <w:p>
      <w:pPr>
        <w:ind w:left="20"/>
        <w:spacing w:after="0" w:line="236" w:lineRule="auto"/>
        <w:rPr>
          <w:sz w:val="20"/>
          <w:szCs w:val="20"/>
          <w:color w:val="auto"/>
        </w:rPr>
      </w:pPr>
      <w:r>
        <w:rPr>
          <w:rFonts w:ascii="Arial" w:cs="Arial" w:eastAsia="Arial" w:hAnsi="Arial"/>
          <w:sz w:val="14"/>
          <w:szCs w:val="14"/>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obtained an understanding, evaluated the design and tested the operating effectiveness of controls over the Company’s processes for reviewing the key assumptions in estimating Level 3 fair values. For example, we tested controls over management’s review of the specific forward market energy pricing</w:t>
      </w:r>
    </w:p>
    <w:p>
      <w:pPr>
        <w:spacing w:after="0" w:line="1" w:lineRule="exact"/>
        <w:rPr>
          <w:sz w:val="20"/>
          <w:szCs w:val="20"/>
          <w:color w:val="auto"/>
        </w:rPr>
      </w:pPr>
    </w:p>
    <w:p>
      <w:pPr>
        <w:sectPr>
          <w:pgSz w:w="11900" w:h="16838" w:orient="portrait"/>
          <w:cols w:equalWidth="0" w:num="2">
            <w:col w:w="2140" w:space="300"/>
            <w:col w:w="8820"/>
          </w:cols>
          <w:pgMar w:left="300" w:top="765" w:right="339" w:bottom="1440" w:gutter="0" w:footer="0" w:header="0"/>
          <w:type w:val="continuous"/>
        </w:sectPr>
      </w:pPr>
    </w:p>
    <w:p>
      <w:pPr>
        <w:ind w:left="2440"/>
        <w:spacing w:after="0" w:line="222" w:lineRule="auto"/>
        <w:rPr>
          <w:sz w:val="20"/>
          <w:szCs w:val="20"/>
          <w:color w:val="auto"/>
        </w:rPr>
      </w:pPr>
      <w:r>
        <w:rPr>
          <w:rFonts w:ascii="Arial" w:cs="Arial" w:eastAsia="Arial" w:hAnsi="Arial"/>
          <w:sz w:val="14"/>
          <w:szCs w:val="14"/>
          <w:color w:val="auto"/>
        </w:rPr>
        <w:t>curves used as an input into the valuation models.</w:t>
      </w:r>
    </w:p>
    <w:p>
      <w:pPr>
        <w:spacing w:after="0" w:line="96" w:lineRule="exact"/>
        <w:rPr>
          <w:sz w:val="20"/>
          <w:szCs w:val="20"/>
          <w:color w:val="auto"/>
        </w:rPr>
      </w:pPr>
    </w:p>
    <w:p>
      <w:pPr>
        <w:ind w:left="2440"/>
        <w:spacing w:after="0" w:line="259" w:lineRule="auto"/>
        <w:rPr>
          <w:sz w:val="20"/>
          <w:szCs w:val="20"/>
          <w:color w:val="auto"/>
        </w:rPr>
      </w:pPr>
      <w:r>
        <w:rPr>
          <w:rFonts w:ascii="Arial" w:cs="Arial" w:eastAsia="Arial" w:hAnsi="Arial"/>
          <w:sz w:val="12"/>
          <w:szCs w:val="12"/>
          <w:color w:val="auto"/>
        </w:rPr>
        <w:t>To test the fair value of Level 3 energy related commodity contracts, our audit procedures included, among others, evaluating the valuation methodologies used by the Company and testing significant inputs, estimates and the mathematical accuracy of the calculations. In certain instances, with the assistance of</w:t>
      </w:r>
    </w:p>
    <w:p>
      <w:pPr>
        <w:spacing w:after="0" w:line="1" w:lineRule="exact"/>
        <w:rPr>
          <w:sz w:val="20"/>
          <w:szCs w:val="20"/>
          <w:color w:val="auto"/>
        </w:rPr>
      </w:pPr>
    </w:p>
    <w:p>
      <w:pPr>
        <w:jc w:val="both"/>
        <w:ind w:left="2440"/>
        <w:spacing w:after="0" w:line="227" w:lineRule="auto"/>
        <w:rPr>
          <w:sz w:val="20"/>
          <w:szCs w:val="20"/>
          <w:color w:val="auto"/>
        </w:rPr>
      </w:pPr>
      <w:r>
        <w:rPr>
          <w:rFonts w:ascii="Arial" w:cs="Arial" w:eastAsia="Arial" w:hAnsi="Arial"/>
          <w:sz w:val="13"/>
          <w:szCs w:val="13"/>
          <w:color w:val="auto"/>
        </w:rPr>
        <w:t>our valuation specialists, we independently determined the significant assumptions, calculated the resultant fair values and compared them to the Company’s estimates. We obtained forward market energy prices from independent sources, including pricing service providers and counterparty fair values, and evaluated the Company’s assumptions related to their forward curves and confirmed key inputs with counterparties. We also performed</w:t>
      </w:r>
    </w:p>
    <w:p>
      <w:pPr>
        <w:ind w:left="2440"/>
        <w:spacing w:after="0" w:line="228" w:lineRule="auto"/>
        <w:rPr>
          <w:sz w:val="20"/>
          <w:szCs w:val="20"/>
          <w:color w:val="auto"/>
        </w:rPr>
      </w:pPr>
      <w:r>
        <w:rPr>
          <w:rFonts w:ascii="Arial" w:cs="Arial" w:eastAsia="Arial" w:hAnsi="Arial"/>
          <w:sz w:val="14"/>
          <w:szCs w:val="14"/>
          <w:color w:val="auto"/>
        </w:rPr>
        <w:t>sensitivity analyses using independent sources of market data to evaluate the significance of the change in fair value of Level 3 energy related commodity contracts that would result from changes in underlying assumptions.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ectPr>
          <w:pgSz w:w="11900" w:h="16838" w:orient="portrait"/>
          <w:cols w:equalWidth="0" w:num="1">
            <w:col w:w="11260"/>
          </w:cols>
          <w:pgMar w:left="300" w:top="765" w:right="33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Philadelphia, Pennsylvania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5" w:right="3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To the Members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Clearway Energy LLC:</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 on the Consolidated Financial Statements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audited the accompanying consolidated statements of income, comprehensive income, members’ equity, and cash flows of Clearway Energy, LLC and subsidiaries (the Company) for the year ended December 31, 2020, and the related notes and financial statement schedule “Schedule I-Condensed Financial Information of Registrant” (collectively, the consolidated financial statements). In our opinion, the consolidated financial statements present fairly, in all material respects, the results of operations of the Company and its cash flows for the year ended December 31, 2020, in conformity with U.S. generally accepted accounting principles.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w:t>
      </w:r>
    </w:p>
    <w:p>
      <w:pPr>
        <w:spacing w:after="0" w:line="13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We served as the Company’s auditor from 2012 to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Philadelphia, Pennsylvania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83" w:name="page84"/>
    <w:bookmarkEnd w:id="83"/>
    <w:p>
      <w:pPr>
        <w:jc w:val="center"/>
        <w:spacing w:after="0"/>
        <w:rPr>
          <w:sz w:val="20"/>
          <w:szCs w:val="20"/>
          <w:color w:val="auto"/>
        </w:rPr>
      </w:pPr>
      <w:r>
        <w:rPr>
          <w:rFonts w:ascii="Arial" w:cs="Arial" w:eastAsia="Arial" w:hAnsi="Arial"/>
          <w:sz w:val="14"/>
          <w:szCs w:val="14"/>
          <w:b w:val="1"/>
          <w:bCs w:val="1"/>
          <w:color w:val="auto"/>
        </w:rPr>
        <w:t>CLEARWAY ENERGY LLC</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1"/>
              </w:rPr>
              <w:t>Year ended December 31,</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5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rPr>
              <w:t>2020</w:t>
            </w:r>
          </w:p>
        </w:tc>
      </w:tr>
      <w:tr>
        <w:trPr>
          <w:trHeight w:val="167"/>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Revenues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0"/>
        </w:trPr>
        <w:tc>
          <w:tcPr>
            <w:tcW w:w="7940" w:type="dxa"/>
            <w:vAlign w:val="bottom"/>
          </w:tcPr>
          <w:p>
            <w:pPr>
              <w:ind w:left="180"/>
              <w:spacing w:after="0"/>
              <w:rPr>
                <w:sz w:val="20"/>
                <w:szCs w:val="20"/>
                <w:color w:val="auto"/>
              </w:rPr>
            </w:pPr>
            <w:r>
              <w:rPr>
                <w:rFonts w:ascii="Arial" w:cs="Arial" w:eastAsia="Arial" w:hAnsi="Arial"/>
                <w:sz w:val="14"/>
                <w:szCs w:val="14"/>
                <w:color w:val="auto"/>
              </w:rPr>
              <w:t>Total operating revenues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1,190</w:t>
            </w: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1,286</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1,199</w:t>
            </w:r>
          </w:p>
        </w:tc>
      </w:tr>
      <w:tr>
        <w:trPr>
          <w:trHeight w:val="161"/>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Costs and Expenses</w:t>
            </w: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180"/>
        </w:trPr>
        <w:tc>
          <w:tcPr>
            <w:tcW w:w="7940" w:type="dxa"/>
            <w:vAlign w:val="bottom"/>
          </w:tcPr>
          <w:p>
            <w:pPr>
              <w:ind w:left="120"/>
              <w:spacing w:after="0"/>
              <w:rPr>
                <w:sz w:val="20"/>
                <w:szCs w:val="20"/>
                <w:color w:val="auto"/>
              </w:rPr>
            </w:pPr>
            <w:r>
              <w:rPr>
                <w:rFonts w:ascii="Arial" w:cs="Arial" w:eastAsia="Arial" w:hAnsi="Arial"/>
                <w:sz w:val="14"/>
                <w:szCs w:val="14"/>
                <w:color w:val="auto"/>
              </w:rPr>
              <w:t>Cost of operations, exclusive of depreciation, amortization and accretion shown separately below</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366</w:t>
            </w:r>
          </w:p>
        </w:tc>
      </w:tr>
      <w:tr>
        <w:trPr>
          <w:trHeight w:val="181"/>
        </w:trPr>
        <w:tc>
          <w:tcPr>
            <w:tcW w:w="7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amortization and accretion</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r>
      <w:tr>
        <w:trPr>
          <w:trHeight w:val="180"/>
        </w:trPr>
        <w:tc>
          <w:tcPr>
            <w:tcW w:w="7940" w:type="dxa"/>
            <w:vAlign w:val="bottom"/>
          </w:tcPr>
          <w:p>
            <w:pPr>
              <w:ind w:left="120"/>
              <w:spacing w:after="0"/>
              <w:rPr>
                <w:sz w:val="20"/>
                <w:szCs w:val="20"/>
                <w:color w:val="auto"/>
              </w:rPr>
            </w:pPr>
            <w:r>
              <w:rPr>
                <w:rFonts w:ascii="Arial" w:cs="Arial" w:eastAsia="Arial" w:hAnsi="Arial"/>
                <w:sz w:val="14"/>
                <w:szCs w:val="14"/>
                <w:color w:val="auto"/>
              </w:rPr>
              <w:t>Impairment losses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81"/>
        </w:trPr>
        <w:tc>
          <w:tcPr>
            <w:tcW w:w="7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0"/>
        </w:trPr>
        <w:tc>
          <w:tcPr>
            <w:tcW w:w="7940" w:type="dxa"/>
            <w:vAlign w:val="bottom"/>
          </w:tcPr>
          <w:p>
            <w:pPr>
              <w:ind w:left="120"/>
              <w:spacing w:after="0"/>
              <w:rPr>
                <w:sz w:val="20"/>
                <w:szCs w:val="20"/>
                <w:color w:val="auto"/>
              </w:rPr>
            </w:pPr>
            <w:r>
              <w:rPr>
                <w:rFonts w:ascii="Arial" w:cs="Arial" w:eastAsia="Arial" w:hAnsi="Arial"/>
                <w:sz w:val="14"/>
                <w:szCs w:val="14"/>
                <w:color w:val="auto"/>
              </w:rPr>
              <w:t>Transaction and integration costs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1"/>
        </w:trPr>
        <w:tc>
          <w:tcPr>
            <w:tcW w:w="7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Development costs</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71"/>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operating costs and expenses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w:t>
            </w:r>
          </w:p>
        </w:tc>
      </w:tr>
      <w:tr>
        <w:trPr>
          <w:trHeight w:val="171"/>
        </w:trPr>
        <w:tc>
          <w:tcPr>
            <w:tcW w:w="7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on sale of business</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r>
      <w:tr>
        <w:trPr>
          <w:trHeight w:val="16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0"/>
        </w:trPr>
        <w:tc>
          <w:tcPr>
            <w:tcW w:w="7940" w:type="dxa"/>
            <w:vAlign w:val="bottom"/>
          </w:tcPr>
          <w:p>
            <w:pPr>
              <w:ind w:left="12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1"/>
        </w:trPr>
        <w:tc>
          <w:tcPr>
            <w:tcW w:w="7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Impairment loss on investment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0"/>
        </w:trPr>
        <w:tc>
          <w:tcPr>
            <w:tcW w:w="7940" w:type="dxa"/>
            <w:vAlign w:val="bottom"/>
          </w:tcPr>
          <w:p>
            <w:pPr>
              <w:ind w:left="120"/>
              <w:spacing w:after="0"/>
              <w:rPr>
                <w:sz w:val="20"/>
                <w:szCs w:val="20"/>
                <w:color w:val="auto"/>
              </w:rPr>
            </w:pPr>
            <w:r>
              <w:rPr>
                <w:rFonts w:ascii="Arial" w:cs="Arial" w:eastAsia="Arial" w:hAnsi="Arial"/>
                <w:sz w:val="14"/>
                <w:szCs w:val="14"/>
                <w:color w:val="auto"/>
              </w:rPr>
              <w:t>Gain on sale of unconsolidated affiliate</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81"/>
        </w:trPr>
        <w:tc>
          <w:tcPr>
            <w:tcW w:w="7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income, net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0"/>
        </w:trPr>
        <w:tc>
          <w:tcPr>
            <w:tcW w:w="7940" w:type="dxa"/>
            <w:vAlign w:val="bottom"/>
          </w:tcPr>
          <w:p>
            <w:pPr>
              <w:ind w:left="120"/>
              <w:spacing w:after="0"/>
              <w:rPr>
                <w:sz w:val="20"/>
                <w:szCs w:val="20"/>
                <w:color w:val="auto"/>
              </w:rPr>
            </w:pPr>
            <w:r>
              <w:rPr>
                <w:rFonts w:ascii="Arial" w:cs="Arial" w:eastAsia="Arial" w:hAnsi="Arial"/>
                <w:sz w:val="14"/>
                <w:szCs w:val="14"/>
                <w:color w:val="auto"/>
              </w:rPr>
              <w:t>Loss on debt extinguishment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81"/>
        </w:trPr>
        <w:tc>
          <w:tcPr>
            <w:tcW w:w="7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w:t>
            </w:r>
          </w:p>
        </w:tc>
      </w:tr>
      <w:tr>
        <w:trPr>
          <w:trHeight w:val="171"/>
        </w:trPr>
        <w:tc>
          <w:tcPr>
            <w:tcW w:w="79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other expense, net</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w:t>
            </w:r>
          </w:p>
        </w:tc>
      </w:tr>
      <w:tr>
        <w:trPr>
          <w:trHeight w:val="17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80"/>
        </w:trPr>
        <w:tc>
          <w:tcPr>
            <w:tcW w:w="7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71"/>
        </w:trPr>
        <w:tc>
          <w:tcPr>
            <w:tcW w:w="79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Net loss attributable to noncontrolling interests and redeemable interests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r>
      <w:tr>
        <w:trPr>
          <w:trHeight w:val="19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Clearway Energy LLC</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84" w:name="page85"/>
    <w:bookmarkEnd w:id="84"/>
    <w:p>
      <w:pPr>
        <w:jc w:val="center"/>
        <w:spacing w:after="0"/>
        <w:rPr>
          <w:sz w:val="20"/>
          <w:szCs w:val="20"/>
          <w:color w:val="auto"/>
        </w:rPr>
      </w:pPr>
      <w:r>
        <w:rPr>
          <w:rFonts w:ascii="Arial" w:cs="Arial" w:eastAsia="Arial" w:hAnsi="Arial"/>
          <w:sz w:val="14"/>
          <w:szCs w:val="14"/>
          <w:b w:val="1"/>
          <w:bCs w:val="1"/>
          <w:color w:val="auto"/>
        </w:rPr>
        <w:t>CLEARWAY ENERGY LLC</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auto"/>
                <w:w w:val="91"/>
              </w:rPr>
              <w:t>Year ended December 31,</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50"/>
        </w:trPr>
        <w:tc>
          <w:tcPr>
            <w:tcW w:w="794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2020</w:t>
            </w:r>
          </w:p>
        </w:tc>
      </w:tr>
      <w:tr>
        <w:trPr>
          <w:trHeight w:val="139"/>
        </w:trPr>
        <w:tc>
          <w:tcPr>
            <w:tcW w:w="794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90"/>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660" w:type="dxa"/>
            <w:vAlign w:val="bottom"/>
            <w:shd w:val="clear" w:color="auto" w:fill="CCEEFF"/>
          </w:tcPr>
          <w:p>
            <w:pPr>
              <w:jc w:val="right"/>
              <w:ind w:right="514"/>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1,282</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80"/>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7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gain on derivatives and changes in accumulated OCI/OCL</w:t>
            </w:r>
          </w:p>
        </w:tc>
        <w:tc>
          <w:tcPr>
            <w:tcW w:w="6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71"/>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comprehensive income</w:t>
            </w: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71"/>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1,315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80"/>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Comprehensive loss attributable to noncontrolling interests and redeemable interests</w:t>
            </w: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r>
      <w:tr>
        <w:trPr>
          <w:trHeight w:val="19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Attributable to Clearway Energy LLC</w:t>
            </w:r>
          </w:p>
        </w:tc>
        <w:tc>
          <w:tcPr>
            <w:tcW w:w="66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1,415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5" w:name="page86"/>
    <w:bookmarkEnd w:id="85"/>
    <w:p>
      <w:pPr>
        <w:jc w:val="center"/>
        <w:spacing w:after="0"/>
        <w:rPr>
          <w:sz w:val="20"/>
          <w:szCs w:val="20"/>
          <w:color w:val="auto"/>
        </w:rPr>
      </w:pPr>
      <w:r>
        <w:rPr>
          <w:rFonts w:ascii="Arial" w:cs="Arial" w:eastAsia="Arial" w:hAnsi="Arial"/>
          <w:sz w:val="14"/>
          <w:szCs w:val="14"/>
          <w:b w:val="1"/>
          <w:bCs w:val="1"/>
          <w:color w:val="auto"/>
        </w:rPr>
        <w:t>CLEARWAY ENERGY LLC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720" w:type="dxa"/>
            <w:vAlign w:val="bottom"/>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December 31, 2022</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w w:val="98"/>
              </w:rPr>
              <w:t>December 31, 2021</w:t>
            </w:r>
          </w:p>
        </w:tc>
        <w:tc>
          <w:tcPr>
            <w:tcW w:w="0" w:type="dxa"/>
            <w:vAlign w:val="bottom"/>
          </w:tcPr>
          <w:p>
            <w:pPr>
              <w:spacing w:after="0"/>
              <w:rPr>
                <w:sz w:val="1"/>
                <w:szCs w:val="1"/>
                <w:color w:val="auto"/>
              </w:rPr>
            </w:pPr>
          </w:p>
        </w:tc>
      </w:tr>
      <w:tr>
        <w:trPr>
          <w:trHeight w:val="170"/>
        </w:trPr>
        <w:tc>
          <w:tcPr>
            <w:tcW w:w="7720" w:type="dxa"/>
            <w:vAlign w:val="bottom"/>
            <w:tcBorders>
              <w:bottom w:val="single" w:sz="8" w:color="CCEEFF"/>
            </w:tcBorders>
          </w:tcPr>
          <w:p>
            <w:pPr>
              <w:ind w:left="3600"/>
              <w:spacing w:after="0"/>
              <w:rPr>
                <w:sz w:val="20"/>
                <w:szCs w:val="20"/>
                <w:color w:val="auto"/>
              </w:rPr>
            </w:pPr>
            <w:r>
              <w:rPr>
                <w:rFonts w:ascii="Arial" w:cs="Arial" w:eastAsia="Arial" w:hAnsi="Arial"/>
                <w:sz w:val="14"/>
                <w:szCs w:val="14"/>
                <w:b w:val="1"/>
                <w:bCs w:val="1"/>
                <w:color w:val="auto"/>
              </w:rPr>
              <w:t>ASSETS</w:t>
            </w:r>
          </w:p>
        </w:tc>
        <w:tc>
          <w:tcPr>
            <w:tcW w:w="1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1"/>
                <w:szCs w:val="11"/>
                <w:b w:val="1"/>
                <w:bCs w:val="1"/>
                <w:color w:val="auto"/>
              </w:rPr>
              <w:t>(In millions)</w:t>
            </w: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772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Current Assets</w:t>
            </w:r>
          </w:p>
        </w:tc>
        <w:tc>
          <w:tcPr>
            <w:tcW w:w="1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Arial" w:cs="Arial" w:eastAsia="Arial" w:hAnsi="Arial"/>
                <w:sz w:val="13"/>
                <w:szCs w:val="13"/>
                <w:color w:val="auto"/>
              </w:rPr>
              <w:t>Cash and cash equivalents</w:t>
            </w:r>
          </w:p>
        </w:tc>
        <w:tc>
          <w:tcPr>
            <w:tcW w:w="1340" w:type="dxa"/>
            <w:vAlign w:val="bottom"/>
          </w:tcPr>
          <w:p>
            <w:pPr>
              <w:jc w:val="right"/>
              <w:ind w:right="1198"/>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657</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179</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Restricted cash</w:t>
            </w:r>
          </w:p>
        </w:tc>
        <w:tc>
          <w:tcPr>
            <w:tcW w:w="13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Arial" w:cs="Arial" w:eastAsia="Arial" w:hAnsi="Arial"/>
                <w:sz w:val="13"/>
                <w:szCs w:val="13"/>
                <w:color w:val="auto"/>
              </w:rPr>
              <w:t>Accounts receivable — trade</w:t>
            </w:r>
          </w:p>
        </w:tc>
        <w:tc>
          <w:tcPr>
            <w:tcW w:w="1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Inventory</w:t>
            </w:r>
          </w:p>
        </w:tc>
        <w:tc>
          <w:tcPr>
            <w:tcW w:w="13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Arial" w:cs="Arial" w:eastAsia="Arial" w:hAnsi="Arial"/>
                <w:sz w:val="13"/>
                <w:szCs w:val="13"/>
                <w:color w:val="auto"/>
              </w:rPr>
              <w:t>Current assets held-for-sale</w:t>
            </w:r>
          </w:p>
        </w:tc>
        <w:tc>
          <w:tcPr>
            <w:tcW w:w="134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631</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Derivative instruments</w:t>
            </w:r>
          </w:p>
        </w:tc>
        <w:tc>
          <w:tcPr>
            <w:tcW w:w="13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77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Prepayments and other current assets</w:t>
            </w:r>
          </w:p>
        </w:tc>
        <w:tc>
          <w:tcPr>
            <w:tcW w:w="1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3"/>
        </w:trPr>
        <w:tc>
          <w:tcPr>
            <w:tcW w:w="77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3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1,276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w:t>
            </w:r>
          </w:p>
        </w:tc>
        <w:tc>
          <w:tcPr>
            <w:tcW w:w="0" w:type="dxa"/>
            <w:vAlign w:val="bottom"/>
          </w:tcPr>
          <w:p>
            <w:pPr>
              <w:spacing w:after="0"/>
              <w:rPr>
                <w:sz w:val="1"/>
                <w:szCs w:val="1"/>
                <w:color w:val="auto"/>
              </w:rPr>
            </w:pPr>
          </w:p>
        </w:tc>
      </w:tr>
      <w:tr>
        <w:trPr>
          <w:trHeight w:val="168"/>
        </w:trPr>
        <w:tc>
          <w:tcPr>
            <w:tcW w:w="7720" w:type="dxa"/>
            <w:vAlign w:val="bottom"/>
          </w:tcPr>
          <w:p>
            <w:pPr>
              <w:ind w:left="20"/>
              <w:spacing w:after="0"/>
              <w:rPr>
                <w:sz w:val="20"/>
                <w:szCs w:val="20"/>
                <w:color w:val="auto"/>
              </w:rPr>
            </w:pPr>
            <w:r>
              <w:rPr>
                <w:rFonts w:ascii="Arial" w:cs="Arial" w:eastAsia="Arial" w:hAnsi="Arial"/>
                <w:sz w:val="13"/>
                <w:szCs w:val="13"/>
                <w:b w:val="1"/>
                <w:bCs w:val="1"/>
                <w:color w:val="auto"/>
              </w:rPr>
              <w:t>Property, plant and equipment, net</w:t>
            </w:r>
          </w:p>
        </w:tc>
        <w:tc>
          <w:tcPr>
            <w:tcW w:w="1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8"/>
              </w:rPr>
              <w:t>7,421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7,650</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Assets</w:t>
            </w:r>
          </w:p>
        </w:tc>
        <w:tc>
          <w:tcPr>
            <w:tcW w:w="1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Arial" w:cs="Arial" w:eastAsia="Arial" w:hAnsi="Arial"/>
                <w:sz w:val="13"/>
                <w:szCs w:val="13"/>
                <w:color w:val="auto"/>
              </w:rPr>
              <w:t>Equity investments in affiliates</w:t>
            </w:r>
          </w:p>
        </w:tc>
        <w:tc>
          <w:tcPr>
            <w:tcW w:w="1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364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Intangible assets for power purchase agreements, net</w:t>
            </w:r>
          </w:p>
        </w:tc>
        <w:tc>
          <w:tcPr>
            <w:tcW w:w="13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2,488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2,419</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Arial" w:cs="Arial" w:eastAsia="Arial" w:hAnsi="Arial"/>
                <w:sz w:val="13"/>
                <w:szCs w:val="13"/>
                <w:color w:val="auto"/>
              </w:rPr>
              <w:t>Other intangible assets, net</w:t>
            </w:r>
          </w:p>
        </w:tc>
        <w:tc>
          <w:tcPr>
            <w:tcW w:w="1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Derivative instruments</w:t>
            </w:r>
          </w:p>
        </w:tc>
        <w:tc>
          <w:tcPr>
            <w:tcW w:w="13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Arial" w:cs="Arial" w:eastAsia="Arial" w:hAnsi="Arial"/>
                <w:sz w:val="13"/>
                <w:szCs w:val="13"/>
                <w:color w:val="auto"/>
              </w:rPr>
              <w:t>Right-of-use assets, net</w:t>
            </w:r>
          </w:p>
        </w:tc>
        <w:tc>
          <w:tcPr>
            <w:tcW w:w="1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non-current assets</w:t>
            </w:r>
          </w:p>
        </w:tc>
        <w:tc>
          <w:tcPr>
            <w:tcW w:w="13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58"/>
        </w:trPr>
        <w:tc>
          <w:tcPr>
            <w:tcW w:w="77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Total other assets</w:t>
            </w:r>
          </w:p>
        </w:tc>
        <w:tc>
          <w:tcPr>
            <w:tcW w:w="1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3,615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3,537</w:t>
            </w:r>
          </w:p>
        </w:tc>
        <w:tc>
          <w:tcPr>
            <w:tcW w:w="0" w:type="dxa"/>
            <w:vAlign w:val="bottom"/>
          </w:tcPr>
          <w:p>
            <w:pPr>
              <w:spacing w:after="0"/>
              <w:rPr>
                <w:sz w:val="1"/>
                <w:szCs w:val="1"/>
                <w:color w:val="auto"/>
              </w:rPr>
            </w:pPr>
          </w:p>
        </w:tc>
      </w:tr>
      <w:tr>
        <w:trPr>
          <w:trHeight w:val="18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340" w:type="dxa"/>
            <w:vAlign w:val="bottom"/>
            <w:tcBorders>
              <w:bottom w:val="single" w:sz="8" w:color="auto"/>
            </w:tcBorders>
            <w:shd w:val="clear" w:color="auto" w:fill="CCEEFF"/>
          </w:tcPr>
          <w:p>
            <w:pPr>
              <w:jc w:val="right"/>
              <w:ind w:right="1198"/>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0"/>
              </w:rPr>
              <w:t>12,312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12,718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560"/>
              <w:spacing w:after="0"/>
              <w:rPr>
                <w:sz w:val="20"/>
                <w:szCs w:val="20"/>
                <w:color w:val="auto"/>
              </w:rPr>
            </w:pPr>
            <w:r>
              <w:rPr>
                <w:rFonts w:ascii="Arial" w:cs="Arial" w:eastAsia="Arial" w:hAnsi="Arial"/>
                <w:sz w:val="14"/>
                <w:szCs w:val="14"/>
                <w:b w:val="1"/>
                <w:bCs w:val="1"/>
                <w:color w:val="auto"/>
              </w:rPr>
              <w:t>LIABILITIES AND MEMBERS’ EQUITY</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720" w:type="dxa"/>
            <w:vAlign w:val="bottom"/>
            <w:vMerge w:val="continue"/>
          </w:tcPr>
          <w:p>
            <w:pPr>
              <w:spacing w:after="0"/>
              <w:rPr>
                <w:sz w:val="10"/>
                <w:szCs w:val="10"/>
                <w:color w:val="auto"/>
              </w:rPr>
            </w:pPr>
          </w:p>
        </w:tc>
        <w:tc>
          <w:tcPr>
            <w:tcW w:w="1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1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Arial" w:cs="Arial" w:eastAsia="Arial" w:hAnsi="Arial"/>
                <w:sz w:val="13"/>
                <w:szCs w:val="13"/>
                <w:color w:val="auto"/>
              </w:rPr>
              <w:t>Current portion of long-term debt — external</w:t>
            </w:r>
          </w:p>
        </w:tc>
        <w:tc>
          <w:tcPr>
            <w:tcW w:w="1340" w:type="dxa"/>
            <w:vAlign w:val="bottom"/>
          </w:tcPr>
          <w:p>
            <w:pPr>
              <w:jc w:val="right"/>
              <w:ind w:right="1198"/>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772</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Current portion of long-term debt — affiliate</w:t>
            </w:r>
          </w:p>
        </w:tc>
        <w:tc>
          <w:tcPr>
            <w:tcW w:w="13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Arial" w:cs="Arial" w:eastAsia="Arial" w:hAnsi="Arial"/>
                <w:sz w:val="13"/>
                <w:szCs w:val="13"/>
                <w:color w:val="auto"/>
              </w:rPr>
              <w:t>Accounts payable — trade</w:t>
            </w:r>
          </w:p>
        </w:tc>
        <w:tc>
          <w:tcPr>
            <w:tcW w:w="1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payable — affiliates</w:t>
            </w:r>
          </w:p>
        </w:tc>
        <w:tc>
          <w:tcPr>
            <w:tcW w:w="13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Arial" w:cs="Arial" w:eastAsia="Arial" w:hAnsi="Arial"/>
                <w:sz w:val="13"/>
                <w:szCs w:val="13"/>
                <w:color w:val="auto"/>
              </w:rPr>
              <w:t>Derivative instruments</w:t>
            </w:r>
          </w:p>
        </w:tc>
        <w:tc>
          <w:tcPr>
            <w:tcW w:w="1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Accrued interest expense</w:t>
            </w:r>
          </w:p>
        </w:tc>
        <w:tc>
          <w:tcPr>
            <w:tcW w:w="13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Arial" w:cs="Arial" w:eastAsia="Arial" w:hAnsi="Arial"/>
                <w:sz w:val="13"/>
                <w:szCs w:val="13"/>
                <w:color w:val="auto"/>
              </w:rPr>
              <w:t>Current liabilities held-for-sale</w:t>
            </w:r>
          </w:p>
        </w:tc>
        <w:tc>
          <w:tcPr>
            <w:tcW w:w="134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Accrued expenses and other current liabilities</w:t>
            </w:r>
          </w:p>
        </w:tc>
        <w:tc>
          <w:tcPr>
            <w:tcW w:w="13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8"/>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current liabilities</w:t>
            </w:r>
          </w:p>
        </w:tc>
        <w:tc>
          <w:tcPr>
            <w:tcW w:w="1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1,635</w:t>
            </w:r>
          </w:p>
        </w:tc>
        <w:tc>
          <w:tcPr>
            <w:tcW w:w="0" w:type="dxa"/>
            <w:vAlign w:val="bottom"/>
          </w:tcPr>
          <w:p>
            <w:pPr>
              <w:spacing w:after="0"/>
              <w:rPr>
                <w:sz w:val="1"/>
                <w:szCs w:val="1"/>
                <w:color w:val="auto"/>
              </w:rPr>
            </w:pPr>
          </w:p>
        </w:tc>
      </w:tr>
      <w:tr>
        <w:trPr>
          <w:trHeight w:val="152"/>
        </w:trPr>
        <w:tc>
          <w:tcPr>
            <w:tcW w:w="77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Other Liabilities</w:t>
            </w:r>
          </w:p>
        </w:tc>
        <w:tc>
          <w:tcPr>
            <w:tcW w:w="1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Arial" w:cs="Arial" w:eastAsia="Arial" w:hAnsi="Arial"/>
                <w:sz w:val="13"/>
                <w:szCs w:val="13"/>
                <w:color w:val="auto"/>
              </w:rPr>
              <w:t>Long-term debt — external</w:t>
            </w:r>
          </w:p>
        </w:tc>
        <w:tc>
          <w:tcPr>
            <w:tcW w:w="1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8"/>
              </w:rPr>
              <w:t>6,491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6,939</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income taxes</w:t>
            </w:r>
          </w:p>
        </w:tc>
        <w:tc>
          <w:tcPr>
            <w:tcW w:w="13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Arial" w:cs="Arial" w:eastAsia="Arial" w:hAnsi="Arial"/>
                <w:sz w:val="13"/>
                <w:szCs w:val="13"/>
                <w:color w:val="auto"/>
              </w:rPr>
              <w:t>Derivative instruments</w:t>
            </w:r>
          </w:p>
        </w:tc>
        <w:tc>
          <w:tcPr>
            <w:tcW w:w="1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Long-term lease liabilities</w:t>
            </w:r>
          </w:p>
        </w:tc>
        <w:tc>
          <w:tcPr>
            <w:tcW w:w="13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w:t>
            </w:r>
          </w:p>
        </w:tc>
        <w:tc>
          <w:tcPr>
            <w:tcW w:w="0" w:type="dxa"/>
            <w:vAlign w:val="bottom"/>
          </w:tcPr>
          <w:p>
            <w:pPr>
              <w:spacing w:after="0"/>
              <w:rPr>
                <w:sz w:val="1"/>
                <w:szCs w:val="1"/>
                <w:color w:val="auto"/>
              </w:rPr>
            </w:pPr>
          </w:p>
        </w:tc>
      </w:tr>
      <w:tr>
        <w:trPr>
          <w:trHeight w:val="168"/>
        </w:trPr>
        <w:tc>
          <w:tcPr>
            <w:tcW w:w="77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non-current liabilities</w:t>
            </w:r>
          </w:p>
        </w:tc>
        <w:tc>
          <w:tcPr>
            <w:tcW w:w="1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63"/>
        </w:trPr>
        <w:tc>
          <w:tcPr>
            <w:tcW w:w="7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other liabilities</w:t>
            </w:r>
          </w:p>
        </w:tc>
        <w:tc>
          <w:tcPr>
            <w:tcW w:w="13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7,543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7,866</w:t>
            </w:r>
          </w:p>
        </w:tc>
        <w:tc>
          <w:tcPr>
            <w:tcW w:w="0" w:type="dxa"/>
            <w:vAlign w:val="bottom"/>
          </w:tcPr>
          <w:p>
            <w:pPr>
              <w:spacing w:after="0"/>
              <w:rPr>
                <w:sz w:val="1"/>
                <w:szCs w:val="1"/>
                <w:color w:val="auto"/>
              </w:rPr>
            </w:pPr>
          </w:p>
        </w:tc>
      </w:tr>
      <w:tr>
        <w:trPr>
          <w:trHeight w:val="15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Liabilities</w:t>
            </w:r>
          </w:p>
        </w:tc>
        <w:tc>
          <w:tcPr>
            <w:tcW w:w="1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8,145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9,501</w:t>
            </w:r>
          </w:p>
        </w:tc>
        <w:tc>
          <w:tcPr>
            <w:tcW w:w="0" w:type="dxa"/>
            <w:vAlign w:val="bottom"/>
          </w:tcPr>
          <w:p>
            <w:pPr>
              <w:spacing w:after="0"/>
              <w:rPr>
                <w:sz w:val="1"/>
                <w:szCs w:val="1"/>
                <w:color w:val="auto"/>
              </w:rPr>
            </w:pPr>
          </w:p>
        </w:tc>
      </w:tr>
      <w:tr>
        <w:trPr>
          <w:trHeight w:val="163"/>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Redeemable noncontrolling interest in subsidiaries</w:t>
            </w:r>
          </w:p>
        </w:tc>
        <w:tc>
          <w:tcPr>
            <w:tcW w:w="13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72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Commitments and Contingencies</w:t>
            </w:r>
          </w:p>
        </w:tc>
        <w:tc>
          <w:tcPr>
            <w:tcW w:w="1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Members’ Equity</w:t>
            </w:r>
          </w:p>
        </w:tc>
        <w:tc>
          <w:tcPr>
            <w:tcW w:w="1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Arial" w:cs="Arial" w:eastAsia="Arial" w:hAnsi="Arial"/>
                <w:sz w:val="13"/>
                <w:szCs w:val="13"/>
                <w:color w:val="auto"/>
              </w:rPr>
              <w:t>Contributed capital</w:t>
            </w:r>
          </w:p>
        </w:tc>
        <w:tc>
          <w:tcPr>
            <w:tcW w:w="1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8"/>
              </w:rPr>
              <w:t>1,308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1,495</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Retained earnings</w:t>
            </w:r>
          </w:p>
        </w:tc>
        <w:tc>
          <w:tcPr>
            <w:tcW w:w="13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1,240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Arial" w:cs="Arial" w:eastAsia="Arial" w:hAnsi="Arial"/>
                <w:sz w:val="13"/>
                <w:szCs w:val="13"/>
                <w:color w:val="auto"/>
              </w:rPr>
              <w:t>Accumulated other comprehensive income (loss)</w:t>
            </w:r>
          </w:p>
        </w:tc>
        <w:tc>
          <w:tcPr>
            <w:tcW w:w="1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Noncontrolling interest</w:t>
            </w:r>
          </w:p>
        </w:tc>
        <w:tc>
          <w:tcPr>
            <w:tcW w:w="13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1,591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1,692</w:t>
            </w:r>
          </w:p>
        </w:tc>
        <w:tc>
          <w:tcPr>
            <w:tcW w:w="0" w:type="dxa"/>
            <w:vAlign w:val="bottom"/>
          </w:tcPr>
          <w:p>
            <w:pPr>
              <w:spacing w:after="0"/>
              <w:rPr>
                <w:sz w:val="1"/>
                <w:szCs w:val="1"/>
                <w:color w:val="auto"/>
              </w:rPr>
            </w:pPr>
          </w:p>
        </w:tc>
      </w:tr>
      <w:tr>
        <w:trPr>
          <w:trHeight w:val="15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Members’ Equity</w:t>
            </w:r>
          </w:p>
        </w:tc>
        <w:tc>
          <w:tcPr>
            <w:tcW w:w="1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4,160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3,217</w:t>
            </w:r>
          </w:p>
        </w:tc>
        <w:tc>
          <w:tcPr>
            <w:tcW w:w="0" w:type="dxa"/>
            <w:vAlign w:val="bottom"/>
          </w:tcPr>
          <w:p>
            <w:pPr>
              <w:spacing w:after="0"/>
              <w:rPr>
                <w:sz w:val="1"/>
                <w:szCs w:val="1"/>
                <w:color w:val="auto"/>
              </w:rPr>
            </w:pPr>
          </w:p>
        </w:tc>
      </w:tr>
      <w:tr>
        <w:trPr>
          <w:trHeight w:val="18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Members’ Equity</w:t>
            </w:r>
          </w:p>
        </w:tc>
        <w:tc>
          <w:tcPr>
            <w:tcW w:w="1340" w:type="dxa"/>
            <w:vAlign w:val="bottom"/>
            <w:tcBorders>
              <w:bottom w:val="single" w:sz="8" w:color="auto"/>
            </w:tcBorders>
            <w:shd w:val="clear" w:color="auto" w:fill="CCEEFF"/>
          </w:tcPr>
          <w:p>
            <w:pPr>
              <w:jc w:val="right"/>
              <w:ind w:right="1198"/>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0"/>
              </w:rPr>
              <w:t>12,312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12,718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86" w:name="page87"/>
    <w:bookmarkEnd w:id="86"/>
    <w:p>
      <w:pPr>
        <w:jc w:val="center"/>
        <w:spacing w:after="0"/>
        <w:rPr>
          <w:sz w:val="20"/>
          <w:szCs w:val="20"/>
          <w:color w:val="auto"/>
        </w:rPr>
      </w:pPr>
      <w:r>
        <w:rPr>
          <w:rFonts w:ascii="Arial" w:cs="Arial" w:eastAsia="Arial" w:hAnsi="Arial"/>
          <w:sz w:val="14"/>
          <w:szCs w:val="14"/>
          <w:b w:val="1"/>
          <w:bCs w:val="1"/>
          <w:color w:val="auto"/>
        </w:rPr>
        <w:t>CLEARWAY ENERGY LLC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6"/>
          </w:tcPr>
          <w:p>
            <w:pPr>
              <w:jc w:val="center"/>
              <w:ind w:left="440"/>
              <w:spacing w:after="0"/>
              <w:rPr>
                <w:sz w:val="20"/>
                <w:szCs w:val="20"/>
                <w:color w:val="auto"/>
              </w:rPr>
            </w:pPr>
            <w:r>
              <w:rPr>
                <w:rFonts w:ascii="Arial" w:cs="Arial" w:eastAsia="Arial" w:hAnsi="Arial"/>
                <w:sz w:val="11"/>
                <w:szCs w:val="11"/>
                <w:b w:val="1"/>
                <w:bCs w:val="1"/>
                <w:color w:val="auto"/>
                <w:w w:val="91"/>
              </w:rPr>
              <w:t>Year ended December 31,</w:t>
            </w:r>
          </w:p>
        </w:tc>
        <w:tc>
          <w:tcPr>
            <w:tcW w:w="720" w:type="dxa"/>
            <w:vAlign w:val="bottom"/>
            <w:tcBorders>
              <w:bottom w:val="single" w:sz="8" w:color="auto"/>
            </w:tcBorders>
          </w:tcPr>
          <w:p>
            <w:pPr>
              <w:spacing w:after="0"/>
              <w:rPr>
                <w:sz w:val="13"/>
                <w:szCs w:val="13"/>
                <w:color w:val="auto"/>
              </w:rPr>
            </w:pPr>
          </w:p>
        </w:tc>
      </w:tr>
      <w:tr>
        <w:trPr>
          <w:trHeight w:val="150"/>
        </w:trPr>
        <w:tc>
          <w:tcPr>
            <w:tcW w:w="8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1"/>
                <w:szCs w:val="11"/>
                <w:b w:val="1"/>
                <w:bCs w:val="1"/>
                <w:color w:val="auto"/>
              </w:rPr>
              <w:t>2021</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0"/>
              <w:spacing w:after="0"/>
              <w:rPr>
                <w:sz w:val="20"/>
                <w:szCs w:val="20"/>
                <w:color w:val="auto"/>
              </w:rPr>
            </w:pPr>
            <w:r>
              <w:rPr>
                <w:rFonts w:ascii="Arial" w:cs="Arial" w:eastAsia="Arial" w:hAnsi="Arial"/>
                <w:sz w:val="11"/>
                <w:szCs w:val="11"/>
                <w:b w:val="1"/>
                <w:bCs w:val="1"/>
                <w:color w:val="auto"/>
              </w:rPr>
              <w:t>2020</w:t>
            </w:r>
          </w:p>
        </w:tc>
      </w:tr>
      <w:tr>
        <w:trPr>
          <w:trHeight w:val="158"/>
        </w:trPr>
        <w:tc>
          <w:tcPr>
            <w:tcW w:w="8260" w:type="dxa"/>
            <w:vAlign w:val="bottom"/>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(In millions)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0"/>
        </w:trPr>
        <w:tc>
          <w:tcPr>
            <w:tcW w:w="8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r>
      <w:tr>
        <w:trPr>
          <w:trHeight w:val="156"/>
        </w:trPr>
        <w:tc>
          <w:tcPr>
            <w:tcW w:w="8260" w:type="dxa"/>
            <w:vAlign w:val="bottom"/>
          </w:tcPr>
          <w:p>
            <w:pPr>
              <w:ind w:left="120"/>
              <w:spacing w:after="0"/>
              <w:rPr>
                <w:sz w:val="20"/>
                <w:szCs w:val="20"/>
                <w:color w:val="auto"/>
              </w:rPr>
            </w:pPr>
            <w:r>
              <w:rPr>
                <w:rFonts w:ascii="Arial" w:cs="Arial" w:eastAsia="Arial" w:hAnsi="Arial"/>
                <w:sz w:val="12"/>
                <w:szCs w:val="12"/>
                <w:color w:val="auto"/>
              </w:rPr>
              <w:t>Adjustments to reconcile net income (loss) to net cash provided by operating activities: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Equity in earnings of unconsolidated affiliates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Distributions from unconsolidated affiliates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61</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Depreciation, amortization and accretion</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Amortization of financing costs and debt discounts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Amortization of intangibles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Loss on debt extinguishment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Reduction in carrying amount of right-of-use assets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Gain on sale of unconsolidated affiliate</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(49)</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Gain on sale of business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Impairment losses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Change in deferred income taxes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Changes in derivative instruments and amortization of accumulated OCI/OCL</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Loss on disposal of asset components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56"/>
        </w:trPr>
        <w:tc>
          <w:tcPr>
            <w:tcW w:w="8260" w:type="dxa"/>
            <w:vAlign w:val="bottom"/>
          </w:tcPr>
          <w:p>
            <w:pPr>
              <w:ind w:left="120"/>
              <w:spacing w:after="0"/>
              <w:rPr>
                <w:sz w:val="20"/>
                <w:szCs w:val="20"/>
                <w:color w:val="auto"/>
              </w:rPr>
            </w:pPr>
            <w:r>
              <w:rPr>
                <w:rFonts w:ascii="Arial" w:cs="Arial" w:eastAsia="Arial" w:hAnsi="Arial"/>
                <w:sz w:val="12"/>
                <w:szCs w:val="12"/>
                <w:color w:val="auto"/>
              </w:rPr>
              <w:t>Cash provided (used) in changes in other working capital</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Changes in prepaid and accrued liabilities for tolling agreements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56"/>
        </w:trPr>
        <w:tc>
          <w:tcPr>
            <w:tcW w:w="826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Changes in other working capital</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w:t>
            </w:r>
          </w:p>
        </w:tc>
      </w:tr>
      <w:tr>
        <w:trPr>
          <w:trHeight w:val="153"/>
        </w:trPr>
        <w:tc>
          <w:tcPr>
            <w:tcW w:w="82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797</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701</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545</w:t>
            </w:r>
          </w:p>
        </w:tc>
      </w:tr>
      <w:tr>
        <w:trPr>
          <w:trHeight w:val="138"/>
        </w:trPr>
        <w:tc>
          <w:tcPr>
            <w:tcW w:w="8260" w:type="dxa"/>
            <w:vAlign w:val="bottom"/>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0"/>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Acquisitions, net of cash acquired</w:t>
            </w: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Acquisition of Drop Down Assets, net of cash acquired</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(122)</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Acquisition of Capistrano Wind Portfolio, net of cash acquired</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Capital expenditures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(124)</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Asset purchase from affiliate</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Return of investment from unconsolidated affiliates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79</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Investments in unconsolidated affiliates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Proceeds from sale of assets</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90</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Proceeds from sale of business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Consolidation of DGPV Holdco 3 LLC</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r>
      <w:tr>
        <w:trPr>
          <w:trHeight w:val="14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Net Cash Provided by (Used in) Investing Activities</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1,065</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(865)</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w:t>
            </w:r>
          </w:p>
        </w:tc>
      </w:tr>
      <w:tr>
        <w:trPr>
          <w:trHeight w:val="142"/>
        </w:trPr>
        <w:tc>
          <w:tcPr>
            <w:tcW w:w="82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Contributions from noncontrolling interests, net of distributions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680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247</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Contributions from CEG, net of distributions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Buyout of Repowering Partnership II LLC noncontrolling interest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Proceeds from the issuance of class C units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Payments of distributions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(289)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(268)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(211)</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Distributions to CEG of escrowed amounts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Tax-related distributions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Proceeds from the revolving credit facility</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Payments for the revolving credit facility</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(325)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(377)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(265)</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Proceeds from issuance of long-term debt — external</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1,084</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Proceeds from issuance of long-term debt — affiliate</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Payments of debt issuance costs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r>
      <w:tr>
        <w:trPr>
          <w:trHeight w:val="156"/>
        </w:trPr>
        <w:tc>
          <w:tcPr>
            <w:tcW w:w="8260" w:type="dxa"/>
            <w:vAlign w:val="bottom"/>
          </w:tcPr>
          <w:p>
            <w:pPr>
              <w:ind w:left="280"/>
              <w:spacing w:after="0"/>
              <w:rPr>
                <w:sz w:val="20"/>
                <w:szCs w:val="20"/>
                <w:color w:val="auto"/>
              </w:rPr>
            </w:pPr>
            <w:r>
              <w:rPr>
                <w:rFonts w:ascii="Arial" w:cs="Arial" w:eastAsia="Arial" w:hAnsi="Arial"/>
                <w:sz w:val="12"/>
                <w:szCs w:val="12"/>
                <w:color w:val="auto"/>
              </w:rPr>
              <w:t>Payments for long-term debt — external</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(1,198)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(2,292)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(1,482)</w:t>
            </w:r>
          </w:p>
        </w:tc>
      </w:tr>
      <w:tr>
        <w:trPr>
          <w:trHeight w:val="162"/>
        </w:trPr>
        <w:tc>
          <w:tcPr>
            <w:tcW w:w="82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Payments for long-term debt — affiliate</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r>
      <w:tr>
        <w:trPr>
          <w:trHeight w:val="156"/>
        </w:trPr>
        <w:tc>
          <w:tcPr>
            <w:tcW w:w="826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2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Cash (Used in) Provided by Financing Activities</w:t>
            </w: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(1,520)</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367</w:t>
            </w:r>
          </w:p>
        </w:tc>
        <w:tc>
          <w:tcPr>
            <w:tcW w:w="1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(432)</w:t>
            </w:r>
          </w:p>
        </w:tc>
      </w:tr>
      <w:tr>
        <w:trPr>
          <w:trHeight w:val="14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Reclassification of Cash to Assets Held-for-Sale</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2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Increase in Cash, Cash Equivalents and Restricted Cash</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r>
      <w:tr>
        <w:trPr>
          <w:trHeight w:val="15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Cash, Cash Equivalents and Restricted Cash at Beginning of Period</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654</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465</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414</w:t>
            </w:r>
          </w:p>
        </w:tc>
      </w:tr>
      <w:tr>
        <w:trPr>
          <w:trHeight w:val="17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Cash Equivalents and Restricted Cash at End of Period</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996</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654</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2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Supplemental Disclosures:</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6"/>
        </w:trPr>
        <w:tc>
          <w:tcPr>
            <w:tcW w:w="8260" w:type="dxa"/>
            <w:vAlign w:val="bottom"/>
          </w:tcPr>
          <w:p>
            <w:pPr>
              <w:ind w:left="180"/>
              <w:spacing w:after="0"/>
              <w:rPr>
                <w:sz w:val="20"/>
                <w:szCs w:val="20"/>
                <w:color w:val="auto"/>
              </w:rPr>
            </w:pPr>
            <w:r>
              <w:rPr>
                <w:rFonts w:ascii="Arial" w:cs="Arial" w:eastAsia="Arial" w:hAnsi="Arial"/>
                <w:sz w:val="12"/>
                <w:szCs w:val="12"/>
                <w:color w:val="auto"/>
              </w:rPr>
              <w:t>Interest paid, net of amount capitalized</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(317)</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(337)</w:t>
            </w:r>
          </w:p>
        </w:tc>
        <w:tc>
          <w:tcPr>
            <w:tcW w:w="12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(325)</w:t>
            </w:r>
          </w:p>
        </w:tc>
      </w:tr>
      <w:tr>
        <w:trPr>
          <w:trHeight w:val="162"/>
        </w:trPr>
        <w:tc>
          <w:tcPr>
            <w:tcW w:w="82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Non-cash investing and financing activities: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53"/>
        </w:trPr>
        <w:tc>
          <w:tcPr>
            <w:tcW w:w="8260" w:type="dxa"/>
            <w:vAlign w:val="bottom"/>
          </w:tcPr>
          <w:p>
            <w:pPr>
              <w:ind w:left="180"/>
              <w:spacing w:after="0"/>
              <w:rPr>
                <w:sz w:val="20"/>
                <w:szCs w:val="20"/>
                <w:color w:val="auto"/>
              </w:rPr>
            </w:pPr>
            <w:r>
              <w:rPr>
                <w:rFonts w:ascii="Arial" w:cs="Arial" w:eastAsia="Arial" w:hAnsi="Arial"/>
                <w:sz w:val="12"/>
                <w:szCs w:val="12"/>
                <w:color w:val="auto"/>
              </w:rPr>
              <w:t>Non-cash (distributions to), contributions from CEG</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w:t>
            </w: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7" w:name="page88"/>
    <w:bookmarkEnd w:id="87"/>
    <w:p>
      <w:pPr>
        <w:jc w:val="center"/>
        <w:spacing w:after="0"/>
        <w:rPr>
          <w:sz w:val="20"/>
          <w:szCs w:val="20"/>
          <w:color w:val="auto"/>
        </w:rPr>
      </w:pPr>
      <w:r>
        <w:rPr>
          <w:rFonts w:ascii="Arial" w:cs="Arial" w:eastAsia="Arial" w:hAnsi="Arial"/>
          <w:sz w:val="14"/>
          <w:szCs w:val="14"/>
          <w:b w:val="1"/>
          <w:bCs w:val="1"/>
          <w:color w:val="auto"/>
        </w:rPr>
        <w:t>CLEARWAY ENERGY LLC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MEMBERS’ EQUITY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left="150"/>
              <w:spacing w:after="0"/>
              <w:rPr>
                <w:sz w:val="20"/>
                <w:szCs w:val="20"/>
                <w:color w:val="auto"/>
              </w:rPr>
            </w:pPr>
            <w:r>
              <w:rPr>
                <w:rFonts w:ascii="Arial" w:cs="Arial" w:eastAsia="Arial" w:hAnsi="Arial"/>
                <w:sz w:val="10"/>
                <w:szCs w:val="10"/>
                <w:b w:val="1"/>
                <w:bCs w:val="1"/>
                <w:color w:val="auto"/>
                <w:w w:val="89"/>
              </w:rPr>
              <w:t>Accumulated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8"/>
              </w:rPr>
              <w:t>Retained Earnings</w:t>
            </w:r>
          </w:p>
        </w:tc>
        <w:tc>
          <w:tcPr>
            <w:tcW w:w="920" w:type="dxa"/>
            <w:vAlign w:val="bottom"/>
          </w:tcPr>
          <w:p>
            <w:pPr>
              <w:jc w:val="center"/>
              <w:ind w:left="170"/>
              <w:spacing w:after="0" w:line="98" w:lineRule="exact"/>
              <w:rPr>
                <w:sz w:val="20"/>
                <w:szCs w:val="20"/>
                <w:color w:val="auto"/>
              </w:rPr>
            </w:pPr>
            <w:r>
              <w:rPr>
                <w:rFonts w:ascii="Arial" w:cs="Arial" w:eastAsia="Arial" w:hAnsi="Arial"/>
                <w:sz w:val="10"/>
                <w:szCs w:val="10"/>
                <w:b w:val="1"/>
                <w:bCs w:val="1"/>
                <w:color w:val="auto"/>
                <w:w w:val="97"/>
              </w:rPr>
              <w:t>Other</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right"/>
              <w:ind w:right="404"/>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5"/>
        </w:trPr>
        <w:tc>
          <w:tcPr>
            <w:tcW w:w="5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80" w:type="dxa"/>
            <w:vAlign w:val="bottom"/>
          </w:tcPr>
          <w:p>
            <w:pPr>
              <w:spacing w:after="0"/>
              <w:rPr>
                <w:sz w:val="8"/>
                <w:szCs w:val="8"/>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Contributed Capital</w:t>
            </w:r>
          </w:p>
        </w:tc>
        <w:tc>
          <w:tcPr>
            <w:tcW w:w="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jc w:val="center"/>
              <w:ind w:left="170"/>
              <w:spacing w:after="0" w:line="96" w:lineRule="exact"/>
              <w:rPr>
                <w:sz w:val="20"/>
                <w:szCs w:val="20"/>
                <w:color w:val="auto"/>
              </w:rPr>
            </w:pPr>
            <w:r>
              <w:rPr>
                <w:rFonts w:ascii="Arial" w:cs="Arial" w:eastAsia="Arial" w:hAnsi="Arial"/>
                <w:sz w:val="10"/>
                <w:szCs w:val="10"/>
                <w:b w:val="1"/>
                <w:bCs w:val="1"/>
                <w:color w:val="auto"/>
                <w:w w:val="87"/>
              </w:rPr>
              <w:t>Comprehensive</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Noncontrolling Interest</w:t>
            </w: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53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(Accumulated Deficit)</w:t>
            </w:r>
          </w:p>
        </w:tc>
        <w:tc>
          <w:tcPr>
            <w:tcW w:w="920" w:type="dxa"/>
            <w:vAlign w:val="bottom"/>
          </w:tcPr>
          <w:p>
            <w:pPr>
              <w:jc w:val="center"/>
              <w:ind w:left="170"/>
              <w:spacing w:after="0"/>
              <w:rPr>
                <w:sz w:val="20"/>
                <w:szCs w:val="20"/>
                <w:color w:val="auto"/>
              </w:rPr>
            </w:pPr>
            <w:r>
              <w:rPr>
                <w:rFonts w:ascii="Arial" w:cs="Arial" w:eastAsia="Arial" w:hAnsi="Arial"/>
                <w:sz w:val="10"/>
                <w:szCs w:val="10"/>
                <w:b w:val="1"/>
                <w:bCs w:val="1"/>
                <w:color w:val="auto"/>
                <w:w w:val="85"/>
              </w:rPr>
              <w:t>(Loss) Income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44"/>
              <w:spacing w:after="0"/>
              <w:rPr>
                <w:sz w:val="20"/>
                <w:szCs w:val="20"/>
                <w:color w:val="auto"/>
              </w:rPr>
            </w:pPr>
            <w:r>
              <w:rPr>
                <w:rFonts w:ascii="Arial" w:cs="Arial" w:eastAsia="Arial" w:hAnsi="Arial"/>
                <w:sz w:val="10"/>
                <w:szCs w:val="10"/>
                <w:b w:val="1"/>
                <w:bCs w:val="1"/>
                <w:color w:val="auto"/>
                <w:w w:val="97"/>
              </w:rPr>
              <w:t>Members’ Equity</w:t>
            </w:r>
          </w:p>
        </w:tc>
        <w:tc>
          <w:tcPr>
            <w:tcW w:w="0" w:type="dxa"/>
            <w:vAlign w:val="bottom"/>
          </w:tcPr>
          <w:p>
            <w:pPr>
              <w:spacing w:after="0"/>
              <w:rPr>
                <w:sz w:val="1"/>
                <w:szCs w:val="1"/>
                <w:color w:val="auto"/>
              </w:rPr>
            </w:pPr>
          </w:p>
        </w:tc>
      </w:tr>
      <w:tr>
        <w:trPr>
          <w:trHeight w:val="156"/>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at December 31, 2019</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1,882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1"/>
              </w:rPr>
              <w:t>(37)</w:t>
            </w: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2,173</w:t>
            </w:r>
          </w:p>
        </w:tc>
        <w:tc>
          <w:tcPr>
            <w:tcW w:w="0" w:type="dxa"/>
            <w:vAlign w:val="bottom"/>
          </w:tcPr>
          <w:p>
            <w:pPr>
              <w:spacing w:after="0"/>
              <w:rPr>
                <w:sz w:val="1"/>
                <w:szCs w:val="1"/>
                <w:color w:val="auto"/>
              </w:rPr>
            </w:pPr>
          </w:p>
        </w:tc>
      </w:tr>
      <w:tr>
        <w:trPr>
          <w:trHeight w:val="152"/>
        </w:trPr>
        <w:tc>
          <w:tcPr>
            <w:tcW w:w="5300" w:type="dxa"/>
            <w:vAlign w:val="bottom"/>
          </w:tcPr>
          <w:p>
            <w:pPr>
              <w:ind w:left="80"/>
              <w:spacing w:after="0"/>
              <w:rPr>
                <w:sz w:val="20"/>
                <w:szCs w:val="20"/>
                <w:color w:val="auto"/>
              </w:rPr>
            </w:pPr>
            <w:r>
              <w:rPr>
                <w:rFonts w:ascii="Arial" w:cs="Arial" w:eastAsia="Arial" w:hAnsi="Arial"/>
                <w:sz w:val="11"/>
                <w:szCs w:val="11"/>
                <w:color w:val="auto"/>
              </w:rPr>
              <w:t>Net income (loss)</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Unrealized gain on derivatives and changes in accumulated OCL</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2"/>
        </w:trPr>
        <w:tc>
          <w:tcPr>
            <w:tcW w:w="5300" w:type="dxa"/>
            <w:vAlign w:val="bottom"/>
          </w:tcPr>
          <w:p>
            <w:pPr>
              <w:ind w:left="80"/>
              <w:spacing w:after="0"/>
              <w:rPr>
                <w:sz w:val="20"/>
                <w:szCs w:val="20"/>
                <w:color w:val="auto"/>
              </w:rPr>
            </w:pPr>
            <w:r>
              <w:rPr>
                <w:rFonts w:ascii="Arial" w:cs="Arial" w:eastAsia="Arial" w:hAnsi="Arial"/>
                <w:sz w:val="11"/>
                <w:szCs w:val="11"/>
                <w:color w:val="auto"/>
              </w:rPr>
              <w:t>Contributions from CEG, non-cash</w:t>
            </w:r>
          </w:p>
        </w:tc>
        <w:tc>
          <w:tcPr>
            <w:tcW w:w="8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Contributions from CEG, cash</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2"/>
        </w:trPr>
        <w:tc>
          <w:tcPr>
            <w:tcW w:w="5300" w:type="dxa"/>
            <w:vAlign w:val="bottom"/>
          </w:tcPr>
          <w:p>
            <w:pPr>
              <w:ind w:left="80"/>
              <w:spacing w:after="0"/>
              <w:rPr>
                <w:sz w:val="20"/>
                <w:szCs w:val="20"/>
                <w:color w:val="auto"/>
              </w:rPr>
            </w:pPr>
            <w:r>
              <w:rPr>
                <w:rFonts w:ascii="Arial" w:cs="Arial" w:eastAsia="Arial" w:hAnsi="Arial"/>
                <w:sz w:val="11"/>
                <w:szCs w:val="11"/>
                <w:color w:val="auto"/>
              </w:rPr>
              <w:t>Distributions to noncontrolling interests, non-cash</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Contributions from noncontrolling interests, net of distributions, cash</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361</w:t>
            </w:r>
          </w:p>
        </w:tc>
        <w:tc>
          <w:tcPr>
            <w:tcW w:w="0" w:type="dxa"/>
            <w:vAlign w:val="bottom"/>
          </w:tcPr>
          <w:p>
            <w:pPr>
              <w:spacing w:after="0"/>
              <w:rPr>
                <w:sz w:val="1"/>
                <w:szCs w:val="1"/>
                <w:color w:val="auto"/>
              </w:rPr>
            </w:pPr>
          </w:p>
        </w:tc>
      </w:tr>
      <w:tr>
        <w:trPr>
          <w:trHeight w:val="152"/>
        </w:trPr>
        <w:tc>
          <w:tcPr>
            <w:tcW w:w="5300" w:type="dxa"/>
            <w:vAlign w:val="bottom"/>
          </w:tcPr>
          <w:p>
            <w:pPr>
              <w:ind w:left="80"/>
              <w:spacing w:after="0"/>
              <w:rPr>
                <w:sz w:val="20"/>
                <w:szCs w:val="20"/>
                <w:color w:val="auto"/>
              </w:rPr>
            </w:pPr>
            <w:r>
              <w:rPr>
                <w:rFonts w:ascii="Arial" w:cs="Arial" w:eastAsia="Arial" w:hAnsi="Arial"/>
                <w:sz w:val="11"/>
                <w:szCs w:val="11"/>
                <w:color w:val="auto"/>
              </w:rPr>
              <w:t>DGPV Drop Down and Consolidation</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Mesquite Star Drop Down and Consolidation</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361</w:t>
            </w:r>
          </w:p>
        </w:tc>
        <w:tc>
          <w:tcPr>
            <w:tcW w:w="0" w:type="dxa"/>
            <w:vAlign w:val="bottom"/>
          </w:tcPr>
          <w:p>
            <w:pPr>
              <w:spacing w:after="0"/>
              <w:rPr>
                <w:sz w:val="1"/>
                <w:szCs w:val="1"/>
                <w:color w:val="auto"/>
              </w:rPr>
            </w:pPr>
          </w:p>
        </w:tc>
      </w:tr>
      <w:tr>
        <w:trPr>
          <w:trHeight w:val="152"/>
        </w:trPr>
        <w:tc>
          <w:tcPr>
            <w:tcW w:w="5300" w:type="dxa"/>
            <w:vAlign w:val="bottom"/>
          </w:tcPr>
          <w:p>
            <w:pPr>
              <w:ind w:left="80"/>
              <w:spacing w:after="0"/>
              <w:rPr>
                <w:sz w:val="20"/>
                <w:szCs w:val="20"/>
                <w:color w:val="auto"/>
              </w:rPr>
            </w:pPr>
            <w:r>
              <w:rPr>
                <w:rFonts w:ascii="Arial" w:cs="Arial" w:eastAsia="Arial" w:hAnsi="Arial"/>
                <w:sz w:val="11"/>
                <w:szCs w:val="11"/>
                <w:color w:val="auto"/>
              </w:rPr>
              <w:t>Langford Drop Down</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Rosamond Central Drop Down</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52"/>
        </w:trPr>
        <w:tc>
          <w:tcPr>
            <w:tcW w:w="5300" w:type="dxa"/>
            <w:vAlign w:val="bottom"/>
          </w:tcPr>
          <w:p>
            <w:pPr>
              <w:ind w:left="80"/>
              <w:spacing w:after="0"/>
              <w:rPr>
                <w:sz w:val="20"/>
                <w:szCs w:val="20"/>
                <w:color w:val="auto"/>
              </w:rPr>
            </w:pPr>
            <w:r>
              <w:rPr>
                <w:rFonts w:ascii="Arial" w:cs="Arial" w:eastAsia="Arial" w:hAnsi="Arial"/>
                <w:sz w:val="11"/>
                <w:szCs w:val="11"/>
                <w:color w:val="auto"/>
              </w:rPr>
              <w:t>Lighthouse Partnership Yield Protection Agreement</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Buyout of Repowering Partnership II LLC non-controlling interest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52"/>
        </w:trPr>
        <w:tc>
          <w:tcPr>
            <w:tcW w:w="5300" w:type="dxa"/>
            <w:vAlign w:val="bottom"/>
          </w:tcPr>
          <w:p>
            <w:pPr>
              <w:ind w:left="80"/>
              <w:spacing w:after="0"/>
              <w:rPr>
                <w:sz w:val="20"/>
                <w:szCs w:val="20"/>
                <w:color w:val="auto"/>
              </w:rPr>
            </w:pPr>
            <w:r>
              <w:rPr>
                <w:rFonts w:ascii="Arial" w:cs="Arial" w:eastAsia="Arial" w:hAnsi="Arial"/>
                <w:sz w:val="11"/>
                <w:szCs w:val="11"/>
                <w:color w:val="auto"/>
              </w:rPr>
              <w:t>Net proceeds from the sales of units, Clearway Energy, Inc.</w:t>
            </w:r>
          </w:p>
        </w:tc>
        <w:tc>
          <w:tcPr>
            <w:tcW w:w="8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Distributions paid to CEG on Class B and Class D unit holders</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52"/>
        </w:trPr>
        <w:tc>
          <w:tcPr>
            <w:tcW w:w="5300" w:type="dxa"/>
            <w:vAlign w:val="bottom"/>
          </w:tcPr>
          <w:p>
            <w:pPr>
              <w:ind w:left="80"/>
              <w:spacing w:after="0"/>
              <w:rPr>
                <w:sz w:val="20"/>
                <w:szCs w:val="20"/>
                <w:color w:val="auto"/>
              </w:rPr>
            </w:pPr>
            <w:r>
              <w:rPr>
                <w:rFonts w:ascii="Arial" w:cs="Arial" w:eastAsia="Arial" w:hAnsi="Arial"/>
                <w:sz w:val="11"/>
                <w:szCs w:val="11"/>
                <w:color w:val="auto"/>
              </w:rPr>
              <w:t>Distributions paid to Clearway, Inc.</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(121)</w:t>
            </w:r>
          </w:p>
        </w:tc>
        <w:tc>
          <w:tcPr>
            <w:tcW w:w="0" w:type="dxa"/>
            <w:vAlign w:val="bottom"/>
          </w:tcPr>
          <w:p>
            <w:pPr>
              <w:spacing w:after="0"/>
              <w:rPr>
                <w:sz w:val="1"/>
                <w:szCs w:val="1"/>
                <w:color w:val="auto"/>
              </w:rPr>
            </w:pPr>
          </w:p>
        </w:tc>
      </w:tr>
      <w:tr>
        <w:trPr>
          <w:trHeight w:val="157"/>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at December 31, 2020</w:t>
            </w: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1,723</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1"/>
              </w:rPr>
              <w:t>(33)</w:t>
            </w: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2,612</w:t>
            </w:r>
          </w:p>
        </w:tc>
        <w:tc>
          <w:tcPr>
            <w:tcW w:w="0" w:type="dxa"/>
            <w:vAlign w:val="bottom"/>
          </w:tcPr>
          <w:p>
            <w:pPr>
              <w:spacing w:after="0"/>
              <w:rPr>
                <w:sz w:val="1"/>
                <w:szCs w:val="1"/>
                <w:color w:val="auto"/>
              </w:rPr>
            </w:pPr>
          </w:p>
        </w:tc>
      </w:tr>
      <w:tr>
        <w:trPr>
          <w:trHeight w:val="152"/>
        </w:trPr>
        <w:tc>
          <w:tcPr>
            <w:tcW w:w="5300" w:type="dxa"/>
            <w:vAlign w:val="bottom"/>
          </w:tcPr>
          <w:p>
            <w:pPr>
              <w:ind w:left="80"/>
              <w:spacing w:after="0"/>
              <w:rPr>
                <w:sz w:val="20"/>
                <w:szCs w:val="20"/>
                <w:color w:val="auto"/>
              </w:rPr>
            </w:pPr>
            <w:r>
              <w:rPr>
                <w:rFonts w:ascii="Arial" w:cs="Arial" w:eastAsia="Arial" w:hAnsi="Arial"/>
                <w:sz w:val="11"/>
                <w:szCs w:val="11"/>
                <w:color w:val="auto"/>
              </w:rPr>
              <w:t>Net income (loss)</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Unrealized gain on derivatives and changes in accumulated OCL</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52"/>
        </w:trPr>
        <w:tc>
          <w:tcPr>
            <w:tcW w:w="5300" w:type="dxa"/>
            <w:vAlign w:val="bottom"/>
          </w:tcPr>
          <w:p>
            <w:pPr>
              <w:ind w:left="80"/>
              <w:spacing w:after="0"/>
              <w:rPr>
                <w:sz w:val="20"/>
                <w:szCs w:val="20"/>
                <w:color w:val="auto"/>
              </w:rPr>
            </w:pPr>
            <w:r>
              <w:rPr>
                <w:rFonts w:ascii="Arial" w:cs="Arial" w:eastAsia="Arial" w:hAnsi="Arial"/>
                <w:sz w:val="11"/>
                <w:szCs w:val="11"/>
                <w:color w:val="auto"/>
              </w:rPr>
              <w:t>Contributions from CEG, net of distributions, non-cash</w:t>
            </w:r>
          </w:p>
        </w:tc>
        <w:tc>
          <w:tcPr>
            <w:tcW w:w="8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Contributions from CEG, net of distributions, cash</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0" w:type="dxa"/>
            <w:vAlign w:val="bottom"/>
          </w:tcPr>
          <w:p>
            <w:pPr>
              <w:spacing w:after="0"/>
              <w:rPr>
                <w:sz w:val="1"/>
                <w:szCs w:val="1"/>
                <w:color w:val="auto"/>
              </w:rPr>
            </w:pPr>
          </w:p>
        </w:tc>
      </w:tr>
      <w:tr>
        <w:trPr>
          <w:trHeight w:val="152"/>
        </w:trPr>
        <w:tc>
          <w:tcPr>
            <w:tcW w:w="5300" w:type="dxa"/>
            <w:vAlign w:val="bottom"/>
          </w:tcPr>
          <w:p>
            <w:pPr>
              <w:ind w:left="80"/>
              <w:spacing w:after="0"/>
              <w:rPr>
                <w:sz w:val="20"/>
                <w:szCs w:val="20"/>
                <w:color w:val="auto"/>
              </w:rPr>
            </w:pPr>
            <w:r>
              <w:rPr>
                <w:rFonts w:ascii="Arial" w:cs="Arial" w:eastAsia="Arial" w:hAnsi="Arial"/>
                <w:sz w:val="11"/>
                <w:szCs w:val="11"/>
                <w:color w:val="auto"/>
              </w:rPr>
              <w:t>Contributions from noncontrolling interests, net of distributions, cash</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676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676</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Distributions paid to CEG on Class B and Class D unit holders</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w:t>
            </w:r>
          </w:p>
        </w:tc>
        <w:tc>
          <w:tcPr>
            <w:tcW w:w="0" w:type="dxa"/>
            <w:vAlign w:val="bottom"/>
          </w:tcPr>
          <w:p>
            <w:pPr>
              <w:spacing w:after="0"/>
              <w:rPr>
                <w:sz w:val="1"/>
                <w:szCs w:val="1"/>
                <w:color w:val="auto"/>
              </w:rPr>
            </w:pPr>
          </w:p>
        </w:tc>
      </w:tr>
      <w:tr>
        <w:trPr>
          <w:trHeight w:val="152"/>
        </w:trPr>
        <w:tc>
          <w:tcPr>
            <w:tcW w:w="5300" w:type="dxa"/>
            <w:vAlign w:val="bottom"/>
          </w:tcPr>
          <w:p>
            <w:pPr>
              <w:ind w:left="80"/>
              <w:spacing w:after="0"/>
              <w:rPr>
                <w:sz w:val="20"/>
                <w:szCs w:val="20"/>
                <w:color w:val="auto"/>
              </w:rPr>
            </w:pPr>
            <w:r>
              <w:rPr>
                <w:rFonts w:ascii="Arial" w:cs="Arial" w:eastAsia="Arial" w:hAnsi="Arial"/>
                <w:sz w:val="11"/>
                <w:szCs w:val="11"/>
                <w:color w:val="auto"/>
              </w:rPr>
              <w:t>Distributions paid to Clearway, Inc.</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Lighthouse Partnership Yield Protection Agreement Amendment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52"/>
        </w:trPr>
        <w:tc>
          <w:tcPr>
            <w:tcW w:w="5300" w:type="dxa"/>
            <w:vAlign w:val="bottom"/>
          </w:tcPr>
          <w:p>
            <w:pPr>
              <w:ind w:left="80"/>
              <w:spacing w:after="0"/>
              <w:rPr>
                <w:sz w:val="20"/>
                <w:szCs w:val="20"/>
                <w:color w:val="auto"/>
              </w:rPr>
            </w:pPr>
            <w:r>
              <w:rPr>
                <w:rFonts w:ascii="Arial" w:cs="Arial" w:eastAsia="Arial" w:hAnsi="Arial"/>
                <w:sz w:val="11"/>
                <w:szCs w:val="11"/>
                <w:color w:val="auto"/>
              </w:rPr>
              <w:t>Agua Caliente Acquisition</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273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273</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Rattlesnake Drop Down</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152"/>
        </w:trPr>
        <w:tc>
          <w:tcPr>
            <w:tcW w:w="5300" w:type="dxa"/>
            <w:vAlign w:val="bottom"/>
          </w:tcPr>
          <w:p>
            <w:pPr>
              <w:ind w:left="80"/>
              <w:spacing w:after="0"/>
              <w:rPr>
                <w:sz w:val="20"/>
                <w:szCs w:val="20"/>
                <w:color w:val="auto"/>
              </w:rPr>
            </w:pPr>
            <w:r>
              <w:rPr>
                <w:rFonts w:ascii="Arial" w:cs="Arial" w:eastAsia="Arial" w:hAnsi="Arial"/>
                <w:sz w:val="11"/>
                <w:szCs w:val="11"/>
                <w:color w:val="auto"/>
              </w:rPr>
              <w:t>Mesquite Sky Drop Down</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80"/>
              <w:spacing w:after="0"/>
              <w:rPr>
                <w:sz w:val="20"/>
                <w:szCs w:val="20"/>
                <w:color w:val="auto"/>
              </w:rPr>
            </w:pPr>
            <w:r>
              <w:rPr>
                <w:rFonts w:ascii="Arial" w:cs="Arial" w:eastAsia="Arial" w:hAnsi="Arial"/>
                <w:sz w:val="11"/>
                <w:szCs w:val="11"/>
                <w:color w:val="auto"/>
              </w:rPr>
              <w:t>Black Rock Drop Down</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43"/>
        </w:trPr>
        <w:tc>
          <w:tcPr>
            <w:tcW w:w="5300" w:type="dxa"/>
            <w:vAlign w:val="bottom"/>
          </w:tcPr>
          <w:p>
            <w:pPr>
              <w:ind w:left="20"/>
              <w:spacing w:after="0"/>
              <w:rPr>
                <w:sz w:val="20"/>
                <w:szCs w:val="20"/>
                <w:color w:val="auto"/>
              </w:rPr>
            </w:pPr>
            <w:r>
              <w:rPr>
                <w:rFonts w:ascii="Arial" w:cs="Arial" w:eastAsia="Arial" w:hAnsi="Arial"/>
                <w:sz w:val="11"/>
                <w:szCs w:val="11"/>
                <w:b w:val="1"/>
                <w:bCs w:val="1"/>
                <w:color w:val="auto"/>
              </w:rPr>
              <w:t>Balances at December 31, 2021</w:t>
            </w: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1,495</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1"/>
              </w:rPr>
              <w:t>(13)</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1,692</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3,217</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1,271</w:t>
            </w:r>
          </w:p>
        </w:tc>
        <w:tc>
          <w:tcPr>
            <w:tcW w:w="0" w:type="dxa"/>
            <w:vAlign w:val="bottom"/>
          </w:tcPr>
          <w:p>
            <w:pPr>
              <w:spacing w:after="0"/>
              <w:rPr>
                <w:sz w:val="1"/>
                <w:szCs w:val="1"/>
                <w:color w:val="auto"/>
              </w:rPr>
            </w:pPr>
          </w:p>
        </w:tc>
      </w:tr>
      <w:tr>
        <w:trPr>
          <w:trHeight w:val="152"/>
        </w:trPr>
        <w:tc>
          <w:tcPr>
            <w:tcW w:w="5300" w:type="dxa"/>
            <w:vAlign w:val="bottom"/>
          </w:tcPr>
          <w:p>
            <w:pPr>
              <w:ind w:left="20"/>
              <w:spacing w:after="0"/>
              <w:rPr>
                <w:sz w:val="20"/>
                <w:szCs w:val="20"/>
                <w:color w:val="auto"/>
              </w:rPr>
            </w:pPr>
            <w:r>
              <w:rPr>
                <w:rFonts w:ascii="Arial" w:cs="Arial" w:eastAsia="Arial" w:hAnsi="Arial"/>
                <w:sz w:val="11"/>
                <w:szCs w:val="11"/>
                <w:color w:val="auto"/>
              </w:rPr>
              <w:t>Unrealized gain on derivatives and changes in accumulated OCI</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(Distributions to) contributions from CEG, non-cash</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52"/>
        </w:trPr>
        <w:tc>
          <w:tcPr>
            <w:tcW w:w="5300" w:type="dxa"/>
            <w:vAlign w:val="bottom"/>
          </w:tcPr>
          <w:p>
            <w:pPr>
              <w:ind w:left="20"/>
              <w:spacing w:after="0"/>
              <w:rPr>
                <w:sz w:val="20"/>
                <w:szCs w:val="20"/>
                <w:color w:val="auto"/>
              </w:rPr>
            </w:pPr>
            <w:r>
              <w:rPr>
                <w:rFonts w:ascii="Arial" w:cs="Arial" w:eastAsia="Arial" w:hAnsi="Arial"/>
                <w:sz w:val="11"/>
                <w:szCs w:val="11"/>
                <w:color w:val="auto"/>
              </w:rPr>
              <w:t>Contributions from (distributions to) CEG, cash</w:t>
            </w:r>
          </w:p>
        </w:tc>
        <w:tc>
          <w:tcPr>
            <w:tcW w:w="8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(Distributions to) contributions from noncontrolling interests, cash</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152"/>
        </w:trPr>
        <w:tc>
          <w:tcPr>
            <w:tcW w:w="5300" w:type="dxa"/>
            <w:vAlign w:val="bottom"/>
          </w:tcPr>
          <w:p>
            <w:pPr>
              <w:ind w:left="20"/>
              <w:spacing w:after="0"/>
              <w:rPr>
                <w:sz w:val="20"/>
                <w:szCs w:val="20"/>
                <w:color w:val="auto"/>
              </w:rPr>
            </w:pPr>
            <w:r>
              <w:rPr>
                <w:rFonts w:ascii="Arial" w:cs="Arial" w:eastAsia="Arial" w:hAnsi="Arial"/>
                <w:sz w:val="11"/>
                <w:szCs w:val="11"/>
                <w:color w:val="auto"/>
              </w:rPr>
              <w:t>Mesquite Sky Drop Down</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Black Rock Drop Down</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2"/>
        </w:trPr>
        <w:tc>
          <w:tcPr>
            <w:tcW w:w="5300" w:type="dxa"/>
            <w:vAlign w:val="bottom"/>
          </w:tcPr>
          <w:p>
            <w:pPr>
              <w:ind w:left="20"/>
              <w:spacing w:after="0"/>
              <w:rPr>
                <w:sz w:val="20"/>
                <w:szCs w:val="20"/>
                <w:color w:val="auto"/>
              </w:rPr>
            </w:pPr>
            <w:r>
              <w:rPr>
                <w:rFonts w:ascii="Arial" w:cs="Arial" w:eastAsia="Arial" w:hAnsi="Arial"/>
                <w:sz w:val="11"/>
                <w:szCs w:val="11"/>
                <w:color w:val="auto"/>
              </w:rPr>
              <w:t>Mililani I Drop Down</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Waiawa Drop Down</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52"/>
        </w:trPr>
        <w:tc>
          <w:tcPr>
            <w:tcW w:w="5300" w:type="dxa"/>
            <w:vAlign w:val="bottom"/>
          </w:tcPr>
          <w:p>
            <w:pPr>
              <w:ind w:left="20"/>
              <w:spacing w:after="0"/>
              <w:rPr>
                <w:sz w:val="20"/>
                <w:szCs w:val="20"/>
                <w:color w:val="auto"/>
              </w:rPr>
            </w:pPr>
            <w:r>
              <w:rPr>
                <w:rFonts w:ascii="Arial" w:cs="Arial" w:eastAsia="Arial" w:hAnsi="Arial"/>
                <w:sz w:val="11"/>
                <w:szCs w:val="11"/>
                <w:color w:val="auto"/>
              </w:rPr>
              <w:t>Capistrano Wind Portfolio Acquisition</w:t>
            </w:r>
          </w:p>
        </w:tc>
        <w:tc>
          <w:tcPr>
            <w:tcW w:w="8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Kawailoa Sale to Clearway Renew LLC</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52"/>
        </w:trPr>
        <w:tc>
          <w:tcPr>
            <w:tcW w:w="5300" w:type="dxa"/>
            <w:vAlign w:val="bottom"/>
          </w:tcPr>
          <w:p>
            <w:pPr>
              <w:ind w:left="20"/>
              <w:spacing w:after="0"/>
              <w:rPr>
                <w:sz w:val="20"/>
                <w:szCs w:val="20"/>
                <w:color w:val="auto"/>
              </w:rPr>
            </w:pPr>
            <w:r>
              <w:rPr>
                <w:rFonts w:ascii="Arial" w:cs="Arial" w:eastAsia="Arial" w:hAnsi="Arial"/>
                <w:sz w:val="11"/>
                <w:szCs w:val="11"/>
                <w:color w:val="auto"/>
              </w:rPr>
              <w:t>Tax-related distributions</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166"/>
        </w:trPr>
        <w:tc>
          <w:tcPr>
            <w:tcW w:w="5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Distributions paid to Clearway, Inc.</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0" w:type="dxa"/>
            <w:vAlign w:val="bottom"/>
          </w:tcPr>
          <w:p>
            <w:pPr>
              <w:spacing w:after="0"/>
              <w:rPr>
                <w:sz w:val="1"/>
                <w:szCs w:val="1"/>
                <w:color w:val="auto"/>
              </w:rPr>
            </w:pPr>
          </w:p>
        </w:tc>
      </w:tr>
      <w:tr>
        <w:trPr>
          <w:trHeight w:val="152"/>
        </w:trPr>
        <w:tc>
          <w:tcPr>
            <w:tcW w:w="5300" w:type="dxa"/>
            <w:vAlign w:val="bottom"/>
          </w:tcPr>
          <w:p>
            <w:pPr>
              <w:ind w:left="20"/>
              <w:spacing w:after="0"/>
              <w:rPr>
                <w:sz w:val="20"/>
                <w:szCs w:val="20"/>
                <w:color w:val="auto"/>
              </w:rPr>
            </w:pPr>
            <w:r>
              <w:rPr>
                <w:rFonts w:ascii="Arial" w:cs="Arial" w:eastAsia="Arial" w:hAnsi="Arial"/>
                <w:sz w:val="11"/>
                <w:szCs w:val="11"/>
                <w:color w:val="auto"/>
              </w:rPr>
              <w:t>Distributions paid to CEG Class B and Class D unit holders</w:t>
            </w: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(87)</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182"/>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at December 31, 2022</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1,308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4,160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r>
        <w:rPr>
          <w:rFonts w:ascii="Arial" w:cs="Arial" w:eastAsia="Arial" w:hAnsi="Arial"/>
          <w:sz w:val="11"/>
          <w:szCs w:val="11"/>
          <w:i w:val="1"/>
          <w:iCs w:val="1"/>
          <w:color w:val="auto"/>
        </w:rPr>
        <w: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88" w:name="page89"/>
    <w:bookmarkEnd w:id="88"/>
    <w:p>
      <w:pPr>
        <w:jc w:val="center"/>
        <w:spacing w:after="0"/>
        <w:rPr>
          <w:sz w:val="20"/>
          <w:szCs w:val="20"/>
          <w:color w:val="auto"/>
        </w:rPr>
      </w:pPr>
      <w:r>
        <w:rPr>
          <w:rFonts w:ascii="Arial" w:cs="Arial" w:eastAsia="Arial" w:hAnsi="Arial"/>
          <w:sz w:val="14"/>
          <w:szCs w:val="14"/>
          <w:b w:val="1"/>
          <w:bCs w:val="1"/>
          <w:color w:val="auto"/>
        </w:rPr>
        <w:t>CLEARWAY ENERGY LLC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Nature of Business</w:t>
      </w:r>
    </w:p>
    <w:p>
      <w:pPr>
        <w:spacing w:after="0" w:line="140"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became equally owned by GIP and TotalEnergies as of September 12, 2022, when TotalEnergies acquired, through its investment in an intermediate holding company, 50% of GIP’s interest in CEG. GIP is an independent infrastructure fund manager that makes equity and debt investments in infrastructure assets and businesses. TotalEnergies is a global multi-energy company.</w:t>
      </w:r>
    </w:p>
    <w:p>
      <w:pPr>
        <w:spacing w:after="0" w:line="8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w:t>
      </w:r>
      <w:r>
        <w:rPr>
          <w:rFonts w:ascii="Arial" w:cs="Arial" w:eastAsia="Arial" w:hAnsi="Arial"/>
          <w:sz w:val="14"/>
          <w:szCs w:val="14"/>
          <w:color w:val="231F20"/>
        </w:rPr>
        <w:t>The majority</w:t>
      </w:r>
      <w:r>
        <w:rPr>
          <w:rFonts w:ascii="Arial" w:cs="Arial" w:eastAsia="Arial" w:hAnsi="Arial"/>
          <w:sz w:val="14"/>
          <w:szCs w:val="14"/>
          <w:color w:val="auto"/>
        </w:rPr>
        <w:t xml:space="preserve"> of the Company’s revenues are derived from long-term contractual arrangements for the output or capacity from these assets.</w:t>
      </w:r>
    </w:p>
    <w:p>
      <w:pPr>
        <w:spacing w:after="0" w:line="10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 xml:space="preserve">On May 1, 2022, the Company completed the sale of 100% of its interests in the Thermal Business to KKR. For further details of the Thermal Disposition, refer to Note 3, </w:t>
      </w:r>
      <w:r>
        <w:rPr>
          <w:rFonts w:ascii="Arial" w:cs="Arial" w:eastAsia="Arial" w:hAnsi="Arial"/>
          <w:sz w:val="14"/>
          <w:szCs w:val="14"/>
          <w:i w:val="1"/>
          <w:iCs w:val="1"/>
          <w:color w:val="auto"/>
        </w:rPr>
        <w:t>Acquisitions and</w:t>
      </w:r>
      <w:r>
        <w:rPr>
          <w:rFonts w:ascii="Arial" w:cs="Arial" w:eastAsia="Arial" w:hAnsi="Arial"/>
          <w:sz w:val="14"/>
          <w:szCs w:val="14"/>
          <w:color w:val="auto"/>
        </w:rPr>
        <w:t xml:space="preserve"> </w:t>
      </w:r>
      <w:r>
        <w:rPr>
          <w:rFonts w:ascii="Arial" w:cs="Arial" w:eastAsia="Arial" w:hAnsi="Arial"/>
          <w:sz w:val="14"/>
          <w:szCs w:val="14"/>
          <w:i w:val="1"/>
          <w:iCs w:val="1"/>
          <w:color w:val="auto"/>
        </w:rPr>
        <w:t>Dispositions</w:t>
      </w:r>
      <w:r>
        <w:rPr>
          <w:rFonts w:ascii="Arial" w:cs="Arial" w:eastAsia="Arial" w:hAnsi="Arial"/>
          <w:sz w:val="14"/>
          <w:szCs w:val="14"/>
          <w:color w:val="auto"/>
        </w:rPr>
        <w:t>.</w:t>
      </w:r>
    </w:p>
    <w:p>
      <w:pPr>
        <w:spacing w:after="0" w:line="90"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Clearway Energy, Inc., or Clearway, Inc., consolidates the results of the Company through its controlling interest, with CEG’s interest shown as contributed capital in the Company’s consolidated financial statements. The holders of Clearway, Inc.’s outstanding shares of Class A and Class C common stock are entitled to dividends as declared. CEG receives its distributions from the Company through its ownership of the Company’s Class B and Class D units. From time to time, CEG may also hold shares of Clearway Inc’s Class A and/or Class C common stock.</w:t>
      </w:r>
    </w:p>
    <w:p>
      <w:pPr>
        <w:spacing w:after="0" w:line="82"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 xml:space="preserve">As of December 31, 2022, Clearway, Inc. owned 57.88% of the economic interests of the Company, with CEG owning 42.12% of the economic interests of the Company. For further discussion, see Note 11, </w:t>
      </w:r>
      <w:r>
        <w:rPr>
          <w:rFonts w:ascii="Arial" w:cs="Arial" w:eastAsia="Arial" w:hAnsi="Arial"/>
          <w:sz w:val="14"/>
          <w:szCs w:val="14"/>
          <w:i w:val="1"/>
          <w:iCs w:val="1"/>
          <w:color w:val="auto"/>
        </w:rPr>
        <w:t>Members’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9" w:name="page90"/>
    <w:bookmarkEnd w:id="89"/>
    <w:p>
      <w:pPr>
        <w:ind w:left="320"/>
        <w:spacing w:after="0"/>
        <w:rPr>
          <w:sz w:val="20"/>
          <w:szCs w:val="20"/>
          <w:color w:val="auto"/>
        </w:rPr>
      </w:pPr>
      <w:r>
        <w:rPr>
          <w:rFonts w:ascii="Arial" w:cs="Arial" w:eastAsia="Arial" w:hAnsi="Arial"/>
          <w:sz w:val="14"/>
          <w:szCs w:val="14"/>
          <w:color w:val="auto"/>
        </w:rPr>
        <w:t>The diagram below represents a summarized structure of the Company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39370</wp:posOffset>
            </wp:positionV>
            <wp:extent cx="4608195" cy="34156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608195" cy="3415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Note 2 </w:t>
      </w:r>
      <w:r>
        <w:rPr>
          <w:rFonts w:ascii="Arial" w:cs="Arial" w:eastAsia="Arial" w:hAnsi="Arial"/>
          <w:sz w:val="14"/>
          <w:szCs w:val="14"/>
          <w:color w:val="auto"/>
        </w:rPr>
        <w:t>—</w:t>
      </w:r>
      <w:r>
        <w:rPr>
          <w:rFonts w:ascii="Arial" w:cs="Arial" w:eastAsia="Arial" w:hAnsi="Arial"/>
          <w:sz w:val="14"/>
          <w:szCs w:val="14"/>
          <w:b w:val="1"/>
          <w:bCs w:val="1"/>
          <w:color w:val="auto"/>
        </w:rPr>
        <w:t xml:space="preserve"> Summary of Significant Accounting Policies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 and Principles of Consolidation</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Company’s consolidated financial statements have been prepared in accordance with GAAP. The FASB ASC is the source of authoritative GAAP to be applied by nongovernmental entities.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In addition, the rules and interpretative releases of the SEC under authority of federal securities laws are also sources of authoritative GAAP for SEC registrants.</w:t>
      </w:r>
    </w:p>
    <w:p>
      <w:pPr>
        <w:spacing w:after="0" w:line="12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 xml:space="preserve">The consolidated financial statements include the Company’s accounts and operations and those of its subsidiaries in which it has a controlling financial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13"/>
          <w:szCs w:val="13"/>
          <w:i w:val="1"/>
          <w:iCs w:val="1"/>
          <w:color w:val="auto"/>
        </w:rPr>
        <w:t>Consolidations,</w:t>
      </w:r>
      <w:r>
        <w:rPr>
          <w:rFonts w:ascii="Arial" w:cs="Arial" w:eastAsia="Arial" w:hAnsi="Arial"/>
          <w:sz w:val="13"/>
          <w:szCs w:val="13"/>
          <w:color w:val="auto"/>
        </w:rPr>
        <w:t xml:space="preserve"> to determine when an entity that is insufficiently capitalized or not controlled through its voting interests, referred to as a variable interest entity, or VIE, should be consolidated.</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Cash Equivalents and Restricted Cash</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Cash and cash equivalents include highly liquid investments with an original maturity of three months or less at the time of purchase. Cash and cash equivalents held at project subsidiaries was $121 million and $146 million as of December 31, 2022 and 2021,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90" w:name="page91"/>
    <w:bookmarkEnd w:id="90"/>
    <w:p>
      <w:pPr>
        <w:jc w:val="both"/>
        <w:ind w:firstLine="318"/>
        <w:spacing w:after="0" w:line="281" w:lineRule="auto"/>
        <w:rPr>
          <w:sz w:val="20"/>
          <w:szCs w:val="20"/>
          <w:color w:val="auto"/>
        </w:rPr>
      </w:pPr>
      <w:r>
        <w:rPr>
          <w:rFonts w:ascii="Arial" w:cs="Arial" w:eastAsia="Arial" w:hAnsi="Arial"/>
          <w:sz w:val="14"/>
          <w:szCs w:val="14"/>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6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December 31,</w:t>
            </w:r>
          </w:p>
        </w:tc>
        <w:tc>
          <w:tcPr>
            <w:tcW w:w="860" w:type="dxa"/>
            <w:vAlign w:val="bottom"/>
            <w:tcBorders>
              <w:bottom w:val="single" w:sz="8" w:color="auto"/>
            </w:tcBorders>
          </w:tcPr>
          <w:p>
            <w:pPr>
              <w:spacing w:after="0"/>
              <w:rPr>
                <w:sz w:val="13"/>
                <w:szCs w:val="13"/>
                <w:color w:val="auto"/>
              </w:rPr>
            </w:pPr>
          </w:p>
        </w:tc>
      </w:tr>
      <w:tr>
        <w:trPr>
          <w:trHeight w:val="153"/>
        </w:trPr>
        <w:tc>
          <w:tcPr>
            <w:tcW w:w="8680" w:type="dxa"/>
            <w:vAlign w:val="bottom"/>
          </w:tcPr>
          <w:p>
            <w:pPr>
              <w:spacing w:after="0"/>
              <w:rPr>
                <w:sz w:val="13"/>
                <w:szCs w:val="13"/>
                <w:color w:val="auto"/>
              </w:rPr>
            </w:pP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2022</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2021</w:t>
            </w:r>
          </w:p>
        </w:tc>
      </w:tr>
      <w:tr>
        <w:trPr>
          <w:trHeight w:val="150"/>
        </w:trPr>
        <w:tc>
          <w:tcPr>
            <w:tcW w:w="8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gridSpan w:val="3"/>
          </w:tcPr>
          <w:p>
            <w:pPr>
              <w:ind w:left="140"/>
              <w:spacing w:after="0"/>
              <w:rPr>
                <w:sz w:val="20"/>
                <w:szCs w:val="20"/>
                <w:color w:val="auto"/>
              </w:rPr>
            </w:pPr>
            <w:r>
              <w:rPr>
                <w:rFonts w:ascii="Arial" w:cs="Arial" w:eastAsia="Arial" w:hAnsi="Arial"/>
                <w:sz w:val="11"/>
                <w:szCs w:val="11"/>
                <w:b w:val="1"/>
                <w:bCs w:val="1"/>
                <w:color w:val="auto"/>
              </w:rPr>
              <w:t>(In millions)</w:t>
            </w:r>
          </w:p>
        </w:tc>
        <w:tc>
          <w:tcPr>
            <w:tcW w:w="860" w:type="dxa"/>
            <w:vAlign w:val="bottom"/>
          </w:tcPr>
          <w:p>
            <w:pPr>
              <w:spacing w:after="0"/>
              <w:rPr>
                <w:sz w:val="13"/>
                <w:szCs w:val="13"/>
                <w:color w:val="auto"/>
              </w:rPr>
            </w:pPr>
          </w:p>
        </w:tc>
      </w:tr>
      <w:tr>
        <w:trPr>
          <w:trHeight w:val="187"/>
        </w:trPr>
        <w:tc>
          <w:tcPr>
            <w:tcW w:w="8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860" w:type="dxa"/>
            <w:vAlign w:val="bottom"/>
            <w:shd w:val="clear" w:color="auto" w:fill="CCEEFF"/>
          </w:tcPr>
          <w:p>
            <w:pPr>
              <w:jc w:val="right"/>
              <w:ind w:right="714"/>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r>
      <w:tr>
        <w:trPr>
          <w:trHeight w:val="180"/>
        </w:trPr>
        <w:tc>
          <w:tcPr>
            <w:tcW w:w="86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Restricted cash</w:t>
            </w:r>
          </w:p>
        </w:tc>
        <w:tc>
          <w:tcPr>
            <w:tcW w:w="8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r>
      <w:tr>
        <w:trPr>
          <w:trHeight w:val="196"/>
        </w:trPr>
        <w:tc>
          <w:tcPr>
            <w:tcW w:w="8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Cash, cash equivalents and restricted cash shown in the consolidated statements of cash flows</w:t>
            </w:r>
          </w:p>
        </w:tc>
        <w:tc>
          <w:tcPr>
            <w:tcW w:w="86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996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Restricted cash consists primarily of funds held to satisfy the requirements of certain debt agreements and funds held within the Company’s projects that are restricted in their use. As of December 31, 2022, these restricted funds were comprised of $109 million designated to fund operating expenses, $55 million designated for current debt service payments and $105 million restricted for reserves including debt service, performance obligations and other reserves as well as capital expenditures. The remaining $70 million is held in distributions reserve accounts.</w:t>
      </w:r>
    </w:p>
    <w:p>
      <w:pPr>
        <w:spacing w:after="0" w:line="82"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 xml:space="preserve">In 2020, the members of the partnerships holding the Oahu Solar and Kawailoa Solar projects submitted applications to the state of Hawaii for refundable tax credits based on the cost of construction of the projects. In 2021, the members of the partnerships contributed their respective portions of the tax credits in the amount of $27 million to the Oahu Solar and $22 million to the Kawailoa Solar project companies, which were recorded to restricted cash on the Company’s consolidated balance sheet with an offsetting adjustment to noncontrolling interests. In accordance with the projects’ related agreements, the cash is held in a restricted account and utilized to offset invoiced amounts under the projects’ PPAs. On August 1, 2022, the Company sold its Class A membership interests in the Kawailoa Partnership, which consolidates the Kawailoa Solar project, to Clearway Renew LLC, as further described in Note 3, </w:t>
      </w:r>
      <w:r>
        <w:rPr>
          <w:rFonts w:ascii="Arial" w:cs="Arial" w:eastAsia="Arial" w:hAnsi="Arial"/>
          <w:sz w:val="14"/>
          <w:szCs w:val="14"/>
          <w:i w:val="1"/>
          <w:iCs w:val="1"/>
          <w:color w:val="auto"/>
        </w:rPr>
        <w:t>Acquisitions and Dispositions</w:t>
      </w:r>
      <w:r>
        <w:rPr>
          <w:rFonts w:ascii="Arial" w:cs="Arial" w:eastAsia="Arial" w:hAnsi="Arial"/>
          <w:sz w:val="14"/>
          <w:szCs w:val="14"/>
          <w:color w:val="auto"/>
        </w:rPr>
        <w:t>, resulting in the removal of $7 million that remained in restricted cash at the time of sale. As of December 31, 2022, $26 million of the $27 million previously contributed to the Oahu Solar projects has been utilized to offset invoiced amounts under the projects’ PPAs.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Accounts Receivable — Trade and Allowance for Credit Losses</w:t>
      </w:r>
    </w:p>
    <w:p>
      <w:pPr>
        <w:spacing w:after="0" w:line="136"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Accounts receivable — trade are reported on the consolidated balance sheet at the invoiced amount adjusted for any write-offs and the allowance for credit losses. The allowance for credit losses is reviewed periodically based on amounts past due and their significance. The allowance for credit losses was immaterial as of December 31, 2022 and 2021.</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Inventory</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Inventory consists of spare parts and is valued at weighted average cost, unless evidence indicates that the weighted average cost will not be recovered with a normal profit in the ordinary course of business. Inventory is removed when used for repairs, maintenance or capital projects.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Plant and Equipment</w:t>
      </w:r>
    </w:p>
    <w:p>
      <w:pPr>
        <w:spacing w:after="0" w:line="13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 xml:space="preserve">Property, plant and equipment are stated at cost, however impairment adjustments are recorded whenever events or changes in circumstances indicate that their carrying amounts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income. For further discussion of the Company’s property, plant and equipment refer to Note 4, </w:t>
      </w:r>
      <w:r>
        <w:rPr>
          <w:rFonts w:ascii="Arial" w:cs="Arial" w:eastAsia="Arial" w:hAnsi="Arial"/>
          <w:sz w:val="14"/>
          <w:szCs w:val="14"/>
          <w:i w:val="1"/>
          <w:iCs w:val="1"/>
          <w:color w:val="auto"/>
        </w:rPr>
        <w:t>Property, Plant and Equipment</w:t>
      </w:r>
      <w:r>
        <w:rPr>
          <w:rFonts w:ascii="Arial" w:cs="Arial" w:eastAsia="Arial" w:hAnsi="Arial"/>
          <w:sz w:val="14"/>
          <w:szCs w:val="14"/>
          <w:color w:val="auto"/>
        </w:rPr>
        <w:t>.</w:t>
      </w:r>
    </w:p>
    <w:p>
      <w:pPr>
        <w:spacing w:after="0" w:line="104"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w:t>
      </w:r>
    </w:p>
    <w:p>
      <w:pPr>
        <w:spacing w:after="0" w:line="9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Development costs include project development costs, which are expensed in the preliminary stages of a project and capitalized when the project is deemed to be commercially viable. Commercial viability is determined by one or a series of actions including, among others, Board of Director approval pursuant to a formal project plan that subjects the Company to significant future obligations that can only be discharged by the use of a Company asset. When a project is available for operations, capitalized interest and capitalized project development costs are reclassified to property, plant and equipment and depreciated on a straight-line basis over the estimated useful life of the project’s related assets. Capitalized costs are charged to expense if a project is abandoned or management otherwise determines the costs to be unrecoverable.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i w:val="1"/>
          <w:iCs w:val="1"/>
          <w:color w:val="auto"/>
        </w:rPr>
        <w:t>Asset Impairments</w:t>
      </w:r>
    </w:p>
    <w:p>
      <w:pPr>
        <w:spacing w:after="0" w:line="13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 xml:space="preserve">Long-lived assets that are held and used are reviewed for impairment whenever events or changes in circumstances indicate their carrying amounts may not be recoverable. Such reviews are performed in accordance with ASC 360, </w:t>
      </w:r>
      <w:r>
        <w:rPr>
          <w:rFonts w:ascii="Arial" w:cs="Arial" w:eastAsia="Arial" w:hAnsi="Arial"/>
          <w:sz w:val="14"/>
          <w:szCs w:val="14"/>
          <w:i w:val="1"/>
          <w:iCs w:val="1"/>
          <w:color w:val="auto"/>
        </w:rPr>
        <w:t>Property, Plant and Equipment</w:t>
      </w:r>
      <w:r>
        <w:rPr>
          <w:rFonts w:ascii="Arial" w:cs="Arial" w:eastAsia="Arial" w:hAnsi="Arial"/>
          <w:sz w:val="14"/>
          <w:szCs w:val="14"/>
          <w:color w:val="auto"/>
        </w:rPr>
        <w:t xml:space="preserve">. An impairment loss is indicated if the total future estimated undiscounted cash flows expected from an asset are less than its carrying amount. An impairment charge is measured as the excess of an asset’s carrying amount over its fair value with the difference recorded in operating costs and expenses in the consolidated statements of income. Fair values are determined by a variety of valuation methods, including appraisals, sales prices of similar assets and present value techniques. For further discussion of the Company’s long-lived asset impairments, refer to Note 9, </w:t>
      </w:r>
      <w:r>
        <w:rPr>
          <w:rFonts w:ascii="Arial" w:cs="Arial" w:eastAsia="Arial" w:hAnsi="Arial"/>
          <w:sz w:val="14"/>
          <w:szCs w:val="14"/>
          <w:i w:val="1"/>
          <w:iCs w:val="1"/>
          <w:color w:val="auto"/>
        </w:rPr>
        <w:t>Asset Impairments</w:t>
      </w:r>
      <w:r>
        <w:rPr>
          <w:rFonts w:ascii="Arial" w:cs="Arial" w:eastAsia="Arial" w:hAnsi="Arial"/>
          <w:sz w:val="14"/>
          <w:szCs w:val="14"/>
          <w:color w:val="auto"/>
        </w:rPr>
        <w:t>.</w:t>
      </w:r>
    </w:p>
    <w:p>
      <w:pPr>
        <w:spacing w:after="0" w:line="10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 xml:space="preserve">Investments accounted for by the equity method are reviewed for impairment in accordance with ASC 323, </w:t>
      </w:r>
      <w:r>
        <w:rPr>
          <w:rFonts w:ascii="Arial" w:cs="Arial" w:eastAsia="Arial" w:hAnsi="Arial"/>
          <w:sz w:val="14"/>
          <w:szCs w:val="14"/>
          <w:i w:val="1"/>
          <w:iCs w:val="1"/>
          <w:color w:val="auto"/>
        </w:rPr>
        <w:t>Investments-Equity Method and Joint Ventures</w:t>
      </w:r>
      <w:r>
        <w:rPr>
          <w:rFonts w:ascii="Arial" w:cs="Arial" w:eastAsia="Arial" w:hAnsi="Arial"/>
          <w:sz w:val="14"/>
          <w:szCs w:val="14"/>
          <w:color w:val="auto"/>
        </w:rPr>
        <w:t>, which requires that a loss in value of an investment that is an other-than-temporary decline should be recognized. The Company identifies and measures losses in the value of equity method investments based upon a comparison of fair value to carrying value.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Issuance Costs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Debt issuance costs are capitalized and amortized as interest expense on a basis which approximates the effective interest method over the term of the related debt. Debt issuance costs related to the long-term debt are presented as a direct deduction from the carrying amount of the related debt. Debt issuance costs related to the senior secured revolving credit facility line of credit are recorded as a non-current asset on the consolidated balance sheet and are amortized over the term of the credit facility.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 xml:space="preserve">Intangible assets represent contractual rights held by the Company. The Company recognizes specifically identifiable intangible assets including power purchase agreements, leasehold rights, emission allowances, RECs and development rights when specific rights and contracts are acquired. These intangible assets are amortized primarily on a straight-line basis. For further discussion of the Company’s intangible assets, refer to Note 8, </w:t>
      </w:r>
      <w:r>
        <w:rPr>
          <w:rFonts w:ascii="Arial" w:cs="Arial" w:eastAsia="Arial" w:hAnsi="Arial"/>
          <w:sz w:val="14"/>
          <w:szCs w:val="14"/>
          <w:i w:val="1"/>
          <w:iCs w:val="1"/>
          <w:color w:val="auto"/>
        </w:rPr>
        <w:t>Intangible Assets.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68"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The Company is classified as a partnership for federal and state income tax purposes. Therefore, federal and most state income taxes are assessed at the partner level. The franchise tax imposed by the state of Texas, however, is being assessed at the level of certain project subsidiaries of the Company, and therefore reflected as an income tax expense of the Company.</w:t>
      </w:r>
    </w:p>
    <w:p>
      <w:pPr>
        <w:spacing w:after="0" w:line="67"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For the year ended December 31, 2022, the Company recorded a deferred tax expense of $2 million and associated deferred tax liability of $4 million with respect to future years. At December 31, 2021, the Company recorded a deferred tax expense and associated deferred tax liability of $2 million with respect to future years.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Revenue from Contracts with Customers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 xml:space="preserve">The Company applies the guidance in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Thermal Revenues</w:t>
      </w:r>
    </w:p>
    <w:p>
      <w:pPr>
        <w:spacing w:after="0" w:line="13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consolidated statements of income.</w:t>
      </w:r>
    </w:p>
    <w:p>
      <w:pPr>
        <w:spacing w:after="0" w:line="8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 xml:space="preserve">On May 1, 2022, the Company completed the sale of 100% of its interests in the Thermal business to KKR. For further details of the Thermal Disposition refer to Note 3, </w:t>
      </w:r>
      <w:r>
        <w:rPr>
          <w:rFonts w:ascii="Arial" w:cs="Arial" w:eastAsia="Arial" w:hAnsi="Arial"/>
          <w:sz w:val="14"/>
          <w:szCs w:val="14"/>
          <w:i w:val="1"/>
          <w:iCs w:val="1"/>
          <w:color w:val="auto"/>
        </w:rPr>
        <w:t>Acquisitions and</w:t>
      </w:r>
      <w:r>
        <w:rPr>
          <w:rFonts w:ascii="Arial" w:cs="Arial" w:eastAsia="Arial" w:hAnsi="Arial"/>
          <w:sz w:val="14"/>
          <w:szCs w:val="14"/>
          <w:color w:val="auto"/>
        </w:rPr>
        <w:t xml:space="preserve"> </w:t>
      </w:r>
      <w:r>
        <w:rPr>
          <w:rFonts w:ascii="Arial" w:cs="Arial" w:eastAsia="Arial" w:hAnsi="Arial"/>
          <w:sz w:val="14"/>
          <w:szCs w:val="14"/>
          <w:i w:val="1"/>
          <w:iCs w:val="1"/>
          <w:color w:val="auto"/>
        </w:rPr>
        <w:t>Dispositions.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92" w:name="page93"/>
    <w:bookmarkEnd w:id="92"/>
    <w:p>
      <w:pPr>
        <w:ind w:left="320"/>
        <w:spacing w:after="0"/>
        <w:rPr>
          <w:sz w:val="20"/>
          <w:szCs w:val="20"/>
          <w:color w:val="auto"/>
        </w:rPr>
      </w:pPr>
      <w:r>
        <w:rPr>
          <w:rFonts w:ascii="Arial" w:cs="Arial" w:eastAsia="Arial" w:hAnsi="Arial"/>
          <w:sz w:val="14"/>
          <w:szCs w:val="14"/>
          <w:i w:val="1"/>
          <w:iCs w:val="1"/>
          <w:color w:val="auto"/>
        </w:rPr>
        <w:t>Power Purchase Agreements, or PPAs</w:t>
      </w:r>
    </w:p>
    <w:p>
      <w:pPr>
        <w:spacing w:after="0" w:line="136"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color w:val="auto"/>
        </w:rPr>
        <w:t xml:space="preserve">The majority of the Company’s revenues are obtained through PPAs or similar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operating leases as the Company retained its historical lease assessments and classification upon adoption of ASC 842, </w:t>
      </w:r>
      <w:r>
        <w:rPr>
          <w:rFonts w:ascii="Arial" w:cs="Arial" w:eastAsia="Arial" w:hAnsi="Arial"/>
          <w:sz w:val="13"/>
          <w:szCs w:val="13"/>
          <w:i w:val="1"/>
          <w:iCs w:val="1"/>
          <w:color w:val="auto"/>
        </w:rPr>
        <w:t>Leases</w:t>
      </w:r>
      <w:r>
        <w:rPr>
          <w:rFonts w:ascii="Arial" w:cs="Arial" w:eastAsia="Arial" w:hAnsi="Arial"/>
          <w:sz w:val="13"/>
          <w:szCs w:val="13"/>
          <w:color w:val="auto"/>
        </w:rPr>
        <w:t>.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9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 xml:space="preserve">Certain of these PPAs have no minimum lease payments and all of the lease revenue under these PPAs is recorded as contingent rent on an actual basis when the electricity is delivered. The contingent lease revenue recognized in the years ended December 31, 2022, 2021 and 2020 was $850 million, $741 million and $589 million, respectively. See Note 15, </w:t>
      </w:r>
      <w:r>
        <w:rPr>
          <w:rFonts w:ascii="Arial" w:cs="Arial" w:eastAsia="Arial" w:hAnsi="Arial"/>
          <w:sz w:val="14"/>
          <w:szCs w:val="14"/>
          <w:i w:val="1"/>
          <w:iCs w:val="1"/>
          <w:color w:val="auto"/>
        </w:rPr>
        <w:t>Leases,</w:t>
      </w:r>
      <w:r>
        <w:rPr>
          <w:rFonts w:ascii="Arial" w:cs="Arial" w:eastAsia="Arial" w:hAnsi="Arial"/>
          <w:sz w:val="14"/>
          <w:szCs w:val="14"/>
          <w:color w:val="auto"/>
        </w:rPr>
        <w:t xml:space="preserve"> for additional information related to the Company’s PPAs accounted for as leases.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Renewable Energy Credits, or RECs</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90"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Disaggregated Revenues</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following tables represent the Company’s disaggregation of revenue from contracts with customers for the year ended December 31, 2022, along with the reportable segment for each category: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ind w:left="220"/>
              <w:spacing w:after="0"/>
              <w:rPr>
                <w:sz w:val="20"/>
                <w:szCs w:val="20"/>
                <w:color w:val="auto"/>
              </w:rPr>
            </w:pPr>
            <w:r>
              <w:rPr>
                <w:rFonts w:ascii="Arial" w:cs="Arial" w:eastAsia="Arial" w:hAnsi="Arial"/>
                <w:sz w:val="11"/>
                <w:szCs w:val="11"/>
                <w:b w:val="1"/>
                <w:bCs w:val="1"/>
                <w:color w:val="auto"/>
              </w:rPr>
              <w:t>Year ended December 31, 2022</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80" w:type="dxa"/>
            <w:vAlign w:val="bottom"/>
          </w:tcPr>
          <w:p>
            <w:pPr>
              <w:spacing w:after="0"/>
              <w:rPr>
                <w:sz w:val="9"/>
                <w:szCs w:val="9"/>
                <w:color w:val="auto"/>
              </w:rPr>
            </w:pPr>
          </w:p>
        </w:tc>
        <w:tc>
          <w:tcPr>
            <w:tcW w:w="1060" w:type="dxa"/>
            <w:vAlign w:val="bottom"/>
            <w:gridSpan w:val="2"/>
          </w:tcPr>
          <w:p>
            <w:pPr>
              <w:jc w:val="center"/>
              <w:ind w:right="260"/>
              <w:spacing w:after="0" w:line="110" w:lineRule="exact"/>
              <w:rPr>
                <w:sz w:val="20"/>
                <w:szCs w:val="20"/>
                <w:color w:val="auto"/>
              </w:rPr>
            </w:pPr>
            <w:r>
              <w:rPr>
                <w:rFonts w:ascii="Arial" w:cs="Arial" w:eastAsia="Arial" w:hAnsi="Arial"/>
                <w:sz w:val="11"/>
                <w:szCs w:val="11"/>
                <w:b w:val="1"/>
                <w:bCs w:val="1"/>
                <w:color w:val="auto"/>
                <w:w w:val="91"/>
              </w:rPr>
              <w:t>Conventional</w:t>
            </w:r>
          </w:p>
        </w:tc>
        <w:tc>
          <w:tcPr>
            <w:tcW w:w="180" w:type="dxa"/>
            <w:vAlign w:val="bottom"/>
          </w:tcPr>
          <w:p>
            <w:pPr>
              <w:spacing w:after="0"/>
              <w:rPr>
                <w:sz w:val="9"/>
                <w:szCs w:val="9"/>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Renewables</w:t>
            </w:r>
          </w:p>
        </w:tc>
        <w:tc>
          <w:tcPr>
            <w:tcW w:w="8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Thermal</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restart"/>
          </w:tcPr>
          <w:p>
            <w:pPr>
              <w:jc w:val="right"/>
              <w:ind w:right="37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1"/>
        </w:trPr>
        <w:tc>
          <w:tcPr>
            <w:tcW w:w="65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Generation</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520" w:type="dxa"/>
            <w:vAlign w:val="bottom"/>
            <w:tcBorders>
              <w:top w:val="single" w:sz="8" w:color="CCEEFF"/>
            </w:tcBorders>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Energy revenue </w:t>
            </w:r>
            <w:r>
              <w:rPr>
                <w:rFonts w:ascii="Arial" w:cs="Arial" w:eastAsia="Arial" w:hAnsi="Arial"/>
                <w:sz w:val="16"/>
                <w:szCs w:val="16"/>
                <w:color w:val="auto"/>
                <w:vertAlign w:val="superscript"/>
              </w:rPr>
              <w:t>(a)</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1,010</w:t>
            </w:r>
          </w:p>
        </w:tc>
        <w:tc>
          <w:tcPr>
            <w:tcW w:w="0" w:type="dxa"/>
            <w:vAlign w:val="bottom"/>
          </w:tcPr>
          <w:p>
            <w:pPr>
              <w:spacing w:after="0"/>
              <w:rPr>
                <w:sz w:val="1"/>
                <w:szCs w:val="1"/>
                <w:color w:val="auto"/>
              </w:rPr>
            </w:pPr>
          </w:p>
        </w:tc>
      </w:tr>
      <w:tr>
        <w:trPr>
          <w:trHeight w:val="180"/>
        </w:trPr>
        <w:tc>
          <w:tcPr>
            <w:tcW w:w="6520" w:type="dxa"/>
            <w:vAlign w:val="bottom"/>
          </w:tcPr>
          <w:p>
            <w:pPr>
              <w:ind w:left="20"/>
              <w:spacing w:after="0" w:line="181" w:lineRule="exact"/>
              <w:rPr>
                <w:sz w:val="20"/>
                <w:szCs w:val="20"/>
                <w:color w:val="auto"/>
              </w:rPr>
            </w:pPr>
            <w:r>
              <w:rPr>
                <w:rFonts w:ascii="Arial" w:cs="Arial" w:eastAsia="Arial" w:hAnsi="Arial"/>
                <w:sz w:val="13"/>
                <w:szCs w:val="13"/>
                <w:color w:val="auto"/>
              </w:rPr>
              <w:t xml:space="preserve">Capacity revenue </w:t>
            </w:r>
            <w:r>
              <w:rPr>
                <w:rFonts w:ascii="Arial" w:cs="Arial" w:eastAsia="Arial" w:hAnsi="Arial"/>
                <w:sz w:val="16"/>
                <w:szCs w:val="16"/>
                <w:color w:val="auto"/>
                <w:vertAlign w:val="superscript"/>
              </w:rPr>
              <w:t>(a)</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455</w:t>
            </w:r>
          </w:p>
        </w:tc>
        <w:tc>
          <w:tcPr>
            <w:tcW w:w="0" w:type="dxa"/>
            <w:vAlign w:val="bottom"/>
          </w:tcPr>
          <w:p>
            <w:pPr>
              <w:spacing w:after="0"/>
              <w:rPr>
                <w:sz w:val="1"/>
                <w:szCs w:val="1"/>
                <w:color w:val="auto"/>
              </w:rPr>
            </w:pPr>
          </w:p>
        </w:tc>
      </w:tr>
      <w:tr>
        <w:trPr>
          <w:trHeight w:val="180"/>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revenues</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80"/>
        </w:trPr>
        <w:tc>
          <w:tcPr>
            <w:tcW w:w="6520" w:type="dxa"/>
            <w:vAlign w:val="bottom"/>
          </w:tcPr>
          <w:p>
            <w:pPr>
              <w:ind w:left="20"/>
              <w:spacing w:after="0"/>
              <w:rPr>
                <w:sz w:val="20"/>
                <w:szCs w:val="20"/>
                <w:color w:val="auto"/>
              </w:rPr>
            </w:pPr>
            <w:r>
              <w:rPr>
                <w:rFonts w:ascii="Arial" w:cs="Arial" w:eastAsia="Arial" w:hAnsi="Arial"/>
                <w:sz w:val="13"/>
                <w:szCs w:val="13"/>
                <w:color w:val="auto"/>
              </w:rPr>
              <w:t>Contract amortization</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Mark-to-market for economic hedges</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58"/>
        </w:trPr>
        <w:tc>
          <w:tcPr>
            <w:tcW w:w="6520" w:type="dxa"/>
            <w:vAlign w:val="bottom"/>
          </w:tcPr>
          <w:p>
            <w:pPr>
              <w:ind w:left="100"/>
              <w:spacing w:after="0"/>
              <w:rPr>
                <w:sz w:val="20"/>
                <w:szCs w:val="20"/>
                <w:color w:val="auto"/>
              </w:rPr>
            </w:pPr>
            <w:r>
              <w:rPr>
                <w:rFonts w:ascii="Arial" w:cs="Arial" w:eastAsia="Arial" w:hAnsi="Arial"/>
                <w:sz w:val="13"/>
                <w:szCs w:val="13"/>
                <w:color w:val="auto"/>
              </w:rPr>
              <w:t>Total operating revenues</w:t>
            </w: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696</w:t>
            </w: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1,190</w:t>
            </w:r>
          </w:p>
        </w:tc>
        <w:tc>
          <w:tcPr>
            <w:tcW w:w="0" w:type="dxa"/>
            <w:vAlign w:val="bottom"/>
          </w:tcPr>
          <w:p>
            <w:pPr>
              <w:spacing w:after="0"/>
              <w:rPr>
                <w:sz w:val="1"/>
                <w:szCs w:val="1"/>
                <w:color w:val="auto"/>
              </w:rPr>
            </w:pPr>
          </w:p>
        </w:tc>
      </w:tr>
      <w:tr>
        <w:trPr>
          <w:trHeight w:val="172"/>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Contract amortization</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68"/>
        </w:trPr>
        <w:tc>
          <w:tcPr>
            <w:tcW w:w="6520" w:type="dxa"/>
            <w:vAlign w:val="bottom"/>
          </w:tcPr>
          <w:p>
            <w:pPr>
              <w:ind w:left="20"/>
              <w:spacing w:after="0"/>
              <w:rPr>
                <w:sz w:val="20"/>
                <w:szCs w:val="20"/>
                <w:color w:val="auto"/>
              </w:rPr>
            </w:pPr>
            <w:r>
              <w:rPr>
                <w:rFonts w:ascii="Arial" w:cs="Arial" w:eastAsia="Arial" w:hAnsi="Arial"/>
                <w:sz w:val="13"/>
                <w:szCs w:val="13"/>
                <w:color w:val="auto"/>
              </w:rPr>
              <w:t>Less: Mark-to-market for economic hedges</w:t>
            </w:r>
          </w:p>
        </w:tc>
        <w:tc>
          <w:tcPr>
            <w:tcW w:w="1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70"/>
        </w:trPr>
        <w:tc>
          <w:tcPr>
            <w:tcW w:w="6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Lease revenue</w:t>
            </w: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(809)</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(1,251)</w:t>
            </w:r>
          </w:p>
        </w:tc>
        <w:tc>
          <w:tcPr>
            <w:tcW w:w="0" w:type="dxa"/>
            <w:vAlign w:val="bottom"/>
          </w:tcPr>
          <w:p>
            <w:pPr>
              <w:spacing w:after="0"/>
              <w:rPr>
                <w:sz w:val="1"/>
                <w:szCs w:val="1"/>
                <w:color w:val="auto"/>
              </w:rPr>
            </w:pPr>
          </w:p>
        </w:tc>
      </w:tr>
      <w:tr>
        <w:trPr>
          <w:trHeight w:val="163"/>
        </w:trPr>
        <w:tc>
          <w:tcPr>
            <w:tcW w:w="6520" w:type="dxa"/>
            <w:vAlign w:val="bottom"/>
          </w:tcPr>
          <w:p>
            <w:pPr>
              <w:ind w:left="100"/>
              <w:spacing w:after="0"/>
              <w:rPr>
                <w:sz w:val="20"/>
                <w:szCs w:val="20"/>
                <w:color w:val="auto"/>
              </w:rPr>
            </w:pPr>
            <w:r>
              <w:rPr>
                <w:rFonts w:ascii="Arial" w:cs="Arial" w:eastAsia="Arial" w:hAnsi="Arial"/>
                <w:sz w:val="13"/>
                <w:szCs w:val="13"/>
                <w:color w:val="auto"/>
              </w:rPr>
              <w:t>Total revenue from contracts with customers</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220</w:t>
            </w:r>
          </w:p>
        </w:tc>
        <w:tc>
          <w:tcPr>
            <w:tcW w:w="10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200" w:hanging="131"/>
        <w:spacing w:after="0"/>
        <w:tabs>
          <w:tab w:leader="none" w:pos="200" w:val="left"/>
        </w:tabs>
        <w:numPr>
          <w:ilvl w:val="0"/>
          <w:numId w:val="55"/>
        </w:numPr>
        <w:rPr>
          <w:rFonts w:ascii="Arial" w:cs="Arial" w:eastAsia="Arial" w:hAnsi="Arial"/>
          <w:sz w:val="16"/>
          <w:szCs w:val="16"/>
          <w:color w:val="auto"/>
          <w:vertAlign w:val="superscript"/>
        </w:rPr>
      </w:pPr>
      <w:r>
        <w:rPr>
          <w:rFonts w:ascii="Arial" w:cs="Arial" w:eastAsia="Arial" w:hAnsi="Arial"/>
          <w:sz w:val="11"/>
          <w:szCs w:val="11"/>
          <w:color w:val="auto"/>
        </w:rPr>
        <w:t xml:space="preserve">See </w:t>
      </w:r>
      <w:r>
        <w:rPr>
          <w:rFonts w:ascii="Arial" w:cs="Arial" w:eastAsia="Arial" w:hAnsi="Arial"/>
          <w:sz w:val="13"/>
          <w:szCs w:val="13"/>
          <w:color w:val="auto"/>
        </w:rPr>
        <w:t>Note 15</w:t>
      </w:r>
      <w:r>
        <w:rPr>
          <w:rFonts w:ascii="Arial" w:cs="Arial" w:eastAsia="Arial" w:hAnsi="Arial"/>
          <w:sz w:val="11"/>
          <w:szCs w:val="11"/>
          <w:color w:val="auto"/>
        </w:rPr>
        <w:t xml:space="preserve">, </w:t>
      </w:r>
      <w:r>
        <w:rPr>
          <w:rFonts w:ascii="Arial" w:cs="Arial" w:eastAsia="Arial" w:hAnsi="Arial"/>
          <w:sz w:val="11"/>
          <w:szCs w:val="11"/>
          <w:i w:val="1"/>
          <w:iCs w:val="1"/>
          <w:color w:val="auto"/>
        </w:rPr>
        <w:t>Leases,</w:t>
      </w:r>
      <w:r>
        <w:rPr>
          <w:rFonts w:ascii="Arial" w:cs="Arial" w:eastAsia="Arial" w:hAnsi="Arial"/>
          <w:sz w:val="11"/>
          <w:szCs w:val="11"/>
          <w:color w:val="auto"/>
        </w:rPr>
        <w:t xml:space="preserve"> for the amounts of energy and capacity revenue that relate to leases and are accounted for under ASC 842.</w:t>
      </w: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70" w:lineRule="exact"/>
        <w:rPr>
          <w:rFonts w:ascii="Arial" w:cs="Arial" w:eastAsia="Arial" w:hAnsi="Arial"/>
          <w:sz w:val="16"/>
          <w:szCs w:val="16"/>
          <w:color w:val="auto"/>
          <w:vertAlign w:val="superscript"/>
        </w:rPr>
      </w:pPr>
    </w:p>
    <w:p>
      <w:pPr>
        <w:ind w:left="5580"/>
        <w:spacing w:after="0"/>
        <w:rPr>
          <w:rFonts w:ascii="Arial" w:cs="Arial" w:eastAsia="Arial" w:hAnsi="Arial"/>
          <w:sz w:val="16"/>
          <w:szCs w:val="16"/>
          <w:color w:val="auto"/>
          <w:vertAlign w:val="superscript"/>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93" w:name="page94"/>
    <w:bookmarkEnd w:id="93"/>
    <w:p>
      <w:pPr>
        <w:ind w:firstLine="318"/>
        <w:spacing w:after="0" w:line="281" w:lineRule="auto"/>
        <w:rPr>
          <w:sz w:val="20"/>
          <w:szCs w:val="20"/>
          <w:color w:val="auto"/>
        </w:rPr>
      </w:pPr>
      <w:r>
        <w:rPr>
          <w:rFonts w:ascii="Arial" w:cs="Arial" w:eastAsia="Arial" w:hAnsi="Arial"/>
          <w:sz w:val="14"/>
          <w:szCs w:val="14"/>
          <w:color w:val="auto"/>
        </w:rPr>
        <w:t>The following tables represent the Company’s disaggregation of revenue from contracts with customers for the year ended December 31, 2021, along with the reportable segment for each category: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1"/>
                <w:szCs w:val="11"/>
                <w:b w:val="1"/>
                <w:bCs w:val="1"/>
                <w:color w:val="auto"/>
              </w:rPr>
              <w:t>Year ended December 31, 2021</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5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9"/>
                <w:szCs w:val="9"/>
                <w:color w:val="auto"/>
              </w:rPr>
            </w:pPr>
          </w:p>
        </w:tc>
        <w:tc>
          <w:tcPr>
            <w:tcW w:w="1060" w:type="dxa"/>
            <w:vAlign w:val="bottom"/>
            <w:gridSpan w:val="2"/>
          </w:tcPr>
          <w:p>
            <w:pPr>
              <w:jc w:val="center"/>
              <w:ind w:right="240"/>
              <w:spacing w:after="0" w:line="110" w:lineRule="exact"/>
              <w:rPr>
                <w:sz w:val="20"/>
                <w:szCs w:val="20"/>
                <w:color w:val="auto"/>
              </w:rPr>
            </w:pPr>
            <w:r>
              <w:rPr>
                <w:rFonts w:ascii="Arial" w:cs="Arial" w:eastAsia="Arial" w:hAnsi="Arial"/>
                <w:sz w:val="11"/>
                <w:szCs w:val="11"/>
                <w:b w:val="1"/>
                <w:bCs w:val="1"/>
                <w:color w:val="auto"/>
                <w:w w:val="94"/>
              </w:rPr>
              <w:t>Conventional</w:t>
            </w:r>
          </w:p>
        </w:tc>
        <w:tc>
          <w:tcPr>
            <w:tcW w:w="180" w:type="dxa"/>
            <w:vAlign w:val="bottom"/>
          </w:tcPr>
          <w:p>
            <w:pPr>
              <w:spacing w:after="0"/>
              <w:rPr>
                <w:sz w:val="9"/>
                <w:szCs w:val="9"/>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Renewables</w:t>
            </w:r>
          </w:p>
        </w:tc>
        <w:tc>
          <w:tcPr>
            <w:tcW w:w="8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Thermal</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vMerge w:val="restart"/>
          </w:tcPr>
          <w:p>
            <w:pPr>
              <w:jc w:val="right"/>
              <w:ind w:right="37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1"/>
        </w:trPr>
        <w:tc>
          <w:tcPr>
            <w:tcW w:w="65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Generation</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560" w:type="dxa"/>
            <w:vAlign w:val="bottom"/>
            <w:tcBorders>
              <w:top w:val="single" w:sz="8" w:color="CCEEFF"/>
            </w:tcBorders>
            <w:shd w:val="clear" w:color="auto" w:fill="CCEEFF"/>
          </w:tcPr>
          <w:p>
            <w:pPr>
              <w:ind w:left="20"/>
              <w:spacing w:after="0" w:line="165" w:lineRule="exact"/>
              <w:rPr>
                <w:sz w:val="20"/>
                <w:szCs w:val="20"/>
                <w:color w:val="auto"/>
              </w:rPr>
            </w:pPr>
            <w:r>
              <w:rPr>
                <w:rFonts w:ascii="Arial" w:cs="Arial" w:eastAsia="Arial" w:hAnsi="Arial"/>
                <w:sz w:val="13"/>
                <w:szCs w:val="13"/>
                <w:color w:val="auto"/>
              </w:rPr>
              <w:t xml:space="preserve">Energy revenue </w:t>
            </w:r>
            <w:r>
              <w:rPr>
                <w:rFonts w:ascii="Arial" w:cs="Arial" w:eastAsia="Arial" w:hAnsi="Arial"/>
                <w:sz w:val="16"/>
                <w:szCs w:val="16"/>
                <w:color w:val="auto"/>
                <w:vertAlign w:val="superscript"/>
              </w:rPr>
              <w:t>(a)</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784</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0" w:type="dxa"/>
            <w:vAlign w:val="bottom"/>
          </w:tcPr>
          <w:p>
            <w:pPr>
              <w:spacing w:after="0"/>
              <w:rPr>
                <w:sz w:val="1"/>
                <w:szCs w:val="1"/>
                <w:color w:val="auto"/>
              </w:rPr>
            </w:pPr>
          </w:p>
        </w:tc>
      </w:tr>
      <w:tr>
        <w:trPr>
          <w:trHeight w:val="170"/>
        </w:trPr>
        <w:tc>
          <w:tcPr>
            <w:tcW w:w="656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Capacity revenue </w:t>
            </w:r>
            <w:r>
              <w:rPr>
                <w:rFonts w:ascii="Arial" w:cs="Arial" w:eastAsia="Arial" w:hAnsi="Arial"/>
                <w:sz w:val="16"/>
                <w:szCs w:val="16"/>
                <w:color w:val="auto"/>
                <w:vertAlign w:val="superscript"/>
              </w:rPr>
              <w:t>(a)</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510</w:t>
            </w:r>
          </w:p>
        </w:tc>
        <w:tc>
          <w:tcPr>
            <w:tcW w:w="0" w:type="dxa"/>
            <w:vAlign w:val="bottom"/>
          </w:tcPr>
          <w:p>
            <w:pPr>
              <w:spacing w:after="0"/>
              <w:rPr>
                <w:sz w:val="1"/>
                <w:szCs w:val="1"/>
                <w:color w:val="auto"/>
              </w:rPr>
            </w:pPr>
          </w:p>
        </w:tc>
      </w:tr>
      <w:tr>
        <w:trPr>
          <w:trHeight w:val="170"/>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revenues</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8"/>
        </w:trPr>
        <w:tc>
          <w:tcPr>
            <w:tcW w:w="6560" w:type="dxa"/>
            <w:vAlign w:val="bottom"/>
          </w:tcPr>
          <w:p>
            <w:pPr>
              <w:ind w:left="20"/>
              <w:spacing w:after="0"/>
              <w:rPr>
                <w:sz w:val="20"/>
                <w:szCs w:val="20"/>
                <w:color w:val="auto"/>
              </w:rPr>
            </w:pPr>
            <w:r>
              <w:rPr>
                <w:rFonts w:ascii="Arial" w:cs="Arial" w:eastAsia="Arial" w:hAnsi="Arial"/>
                <w:sz w:val="13"/>
                <w:szCs w:val="13"/>
                <w:color w:val="auto"/>
              </w:rPr>
              <w:t>Contract amortization</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72"/>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Mark-to-market for economic hedges</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58"/>
        </w:trPr>
        <w:tc>
          <w:tcPr>
            <w:tcW w:w="6560" w:type="dxa"/>
            <w:vAlign w:val="bottom"/>
          </w:tcPr>
          <w:p>
            <w:pPr>
              <w:ind w:left="100"/>
              <w:spacing w:after="0"/>
              <w:rPr>
                <w:sz w:val="20"/>
                <w:szCs w:val="20"/>
                <w:color w:val="auto"/>
              </w:rPr>
            </w:pPr>
            <w:r>
              <w:rPr>
                <w:rFonts w:ascii="Arial" w:cs="Arial" w:eastAsia="Arial" w:hAnsi="Arial"/>
                <w:sz w:val="13"/>
                <w:szCs w:val="13"/>
                <w:color w:val="auto"/>
              </w:rPr>
              <w:t>Total operating revenues</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441</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641</w:t>
            </w: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1,286</w:t>
            </w:r>
          </w:p>
        </w:tc>
        <w:tc>
          <w:tcPr>
            <w:tcW w:w="0" w:type="dxa"/>
            <w:vAlign w:val="bottom"/>
          </w:tcPr>
          <w:p>
            <w:pPr>
              <w:spacing w:after="0"/>
              <w:rPr>
                <w:sz w:val="1"/>
                <w:szCs w:val="1"/>
                <w:color w:val="auto"/>
              </w:rPr>
            </w:pPr>
          </w:p>
        </w:tc>
      </w:tr>
      <w:tr>
        <w:trPr>
          <w:trHeight w:val="172"/>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Contract amortization</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68"/>
        </w:trPr>
        <w:tc>
          <w:tcPr>
            <w:tcW w:w="6560" w:type="dxa"/>
            <w:vAlign w:val="bottom"/>
          </w:tcPr>
          <w:p>
            <w:pPr>
              <w:ind w:left="20"/>
              <w:spacing w:after="0"/>
              <w:rPr>
                <w:sz w:val="20"/>
                <w:szCs w:val="20"/>
                <w:color w:val="auto"/>
              </w:rPr>
            </w:pPr>
            <w:r>
              <w:rPr>
                <w:rFonts w:ascii="Arial" w:cs="Arial" w:eastAsia="Arial" w:hAnsi="Arial"/>
                <w:sz w:val="13"/>
                <w:szCs w:val="13"/>
                <w:color w:val="auto"/>
              </w:rPr>
              <w:t>Less: Mark-to-market for economic hedges</w:t>
            </w:r>
          </w:p>
        </w:tc>
        <w:tc>
          <w:tcPr>
            <w:tcW w:w="1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70"/>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Lease revenue</w:t>
            </w:r>
          </w:p>
        </w:tc>
        <w:tc>
          <w:tcPr>
            <w:tcW w:w="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(1,182)</w:t>
            </w:r>
          </w:p>
        </w:tc>
        <w:tc>
          <w:tcPr>
            <w:tcW w:w="0" w:type="dxa"/>
            <w:vAlign w:val="bottom"/>
          </w:tcPr>
          <w:p>
            <w:pPr>
              <w:spacing w:after="0"/>
              <w:rPr>
                <w:sz w:val="1"/>
                <w:szCs w:val="1"/>
                <w:color w:val="auto"/>
              </w:rPr>
            </w:pPr>
          </w:p>
        </w:tc>
      </w:tr>
      <w:tr>
        <w:trPr>
          <w:trHeight w:val="163"/>
        </w:trPr>
        <w:tc>
          <w:tcPr>
            <w:tcW w:w="6560" w:type="dxa"/>
            <w:vAlign w:val="bottom"/>
          </w:tcPr>
          <w:p>
            <w:pPr>
              <w:ind w:left="100"/>
              <w:spacing w:after="0"/>
              <w:rPr>
                <w:sz w:val="20"/>
                <w:szCs w:val="20"/>
                <w:color w:val="auto"/>
              </w:rPr>
            </w:pPr>
            <w:r>
              <w:rPr>
                <w:rFonts w:ascii="Arial" w:cs="Arial" w:eastAsia="Arial" w:hAnsi="Arial"/>
                <w:sz w:val="13"/>
                <w:szCs w:val="13"/>
                <w:color w:val="auto"/>
              </w:rPr>
              <w:t>Total revenue from contracts with customers</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4"/>
                <w:szCs w:val="14"/>
                <w:color w:val="auto"/>
              </w:rPr>
            </w:pPr>
          </w:p>
        </w:tc>
        <w:tc>
          <w:tcPr>
            <w:tcW w:w="820" w:type="dxa"/>
            <w:vAlign w:val="bottom"/>
          </w:tcPr>
          <w:p>
            <w:pPr>
              <w:jc w:val="right"/>
              <w:ind w:right="679"/>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200" w:hanging="131"/>
        <w:spacing w:after="0"/>
        <w:tabs>
          <w:tab w:leader="none" w:pos="200" w:val="left"/>
        </w:tabs>
        <w:numPr>
          <w:ilvl w:val="0"/>
          <w:numId w:val="56"/>
        </w:numPr>
        <w:rPr>
          <w:rFonts w:ascii="Arial" w:cs="Arial" w:eastAsia="Arial" w:hAnsi="Arial"/>
          <w:sz w:val="16"/>
          <w:szCs w:val="16"/>
          <w:color w:val="auto"/>
          <w:vertAlign w:val="superscript"/>
        </w:rPr>
      </w:pPr>
      <w:r>
        <w:rPr>
          <w:rFonts w:ascii="Arial" w:cs="Arial" w:eastAsia="Arial" w:hAnsi="Arial"/>
          <w:sz w:val="11"/>
          <w:szCs w:val="11"/>
          <w:color w:val="auto"/>
        </w:rPr>
        <w:t xml:space="preserve">See </w:t>
      </w:r>
      <w:r>
        <w:rPr>
          <w:rFonts w:ascii="Arial" w:cs="Arial" w:eastAsia="Arial" w:hAnsi="Arial"/>
          <w:sz w:val="13"/>
          <w:szCs w:val="13"/>
          <w:color w:val="auto"/>
        </w:rPr>
        <w:t>Note 15</w:t>
      </w:r>
      <w:r>
        <w:rPr>
          <w:rFonts w:ascii="Arial" w:cs="Arial" w:eastAsia="Arial" w:hAnsi="Arial"/>
          <w:sz w:val="11"/>
          <w:szCs w:val="11"/>
          <w:color w:val="auto"/>
        </w:rPr>
        <w:t xml:space="preserve">, </w:t>
      </w:r>
      <w:r>
        <w:rPr>
          <w:rFonts w:ascii="Arial" w:cs="Arial" w:eastAsia="Arial" w:hAnsi="Arial"/>
          <w:sz w:val="11"/>
          <w:szCs w:val="11"/>
          <w:i w:val="1"/>
          <w:iCs w:val="1"/>
          <w:color w:val="auto"/>
        </w:rPr>
        <w:t>Leases,</w:t>
      </w:r>
      <w:r>
        <w:rPr>
          <w:rFonts w:ascii="Arial" w:cs="Arial" w:eastAsia="Arial" w:hAnsi="Arial"/>
          <w:sz w:val="11"/>
          <w:szCs w:val="11"/>
          <w:color w:val="auto"/>
        </w:rPr>
        <w:t xml:space="preserve"> for the amounts of energy and capacity revenue that relate to leases and are accounted for under ASC 842.</w:t>
      </w:r>
    </w:p>
    <w:p>
      <w:pPr>
        <w:spacing w:after="0" w:line="117"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The following tables represent the Company’s disaggregation of revenue from contracts with customers for the year ended December 31, 2020, along with the reportable segment for each category: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ind w:left="200"/>
              <w:spacing w:after="0"/>
              <w:rPr>
                <w:sz w:val="20"/>
                <w:szCs w:val="20"/>
                <w:color w:val="auto"/>
              </w:rPr>
            </w:pPr>
            <w:r>
              <w:rPr>
                <w:rFonts w:ascii="Arial" w:cs="Arial" w:eastAsia="Arial" w:hAnsi="Arial"/>
                <w:sz w:val="11"/>
                <w:szCs w:val="11"/>
                <w:b w:val="1"/>
                <w:bCs w:val="1"/>
                <w:color w:val="auto"/>
              </w:rPr>
              <w:t>Year ended December 31, 2020</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6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60" w:type="dxa"/>
            <w:vAlign w:val="bottom"/>
          </w:tcPr>
          <w:p>
            <w:pPr>
              <w:spacing w:after="0"/>
              <w:rPr>
                <w:sz w:val="9"/>
                <w:szCs w:val="9"/>
                <w:color w:val="auto"/>
              </w:rPr>
            </w:pPr>
          </w:p>
        </w:tc>
        <w:tc>
          <w:tcPr>
            <w:tcW w:w="1100" w:type="dxa"/>
            <w:vAlign w:val="bottom"/>
            <w:gridSpan w:val="2"/>
          </w:tcPr>
          <w:p>
            <w:pPr>
              <w:jc w:val="center"/>
              <w:ind w:right="260"/>
              <w:spacing w:after="0" w:line="106" w:lineRule="exact"/>
              <w:rPr>
                <w:sz w:val="20"/>
                <w:szCs w:val="20"/>
                <w:color w:val="auto"/>
              </w:rPr>
            </w:pPr>
            <w:r>
              <w:rPr>
                <w:rFonts w:ascii="Arial" w:cs="Arial" w:eastAsia="Arial" w:hAnsi="Arial"/>
                <w:sz w:val="11"/>
                <w:szCs w:val="11"/>
                <w:b w:val="1"/>
                <w:bCs w:val="1"/>
                <w:color w:val="auto"/>
                <w:w w:val="91"/>
              </w:rPr>
              <w:t>Conventional</w:t>
            </w:r>
          </w:p>
        </w:tc>
        <w:tc>
          <w:tcPr>
            <w:tcW w:w="180" w:type="dxa"/>
            <w:vAlign w:val="bottom"/>
          </w:tcPr>
          <w:p>
            <w:pPr>
              <w:spacing w:after="0"/>
              <w:rPr>
                <w:sz w:val="9"/>
                <w:szCs w:val="9"/>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Renewables</w:t>
            </w:r>
          </w:p>
        </w:tc>
        <w:tc>
          <w:tcPr>
            <w:tcW w:w="200" w:type="dxa"/>
            <w:vAlign w:val="bottom"/>
          </w:tcPr>
          <w:p>
            <w:pPr>
              <w:spacing w:after="0"/>
              <w:rPr>
                <w:sz w:val="9"/>
                <w:szCs w:val="9"/>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Thermal</w:t>
            </w:r>
          </w:p>
        </w:tc>
        <w:tc>
          <w:tcPr>
            <w:tcW w:w="260" w:type="dxa"/>
            <w:vAlign w:val="bottom"/>
          </w:tcPr>
          <w:p>
            <w:pPr>
              <w:spacing w:after="0"/>
              <w:rPr>
                <w:sz w:val="9"/>
                <w:szCs w:val="9"/>
                <w:color w:val="auto"/>
              </w:rPr>
            </w:pPr>
          </w:p>
        </w:tc>
        <w:tc>
          <w:tcPr>
            <w:tcW w:w="860" w:type="dxa"/>
            <w:vAlign w:val="bottom"/>
            <w:vMerge w:val="restart"/>
          </w:tcPr>
          <w:p>
            <w:pPr>
              <w:jc w:val="right"/>
              <w:ind w:right="37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3"/>
        </w:trPr>
        <w:tc>
          <w:tcPr>
            <w:tcW w:w="65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Generation</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500" w:type="dxa"/>
            <w:vAlign w:val="bottom"/>
            <w:tcBorders>
              <w:top w:val="single" w:sz="8" w:color="CCEEFF"/>
            </w:tcBorders>
            <w:shd w:val="clear" w:color="auto" w:fill="CCEEFF"/>
          </w:tcPr>
          <w:p>
            <w:pPr>
              <w:ind w:left="20"/>
              <w:spacing w:after="0" w:line="167" w:lineRule="exact"/>
              <w:rPr>
                <w:sz w:val="20"/>
                <w:szCs w:val="20"/>
                <w:color w:val="auto"/>
              </w:rPr>
            </w:pPr>
            <w:r>
              <w:rPr>
                <w:rFonts w:ascii="Arial" w:cs="Arial" w:eastAsia="Arial" w:hAnsi="Arial"/>
                <w:sz w:val="13"/>
                <w:szCs w:val="13"/>
                <w:color w:val="auto"/>
              </w:rPr>
              <w:t xml:space="preserve">Energy revenue </w:t>
            </w:r>
            <w:r>
              <w:rPr>
                <w:rFonts w:ascii="Arial" w:cs="Arial" w:eastAsia="Arial" w:hAnsi="Arial"/>
                <w:sz w:val="16"/>
                <w:szCs w:val="16"/>
                <w:color w:val="auto"/>
                <w:vertAlign w:val="superscript"/>
              </w:rPr>
              <w:t>(a)</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0" w:type="dxa"/>
            <w:vAlign w:val="bottom"/>
          </w:tcPr>
          <w:p>
            <w:pPr>
              <w:spacing w:after="0"/>
              <w:rPr>
                <w:sz w:val="1"/>
                <w:szCs w:val="1"/>
                <w:color w:val="auto"/>
              </w:rPr>
            </w:pPr>
          </w:p>
        </w:tc>
      </w:tr>
      <w:tr>
        <w:trPr>
          <w:trHeight w:val="170"/>
        </w:trPr>
        <w:tc>
          <w:tcPr>
            <w:tcW w:w="650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Capacity revenue </w:t>
            </w:r>
            <w:r>
              <w:rPr>
                <w:rFonts w:ascii="Arial" w:cs="Arial" w:eastAsia="Arial" w:hAnsi="Arial"/>
                <w:sz w:val="16"/>
                <w:szCs w:val="16"/>
                <w:color w:val="auto"/>
                <w:vertAlign w:val="superscript"/>
              </w:rPr>
              <w:t>(a)</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514</w:t>
            </w:r>
          </w:p>
        </w:tc>
        <w:tc>
          <w:tcPr>
            <w:tcW w:w="0" w:type="dxa"/>
            <w:vAlign w:val="bottom"/>
          </w:tcPr>
          <w:p>
            <w:pPr>
              <w:spacing w:after="0"/>
              <w:rPr>
                <w:sz w:val="1"/>
                <w:szCs w:val="1"/>
                <w:color w:val="auto"/>
              </w:rPr>
            </w:pPr>
          </w:p>
        </w:tc>
      </w:tr>
      <w:tr>
        <w:trPr>
          <w:trHeight w:val="170"/>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revenues</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8"/>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Contract amortization</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63"/>
        </w:trPr>
        <w:tc>
          <w:tcPr>
            <w:tcW w:w="6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operating revenues</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w:t>
            </w:r>
          </w:p>
        </w:tc>
        <w:tc>
          <w:tcPr>
            <w:tcW w:w="0" w:type="dxa"/>
            <w:vAlign w:val="bottom"/>
          </w:tcPr>
          <w:p>
            <w:pPr>
              <w:spacing w:after="0"/>
              <w:rPr>
                <w:sz w:val="1"/>
                <w:szCs w:val="1"/>
                <w:color w:val="auto"/>
              </w:rPr>
            </w:pPr>
          </w:p>
        </w:tc>
      </w:tr>
      <w:tr>
        <w:trPr>
          <w:trHeight w:val="168"/>
        </w:trPr>
        <w:tc>
          <w:tcPr>
            <w:tcW w:w="6500" w:type="dxa"/>
            <w:vAlign w:val="bottom"/>
          </w:tcPr>
          <w:p>
            <w:pPr>
              <w:ind w:left="20"/>
              <w:spacing w:after="0"/>
              <w:rPr>
                <w:sz w:val="20"/>
                <w:szCs w:val="20"/>
                <w:color w:val="auto"/>
              </w:rPr>
            </w:pPr>
            <w:r>
              <w:rPr>
                <w:rFonts w:ascii="Arial" w:cs="Arial" w:eastAsia="Arial" w:hAnsi="Arial"/>
                <w:sz w:val="13"/>
                <w:szCs w:val="13"/>
                <w:color w:val="auto"/>
              </w:rPr>
              <w:t>Less: Contract amortization</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70"/>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Lease revenue</w:t>
            </w: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(1,017)</w:t>
            </w:r>
          </w:p>
        </w:tc>
        <w:tc>
          <w:tcPr>
            <w:tcW w:w="0" w:type="dxa"/>
            <w:vAlign w:val="bottom"/>
          </w:tcPr>
          <w:p>
            <w:pPr>
              <w:spacing w:after="0"/>
              <w:rPr>
                <w:sz w:val="1"/>
                <w:szCs w:val="1"/>
                <w:color w:val="auto"/>
              </w:rPr>
            </w:pPr>
          </w:p>
        </w:tc>
      </w:tr>
      <w:tr>
        <w:trPr>
          <w:trHeight w:val="163"/>
        </w:trPr>
        <w:tc>
          <w:tcPr>
            <w:tcW w:w="6500" w:type="dxa"/>
            <w:vAlign w:val="bottom"/>
          </w:tcPr>
          <w:p>
            <w:pPr>
              <w:ind w:left="100"/>
              <w:spacing w:after="0"/>
              <w:rPr>
                <w:sz w:val="20"/>
                <w:szCs w:val="20"/>
                <w:color w:val="auto"/>
              </w:rPr>
            </w:pPr>
            <w:r>
              <w:rPr>
                <w:rFonts w:ascii="Arial" w:cs="Arial" w:eastAsia="Arial" w:hAnsi="Arial"/>
                <w:sz w:val="13"/>
                <w:szCs w:val="13"/>
                <w:color w:val="auto"/>
              </w:rPr>
              <w:t>Total revenue from contracts with customers</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200" w:hanging="131"/>
        <w:spacing w:after="0"/>
        <w:tabs>
          <w:tab w:leader="none" w:pos="200" w:val="left"/>
        </w:tabs>
        <w:numPr>
          <w:ilvl w:val="0"/>
          <w:numId w:val="57"/>
        </w:numPr>
        <w:rPr>
          <w:rFonts w:ascii="Arial" w:cs="Arial" w:eastAsia="Arial" w:hAnsi="Arial"/>
          <w:sz w:val="16"/>
          <w:szCs w:val="16"/>
          <w:color w:val="auto"/>
          <w:vertAlign w:val="superscript"/>
        </w:rPr>
      </w:pPr>
      <w:r>
        <w:rPr>
          <w:rFonts w:ascii="Arial" w:cs="Arial" w:eastAsia="Arial" w:hAnsi="Arial"/>
          <w:sz w:val="11"/>
          <w:szCs w:val="11"/>
          <w:color w:val="auto"/>
        </w:rPr>
        <w:t xml:space="preserve">See </w:t>
      </w:r>
      <w:r>
        <w:rPr>
          <w:rFonts w:ascii="Arial" w:cs="Arial" w:eastAsia="Arial" w:hAnsi="Arial"/>
          <w:sz w:val="13"/>
          <w:szCs w:val="13"/>
          <w:color w:val="auto"/>
        </w:rPr>
        <w:t>Note 15</w:t>
      </w:r>
      <w:r>
        <w:rPr>
          <w:rFonts w:ascii="Arial" w:cs="Arial" w:eastAsia="Arial" w:hAnsi="Arial"/>
          <w:sz w:val="11"/>
          <w:szCs w:val="11"/>
          <w:color w:val="auto"/>
        </w:rPr>
        <w:t xml:space="preserve">, </w:t>
      </w:r>
      <w:r>
        <w:rPr>
          <w:rFonts w:ascii="Arial" w:cs="Arial" w:eastAsia="Arial" w:hAnsi="Arial"/>
          <w:sz w:val="11"/>
          <w:szCs w:val="11"/>
          <w:i w:val="1"/>
          <w:iCs w:val="1"/>
          <w:color w:val="auto"/>
        </w:rPr>
        <w:t>Leases,</w:t>
      </w:r>
      <w:r>
        <w:rPr>
          <w:rFonts w:ascii="Arial" w:cs="Arial" w:eastAsia="Arial" w:hAnsi="Arial"/>
          <w:sz w:val="11"/>
          <w:szCs w:val="11"/>
          <w:color w:val="auto"/>
        </w:rPr>
        <w:t xml:space="preserve"> for the amounts of energy and capacity revenue that relate to leases and are accounted for under ASC 842.</w:t>
      </w:r>
    </w:p>
    <w:p>
      <w:pPr>
        <w:spacing w:after="0" w:line="149"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Contract Amortization</w:t>
      </w:r>
    </w:p>
    <w:p>
      <w:pPr>
        <w:spacing w:after="0" w:line="136" w:lineRule="exact"/>
        <w:rPr>
          <w:sz w:val="20"/>
          <w:szCs w:val="20"/>
          <w:color w:val="auto"/>
        </w:rPr>
      </w:pPr>
    </w:p>
    <w:p>
      <w:pPr>
        <w:ind w:firstLine="318"/>
        <w:spacing w:after="0" w:line="321" w:lineRule="auto"/>
        <w:rPr>
          <w:sz w:val="20"/>
          <w:szCs w:val="20"/>
          <w:color w:val="auto"/>
        </w:rPr>
      </w:pPr>
      <w:r>
        <w:rPr>
          <w:rFonts w:ascii="Arial" w:cs="Arial" w:eastAsia="Arial" w:hAnsi="Arial"/>
          <w:sz w:val="13"/>
          <w:szCs w:val="13"/>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Balances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reflects the net amount of contract assets and liabilities included on the Company’s consolidated balance sheets as of December 31, 2022 and December 31,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4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240" w:type="dxa"/>
            <w:vAlign w:val="bottom"/>
          </w:tcPr>
          <w:p>
            <w:pPr>
              <w:spacing w:after="0"/>
              <w:rPr>
                <w:sz w:val="13"/>
                <w:szCs w:val="13"/>
                <w:color w:val="auto"/>
              </w:rPr>
            </w:pPr>
          </w:p>
        </w:tc>
        <w:tc>
          <w:tcPr>
            <w:tcW w:w="1560" w:type="dxa"/>
            <w:vAlign w:val="bottom"/>
            <w:gridSpan w:val="2"/>
          </w:tcPr>
          <w:p>
            <w:pPr>
              <w:ind w:left="160"/>
              <w:spacing w:after="0"/>
              <w:rPr>
                <w:sz w:val="20"/>
                <w:szCs w:val="20"/>
                <w:color w:val="auto"/>
              </w:rPr>
            </w:pPr>
            <w:r>
              <w:rPr>
                <w:rFonts w:ascii="Arial" w:cs="Arial" w:eastAsia="Arial" w:hAnsi="Arial"/>
                <w:sz w:val="11"/>
                <w:szCs w:val="11"/>
                <w:b w:val="1"/>
                <w:bCs w:val="1"/>
                <w:color w:val="auto"/>
              </w:rPr>
              <w:t>December 31, 2022</w:t>
            </w:r>
          </w:p>
        </w:tc>
        <w:tc>
          <w:tcPr>
            <w:tcW w:w="220" w:type="dxa"/>
            <w:vAlign w:val="bottom"/>
          </w:tcPr>
          <w:p>
            <w:pPr>
              <w:spacing w:after="0"/>
              <w:rPr>
                <w:sz w:val="13"/>
                <w:szCs w:val="13"/>
                <w:color w:val="auto"/>
              </w:rPr>
            </w:pPr>
          </w:p>
        </w:tc>
        <w:tc>
          <w:tcPr>
            <w:tcW w:w="1420" w:type="dxa"/>
            <w:vAlign w:val="bottom"/>
          </w:tcPr>
          <w:p>
            <w:pPr>
              <w:jc w:val="right"/>
              <w:ind w:right="298"/>
              <w:spacing w:after="0"/>
              <w:rPr>
                <w:sz w:val="20"/>
                <w:szCs w:val="20"/>
                <w:color w:val="auto"/>
              </w:rPr>
            </w:pPr>
            <w:r>
              <w:rPr>
                <w:rFonts w:ascii="Arial" w:cs="Arial" w:eastAsia="Arial" w:hAnsi="Arial"/>
                <w:sz w:val="11"/>
                <w:szCs w:val="11"/>
                <w:b w:val="1"/>
                <w:bCs w:val="1"/>
                <w:color w:val="auto"/>
              </w:rPr>
              <w:t>December 31, 2021</w:t>
            </w:r>
          </w:p>
        </w:tc>
      </w:tr>
      <w:tr>
        <w:trPr>
          <w:trHeight w:val="170"/>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Accounts receivable, net - Contracts with customers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6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Accounts receivable, net - Leases</w:t>
            </w: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r>
      <w:tr>
        <w:trPr>
          <w:trHeight w:val="188"/>
        </w:trPr>
        <w:tc>
          <w:tcPr>
            <w:tcW w:w="7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Total accounts receivable, net</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i w:val="1"/>
          <w:iCs w:val="1"/>
          <w:color w:val="auto"/>
        </w:rPr>
        <w:t>Derivative Financial Instruments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 xml:space="preserve">The Company accounts for derivative financial instruments under ASC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either:</w:t>
      </w:r>
    </w:p>
    <w:p>
      <w:pPr>
        <w:spacing w:after="0" w:line="57" w:lineRule="exact"/>
        <w:rPr>
          <w:sz w:val="20"/>
          <w:szCs w:val="20"/>
          <w:color w:val="auto"/>
        </w:rPr>
      </w:pPr>
    </w:p>
    <w:p>
      <w:pPr>
        <w:ind w:left="520" w:hanging="260"/>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Recognized in earnings as an offset to the changes in the fair value of the related hedged assets, liabilities and firm commitments; or</w:t>
      </w:r>
    </w:p>
    <w:p>
      <w:pPr>
        <w:spacing w:after="0" w:line="51" w:lineRule="exact"/>
        <w:rPr>
          <w:rFonts w:ascii="Arial" w:cs="Arial" w:eastAsia="Arial" w:hAnsi="Arial"/>
          <w:sz w:val="14"/>
          <w:szCs w:val="14"/>
          <w:color w:val="auto"/>
        </w:rPr>
      </w:pPr>
    </w:p>
    <w:p>
      <w:pPr>
        <w:ind w:left="520" w:hanging="260"/>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Deferred and recorded as a component of accumulated OCI until the hedged transactions occur and are recognized in earnings.</w:t>
      </w:r>
    </w:p>
    <w:p>
      <w:pPr>
        <w:spacing w:after="0" w:line="136"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The Company’s primary derivative instruments are interest rate instruments used to mitigate variability in earnings due to fluctuations in interest rates and power sale contracts used to mitigate variability in earnings due to fluctuations in market prices. Certain derivative contracts contain provisions providing the counterparties a lien on specific assets as collateral.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 would be frozen until the underlying hedged item is delivered unless the transaction being hedged is no longer probable of occurring in which case the amount in accumulated OCI would be immediately reclassified into earnings. If the derivative instrument is terminated, the effective portion of this derivative deferred in accumulated OCI will be frozen until the underlying hedged item is delivered.</w:t>
      </w:r>
    </w:p>
    <w:p>
      <w:pPr>
        <w:spacing w:after="0" w:line="10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13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 xml:space="preserve">Financial instruments which potentially subject the Company to concentrations of credit risk consist primarily of accounts receivable — trade and derivative instruments, which are concentrated within entities engaged in the energy and financial industries. These industry concentrations may impact the overall exposure to credit risk, either positively or negatively, in that the customers may be similarly affected by changes in economic, industry or other conditions. In addition, many of the Company’s projects have only one customer. See Item 1A, Risk Factors, </w:t>
      </w:r>
      <w:r>
        <w:rPr>
          <w:rFonts w:ascii="Arial" w:cs="Arial" w:eastAsia="Arial" w:hAnsi="Arial"/>
          <w:sz w:val="14"/>
          <w:szCs w:val="14"/>
          <w:i w:val="1"/>
          <w:iCs w:val="1"/>
          <w:color w:val="auto"/>
        </w:rPr>
        <w:t>Risks Related to the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Company’s Business, </w:t>
      </w:r>
      <w:r>
        <w:rPr>
          <w:rFonts w:ascii="Arial" w:cs="Arial" w:eastAsia="Arial" w:hAnsi="Arial"/>
          <w:sz w:val="14"/>
          <w:szCs w:val="14"/>
          <w:color w:val="auto"/>
        </w:rPr>
        <w:t>for a discussion on the Company’s dependence on major customers</w:t>
      </w:r>
      <w:r>
        <w:rPr>
          <w:rFonts w:ascii="Arial" w:cs="Arial" w:eastAsia="Arial" w:hAnsi="Arial"/>
          <w:sz w:val="14"/>
          <w:szCs w:val="14"/>
          <w:color w:val="1F497D"/>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See Note 6,</w:t>
      </w:r>
      <w:r>
        <w:rPr>
          <w:rFonts w:ascii="Arial" w:cs="Arial" w:eastAsia="Arial" w:hAnsi="Arial"/>
          <w:sz w:val="14"/>
          <w:szCs w:val="14"/>
          <w:i w:val="1"/>
          <w:iCs w:val="1"/>
          <w:color w:val="auto"/>
        </w:rPr>
        <w:t xml:space="preserve"> Fair Value of Financial Instruments, </w:t>
      </w:r>
      <w:r>
        <w:rPr>
          <w:rFonts w:ascii="Arial" w:cs="Arial" w:eastAsia="Arial" w:hAnsi="Arial"/>
          <w:sz w:val="14"/>
          <w:szCs w:val="14"/>
          <w:color w:val="auto"/>
        </w:rPr>
        <w:t>for a further discussion of derivative concentrations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Note 12,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for concentration of counterparties.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 xml:space="preserve">The carrying amount of cash and cash equivalents, restricted cash, accounts receivable — trade, accounts payable — trade, account payable — affiliates and accrued expenses and other current liabilities approximate fair value because of the short-term maturity of these instruments. See Note 6, </w:t>
      </w:r>
      <w:r>
        <w:rPr>
          <w:rFonts w:ascii="Arial" w:cs="Arial" w:eastAsia="Arial" w:hAnsi="Arial"/>
          <w:sz w:val="14"/>
          <w:szCs w:val="14"/>
          <w:i w:val="1"/>
          <w:iCs w:val="1"/>
          <w:color w:val="auto"/>
        </w:rPr>
        <w:t>Fair Value of Financial Instruments,</w:t>
      </w:r>
      <w:r>
        <w:rPr>
          <w:rFonts w:ascii="Arial" w:cs="Arial" w:eastAsia="Arial" w:hAnsi="Arial"/>
          <w:sz w:val="14"/>
          <w:szCs w:val="14"/>
          <w:color w:val="auto"/>
        </w:rPr>
        <w:t xml:space="preserve"> for a further discussion of fair value of financial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 Retirement Obligations</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 xml:space="preserve">Asset retirement obligations, or AROs, are accounted for in accordance with ASC 410-20, </w:t>
      </w:r>
      <w:r>
        <w:rPr>
          <w:rFonts w:ascii="Arial" w:cs="Arial" w:eastAsia="Arial" w:hAnsi="Arial"/>
          <w:sz w:val="14"/>
          <w:szCs w:val="14"/>
          <w:i w:val="1"/>
          <w:iCs w:val="1"/>
          <w:color w:val="auto"/>
        </w:rPr>
        <w:t>Asset Retirement Obligations,</w:t>
      </w:r>
      <w:r>
        <w:rPr>
          <w:rFonts w:ascii="Arial" w:cs="Arial" w:eastAsia="Arial" w:hAnsi="Arial"/>
          <w:sz w:val="14"/>
          <w:szCs w:val="14"/>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95" w:name="page96"/>
    <w:bookmarkEnd w:id="95"/>
    <w:p>
      <w:pPr>
        <w:jc w:val="both"/>
        <w:ind w:firstLine="318"/>
        <w:spacing w:after="0" w:line="262" w:lineRule="auto"/>
        <w:rPr>
          <w:sz w:val="20"/>
          <w:szCs w:val="20"/>
          <w:color w:val="auto"/>
        </w:rPr>
      </w:pPr>
      <w:r>
        <w:rPr>
          <w:rFonts w:ascii="Arial" w:cs="Arial" w:eastAsia="Arial" w:hAnsi="Arial"/>
          <w:sz w:val="14"/>
          <w:szCs w:val="14"/>
          <w:color w:val="auto"/>
        </w:rPr>
        <w:t>Upon initial recognition of a liability for an ARO, other than when an ARO is assumed in an acquisition of the related long-lived asset,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consolidated balance sheet.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represents the balance of ARO obligations, along with the related activity for the year ended December 31, 2022: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62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0"/>
        </w:trPr>
        <w:tc>
          <w:tcPr>
            <w:tcW w:w="9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720" w:type="dxa"/>
            <w:vAlign w:val="bottom"/>
            <w:shd w:val="clear" w:color="auto" w:fill="CCEEFF"/>
          </w:tcPr>
          <w:p>
            <w:pPr>
              <w:jc w:val="right"/>
              <w:ind w:right="56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180"/>
        </w:trPr>
        <w:tc>
          <w:tcPr>
            <w:tcW w:w="9620" w:type="dxa"/>
            <w:vAlign w:val="bottom"/>
          </w:tcPr>
          <w:p>
            <w:pPr>
              <w:ind w:left="120"/>
              <w:spacing w:after="0"/>
              <w:rPr>
                <w:sz w:val="20"/>
                <w:szCs w:val="20"/>
                <w:color w:val="auto"/>
              </w:rPr>
            </w:pPr>
            <w:r>
              <w:rPr>
                <w:rFonts w:ascii="Arial" w:cs="Arial" w:eastAsia="Arial" w:hAnsi="Arial"/>
                <w:sz w:val="14"/>
                <w:szCs w:val="14"/>
                <w:color w:val="auto"/>
              </w:rPr>
              <w:t>Liabilities incurred</w:t>
            </w:r>
          </w:p>
        </w:tc>
        <w:tc>
          <w:tcPr>
            <w:tcW w:w="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1"/>
        </w:trPr>
        <w:tc>
          <w:tcPr>
            <w:tcW w:w="9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Liabilities settled</w:t>
            </w: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0"/>
        </w:trPr>
        <w:tc>
          <w:tcPr>
            <w:tcW w:w="96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Accretion expense</w:t>
            </w:r>
          </w:p>
        </w:tc>
        <w:tc>
          <w:tcPr>
            <w:tcW w:w="7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720" w:type="dxa"/>
            <w:vAlign w:val="bottom"/>
            <w:tcBorders>
              <w:bottom w:val="single" w:sz="8" w:color="auto"/>
            </w:tcBorders>
            <w:shd w:val="clear" w:color="auto" w:fill="CCEEFF"/>
          </w:tcPr>
          <w:p>
            <w:pPr>
              <w:jc w:val="right"/>
              <w:ind w:right="56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Guarantees</w:t>
      </w:r>
    </w:p>
    <w:p>
      <w:pPr>
        <w:spacing w:after="0" w:line="136"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 Accounted for by the Equity Method</w:t>
      </w:r>
    </w:p>
    <w:p>
      <w:pPr>
        <w:spacing w:after="0" w:line="136"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The Company has investments in various energy projects accounted for by the equity method, several of which are VIEs, where the Company is not a primary beneficiary, as described in Note 5, Investments Accounted for by the Equity Method and Variable Interest Entities. The equity method of accounting is applied to these investments in affiliates because the ownership structure prevents the Company from exercising a controlling influence over the 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Sale-Leaseback Arrangements</w:t>
      </w:r>
    </w:p>
    <w:p>
      <w:pPr>
        <w:spacing w:after="0" w:line="13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 xml:space="preserve">The Company is party to sale-leaseback arrangements that provide for the sale of certain assets to a third-party and simultaneous leaseback to the Company. In accordance with ASC 840-40, </w:t>
      </w:r>
      <w:r>
        <w:rPr>
          <w:rFonts w:ascii="Arial" w:cs="Arial" w:eastAsia="Arial" w:hAnsi="Arial"/>
          <w:sz w:val="13"/>
          <w:szCs w:val="13"/>
          <w:i w:val="1"/>
          <w:iCs w:val="1"/>
          <w:color w:val="auto"/>
        </w:rPr>
        <w:t>Sale-Leaseback Transactions</w:t>
      </w:r>
      <w:r>
        <w:rPr>
          <w:rFonts w:ascii="Arial" w:cs="Arial" w:eastAsia="Arial" w:hAnsi="Arial"/>
          <w:sz w:val="13"/>
          <w:szCs w:val="13"/>
          <w:color w:val="auto"/>
        </w:rPr>
        <w:t>, if the seller-lessee retains, through the leaseback, substantially all of the benefits and risks incident to the ownership of the property sold, the sale-leaseback transaction</w:t>
      </w:r>
      <w:r>
        <w:rPr>
          <w:rFonts w:ascii="Arial" w:cs="Arial" w:eastAsia="Arial" w:hAnsi="Arial"/>
          <w:sz w:val="13"/>
          <w:szCs w:val="13"/>
          <w:i w:val="1"/>
          <w:iCs w:val="1"/>
          <w:color w:val="auto"/>
        </w:rPr>
        <w:t xml:space="preserve"> </w:t>
      </w:r>
      <w:r>
        <w:rPr>
          <w:rFonts w:ascii="Arial" w:cs="Arial" w:eastAsia="Arial" w:hAnsi="Arial"/>
          <w:sz w:val="13"/>
          <w:szCs w:val="13"/>
          <w:color w:val="auto"/>
        </w:rPr>
        <w:t>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8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i w:val="1"/>
          <w:iCs w:val="1"/>
          <w:color w:val="auto"/>
        </w:rPr>
        <w:t>Asset Acquisitions</w:t>
      </w:r>
    </w:p>
    <w:p>
      <w:pPr>
        <w:spacing w:after="0" w:line="13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 xml:space="preserve">The Company accounts for its acquisitions in accordance with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or ASC 805. For third-party acquisitions, ASC 805 requires an acquirer to recognize and measure in its financial statements the identifiable assets acquired, the liabilities assumed and any noncontrolling interest in the acquiree at fair value at the acquisition date. No goodwill is recognized and excess purchase price or negative goodwill are allocated to the acquired assets on a relative fair value basis. For acquisitions that relate to entities under common control, the difference between the cash paid and historical value of the entities’ equity is recorded as a distribution/contribution from/to CEG with the offset to CEG’s contributed capital balance.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 Equity Arrangements</w:t>
      </w:r>
    </w:p>
    <w:p>
      <w:pPr>
        <w:spacing w:after="0" w:line="136"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3"/>
          <w:szCs w:val="13"/>
          <w:color w:val="auto"/>
        </w:rPr>
        <w:t>Certain portions of the Company’s redeemable noncontrolling interest in subsidiaries and noncontrolling interest represent third-party interests in the net assets under certain tax equity arrangements, which are consolidated by the Company, that have been entered into to finance the cost of solar and wind facilities eligible for certain tax credits. The Company has determined that the provisions in the contractual agreements of these structures represent substantive profit sharing arrangements. Further, the Company has determined that the appropriate methodology for calculating the redeemable noncontrolling interest and noncontrolling interest that reflects the substantive profit sharing arrangements is a balance sheet approach utilizing the hypothetical liquidation at book value, or HLBV, method. Under the HLBV method, the amounts reported as redeemable noncontrolling interest and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redeemable noncontrolling interest and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In addition,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 of income using a systematic and rational method over the period during which the investor is expected to achieve its target return.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Redeemable Noncontrolling Interest</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 for the year ended December 31,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8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811"/>
              <w:spacing w:after="0"/>
              <w:rPr>
                <w:sz w:val="20"/>
                <w:szCs w:val="20"/>
                <w:color w:val="auto"/>
              </w:rPr>
            </w:pPr>
            <w:r>
              <w:rPr>
                <w:rFonts w:ascii="Arial" w:cs="Arial" w:eastAsia="Arial" w:hAnsi="Arial"/>
                <w:sz w:val="13"/>
                <w:szCs w:val="13"/>
                <w:b w:val="1"/>
                <w:bCs w:val="1"/>
                <w:color w:val="auto"/>
              </w:rPr>
              <w:t>(In millions)</w:t>
            </w:r>
          </w:p>
        </w:tc>
      </w:tr>
      <w:tr>
        <w:trPr>
          <w:trHeight w:val="173"/>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840" w:type="dxa"/>
            <w:vAlign w:val="bottom"/>
          </w:tcPr>
          <w:p>
            <w:pPr>
              <w:ind w:left="120"/>
              <w:spacing w:after="0"/>
              <w:rPr>
                <w:sz w:val="20"/>
                <w:szCs w:val="20"/>
                <w:color w:val="auto"/>
              </w:rPr>
            </w:pPr>
            <w:r>
              <w:rPr>
                <w:rFonts w:ascii="Arial" w:cs="Arial" w:eastAsia="Arial" w:hAnsi="Arial"/>
                <w:sz w:val="14"/>
                <w:szCs w:val="14"/>
                <w:color w:val="auto"/>
              </w:rPr>
              <w:t>Cash distributions to redeemable noncontrolling interests</w:t>
            </w:r>
          </w:p>
        </w:tc>
        <w:tc>
          <w:tcPr>
            <w:tcW w:w="48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0"/>
        </w:trPr>
        <w:tc>
          <w:tcPr>
            <w:tcW w:w="8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Comprehensive income attributable to redeemable noncontrolling interests</w:t>
            </w:r>
          </w:p>
        </w:tc>
        <w:tc>
          <w:tcPr>
            <w:tcW w:w="480" w:type="dxa"/>
            <w:vAlign w:val="bottom"/>
            <w:tcBorders>
              <w:bottom w:val="single" w:sz="8" w:color="auto"/>
            </w:tcBorders>
            <w:shd w:val="clear" w:color="auto" w:fill="CCEEFF"/>
          </w:tcPr>
          <w:p>
            <w:pPr>
              <w:spacing w:after="0"/>
              <w:rPr>
                <w:sz w:val="15"/>
                <w:szCs w:val="15"/>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71"/>
        </w:trPr>
        <w:tc>
          <w:tcPr>
            <w:tcW w:w="88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8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99"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In recording transactions and balances resulting from business operations, the Company uses estimates based on the best information available. Estimates are used for such items as plant depreciable lives, uncollectible accounts, AROs, acquisition accounting, fair value of financial instruments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i w:val="1"/>
          <w:iCs w:val="1"/>
          <w:color w:val="auto"/>
        </w:rPr>
        <w:t>Reclassification</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Certain prior year amounts have been reclassified for comparative purposes.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Standards</w:t>
      </w:r>
    </w:p>
    <w:p>
      <w:pPr>
        <w:spacing w:after="0" w:line="136"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color w:val="auto"/>
        </w:rPr>
        <w:t xml:space="preserve">In March 2020, the FASB issued ASU No. 2020-4, </w:t>
      </w:r>
      <w:r>
        <w:rPr>
          <w:rFonts w:ascii="Arial" w:cs="Arial" w:eastAsia="Arial" w:hAnsi="Arial"/>
          <w:sz w:val="13"/>
          <w:szCs w:val="13"/>
          <w:i w:val="1"/>
          <w:iCs w:val="1"/>
          <w:color w:val="auto"/>
        </w:rPr>
        <w:t>Facilitation of the Effects of Reference Rate Reform on Financial Reporting</w:t>
      </w:r>
      <w:r>
        <w:rPr>
          <w:rFonts w:ascii="Arial" w:cs="Arial" w:eastAsia="Arial" w:hAnsi="Arial"/>
          <w:sz w:val="13"/>
          <w:szCs w:val="13"/>
          <w:color w:val="auto"/>
        </w:rPr>
        <w:t xml:space="preserve">.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12, 2020 through December 31, 2022. In December 2022, the FASB issued ASU No. 2022-6, </w:t>
      </w:r>
      <w:r>
        <w:rPr>
          <w:rFonts w:ascii="Arial" w:cs="Arial" w:eastAsia="Arial" w:hAnsi="Arial"/>
          <w:sz w:val="13"/>
          <w:szCs w:val="13"/>
          <w:i w:val="1"/>
          <w:iCs w:val="1"/>
          <w:color w:val="auto"/>
        </w:rPr>
        <w:t>Deferral of the Sunset Date of Reference Rate Reform</w:t>
      </w:r>
      <w:r>
        <w:rPr>
          <w:rFonts w:ascii="Arial" w:cs="Arial" w:eastAsia="Arial" w:hAnsi="Arial"/>
          <w:sz w:val="13"/>
          <w:szCs w:val="13"/>
          <w:color w:val="auto"/>
        </w:rPr>
        <w:t>, to extend the end of the transition period to December 31, 2024. As of December 31, 2022, the Company intends to apply the amendments to all its eligible contract modifications, where applicable, no later than June 30, 2023, the LIBOR cessation date. Additionally, the Company has not elected any optional expedients provided in the standard.</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Acquisitions and Dispositions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Acquisitions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 xml:space="preserve">As further described in Note 2,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the Company records the assets acquired and liabilities assumed at acquisition-date fair value, except in the case of acquisitions under common control by CEG, for which assets acquired and liabilities assumed are recorded at historical cost on the acquisition date, which in certain circumstances represent the acquired cost.</w:t>
      </w:r>
    </w:p>
    <w:p>
      <w:pPr>
        <w:spacing w:after="0" w:line="99"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The fair value of property, plant and equipment for third-party acquisitions was determined primarily based on an income method using discounted cash flows and validated using a cost approach based on the replacement cost of the assets less economic depreciation. This methodology was utilized as the forecasted cash flows incorporate specific attributes of each asset including age, useful life, equipment condition and technology. The fair value of intangible assets was determined utilizing a variation of the income approach determined by discounting incremental cash flows associated with the contracts to present value. Primary assumptions utilized included estimates of generation, contractual prices, operating expenses and the weighted average cost of capital reflective of a market participant. These assumptions are considered to be a Level 3 measurement as defined in ASC 820, as they utilize inputs that are not observable in the market.</w:t>
      </w:r>
    </w:p>
    <w:p>
      <w:pPr>
        <w:spacing w:after="0" w:line="92"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b w:val="1"/>
          <w:bCs w:val="1"/>
          <w:i w:val="1"/>
          <w:iCs w:val="1"/>
          <w:color w:val="auto"/>
        </w:rPr>
        <w:t xml:space="preserve">Daggett 3 Drop Down — </w:t>
      </w:r>
      <w:r>
        <w:rPr>
          <w:rFonts w:ascii="Arial" w:cs="Arial" w:eastAsia="Arial" w:hAnsi="Arial"/>
          <w:sz w:val="13"/>
          <w:szCs w:val="13"/>
          <w:color w:val="auto"/>
        </w:rPr>
        <w:t>On February 17, 2023, Daggett Solar Investment LLC, a subsidiary of the Company, acquired the Class A membership interests in Daggett Renewable Holdco LLC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Clearway Renew LLC, a subsidiary of CEG, for cash consideration of $21 million. Simultaneously, Daggett Renewable Holdco LLC acquired Daggett TargetCo LLC, the indirect owner of the Daggett 3 solar project, a 300 MW solar project with matching storage capacity that is currently under construction and located in San Bernardino, California. Daggett Renewable Holdco LLC is a partnership between the Company and a third-party investor. The third-party investor also paid cash consideration of $129 million, which was utilized to acquire the Class B membership interests in Daggett Renewable Holdco LLC. Daggett TargetCo LLC consolidates, as the direct owner of the primary beneficiary, a tax equity fund, Daggett TE Holdco LLC, which holds the Daggett 3 solar project. Daggett 3 has PPAs with investment-grade counterparties that have a 15-year weighted average contract duration that will commence when the project reaches commercial operations, which is expected to occur in the first half of 2023. The acquisition was funded with existing sources of liquidity.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98" w:name="page99"/>
    <w:bookmarkEnd w:id="98"/>
    <w:p>
      <w:pPr>
        <w:jc w:val="both"/>
        <w:ind w:firstLine="318"/>
        <w:spacing w:after="0" w:line="255" w:lineRule="auto"/>
        <w:rPr>
          <w:sz w:val="20"/>
          <w:szCs w:val="20"/>
          <w:color w:val="auto"/>
        </w:rPr>
      </w:pPr>
      <w:r>
        <w:rPr>
          <w:rFonts w:ascii="Arial" w:cs="Arial" w:eastAsia="Arial" w:hAnsi="Arial"/>
          <w:sz w:val="14"/>
          <w:szCs w:val="14"/>
          <w:b w:val="1"/>
          <w:bCs w:val="1"/>
          <w:i w:val="1"/>
          <w:iCs w:val="1"/>
          <w:color w:val="auto"/>
        </w:rPr>
        <w:t xml:space="preserve">Waiawa Drop Down — </w:t>
      </w:r>
      <w:r>
        <w:rPr>
          <w:rFonts w:ascii="Arial" w:cs="Arial" w:eastAsia="Arial" w:hAnsi="Arial"/>
          <w:sz w:val="14"/>
          <w:szCs w:val="14"/>
          <w:color w:val="auto"/>
        </w:rPr>
        <w:t>On October 3, 2022, the Company, through its indirect subsidiary, Lighthouse Renewable Holdco LLC, acquired Waiawa BL Borrower Holdco LLC, the indirect owner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of the Waiawa solar project, a 36 MW solar project with matching storage capacity located in Honolulu, Hawaii, from Clearway Renew LLC for cash consideration of $20 million. Lighthouse Renewable Holdco LLC is a partnership between the Company and a third-party investor. The third-party investor also contributed cash consideration of $12 million, which was utilized to acquire their portion of the acquired entity. Waiawa BL Borrower Holdco LLC consolidates, as the direct owner of the primary beneficiary, a tax equity fund, Waiawa TE Holdco LLC, which directly holds the Waiawa solar project, as further described in Note 5, </w:t>
      </w:r>
      <w:r>
        <w:rPr>
          <w:rFonts w:ascii="Arial" w:cs="Arial" w:eastAsia="Arial" w:hAnsi="Arial"/>
          <w:sz w:val="14"/>
          <w:szCs w:val="14"/>
          <w:i w:val="1"/>
          <w:iCs w:val="1"/>
          <w:color w:val="auto"/>
        </w:rPr>
        <w:t>Investments Accounted for by the Equity Method and Variable Interest Entities</w:t>
      </w:r>
      <w:r>
        <w:rPr>
          <w:rFonts w:ascii="Arial" w:cs="Arial" w:eastAsia="Arial" w:hAnsi="Arial"/>
          <w:sz w:val="14"/>
          <w:szCs w:val="14"/>
          <w:color w:val="auto"/>
        </w:rPr>
        <w:t xml:space="preserve">. Waiawa has a 20-year PPA with an investment-grade utility that commenced in January 2023. The Waiawa solar project is reflected in the Company’s Renewables segment and the acquisition was funded with existing sources of liquidity. The acquisition was determined to be an asset acquisition and the Company consolidates Waiawa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4"/>
          <w:szCs w:val="14"/>
          <w:i w:val="1"/>
          <w:iCs w:val="1"/>
          <w:color w:val="auto"/>
        </w:rPr>
        <w:t>Business Combinations - Related Issues</w:t>
      </w:r>
      <w:r>
        <w:rPr>
          <w:rFonts w:ascii="Arial" w:cs="Arial" w:eastAsia="Arial" w:hAnsi="Arial"/>
          <w:sz w:val="14"/>
          <w:szCs w:val="14"/>
          <w:color w:val="auto"/>
        </w:rPr>
        <w:t>. The sum of the cash paid of $20 million and the historical cost of the Company’s net liabilities assumed of $1 million was recorded as an adjustment to CEG’s contributed capital balance. In addition, the Company reflected $16 million of the Company’s purchase price, which was contributed back to the Company by CEG to pay down the acquired long-term debt, in the line item distributions to CEG, net of contributions, in the consolidated statement of members’ equity.</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is a summary of assets and liabilities transferred in connection with the acquisition as of October 3, 2022: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1130"/>
              <w:spacing w:after="0"/>
              <w:rPr>
                <w:sz w:val="20"/>
                <w:szCs w:val="20"/>
                <w:color w:val="auto"/>
              </w:rPr>
            </w:pPr>
            <w:r>
              <w:rPr>
                <w:rFonts w:ascii="Arial" w:cs="Arial" w:eastAsia="Arial" w:hAnsi="Arial"/>
                <w:sz w:val="13"/>
                <w:szCs w:val="13"/>
                <w:b w:val="1"/>
                <w:bCs w:val="1"/>
                <w:color w:val="auto"/>
              </w:rPr>
              <w:t>Waiawa</w:t>
            </w:r>
          </w:p>
        </w:tc>
      </w:tr>
      <w:tr>
        <w:trPr>
          <w:trHeight w:val="173"/>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 and non-current assets</w:t>
            </w:r>
          </w:p>
        </w:tc>
        <w:tc>
          <w:tcPr>
            <w:tcW w:w="64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Property, plant and equipment</w:t>
            </w:r>
          </w:p>
        </w:tc>
        <w:tc>
          <w:tcPr>
            <w:tcW w:w="6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r>
      <w:tr>
        <w:trPr>
          <w:trHeight w:val="171"/>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 acquired</w:t>
            </w:r>
          </w:p>
        </w:tc>
        <w:tc>
          <w:tcPr>
            <w:tcW w:w="64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212"/>
        </w:trPr>
        <w:tc>
          <w:tcPr>
            <w:tcW w:w="8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80"/>
        </w:trPr>
        <w:tc>
          <w:tcPr>
            <w:tcW w:w="8460" w:type="dxa"/>
            <w:vAlign w:val="bottom"/>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Long-term debt </w:t>
            </w:r>
            <w:r>
              <w:rPr>
                <w:rFonts w:ascii="Arial" w:cs="Arial" w:eastAsia="Arial" w:hAnsi="Arial"/>
                <w:sz w:val="18"/>
                <w:szCs w:val="18"/>
                <w:color w:val="auto"/>
                <w:vertAlign w:val="superscript"/>
              </w:rPr>
              <w:t>(a)</w:t>
            </w:r>
          </w:p>
        </w:tc>
        <w:tc>
          <w:tcPr>
            <w:tcW w:w="64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current and non-current liabilities</w:t>
            </w:r>
          </w:p>
        </w:tc>
        <w:tc>
          <w:tcPr>
            <w:tcW w:w="6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171"/>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liabilities assumed</w:t>
            </w:r>
          </w:p>
        </w:tc>
        <w:tc>
          <w:tcPr>
            <w:tcW w:w="64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Net liabilities assumed</w:t>
            </w:r>
          </w:p>
        </w:tc>
        <w:tc>
          <w:tcPr>
            <w:tcW w:w="6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w w:val="76"/>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0"/>
        </w:trPr>
        <w:tc>
          <w:tcPr>
            <w:tcW w:w="8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left="60" w:firstLine="9"/>
        <w:spacing w:after="0" w:line="289" w:lineRule="auto"/>
        <w:tabs>
          <w:tab w:leader="none" w:pos="185" w:val="left"/>
        </w:tabs>
        <w:numPr>
          <w:ilvl w:val="0"/>
          <w:numId w:val="59"/>
        </w:numPr>
        <w:rPr>
          <w:rFonts w:ascii="Arial" w:cs="Arial" w:eastAsia="Arial" w:hAnsi="Arial"/>
          <w:sz w:val="14"/>
          <w:szCs w:val="14"/>
          <w:color w:val="auto"/>
          <w:vertAlign w:val="superscript"/>
        </w:rPr>
      </w:pPr>
      <w:r>
        <w:rPr>
          <w:rFonts w:ascii="Arial" w:cs="Arial" w:eastAsia="Arial" w:hAnsi="Arial"/>
          <w:sz w:val="9"/>
          <w:szCs w:val="9"/>
          <w:color w:val="auto"/>
        </w:rPr>
        <w:t>Includes a $22 million construction loan, $26 million sponsor equity bridge loan and $55 million tax equity bridge loan, offset by $1 million in unamortized debt issuance costs. The sponsor equity bridge loan was repaid at acquisition date, along with $2 million in associated fees, utilizing $12 million from the cash equity investor, as well as $16 million of the Company's purchase price, which was contributed back to the Company by CEG. Also at acquisition date, the tax equity investor contributed $17 million into escrow, which is included in restricted cash on the Company's consolidated balance sheet at December 31, 2022. The tax equity investor will contribute an additional $41 million when the project reaches substantial completion, which will be utilized, along with the $17 million in escrow, to repay the $55 million tax equity bridge loan. The project is expected to reach substantial completion in the first half of 2023.</w:t>
      </w:r>
    </w:p>
    <w:p>
      <w:pPr>
        <w:spacing w:after="0" w:line="10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3"/>
          <w:szCs w:val="13"/>
          <w:b w:val="1"/>
          <w:bCs w:val="1"/>
          <w:i w:val="1"/>
          <w:iCs w:val="1"/>
          <w:color w:val="auto"/>
        </w:rPr>
        <w:t xml:space="preserve">Capistrano Wind Portfolio Acquisition — </w:t>
      </w:r>
      <w:r>
        <w:rPr>
          <w:rFonts w:ascii="Arial" w:cs="Arial" w:eastAsia="Arial" w:hAnsi="Arial"/>
          <w:sz w:val="13"/>
          <w:szCs w:val="13"/>
          <w:color w:val="auto"/>
        </w:rPr>
        <w:t>On August 22, 2022, the Company, through its wholly-owned indirect subsidiary, Capistrano Portfolio Holdco LLC, acquired the Capistrano Wind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Portfolio from Capistrano Wind Partners LLC, an indirect subsidiary of CEG, for a base purchase price of approximately $255 million, less working capital adjustments in the net amount of approximately $16 million, representing total net consideration of approximately $239 million. Concurrent with the acquisition, the Company also entered into a development agreement with Clearway Renew LLC, whereby Clearway Renew LLC paid $10 million to the Company at acquisition date for an exclusive right to develop, construct and repower the projects in the Capistrano Wind Portfolio, which was utilized to partially fund the acquisition of the Capistrano Wind Portfolio. The Capistrano Wind Portfolio consists of five wind projects located in Texas, Nebraska and Wyoming with a combined capacity of 413 MW that reached commercial operations between 2008 and 2012. The assets within the portfolio sell power under PPAs with investment-grade counterparties that have a weighted average remaining contract duration of approximately 9 years. The Capistrano Wind Portfolio operations are reflected in the Company’s Renewables segment and the acquisition was funded with existing sources of liquidity. The acquisition was determined to be an asset acquisition and the Company consolidates the Capistrano Wind Portfolio on a prospective basis in its financial statements. The assets and liabilities transferred to the Company relate to interests under common control and were transferred at historical cost in accordance with ASC 805-50, </w:t>
      </w:r>
      <w:r>
        <w:rPr>
          <w:rFonts w:ascii="Arial" w:cs="Arial" w:eastAsia="Arial" w:hAnsi="Arial"/>
          <w:sz w:val="13"/>
          <w:szCs w:val="13"/>
          <w:i w:val="1"/>
          <w:iCs w:val="1"/>
          <w:color w:val="auto"/>
        </w:rPr>
        <w:t>Business Combinations - Related Issues</w:t>
      </w:r>
      <w:r>
        <w:rPr>
          <w:rFonts w:ascii="Arial" w:cs="Arial" w:eastAsia="Arial" w:hAnsi="Arial"/>
          <w:sz w:val="13"/>
          <w:szCs w:val="13"/>
          <w:color w:val="auto"/>
        </w:rPr>
        <w:t>, which reflects GIP’s basis. The difference between the historical cost of the Company’s net assets acquired of $250 million, less the sum of the cash paid of</w:t>
      </w:r>
      <w:r>
        <w:rPr>
          <w:rFonts w:ascii="Arial" w:cs="Arial" w:eastAsia="Arial" w:hAnsi="Arial"/>
          <w:sz w:val="13"/>
          <w:szCs w:val="13"/>
          <w:i w:val="1"/>
          <w:iCs w:val="1"/>
          <w:color w:val="auto"/>
        </w:rPr>
        <w:t xml:space="preserve"> </w:t>
      </w:r>
      <w:r>
        <w:rPr>
          <w:rFonts w:ascii="Arial" w:cs="Arial" w:eastAsia="Arial" w:hAnsi="Arial"/>
          <w:sz w:val="13"/>
          <w:szCs w:val="13"/>
          <w:color w:val="auto"/>
        </w:rPr>
        <w:t>$239 million and the $4 million in accumulated other comprehensive income transferred to the Company, was recorded as an adjustment to CEG’s contributed capital balance.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99" w:name="page100"/>
    <w:bookmarkEnd w:id="99"/>
    <w:p>
      <w:pPr>
        <w:ind w:left="320"/>
        <w:spacing w:after="0"/>
        <w:rPr>
          <w:sz w:val="20"/>
          <w:szCs w:val="20"/>
          <w:color w:val="auto"/>
        </w:rPr>
      </w:pPr>
      <w:r>
        <w:rPr>
          <w:rFonts w:ascii="Arial" w:cs="Arial" w:eastAsia="Arial" w:hAnsi="Arial"/>
          <w:sz w:val="14"/>
          <w:szCs w:val="14"/>
          <w:color w:val="auto"/>
        </w:rPr>
        <w:t>The following is a summary of assets and liabilities transferred in connection with the acquisition as of August 22, 2022: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Capistrano Wind Portfolio</w:t>
            </w:r>
          </w:p>
        </w:tc>
      </w:tr>
      <w:tr>
        <w:trPr>
          <w:trHeight w:val="173"/>
        </w:trPr>
        <w:tc>
          <w:tcPr>
            <w:tcW w:w="8460" w:type="dxa"/>
            <w:vAlign w:val="bottom"/>
            <w:shd w:val="clear" w:color="auto" w:fill="CCEEFF"/>
          </w:tcPr>
          <w:p>
            <w:pPr>
              <w:ind w:left="120"/>
              <w:spacing w:after="0" w:line="173" w:lineRule="exact"/>
              <w:rPr>
                <w:sz w:val="20"/>
                <w:szCs w:val="20"/>
                <w:color w:val="auto"/>
              </w:rPr>
            </w:pPr>
            <w:r>
              <w:rPr>
                <w:rFonts w:ascii="Arial" w:cs="Arial" w:eastAsia="Arial" w:hAnsi="Arial"/>
                <w:sz w:val="14"/>
                <w:szCs w:val="14"/>
                <w:color w:val="auto"/>
              </w:rPr>
              <w:t xml:space="preserve">Other current and non-current assets </w:t>
            </w:r>
            <w:r>
              <w:rPr>
                <w:rFonts w:ascii="Arial" w:cs="Arial" w:eastAsia="Arial" w:hAnsi="Arial"/>
                <w:sz w:val="18"/>
                <w:szCs w:val="18"/>
                <w:color w:val="auto"/>
                <w:vertAlign w:val="superscript"/>
              </w:rPr>
              <w:t>(a)</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80"/>
        </w:trPr>
        <w:tc>
          <w:tcPr>
            <w:tcW w:w="8460" w:type="dxa"/>
            <w:vAlign w:val="bottom"/>
          </w:tcPr>
          <w:p>
            <w:pPr>
              <w:ind w:left="120"/>
              <w:spacing w:after="0"/>
              <w:rPr>
                <w:sz w:val="20"/>
                <w:szCs w:val="20"/>
                <w:color w:val="auto"/>
              </w:rPr>
            </w:pPr>
            <w:r>
              <w:rPr>
                <w:rFonts w:ascii="Arial" w:cs="Arial" w:eastAsia="Arial" w:hAnsi="Arial"/>
                <w:sz w:val="14"/>
                <w:szCs w:val="14"/>
                <w:color w:val="auto"/>
              </w:rPr>
              <w:t>Property, plant and equipment, net</w:t>
            </w:r>
          </w:p>
        </w:tc>
        <w:tc>
          <w:tcPr>
            <w:tcW w:w="38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181"/>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Intangible assets for power purchase agreements</w:t>
            </w:r>
          </w:p>
        </w:tc>
        <w:tc>
          <w:tcPr>
            <w:tcW w:w="380" w:type="dxa"/>
            <w:vAlign w:val="bottom"/>
            <w:shd w:val="clear" w:color="auto" w:fill="CCEEFF"/>
          </w:tcPr>
          <w:p>
            <w:pPr>
              <w:spacing w:after="0"/>
              <w:rPr>
                <w:sz w:val="15"/>
                <w:szCs w:val="15"/>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Right-of-use-assets, net</w:t>
            </w:r>
          </w:p>
        </w:tc>
        <w:tc>
          <w:tcPr>
            <w:tcW w:w="3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171"/>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 acquired</w:t>
            </w:r>
          </w:p>
        </w:tc>
        <w:tc>
          <w:tcPr>
            <w:tcW w:w="380" w:type="dxa"/>
            <w:vAlign w:val="bottom"/>
            <w:shd w:val="clear" w:color="auto" w:fill="CCEEFF"/>
          </w:tcPr>
          <w:p>
            <w:pPr>
              <w:spacing w:after="0"/>
              <w:rPr>
                <w:sz w:val="14"/>
                <w:szCs w:val="14"/>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r>
      <w:tr>
        <w:trPr>
          <w:trHeight w:val="212"/>
        </w:trPr>
        <w:tc>
          <w:tcPr>
            <w:tcW w:w="8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180"/>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debt</w:t>
            </w:r>
          </w:p>
        </w:tc>
        <w:tc>
          <w:tcPr>
            <w:tcW w:w="380" w:type="dxa"/>
            <w:vAlign w:val="bottom"/>
            <w:shd w:val="clear" w:color="auto" w:fill="CCEEFF"/>
          </w:tcPr>
          <w:p>
            <w:pPr>
              <w:spacing w:after="0"/>
              <w:rPr>
                <w:sz w:val="15"/>
                <w:szCs w:val="15"/>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180"/>
        </w:trPr>
        <w:tc>
          <w:tcPr>
            <w:tcW w:w="8460" w:type="dxa"/>
            <w:vAlign w:val="bottom"/>
          </w:tcPr>
          <w:p>
            <w:pPr>
              <w:ind w:left="120"/>
              <w:spacing w:after="0"/>
              <w:rPr>
                <w:sz w:val="20"/>
                <w:szCs w:val="20"/>
                <w:color w:val="auto"/>
              </w:rPr>
            </w:pPr>
            <w:r>
              <w:rPr>
                <w:rFonts w:ascii="Arial" w:cs="Arial" w:eastAsia="Arial" w:hAnsi="Arial"/>
                <w:sz w:val="14"/>
                <w:szCs w:val="14"/>
                <w:color w:val="auto"/>
              </w:rPr>
              <w:t>Long-term lease liabilities</w:t>
            </w:r>
          </w:p>
        </w:tc>
        <w:tc>
          <w:tcPr>
            <w:tcW w:w="38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81"/>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 and non-current liabilities</w:t>
            </w:r>
          </w:p>
        </w:tc>
        <w:tc>
          <w:tcPr>
            <w:tcW w:w="380" w:type="dxa"/>
            <w:vAlign w:val="bottom"/>
            <w:tcBorders>
              <w:bottom w:val="single" w:sz="8" w:color="auto"/>
            </w:tcBorders>
            <w:shd w:val="clear" w:color="auto" w:fill="CCEEFF"/>
          </w:tcPr>
          <w:p>
            <w:pPr>
              <w:spacing w:after="0"/>
              <w:rPr>
                <w:sz w:val="15"/>
                <w:szCs w:val="15"/>
                <w:color w:val="auto"/>
              </w:rPr>
            </w:pP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1"/>
        </w:trPr>
        <w:tc>
          <w:tcPr>
            <w:tcW w:w="84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liabilities assumed</w:t>
            </w:r>
          </w:p>
        </w:tc>
        <w:tc>
          <w:tcPr>
            <w:tcW w:w="3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196"/>
        </w:trPr>
        <w:tc>
          <w:tcPr>
            <w:tcW w:w="8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Net assets acquired</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color w:val="auto"/>
          <w:vertAlign w:val="superscript"/>
        </w:rPr>
        <w:t>(a)</w:t>
      </w:r>
      <w:r>
        <w:rPr>
          <w:rFonts w:ascii="Arial" w:cs="Arial" w:eastAsia="Arial" w:hAnsi="Arial"/>
          <w:sz w:val="11"/>
          <w:szCs w:val="11"/>
          <w:color w:val="auto"/>
        </w:rPr>
        <w:t xml:space="preserve"> Includes cash of $12 million and restricted cash of $4 million.</w:t>
      </w:r>
    </w:p>
    <w:p>
      <w:pPr>
        <w:spacing w:after="0" w:line="8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4"/>
          <w:szCs w:val="14"/>
          <w:b w:val="1"/>
          <w:bCs w:val="1"/>
          <w:i w:val="1"/>
          <w:iCs w:val="1"/>
          <w:color w:val="auto"/>
        </w:rPr>
        <w:t xml:space="preserve">Mililani I Drop Down — </w:t>
      </w:r>
      <w:r>
        <w:rPr>
          <w:rFonts w:ascii="Arial" w:cs="Arial" w:eastAsia="Arial" w:hAnsi="Arial"/>
          <w:sz w:val="14"/>
          <w:szCs w:val="14"/>
          <w:color w:val="auto"/>
        </w:rPr>
        <w:t>On March 25, 2022, the Company, through its indirect subsidiary, Lighthouse Renewable Holdco LLC, acquired Mililani BL Borrower Holdco LLC, the indirect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owner of the Mililani I solar project, a 39 MW solar project with matching storage capacity located in Honolulu, Hawaii, from Clearway Renew LLC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as further described in Note 5, </w:t>
      </w:r>
      <w:r>
        <w:rPr>
          <w:rFonts w:ascii="Arial" w:cs="Arial" w:eastAsia="Arial" w:hAnsi="Arial"/>
          <w:sz w:val="14"/>
          <w:szCs w:val="14"/>
          <w:i w:val="1"/>
          <w:iCs w:val="1"/>
          <w:color w:val="auto"/>
        </w:rPr>
        <w:t>Investments Accounted for by the Equity Method and Variable Interest Entities</w:t>
      </w:r>
      <w:r>
        <w:rPr>
          <w:rFonts w:ascii="Arial" w:cs="Arial" w:eastAsia="Arial" w:hAnsi="Arial"/>
          <w:sz w:val="14"/>
          <w:szCs w:val="14"/>
          <w:color w:val="auto"/>
        </w:rPr>
        <w:t xml:space="preserve">. Mililani I has a 20-year PPA with an investment-grade utility that commenced in July 2022. The Mililani I operations are reflected in the Company’s Renewables segment and the acquisition was funded with existing sources of liquidity. The acquisition was determined to be an asset acquisition and the Company consolidates Mililani I on a prospective basis in its financial statements. The assets and liabilities transferred to the Company relate to interests under common control and were recorded at historical cost in accordance with ASC 805-50, </w:t>
      </w:r>
      <w:r>
        <w:rPr>
          <w:rFonts w:ascii="Arial" w:cs="Arial" w:eastAsia="Arial" w:hAnsi="Arial"/>
          <w:sz w:val="14"/>
          <w:szCs w:val="14"/>
          <w:i w:val="1"/>
          <w:iCs w:val="1"/>
          <w:color w:val="auto"/>
        </w:rPr>
        <w:t>Business Combinations - Related Issues</w:t>
      </w:r>
      <w:r>
        <w:rPr>
          <w:rFonts w:ascii="Arial" w:cs="Arial" w:eastAsia="Arial" w:hAnsi="Arial"/>
          <w:sz w:val="14"/>
          <w:szCs w:val="14"/>
          <w:color w:val="auto"/>
        </w:rPr>
        <w:t>. The sum of the cash paid of $22 million and the historical cost of the Company’s net liabilities assumed of $8 million was recorded as an adjustment to CEG’s contributed capital balance. In addition, the Company reflected $15 million of the Company’s purchase price, which was contributed back to the Company by CEG to pay down the acquired long-term debt, in the line item distributions to CEG, net of contributions, in the consolidated statement of members’ equity.</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is a summary of assets and liabilities transferred in connection with the acquisition as of March 25, 2022: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6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ind w:right="1090"/>
              <w:spacing w:after="0"/>
              <w:rPr>
                <w:sz w:val="20"/>
                <w:szCs w:val="20"/>
                <w:color w:val="auto"/>
              </w:rPr>
            </w:pPr>
            <w:r>
              <w:rPr>
                <w:rFonts w:ascii="Arial" w:cs="Arial" w:eastAsia="Arial" w:hAnsi="Arial"/>
                <w:sz w:val="13"/>
                <w:szCs w:val="13"/>
                <w:b w:val="1"/>
                <w:bCs w:val="1"/>
                <w:color w:val="auto"/>
              </w:rPr>
              <w:t>Mililani I</w:t>
            </w:r>
          </w:p>
        </w:tc>
      </w:tr>
      <w:tr>
        <w:trPr>
          <w:trHeight w:val="173"/>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 and non-current assets</w:t>
            </w: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8460" w:type="dxa"/>
            <w:vAlign w:val="bottom"/>
          </w:tcPr>
          <w:p>
            <w:pPr>
              <w:ind w:left="120"/>
              <w:spacing w:after="0"/>
              <w:rPr>
                <w:sz w:val="20"/>
                <w:szCs w:val="20"/>
                <w:color w:val="auto"/>
              </w:rPr>
            </w:pPr>
            <w:r>
              <w:rPr>
                <w:rFonts w:ascii="Arial" w:cs="Arial" w:eastAsia="Arial" w:hAnsi="Arial"/>
                <w:sz w:val="14"/>
                <w:szCs w:val="14"/>
                <w:color w:val="auto"/>
              </w:rPr>
              <w:t>Property, plant and equipment</w:t>
            </w:r>
          </w:p>
        </w:tc>
        <w:tc>
          <w:tcPr>
            <w:tcW w:w="62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181"/>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Right-of-use-assets</w:t>
            </w:r>
          </w:p>
        </w:tc>
        <w:tc>
          <w:tcPr>
            <w:tcW w:w="62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Total assets acquired</w:t>
            </w:r>
          </w:p>
        </w:tc>
        <w:tc>
          <w:tcPr>
            <w:tcW w:w="62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12"/>
        </w:trPr>
        <w:tc>
          <w:tcPr>
            <w:tcW w:w="8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0"/>
        </w:trPr>
        <w:tc>
          <w:tcPr>
            <w:tcW w:w="8460" w:type="dxa"/>
            <w:vAlign w:val="bottom"/>
          </w:tcPr>
          <w:p>
            <w:pPr>
              <w:ind w:left="120"/>
              <w:spacing w:after="0" w:line="181" w:lineRule="exact"/>
              <w:rPr>
                <w:sz w:val="20"/>
                <w:szCs w:val="20"/>
                <w:color w:val="auto"/>
              </w:rPr>
            </w:pPr>
            <w:r>
              <w:rPr>
                <w:rFonts w:ascii="Arial" w:cs="Arial" w:eastAsia="Arial" w:hAnsi="Arial"/>
                <w:sz w:val="14"/>
                <w:szCs w:val="14"/>
                <w:color w:val="auto"/>
              </w:rPr>
              <w:t xml:space="preserve">Long-term debt </w:t>
            </w:r>
            <w:r>
              <w:rPr>
                <w:rFonts w:ascii="Arial" w:cs="Arial" w:eastAsia="Arial" w:hAnsi="Arial"/>
                <w:sz w:val="18"/>
                <w:szCs w:val="18"/>
                <w:color w:val="auto"/>
                <w:vertAlign w:val="superscript"/>
              </w:rPr>
              <w:t>(a)</w:t>
            </w:r>
          </w:p>
        </w:tc>
        <w:tc>
          <w:tcPr>
            <w:tcW w:w="62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80"/>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lease liabilities</w:t>
            </w:r>
          </w:p>
        </w:tc>
        <w:tc>
          <w:tcPr>
            <w:tcW w:w="620" w:type="dxa"/>
            <w:vAlign w:val="bottom"/>
            <w:shd w:val="clear" w:color="auto" w:fill="CCEEFF"/>
          </w:tcPr>
          <w:p>
            <w:pPr>
              <w:spacing w:after="0"/>
              <w:rPr>
                <w:sz w:val="15"/>
                <w:szCs w:val="15"/>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current and non-current liabilities</w:t>
            </w:r>
          </w:p>
        </w:tc>
        <w:tc>
          <w:tcPr>
            <w:tcW w:w="6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171"/>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liabilities assumed</w:t>
            </w:r>
          </w:p>
        </w:tc>
        <w:tc>
          <w:tcPr>
            <w:tcW w:w="620" w:type="dxa"/>
            <w:vAlign w:val="bottom"/>
            <w:tcBorders>
              <w:bottom w:val="single" w:sz="8" w:color="auto"/>
            </w:tcBorders>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Net liabilities assumed</w:t>
            </w:r>
          </w:p>
        </w:tc>
        <w:tc>
          <w:tcPr>
            <w:tcW w:w="62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w w:val="76"/>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0"/>
        </w:trPr>
        <w:tc>
          <w:tcPr>
            <w:tcW w:w="8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jc w:val="both"/>
        <w:ind w:left="60" w:firstLine="9"/>
        <w:spacing w:after="0" w:line="379" w:lineRule="auto"/>
        <w:tabs>
          <w:tab w:leader="none" w:pos="185" w:val="left"/>
        </w:tabs>
        <w:numPr>
          <w:ilvl w:val="0"/>
          <w:numId w:val="60"/>
        </w:numPr>
        <w:rPr>
          <w:rFonts w:ascii="Arial" w:cs="Arial" w:eastAsia="Arial" w:hAnsi="Arial"/>
          <w:sz w:val="14"/>
          <w:szCs w:val="14"/>
          <w:color w:val="auto"/>
          <w:vertAlign w:val="superscript"/>
        </w:rPr>
      </w:pPr>
      <w:r>
        <w:rPr>
          <w:rFonts w:ascii="Arial" w:cs="Arial" w:eastAsia="Arial" w:hAnsi="Arial"/>
          <w:sz w:val="9"/>
          <w:szCs w:val="9"/>
          <w:color w:val="auto"/>
        </w:rPr>
        <w:t>Includes a $16 million construction loan, $27 million sponsor equity bridge loan and $60 million tax equity bridge loan, offset by $3 million in unamortized debt issuance costs. The sponsor equity bridge loan was repaid at acquisition date, along with $2 million in associated fees, utilizing $14 million from the cash equity investor, as well as $15 million of the Company’s purchase price, which was contributed back to the Company by CEG. Also at acquisition date, the tax equity investor contributed $18 million into escrow, which was included in restricted cash on the Company’s consolidated balance sheet. On December 7, 2022, when the project reached substantial completion, the tax equity investor contributed an additional $42 million and CEG contributed an additional $11 million, which was utilized, along with the $18 million in escrow, to repay the $60 million tax equity bridge loan, to fund $7 million in construction completion reserves and to pay $4 million in associated fees.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00" w:name="page101"/>
    <w:bookmarkEnd w:id="100"/>
    <w:p>
      <w:pPr>
        <w:jc w:val="both"/>
        <w:ind w:firstLine="318"/>
        <w:spacing w:after="0" w:line="276" w:lineRule="auto"/>
        <w:rPr>
          <w:sz w:val="20"/>
          <w:szCs w:val="20"/>
          <w:color w:val="auto"/>
        </w:rPr>
      </w:pPr>
      <w:r>
        <w:rPr>
          <w:rFonts w:ascii="Arial" w:cs="Arial" w:eastAsia="Arial" w:hAnsi="Arial"/>
          <w:sz w:val="13"/>
          <w:szCs w:val="13"/>
          <w:b w:val="1"/>
          <w:bCs w:val="1"/>
          <w:i w:val="1"/>
          <w:iCs w:val="1"/>
          <w:color w:val="auto"/>
        </w:rPr>
        <w:t xml:space="preserve">Black Rock Drop Down — </w:t>
      </w:r>
      <w:r>
        <w:rPr>
          <w:rFonts w:ascii="Arial" w:cs="Arial" w:eastAsia="Arial" w:hAnsi="Arial"/>
          <w:sz w:val="13"/>
          <w:szCs w:val="13"/>
          <w:color w:val="auto"/>
        </w:rPr>
        <w:t>On December 29, 2021, the Company, through its indirect subsidiary Lighthouse Renewable Holding Sub LLC, acquired the Class B membership interests in Black</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Rock Wind Holding LLC from Clearway Renew LLC for $60 million in cash consideration, $37 million of which was paid on December 29, 2021 with the remaining $23 million paid in February 2022 after all remaining turbines were operational. Lighthouse Renewable Holding Sub LLC is a wholly-owned subsidiary of Lighthouse Renewable Holdco LLC, which is a partnership between the Company and a third-party investor. The third-party investor also contributed cash consideration utilized to acquire their portion of the Class B membership interests. The Class A membership interests in Black Rock Wind Holding LLC were acquired by another third-party investor in 2020, which sold their interest back to the Company on March 31, 2022. Black Rock Wind Holding LLC, through its wholly-owned subsidiary, Black Rock Class B Holdco LLC, is the primary beneficiary and consolidates its interests in a tax equity fund, Black Rock TE Holdco LLC, that holds the Black Rock wind project, a 115 MW utility scale wind project located in Mineral County and Grant County, West Virginia, which achieved commercial operations in December 2021, as further described in Note 5, </w:t>
      </w:r>
      <w:r>
        <w:rPr>
          <w:rFonts w:ascii="Arial" w:cs="Arial" w:eastAsia="Arial" w:hAnsi="Arial"/>
          <w:sz w:val="13"/>
          <w:szCs w:val="13"/>
          <w:i w:val="1"/>
          <w:iCs w:val="1"/>
          <w:color w:val="auto"/>
        </w:rPr>
        <w:t>Investments Accounted for by the Equity Method and Variable Interest Entities</w:t>
      </w:r>
      <w:r>
        <w:rPr>
          <w:rFonts w:ascii="Arial" w:cs="Arial" w:eastAsia="Arial" w:hAnsi="Arial"/>
          <w:sz w:val="13"/>
          <w:szCs w:val="13"/>
          <w:color w:val="auto"/>
        </w:rPr>
        <w:t xml:space="preserve">. A majority of the project’s output is backed by contracts with investment-grade counterparties with a 15-year weighted average contract life. The Black Rock operations are reflected in the Company’s Renewables segment and the acquisition was funded with existing sources of liquidity. The acquisition was determined to be an asset acquisition and not a business combination, therefore the Company consolidated the financial information for Black Rock on a prospective basis. The assets and liabilities transferred to the Company relate to interests under common control and were recorded at historical cost in accordance with ASC 805-50, </w:t>
      </w:r>
      <w:r>
        <w:rPr>
          <w:rFonts w:ascii="Arial" w:cs="Arial" w:eastAsia="Arial" w:hAnsi="Arial"/>
          <w:sz w:val="13"/>
          <w:szCs w:val="13"/>
          <w:i w:val="1"/>
          <w:iCs w:val="1"/>
          <w:color w:val="auto"/>
        </w:rPr>
        <w:t>Business Combinations - Related Issues</w:t>
      </w:r>
      <w:r>
        <w:rPr>
          <w:rFonts w:ascii="Arial" w:cs="Arial" w:eastAsia="Arial" w:hAnsi="Arial"/>
          <w:sz w:val="13"/>
          <w:szCs w:val="13"/>
          <w:color w:val="auto"/>
        </w:rPr>
        <w:t>. The difference between the cash paid of $60 million and the historical cost of the Company’s acquired interests of $19 million was recorded as an adjustment to CEG’s contributed capital balance. In addition, the Company reflected additional contributions paid by CEG and the portion of the Company’s purchase price utilized to repay long-term debt, totaling $133 million, as contributions from CEG in the statement of members’ equity, and as an impact of the Black Rock Drop Down in noncontrolling interest.</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is a summary of assets and liabilities transferred in connection with the acquisition as of December 29, 2021: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5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1030"/>
              <w:spacing w:after="0"/>
              <w:rPr>
                <w:sz w:val="20"/>
                <w:szCs w:val="20"/>
                <w:color w:val="auto"/>
              </w:rPr>
            </w:pPr>
            <w:r>
              <w:rPr>
                <w:rFonts w:ascii="Arial" w:cs="Arial" w:eastAsia="Arial" w:hAnsi="Arial"/>
                <w:sz w:val="13"/>
                <w:szCs w:val="13"/>
                <w:b w:val="1"/>
                <w:bCs w:val="1"/>
                <w:color w:val="auto"/>
              </w:rPr>
              <w:t>Black Rock</w:t>
            </w:r>
          </w:p>
        </w:tc>
      </w:tr>
      <w:tr>
        <w:trPr>
          <w:trHeight w:val="173"/>
        </w:trPr>
        <w:tc>
          <w:tcPr>
            <w:tcW w:w="8460" w:type="dxa"/>
            <w:vAlign w:val="bottom"/>
            <w:shd w:val="clear" w:color="auto" w:fill="CCEEFF"/>
          </w:tcPr>
          <w:p>
            <w:pPr>
              <w:ind w:left="120"/>
              <w:spacing w:after="0" w:line="173" w:lineRule="exact"/>
              <w:rPr>
                <w:sz w:val="20"/>
                <w:szCs w:val="20"/>
                <w:color w:val="auto"/>
              </w:rPr>
            </w:pPr>
            <w:r>
              <w:rPr>
                <w:rFonts w:ascii="Arial" w:cs="Arial" w:eastAsia="Arial" w:hAnsi="Arial"/>
                <w:sz w:val="14"/>
                <w:szCs w:val="14"/>
                <w:color w:val="auto"/>
              </w:rPr>
              <w:t xml:space="preserve">Current assets </w:t>
            </w:r>
            <w:r>
              <w:rPr>
                <w:rFonts w:ascii="Arial" w:cs="Arial" w:eastAsia="Arial" w:hAnsi="Arial"/>
                <w:sz w:val="18"/>
                <w:szCs w:val="18"/>
                <w:color w:val="auto"/>
                <w:vertAlign w:val="superscript"/>
              </w:rPr>
              <w:t>(a)</w:t>
            </w: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180"/>
        </w:trPr>
        <w:tc>
          <w:tcPr>
            <w:tcW w:w="8460" w:type="dxa"/>
            <w:vAlign w:val="bottom"/>
          </w:tcPr>
          <w:p>
            <w:pPr>
              <w:ind w:left="120"/>
              <w:spacing w:after="0"/>
              <w:rPr>
                <w:sz w:val="20"/>
                <w:szCs w:val="20"/>
                <w:color w:val="auto"/>
              </w:rPr>
            </w:pPr>
            <w:r>
              <w:rPr>
                <w:rFonts w:ascii="Arial" w:cs="Arial" w:eastAsia="Arial" w:hAnsi="Arial"/>
                <w:sz w:val="14"/>
                <w:szCs w:val="14"/>
                <w:color w:val="auto"/>
              </w:rPr>
              <w:t>Property, plant and equipment</w:t>
            </w:r>
          </w:p>
        </w:tc>
        <w:tc>
          <w:tcPr>
            <w:tcW w:w="58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181"/>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Right-of-use-assets</w:t>
            </w:r>
          </w:p>
        </w:tc>
        <w:tc>
          <w:tcPr>
            <w:tcW w:w="580" w:type="dxa"/>
            <w:vAlign w:val="bottom"/>
            <w:shd w:val="clear" w:color="auto" w:fill="CCEEFF"/>
          </w:tcPr>
          <w:p>
            <w:pPr>
              <w:spacing w:after="0"/>
              <w:rPr>
                <w:sz w:val="15"/>
                <w:szCs w:val="15"/>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non-current assets</w:t>
            </w:r>
          </w:p>
        </w:tc>
        <w:tc>
          <w:tcPr>
            <w:tcW w:w="5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71"/>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 acquired</w:t>
            </w:r>
          </w:p>
        </w:tc>
        <w:tc>
          <w:tcPr>
            <w:tcW w:w="580" w:type="dxa"/>
            <w:vAlign w:val="bottom"/>
            <w:shd w:val="clear" w:color="auto" w:fill="CCEEFF"/>
          </w:tcPr>
          <w:p>
            <w:pPr>
              <w:spacing w:after="0"/>
              <w:rPr>
                <w:sz w:val="14"/>
                <w:szCs w:val="14"/>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r>
      <w:tr>
        <w:trPr>
          <w:trHeight w:val="202"/>
        </w:trPr>
        <w:tc>
          <w:tcPr>
            <w:tcW w:w="8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180"/>
        </w:trPr>
        <w:tc>
          <w:tcPr>
            <w:tcW w:w="8460" w:type="dxa"/>
            <w:vAlign w:val="bottom"/>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Long-term debt </w:t>
            </w:r>
            <w:r>
              <w:rPr>
                <w:rFonts w:ascii="Arial" w:cs="Arial" w:eastAsia="Arial" w:hAnsi="Arial"/>
                <w:sz w:val="18"/>
                <w:szCs w:val="18"/>
                <w:color w:val="auto"/>
                <w:vertAlign w:val="superscript"/>
              </w:rPr>
              <w:t>(b)</w:t>
            </w:r>
          </w:p>
        </w:tc>
        <w:tc>
          <w:tcPr>
            <w:tcW w:w="580" w:type="dxa"/>
            <w:vAlign w:val="bottom"/>
            <w:shd w:val="clear" w:color="auto" w:fill="CCEEFF"/>
          </w:tcPr>
          <w:p>
            <w:pPr>
              <w:spacing w:after="0"/>
              <w:rPr>
                <w:sz w:val="15"/>
                <w:szCs w:val="15"/>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r>
      <w:tr>
        <w:trPr>
          <w:trHeight w:val="180"/>
        </w:trPr>
        <w:tc>
          <w:tcPr>
            <w:tcW w:w="8460" w:type="dxa"/>
            <w:vAlign w:val="bottom"/>
          </w:tcPr>
          <w:p>
            <w:pPr>
              <w:ind w:left="120"/>
              <w:spacing w:after="0"/>
              <w:rPr>
                <w:sz w:val="20"/>
                <w:szCs w:val="20"/>
                <w:color w:val="auto"/>
              </w:rPr>
            </w:pPr>
            <w:r>
              <w:rPr>
                <w:rFonts w:ascii="Arial" w:cs="Arial" w:eastAsia="Arial" w:hAnsi="Arial"/>
                <w:sz w:val="14"/>
                <w:szCs w:val="14"/>
                <w:color w:val="auto"/>
              </w:rPr>
              <w:t>Long-term lease liabilities</w:t>
            </w:r>
          </w:p>
        </w:tc>
        <w:tc>
          <w:tcPr>
            <w:tcW w:w="58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1"/>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 and non-current liabilities</w:t>
            </w:r>
          </w:p>
        </w:tc>
        <w:tc>
          <w:tcPr>
            <w:tcW w:w="580" w:type="dxa"/>
            <w:vAlign w:val="bottom"/>
            <w:tcBorders>
              <w:bottom w:val="single" w:sz="8" w:color="auto"/>
            </w:tcBorders>
            <w:shd w:val="clear" w:color="auto" w:fill="CCEEFF"/>
          </w:tcPr>
          <w:p>
            <w:pPr>
              <w:spacing w:after="0"/>
              <w:rPr>
                <w:sz w:val="15"/>
                <w:szCs w:val="15"/>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71"/>
        </w:trPr>
        <w:tc>
          <w:tcPr>
            <w:tcW w:w="8460" w:type="dxa"/>
            <w:vAlign w:val="bottom"/>
            <w:tcBorders>
              <w:bottom w:val="single" w:sz="8" w:color="CCEEFF"/>
            </w:tcBorders>
          </w:tcPr>
          <w:p>
            <w:pPr>
              <w:ind w:left="200"/>
              <w:spacing w:after="0" w:line="171" w:lineRule="exact"/>
              <w:rPr>
                <w:sz w:val="20"/>
                <w:szCs w:val="20"/>
                <w:color w:val="auto"/>
              </w:rPr>
            </w:pPr>
            <w:r>
              <w:rPr>
                <w:rFonts w:ascii="Arial" w:cs="Arial" w:eastAsia="Arial" w:hAnsi="Arial"/>
                <w:sz w:val="14"/>
                <w:szCs w:val="14"/>
                <w:color w:val="auto"/>
              </w:rPr>
              <w:t xml:space="preserve">Total liabilities assumed </w:t>
            </w:r>
            <w:r>
              <w:rPr>
                <w:rFonts w:ascii="Arial" w:cs="Arial" w:eastAsia="Arial" w:hAnsi="Arial"/>
                <w:sz w:val="18"/>
                <w:szCs w:val="18"/>
                <w:color w:val="auto"/>
                <w:vertAlign w:val="superscript"/>
              </w:rPr>
              <w:t>(c)</w:t>
            </w:r>
          </w:p>
        </w:tc>
        <w:tc>
          <w:tcPr>
            <w:tcW w:w="5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r>
      <w:tr>
        <w:trPr>
          <w:trHeight w:val="196"/>
        </w:trPr>
        <w:tc>
          <w:tcPr>
            <w:tcW w:w="8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Net assets acquired</w:t>
            </w: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200" w:hanging="131"/>
        <w:spacing w:after="0"/>
        <w:tabs>
          <w:tab w:leader="none" w:pos="200" w:val="left"/>
        </w:tabs>
        <w:numPr>
          <w:ilvl w:val="0"/>
          <w:numId w:val="61"/>
        </w:numPr>
        <w:rPr>
          <w:rFonts w:ascii="Arial" w:cs="Arial" w:eastAsia="Arial" w:hAnsi="Arial"/>
          <w:sz w:val="16"/>
          <w:szCs w:val="16"/>
          <w:color w:val="auto"/>
          <w:vertAlign w:val="superscript"/>
        </w:rPr>
      </w:pPr>
      <w:r>
        <w:rPr>
          <w:rFonts w:ascii="Arial" w:cs="Arial" w:eastAsia="Arial" w:hAnsi="Arial"/>
          <w:sz w:val="10"/>
          <w:szCs w:val="10"/>
          <w:color w:val="auto"/>
        </w:rPr>
        <w:t>Includes $35 million reserved for project completion costs included in restricted cash on the Company’s balance sheet at acquisition date, which is included within the $133 million contributed by CEG described above.</w:t>
      </w:r>
    </w:p>
    <w:p>
      <w:pPr>
        <w:spacing w:after="0" w:line="34" w:lineRule="exact"/>
        <w:rPr>
          <w:rFonts w:ascii="Arial" w:cs="Arial" w:eastAsia="Arial" w:hAnsi="Arial"/>
          <w:sz w:val="16"/>
          <w:szCs w:val="16"/>
          <w:color w:val="auto"/>
          <w:vertAlign w:val="superscript"/>
        </w:rPr>
      </w:pPr>
    </w:p>
    <w:p>
      <w:pPr>
        <w:jc w:val="both"/>
        <w:ind w:left="60" w:firstLine="9"/>
        <w:spacing w:after="0" w:line="270" w:lineRule="auto"/>
        <w:tabs>
          <w:tab w:leader="none" w:pos="185" w:val="left"/>
        </w:tabs>
        <w:numPr>
          <w:ilvl w:val="0"/>
          <w:numId w:val="61"/>
        </w:numPr>
        <w:rPr>
          <w:rFonts w:ascii="Arial" w:cs="Arial" w:eastAsia="Arial" w:hAnsi="Arial"/>
          <w:sz w:val="14"/>
          <w:szCs w:val="14"/>
          <w:color w:val="auto"/>
          <w:vertAlign w:val="superscript"/>
        </w:rPr>
      </w:pPr>
      <w:r>
        <w:rPr>
          <w:rFonts w:ascii="Arial" w:cs="Arial" w:eastAsia="Arial" w:hAnsi="Arial"/>
          <w:sz w:val="9"/>
          <w:szCs w:val="9"/>
          <w:color w:val="auto"/>
        </w:rPr>
        <w:t>Repaid at acquisition date utilizing $56 million contributed by the tax equity investor, $36 million from the cash equity investor and $61 million contributed by CEG, all recorded as contributions in noncontrolling interest, as well as $37 million of the Company’s acquisition price. Of the $190 million contributed, $186 million was utilized to pay down the acquired debt and $4 million was utilized to pay associated fees. The $61 million contributed by CEG and the Company’s initial acquisition price of $37 million are also included within the $133 million contributed by CEG described above.</w:t>
      </w:r>
    </w:p>
    <w:p>
      <w:pPr>
        <w:spacing w:after="0" w:line="32" w:lineRule="exact"/>
        <w:rPr>
          <w:rFonts w:ascii="Arial" w:cs="Arial" w:eastAsia="Arial" w:hAnsi="Arial"/>
          <w:sz w:val="14"/>
          <w:szCs w:val="14"/>
          <w:color w:val="auto"/>
          <w:vertAlign w:val="superscript"/>
        </w:rPr>
      </w:pPr>
    </w:p>
    <w:p>
      <w:pPr>
        <w:ind w:left="60" w:firstLine="9"/>
        <w:spacing w:after="0" w:line="236" w:lineRule="auto"/>
        <w:tabs>
          <w:tab w:leader="none" w:pos="192" w:val="left"/>
        </w:tabs>
        <w:numPr>
          <w:ilvl w:val="0"/>
          <w:numId w:val="61"/>
        </w:numPr>
        <w:rPr>
          <w:rFonts w:ascii="Arial" w:cs="Arial" w:eastAsia="Arial" w:hAnsi="Arial"/>
          <w:sz w:val="15"/>
          <w:szCs w:val="15"/>
          <w:color w:val="auto"/>
          <w:vertAlign w:val="superscript"/>
        </w:rPr>
      </w:pPr>
      <w:r>
        <w:rPr>
          <w:rFonts w:ascii="Arial" w:cs="Arial" w:eastAsia="Arial" w:hAnsi="Arial"/>
          <w:sz w:val="10"/>
          <w:szCs w:val="10"/>
          <w:color w:val="auto"/>
        </w:rPr>
        <w:t>Total liabilities assumed excludes amounts due to CEG as of the acquisition date for the remaining turbines that became operational in January 2022. The liabilities totaled $83 million, of which $59 million was received from the tax equity and cash equity investors and was held in escrow accounts as of the acquisition date.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01" w:name="page102"/>
    <w:bookmarkEnd w:id="101"/>
    <w:p>
      <w:pPr>
        <w:jc w:val="both"/>
        <w:ind w:firstLine="318"/>
        <w:spacing w:after="0" w:line="276" w:lineRule="auto"/>
        <w:rPr>
          <w:sz w:val="20"/>
          <w:szCs w:val="20"/>
          <w:color w:val="auto"/>
        </w:rPr>
      </w:pPr>
      <w:r>
        <w:rPr>
          <w:rFonts w:ascii="Arial" w:cs="Arial" w:eastAsia="Arial" w:hAnsi="Arial"/>
          <w:sz w:val="13"/>
          <w:szCs w:val="13"/>
          <w:b w:val="1"/>
          <w:bCs w:val="1"/>
          <w:i w:val="1"/>
          <w:iCs w:val="1"/>
          <w:color w:val="auto"/>
        </w:rPr>
        <w:t xml:space="preserve">Mesquite Sky Drop Down — </w:t>
      </w:r>
      <w:r>
        <w:rPr>
          <w:rFonts w:ascii="Arial" w:cs="Arial" w:eastAsia="Arial" w:hAnsi="Arial"/>
          <w:sz w:val="13"/>
          <w:szCs w:val="13"/>
          <w:color w:val="auto"/>
        </w:rPr>
        <w:t>On December 17, 2021, the Company, through its indirect subsidiary Lighthouse Renewable Holdco 2 LLC, acquired the Class B membership interests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Mesquite Sky Holding LLC from Clearway Renew LLC for $61 million in cash consideration. Lighthouse Renewable Holdco 2 LLC is a partnership between the Company and a third-party investor. The third-party investor also contributed cash consideration utilized to acquire their portion of the Class B membership interests. The Class A membership interests of Mesquite Sky Holding LLC were acquired by another third-party investor in 2020, which sold their interest back to the Company on March 18, 2022. Mesquite Sky Holding LLC, through its wholly-owned subsidiary, Mesquite Sky Class B Holdco LLC, is the primary beneficiary and consolidates its interests in a tax equity fund, Mesquite Sky TE Holdco LLC, that holds the Mesquite Sky wind project, a 340 MW utility scale wind project located in Callahan County, Texas, which achieved commercial operations in December 2021, as further described in Note 5, </w:t>
      </w:r>
      <w:r>
        <w:rPr>
          <w:rFonts w:ascii="Arial" w:cs="Arial" w:eastAsia="Arial" w:hAnsi="Arial"/>
          <w:sz w:val="13"/>
          <w:szCs w:val="13"/>
          <w:i w:val="1"/>
          <w:iCs w:val="1"/>
          <w:color w:val="auto"/>
        </w:rPr>
        <w:t>Investments Accounted for by the Equity Method and</w:t>
      </w:r>
      <w:r>
        <w:rPr>
          <w:rFonts w:ascii="Arial" w:cs="Arial" w:eastAsia="Arial" w:hAnsi="Arial"/>
          <w:sz w:val="13"/>
          <w:szCs w:val="13"/>
          <w:color w:val="auto"/>
        </w:rPr>
        <w:t xml:space="preserve"> </w:t>
      </w:r>
      <w:r>
        <w:rPr>
          <w:rFonts w:ascii="Arial" w:cs="Arial" w:eastAsia="Arial" w:hAnsi="Arial"/>
          <w:sz w:val="13"/>
          <w:szCs w:val="13"/>
          <w:i w:val="1"/>
          <w:iCs w:val="1"/>
          <w:color w:val="auto"/>
        </w:rPr>
        <w:t>Variable Interest Entities</w:t>
      </w:r>
      <w:r>
        <w:rPr>
          <w:rFonts w:ascii="Arial" w:cs="Arial" w:eastAsia="Arial" w:hAnsi="Arial"/>
          <w:sz w:val="13"/>
          <w:szCs w:val="13"/>
          <w:color w:val="auto"/>
        </w:rPr>
        <w:t>. A majority of the project’s output is backed by contracts with investment-grade counterparties with a 12-year weighted average contract life. The Mesquite Sky operations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are reflected in the Company’s Renewables segment and the acquisition was funded with existing sources of liquidity. The acquisition was determined to be an asset acquisition and not a business combination, therefore the Company consolidated the financial information for Mesquite Sky on a prospective basis. The assets and liabilities transferred to the Company relate to interests under common control and were recorded at historical cost in accordance with ASC 805-50, </w:t>
      </w:r>
      <w:r>
        <w:rPr>
          <w:rFonts w:ascii="Arial" w:cs="Arial" w:eastAsia="Arial" w:hAnsi="Arial"/>
          <w:sz w:val="13"/>
          <w:szCs w:val="13"/>
          <w:i w:val="1"/>
          <w:iCs w:val="1"/>
          <w:color w:val="auto"/>
        </w:rPr>
        <w:t>Business Combinations - Related Issues</w:t>
      </w:r>
      <w:r>
        <w:rPr>
          <w:rFonts w:ascii="Arial" w:cs="Arial" w:eastAsia="Arial" w:hAnsi="Arial"/>
          <w:sz w:val="13"/>
          <w:szCs w:val="13"/>
          <w:color w:val="auto"/>
        </w:rPr>
        <w:t>. The sum of the cash paid of $61 million and the historical cost of the Company’s net liabilities assumed of $7 million was recorded as an adjustment to CEG’s contributed capital balance. The difference between cash paid, interests acquired, and the balance in equity is capital reserved for project completion. In addition, the Company reflected additional contributions paid by CEG and the portion of the Company’s purchase price utilized to repay long-term debt, totaling $52 million, as contributions from CEG in the statement of members’ equity, and as an impact of the Mesquite Sky drop down in noncontrolling interest.</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is a summary of assets and liabilities transferred in connection with the acquisition as of December 17, 2021: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970"/>
              <w:spacing w:after="0"/>
              <w:rPr>
                <w:sz w:val="20"/>
                <w:szCs w:val="20"/>
                <w:color w:val="auto"/>
              </w:rPr>
            </w:pPr>
            <w:r>
              <w:rPr>
                <w:rFonts w:ascii="Arial" w:cs="Arial" w:eastAsia="Arial" w:hAnsi="Arial"/>
                <w:sz w:val="13"/>
                <w:szCs w:val="13"/>
                <w:b w:val="1"/>
                <w:bCs w:val="1"/>
                <w:color w:val="auto"/>
              </w:rPr>
              <w:t>Mesquite Sky</w:t>
            </w:r>
          </w:p>
        </w:tc>
      </w:tr>
      <w:tr>
        <w:trPr>
          <w:trHeight w:val="173"/>
        </w:trPr>
        <w:tc>
          <w:tcPr>
            <w:tcW w:w="8460" w:type="dxa"/>
            <w:vAlign w:val="bottom"/>
            <w:shd w:val="clear" w:color="auto" w:fill="CCEEFF"/>
          </w:tcPr>
          <w:p>
            <w:pPr>
              <w:ind w:left="120"/>
              <w:spacing w:after="0" w:line="173" w:lineRule="exact"/>
              <w:rPr>
                <w:sz w:val="20"/>
                <w:szCs w:val="20"/>
                <w:color w:val="auto"/>
              </w:rPr>
            </w:pPr>
            <w:r>
              <w:rPr>
                <w:rFonts w:ascii="Arial" w:cs="Arial" w:eastAsia="Arial" w:hAnsi="Arial"/>
                <w:sz w:val="14"/>
                <w:szCs w:val="14"/>
                <w:color w:val="auto"/>
              </w:rPr>
              <w:t xml:space="preserve">Current assets </w:t>
            </w:r>
            <w:r>
              <w:rPr>
                <w:rFonts w:ascii="Arial" w:cs="Arial" w:eastAsia="Arial" w:hAnsi="Arial"/>
                <w:sz w:val="18"/>
                <w:szCs w:val="18"/>
                <w:color w:val="auto"/>
                <w:vertAlign w:val="superscript"/>
              </w:rPr>
              <w:t>(a)</w:t>
            </w: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0"/>
        </w:trPr>
        <w:tc>
          <w:tcPr>
            <w:tcW w:w="8460" w:type="dxa"/>
            <w:vAlign w:val="bottom"/>
          </w:tcPr>
          <w:p>
            <w:pPr>
              <w:ind w:left="120"/>
              <w:spacing w:after="0"/>
              <w:rPr>
                <w:sz w:val="20"/>
                <w:szCs w:val="20"/>
                <w:color w:val="auto"/>
              </w:rPr>
            </w:pPr>
            <w:r>
              <w:rPr>
                <w:rFonts w:ascii="Arial" w:cs="Arial" w:eastAsia="Arial" w:hAnsi="Arial"/>
                <w:sz w:val="14"/>
                <w:szCs w:val="14"/>
                <w:color w:val="auto"/>
              </w:rPr>
              <w:t>Property, plant and equipment</w:t>
            </w:r>
          </w:p>
        </w:tc>
        <w:tc>
          <w:tcPr>
            <w:tcW w:w="56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377</w:t>
            </w:r>
          </w:p>
        </w:tc>
      </w:tr>
      <w:tr>
        <w:trPr>
          <w:trHeight w:val="181"/>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Right-of use assets</w:t>
            </w:r>
          </w:p>
        </w:tc>
        <w:tc>
          <w:tcPr>
            <w:tcW w:w="560" w:type="dxa"/>
            <w:vAlign w:val="bottom"/>
            <w:shd w:val="clear" w:color="auto" w:fill="CCEEFF"/>
          </w:tcPr>
          <w:p>
            <w:pPr>
              <w:spacing w:after="0"/>
              <w:rPr>
                <w:sz w:val="15"/>
                <w:szCs w:val="15"/>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non-current assets</w:t>
            </w:r>
          </w:p>
        </w:tc>
        <w:tc>
          <w:tcPr>
            <w:tcW w:w="5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171"/>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 acquired</w:t>
            </w:r>
          </w:p>
        </w:tc>
        <w:tc>
          <w:tcPr>
            <w:tcW w:w="560" w:type="dxa"/>
            <w:vAlign w:val="bottom"/>
            <w:shd w:val="clear" w:color="auto" w:fill="CCEEFF"/>
          </w:tcPr>
          <w:p>
            <w:pPr>
              <w:spacing w:after="0"/>
              <w:rPr>
                <w:sz w:val="14"/>
                <w:szCs w:val="14"/>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r>
      <w:tr>
        <w:trPr>
          <w:trHeight w:val="212"/>
        </w:trPr>
        <w:tc>
          <w:tcPr>
            <w:tcW w:w="8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180"/>
        </w:trPr>
        <w:tc>
          <w:tcPr>
            <w:tcW w:w="8460" w:type="dxa"/>
            <w:vAlign w:val="bottom"/>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Long-term debt </w:t>
            </w:r>
            <w:r>
              <w:rPr>
                <w:rFonts w:ascii="Arial" w:cs="Arial" w:eastAsia="Arial" w:hAnsi="Arial"/>
                <w:sz w:val="18"/>
                <w:szCs w:val="18"/>
                <w:color w:val="auto"/>
                <w:vertAlign w:val="superscript"/>
              </w:rPr>
              <w:t>(b)</w:t>
            </w:r>
          </w:p>
        </w:tc>
        <w:tc>
          <w:tcPr>
            <w:tcW w:w="560" w:type="dxa"/>
            <w:vAlign w:val="bottom"/>
            <w:shd w:val="clear" w:color="auto" w:fill="CCEEFF"/>
          </w:tcPr>
          <w:p>
            <w:pPr>
              <w:spacing w:after="0"/>
              <w:rPr>
                <w:sz w:val="15"/>
                <w:szCs w:val="15"/>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r>
      <w:tr>
        <w:trPr>
          <w:trHeight w:val="180"/>
        </w:trPr>
        <w:tc>
          <w:tcPr>
            <w:tcW w:w="8460" w:type="dxa"/>
            <w:vAlign w:val="bottom"/>
          </w:tcPr>
          <w:p>
            <w:pPr>
              <w:ind w:left="120"/>
              <w:spacing w:after="0"/>
              <w:rPr>
                <w:sz w:val="20"/>
                <w:szCs w:val="20"/>
                <w:color w:val="auto"/>
              </w:rPr>
            </w:pPr>
            <w:r>
              <w:rPr>
                <w:rFonts w:ascii="Arial" w:cs="Arial" w:eastAsia="Arial" w:hAnsi="Arial"/>
                <w:sz w:val="14"/>
                <w:szCs w:val="14"/>
                <w:color w:val="auto"/>
              </w:rPr>
              <w:t>Long-term lease liabilities</w:t>
            </w:r>
          </w:p>
        </w:tc>
        <w:tc>
          <w:tcPr>
            <w:tcW w:w="56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81"/>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Derivative liabilities</w:t>
            </w:r>
          </w:p>
        </w:tc>
        <w:tc>
          <w:tcPr>
            <w:tcW w:w="560" w:type="dxa"/>
            <w:vAlign w:val="bottom"/>
            <w:shd w:val="clear" w:color="auto" w:fill="CCEEFF"/>
          </w:tcPr>
          <w:p>
            <w:pPr>
              <w:spacing w:after="0"/>
              <w:rPr>
                <w:sz w:val="15"/>
                <w:szCs w:val="15"/>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current and non-current liabilities</w:t>
            </w:r>
          </w:p>
        </w:tc>
        <w:tc>
          <w:tcPr>
            <w:tcW w:w="5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171"/>
        </w:trPr>
        <w:tc>
          <w:tcPr>
            <w:tcW w:w="8460" w:type="dxa"/>
            <w:vAlign w:val="bottom"/>
            <w:shd w:val="clear" w:color="auto" w:fill="CCEEFF"/>
          </w:tcPr>
          <w:p>
            <w:pPr>
              <w:ind w:left="200"/>
              <w:spacing w:after="0" w:line="171" w:lineRule="exact"/>
              <w:rPr>
                <w:sz w:val="20"/>
                <w:szCs w:val="20"/>
                <w:color w:val="auto"/>
              </w:rPr>
            </w:pPr>
            <w:r>
              <w:rPr>
                <w:rFonts w:ascii="Arial" w:cs="Arial" w:eastAsia="Arial" w:hAnsi="Arial"/>
                <w:sz w:val="14"/>
                <w:szCs w:val="14"/>
                <w:color w:val="auto"/>
              </w:rPr>
              <w:t xml:space="preserve">Total liabilities assumed </w:t>
            </w:r>
            <w:r>
              <w:rPr>
                <w:rFonts w:ascii="Arial" w:cs="Arial" w:eastAsia="Arial" w:hAnsi="Arial"/>
                <w:sz w:val="18"/>
                <w:szCs w:val="18"/>
                <w:color w:val="auto"/>
                <w:vertAlign w:val="superscript"/>
              </w:rPr>
              <w:t>(c)</w:t>
            </w:r>
          </w:p>
        </w:tc>
        <w:tc>
          <w:tcPr>
            <w:tcW w:w="560" w:type="dxa"/>
            <w:vAlign w:val="bottom"/>
            <w:tcBorders>
              <w:bottom w:val="single" w:sz="8" w:color="auto"/>
            </w:tcBorders>
            <w:shd w:val="clear" w:color="auto" w:fill="CCEEFF"/>
          </w:tcPr>
          <w:p>
            <w:pPr>
              <w:spacing w:after="0"/>
              <w:rPr>
                <w:sz w:val="14"/>
                <w:szCs w:val="14"/>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w:t>
            </w: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Net liabilities assumed</w:t>
            </w:r>
          </w:p>
        </w:tc>
        <w:tc>
          <w:tcPr>
            <w:tcW w:w="5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8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180" w:hanging="111"/>
        <w:spacing w:after="0"/>
        <w:tabs>
          <w:tab w:leader="none" w:pos="180" w:val="left"/>
        </w:tabs>
        <w:numPr>
          <w:ilvl w:val="0"/>
          <w:numId w:val="62"/>
        </w:numPr>
        <w:rPr>
          <w:rFonts w:ascii="Arial" w:cs="Arial" w:eastAsia="Arial" w:hAnsi="Arial"/>
          <w:sz w:val="13"/>
          <w:szCs w:val="13"/>
          <w:color w:val="auto"/>
          <w:vertAlign w:val="superscript"/>
        </w:rPr>
      </w:pPr>
      <w:r>
        <w:rPr>
          <w:rFonts w:ascii="Arial" w:cs="Arial" w:eastAsia="Arial" w:hAnsi="Arial"/>
          <w:sz w:val="9"/>
          <w:szCs w:val="9"/>
          <w:color w:val="auto"/>
        </w:rPr>
        <w:t>Includes $44 million reserved for project completion costs included in restricted cash on the Company’s balance sheet at acquisition date, which is included within the $52 million contributed by CEG described above.</w:t>
      </w:r>
    </w:p>
    <w:p>
      <w:pPr>
        <w:spacing w:after="0" w:line="56" w:lineRule="exact"/>
        <w:rPr>
          <w:rFonts w:ascii="Arial" w:cs="Arial" w:eastAsia="Arial" w:hAnsi="Arial"/>
          <w:sz w:val="13"/>
          <w:szCs w:val="13"/>
          <w:color w:val="auto"/>
          <w:vertAlign w:val="superscript"/>
        </w:rPr>
      </w:pPr>
    </w:p>
    <w:p>
      <w:pPr>
        <w:jc w:val="both"/>
        <w:ind w:left="60" w:firstLine="9"/>
        <w:spacing w:after="0" w:line="246" w:lineRule="auto"/>
        <w:tabs>
          <w:tab w:leader="none" w:pos="199" w:val="left"/>
        </w:tabs>
        <w:numPr>
          <w:ilvl w:val="0"/>
          <w:numId w:val="62"/>
        </w:numPr>
        <w:rPr>
          <w:rFonts w:ascii="Arial" w:cs="Arial" w:eastAsia="Arial" w:hAnsi="Arial"/>
          <w:sz w:val="15"/>
          <w:szCs w:val="15"/>
          <w:color w:val="auto"/>
          <w:vertAlign w:val="superscript"/>
        </w:rPr>
      </w:pPr>
      <w:r>
        <w:rPr>
          <w:rFonts w:ascii="Arial" w:cs="Arial" w:eastAsia="Arial" w:hAnsi="Arial"/>
          <w:sz w:val="10"/>
          <w:szCs w:val="10"/>
          <w:color w:val="auto"/>
        </w:rPr>
        <w:t>Repaid at acquisition date utilizing $241 million contributed by the tax equity investor and $107 million contributed by the cash equity investor, both recorded as contributions in noncontrolling interest, as well as the Company’s $61 million acquisition price. Of the $409 million contributed, $355 million was utilized to pay down the acquired debt and $1 million was utilized to pay associated fees. The remaining $53 million was distributed to CEG for the acquisition. The net of the Company’s $61 million acquisition price and the distribution to CEG of $53 million are included within the $52 million contributed by CEG described above.</w:t>
      </w:r>
    </w:p>
    <w:p>
      <w:pPr>
        <w:ind w:left="200" w:hanging="131"/>
        <w:spacing w:after="0" w:line="235" w:lineRule="auto"/>
        <w:tabs>
          <w:tab w:leader="none" w:pos="200" w:val="left"/>
        </w:tabs>
        <w:numPr>
          <w:ilvl w:val="0"/>
          <w:numId w:val="62"/>
        </w:numPr>
        <w:rPr>
          <w:rFonts w:ascii="Arial" w:cs="Arial" w:eastAsia="Arial" w:hAnsi="Arial"/>
          <w:sz w:val="16"/>
          <w:szCs w:val="16"/>
          <w:color w:val="auto"/>
          <w:vertAlign w:val="superscript"/>
        </w:rPr>
      </w:pPr>
      <w:r>
        <w:rPr>
          <w:rFonts w:ascii="Arial" w:cs="Arial" w:eastAsia="Arial" w:hAnsi="Arial"/>
          <w:sz w:val="10"/>
          <w:szCs w:val="10"/>
          <w:color w:val="auto"/>
        </w:rPr>
        <w:t>Total liabilities assumed excludes amounts due to CEG as of the acquisition date of $6 million, of which $5 million was received from the tax equity and cash equity investors and was held in escrow accounts as of the acquisition date.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02" w:name="page103"/>
    <w:bookmarkEnd w:id="102"/>
    <w:p>
      <w:pPr>
        <w:jc w:val="both"/>
        <w:ind w:firstLine="318"/>
        <w:spacing w:after="0" w:line="280" w:lineRule="auto"/>
        <w:rPr>
          <w:sz w:val="20"/>
          <w:szCs w:val="20"/>
          <w:color w:val="auto"/>
        </w:rPr>
      </w:pPr>
      <w:r>
        <w:rPr>
          <w:rFonts w:ascii="Arial" w:cs="Arial" w:eastAsia="Arial" w:hAnsi="Arial"/>
          <w:sz w:val="13"/>
          <w:szCs w:val="13"/>
          <w:b w:val="1"/>
          <w:bCs w:val="1"/>
          <w:i w:val="1"/>
          <w:iCs w:val="1"/>
          <w:color w:val="auto"/>
        </w:rPr>
        <w:t xml:space="preserve">Utah Solar Portfolio Acquisition — </w:t>
      </w:r>
      <w:r>
        <w:rPr>
          <w:rFonts w:ascii="Arial" w:cs="Arial" w:eastAsia="Arial" w:hAnsi="Arial"/>
          <w:sz w:val="13"/>
          <w:szCs w:val="13"/>
          <w:color w:val="auto"/>
        </w:rPr>
        <w:t>On December 1, 2021, the Company acquired the remaining 50% equity interest in the Utah Solar Portfolio from Dominion Solar Projects III, Inc.,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approximately $335 million before working capital and purchase price adjustments in the net amount of $5 million, representing total net consideration of $330 million. The Utah Solar Portfolio consists of seven utility-scale solar farms located in Utah, representing 530 MW of capacity. The assets within the portfolio sell power subject to 20-year PPAs with PacifiCorp that have approximately 15 years remaining under the agreements. Following the close of the transaction, the Company owns 100% of the membership interests in the Utah Solar Portfolio and consolidates the Utah Solar Portfolio. The Utah Solar Portfolio operations are included in the Company’s Renewables segment. The acquisition was determined to be an asset acquisition and the cash consideration of $330 million, net of restricted cash acquired of $8 million, represented a net cash outflow of $322 million, which was allocated to the fair value of the assets acquired and liabilities assumed on the acquisition date. The acquisition was funded with the borrowings under the Bridge Loan Agreement, as described in Note 10, </w:t>
      </w:r>
      <w:r>
        <w:rPr>
          <w:rFonts w:ascii="Arial" w:cs="Arial" w:eastAsia="Arial" w:hAnsi="Arial"/>
          <w:sz w:val="13"/>
          <w:szCs w:val="13"/>
          <w:i w:val="1"/>
          <w:iCs w:val="1"/>
          <w:color w:val="auto"/>
        </w:rPr>
        <w:t>Long-term Debt.</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is a summary of assets and liabilities transferred in connection with the acquisition as of December 1, 2021: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4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jc w:val="right"/>
              <w:ind w:right="790"/>
              <w:spacing w:after="0"/>
              <w:rPr>
                <w:sz w:val="20"/>
                <w:szCs w:val="20"/>
                <w:color w:val="auto"/>
              </w:rPr>
            </w:pPr>
            <w:r>
              <w:rPr>
                <w:rFonts w:ascii="Arial" w:cs="Arial" w:eastAsia="Arial" w:hAnsi="Arial"/>
                <w:sz w:val="13"/>
                <w:szCs w:val="13"/>
                <w:b w:val="1"/>
                <w:bCs w:val="1"/>
                <w:color w:val="auto"/>
              </w:rPr>
              <w:t>Utah Solar Portfolio</w:t>
            </w:r>
          </w:p>
        </w:tc>
      </w:tr>
      <w:tr>
        <w:trPr>
          <w:trHeight w:val="173"/>
        </w:trPr>
        <w:tc>
          <w:tcPr>
            <w:tcW w:w="8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assets</w:t>
            </w: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0"/>
        </w:trPr>
        <w:tc>
          <w:tcPr>
            <w:tcW w:w="8400" w:type="dxa"/>
            <w:vAlign w:val="bottom"/>
          </w:tcPr>
          <w:p>
            <w:pPr>
              <w:ind w:left="120"/>
              <w:spacing w:after="0"/>
              <w:rPr>
                <w:sz w:val="20"/>
                <w:szCs w:val="20"/>
                <w:color w:val="auto"/>
              </w:rPr>
            </w:pPr>
            <w:r>
              <w:rPr>
                <w:rFonts w:ascii="Arial" w:cs="Arial" w:eastAsia="Arial" w:hAnsi="Arial"/>
                <w:sz w:val="14"/>
                <w:szCs w:val="14"/>
                <w:color w:val="auto"/>
              </w:rPr>
              <w:t>Property, plant and equipment</w:t>
            </w:r>
          </w:p>
        </w:tc>
        <w:tc>
          <w:tcPr>
            <w:tcW w:w="48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Arial" w:cs="Arial" w:eastAsia="Arial" w:hAnsi="Arial"/>
                <w:sz w:val="14"/>
                <w:szCs w:val="14"/>
                <w:color w:val="auto"/>
              </w:rPr>
              <w:t>258</w:t>
            </w:r>
          </w:p>
        </w:tc>
      </w:tr>
      <w:tr>
        <w:trPr>
          <w:trHeight w:val="181"/>
        </w:trPr>
        <w:tc>
          <w:tcPr>
            <w:tcW w:w="8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Intangible assets for power purchase agreement</w:t>
            </w:r>
          </w:p>
        </w:tc>
        <w:tc>
          <w:tcPr>
            <w:tcW w:w="48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r>
      <w:tr>
        <w:trPr>
          <w:trHeight w:val="180"/>
        </w:trPr>
        <w:tc>
          <w:tcPr>
            <w:tcW w:w="8400" w:type="dxa"/>
            <w:vAlign w:val="bottom"/>
          </w:tcPr>
          <w:p>
            <w:pPr>
              <w:ind w:left="120"/>
              <w:spacing w:after="0"/>
              <w:rPr>
                <w:sz w:val="20"/>
                <w:szCs w:val="20"/>
                <w:color w:val="auto"/>
              </w:rPr>
            </w:pPr>
            <w:r>
              <w:rPr>
                <w:rFonts w:ascii="Arial" w:cs="Arial" w:eastAsia="Arial" w:hAnsi="Arial"/>
                <w:sz w:val="14"/>
                <w:szCs w:val="14"/>
                <w:color w:val="auto"/>
              </w:rPr>
              <w:t>Other intangible assets</w:t>
            </w:r>
          </w:p>
        </w:tc>
        <w:tc>
          <w:tcPr>
            <w:tcW w:w="48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1"/>
        </w:trPr>
        <w:tc>
          <w:tcPr>
            <w:tcW w:w="8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Right-of use assets</w:t>
            </w:r>
          </w:p>
        </w:tc>
        <w:tc>
          <w:tcPr>
            <w:tcW w:w="480" w:type="dxa"/>
            <w:vAlign w:val="bottom"/>
            <w:tcBorders>
              <w:bottom w:val="single" w:sz="8" w:color="auto"/>
            </w:tcBorders>
            <w:shd w:val="clear" w:color="auto" w:fill="CCEEFF"/>
          </w:tcPr>
          <w:p>
            <w:pPr>
              <w:spacing w:after="0"/>
              <w:rPr>
                <w:sz w:val="15"/>
                <w:szCs w:val="15"/>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171"/>
        </w:trPr>
        <w:tc>
          <w:tcPr>
            <w:tcW w:w="84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assets acquired</w:t>
            </w:r>
          </w:p>
        </w:tc>
        <w:tc>
          <w:tcPr>
            <w:tcW w:w="4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w:t>
            </w:r>
          </w:p>
        </w:tc>
      </w:tr>
      <w:tr>
        <w:trPr>
          <w:trHeight w:val="192"/>
        </w:trPr>
        <w:tc>
          <w:tcPr>
            <w:tcW w:w="8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r>
      <w:tr>
        <w:trPr>
          <w:trHeight w:val="180"/>
        </w:trPr>
        <w:tc>
          <w:tcPr>
            <w:tcW w:w="8400" w:type="dxa"/>
            <w:vAlign w:val="bottom"/>
          </w:tcPr>
          <w:p>
            <w:pPr>
              <w:ind w:left="120"/>
              <w:spacing w:after="0"/>
              <w:rPr>
                <w:sz w:val="20"/>
                <w:szCs w:val="20"/>
                <w:color w:val="auto"/>
              </w:rPr>
            </w:pPr>
            <w:r>
              <w:rPr>
                <w:rFonts w:ascii="Arial" w:cs="Arial" w:eastAsia="Arial" w:hAnsi="Arial"/>
                <w:sz w:val="14"/>
                <w:szCs w:val="14"/>
                <w:color w:val="auto"/>
              </w:rPr>
              <w:t>Long-term lease liabilities</w:t>
            </w:r>
          </w:p>
        </w:tc>
        <w:tc>
          <w:tcPr>
            <w:tcW w:w="48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Arial" w:cs="Arial" w:eastAsia="Arial" w:hAnsi="Arial"/>
                <w:sz w:val="14"/>
                <w:szCs w:val="14"/>
                <w:color w:val="auto"/>
              </w:rPr>
              <w:t>163</w:t>
            </w:r>
          </w:p>
        </w:tc>
      </w:tr>
      <w:tr>
        <w:trPr>
          <w:trHeight w:val="181"/>
        </w:trPr>
        <w:tc>
          <w:tcPr>
            <w:tcW w:w="8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 and non-current liabilities</w:t>
            </w:r>
          </w:p>
        </w:tc>
        <w:tc>
          <w:tcPr>
            <w:tcW w:w="480" w:type="dxa"/>
            <w:vAlign w:val="bottom"/>
            <w:tcBorders>
              <w:bottom w:val="single" w:sz="8" w:color="auto"/>
            </w:tcBorders>
            <w:shd w:val="clear" w:color="auto" w:fill="CCEEFF"/>
          </w:tcPr>
          <w:p>
            <w:pPr>
              <w:spacing w:after="0"/>
              <w:rPr>
                <w:sz w:val="15"/>
                <w:szCs w:val="15"/>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71"/>
        </w:trPr>
        <w:tc>
          <w:tcPr>
            <w:tcW w:w="84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liabilities assumed</w:t>
            </w:r>
          </w:p>
        </w:tc>
        <w:tc>
          <w:tcPr>
            <w:tcW w:w="4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r>
      <w:tr>
        <w:trPr>
          <w:trHeight w:val="171"/>
        </w:trPr>
        <w:tc>
          <w:tcPr>
            <w:tcW w:w="8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method investment removed</w:t>
            </w:r>
          </w:p>
        </w:tc>
        <w:tc>
          <w:tcPr>
            <w:tcW w:w="480" w:type="dxa"/>
            <w:vAlign w:val="bottom"/>
            <w:tcBorders>
              <w:bottom w:val="single" w:sz="8" w:color="auto"/>
            </w:tcBorders>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r>
      <w:tr>
        <w:trPr>
          <w:trHeight w:val="171"/>
        </w:trPr>
        <w:tc>
          <w:tcPr>
            <w:tcW w:w="8400" w:type="dxa"/>
            <w:vAlign w:val="bottom"/>
          </w:tcPr>
          <w:p>
            <w:pPr>
              <w:ind w:left="200"/>
              <w:spacing w:after="0"/>
              <w:rPr>
                <w:sz w:val="20"/>
                <w:szCs w:val="20"/>
                <w:color w:val="auto"/>
              </w:rPr>
            </w:pPr>
            <w:r>
              <w:rPr>
                <w:rFonts w:ascii="Arial" w:cs="Arial" w:eastAsia="Arial" w:hAnsi="Arial"/>
                <w:sz w:val="14"/>
                <w:szCs w:val="14"/>
                <w:color w:val="auto"/>
              </w:rPr>
              <w:t>Net assets acquired</w:t>
            </w: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r>
      <w:tr>
        <w:trPr>
          <w:trHeight w:val="20"/>
        </w:trPr>
        <w:tc>
          <w:tcPr>
            <w:tcW w:w="8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b w:val="1"/>
          <w:bCs w:val="1"/>
          <w:i w:val="1"/>
          <w:iCs w:val="1"/>
          <w:color w:val="auto"/>
        </w:rPr>
        <w:t xml:space="preserve">Mt. Storm Wind Acquisition — </w:t>
      </w:r>
      <w:r>
        <w:rPr>
          <w:rFonts w:ascii="Arial" w:cs="Arial" w:eastAsia="Arial" w:hAnsi="Arial"/>
          <w:sz w:val="13"/>
          <w:szCs w:val="13"/>
          <w:color w:val="auto"/>
        </w:rPr>
        <w:t>On April 23, 2021, the Company acquired 100% of the equity interests in NedPower Mount Storm LLC, or Mt. Storm, from Castleton Commodities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International for approximately $96 million before working capital and purchase price adjustments in the net amount of $4 million, representing a total net consideration of $100 million. Mt. Storm is a 264 MW wind project located in Grant County, West Virginia. Mt. Storm has a 10-year energy hedge with an investment-grade counterparty. The acquisition was determined to be an asset acquisition and the purchase price was allocated to the fair value of the assets acquired and liabilities assumed on the acquisition date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6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4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60" w:type="dxa"/>
            <w:vAlign w:val="bottom"/>
            <w:gridSpan w:val="2"/>
          </w:tcPr>
          <w:p>
            <w:pPr>
              <w:ind w:left="520"/>
              <w:spacing w:after="0"/>
              <w:rPr>
                <w:sz w:val="20"/>
                <w:szCs w:val="20"/>
                <w:color w:val="auto"/>
              </w:rPr>
            </w:pPr>
            <w:r>
              <w:rPr>
                <w:rFonts w:ascii="Arial" w:cs="Arial" w:eastAsia="Arial" w:hAnsi="Arial"/>
                <w:sz w:val="13"/>
                <w:szCs w:val="13"/>
                <w:b w:val="1"/>
                <w:bCs w:val="1"/>
                <w:color w:val="auto"/>
              </w:rPr>
              <w:t>Mt. Storm</w:t>
            </w:r>
          </w:p>
        </w:tc>
        <w:tc>
          <w:tcPr>
            <w:tcW w:w="0" w:type="dxa"/>
            <w:vAlign w:val="bottom"/>
          </w:tcPr>
          <w:p>
            <w:pPr>
              <w:spacing w:after="0"/>
              <w:rPr>
                <w:sz w:val="1"/>
                <w:szCs w:val="1"/>
                <w:color w:val="auto"/>
              </w:rPr>
            </w:pPr>
          </w:p>
        </w:tc>
      </w:tr>
      <w:tr>
        <w:trPr>
          <w:trHeight w:val="173"/>
        </w:trPr>
        <w:tc>
          <w:tcPr>
            <w:tcW w:w="39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Current assets</w:t>
            </w:r>
          </w:p>
        </w:tc>
        <w:tc>
          <w:tcPr>
            <w:tcW w:w="44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60" w:type="dxa"/>
            <w:vAlign w:val="bottom"/>
          </w:tcPr>
          <w:p>
            <w:pPr>
              <w:ind w:left="120"/>
              <w:spacing w:after="0"/>
              <w:rPr>
                <w:sz w:val="20"/>
                <w:szCs w:val="20"/>
                <w:color w:val="auto"/>
              </w:rPr>
            </w:pPr>
            <w:r>
              <w:rPr>
                <w:rFonts w:ascii="Arial" w:cs="Arial" w:eastAsia="Arial" w:hAnsi="Arial"/>
                <w:sz w:val="14"/>
                <w:szCs w:val="14"/>
                <w:color w:val="auto"/>
              </w:rPr>
              <w:t>Property, plant and equipment</w:t>
            </w:r>
          </w:p>
        </w:tc>
        <w:tc>
          <w:tcPr>
            <w:tcW w:w="4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108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non-current assets</w:t>
            </w:r>
          </w:p>
        </w:tc>
        <w:tc>
          <w:tcPr>
            <w:tcW w:w="444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assets acquired</w:t>
            </w:r>
          </w:p>
        </w:tc>
        <w:tc>
          <w:tcPr>
            <w:tcW w:w="44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960" w:type="dxa"/>
            <w:vAlign w:val="bottom"/>
            <w:shd w:val="clear" w:color="auto" w:fill="CCEEFF"/>
          </w:tcPr>
          <w:p>
            <w:pPr>
              <w:spacing w:after="0"/>
              <w:rPr>
                <w:sz w:val="16"/>
                <w:szCs w:val="16"/>
                <w:color w:val="auto"/>
              </w:rPr>
            </w:pPr>
          </w:p>
        </w:tc>
        <w:tc>
          <w:tcPr>
            <w:tcW w:w="4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960" w:type="dxa"/>
            <w:vAlign w:val="bottom"/>
          </w:tcPr>
          <w:p>
            <w:pPr>
              <w:ind w:left="120"/>
              <w:spacing w:after="0"/>
              <w:rPr>
                <w:sz w:val="20"/>
                <w:szCs w:val="20"/>
                <w:color w:val="auto"/>
              </w:rPr>
            </w:pPr>
            <w:r>
              <w:rPr>
                <w:rFonts w:ascii="Arial" w:cs="Arial" w:eastAsia="Arial" w:hAnsi="Arial"/>
                <w:sz w:val="14"/>
                <w:szCs w:val="14"/>
                <w:color w:val="auto"/>
              </w:rPr>
              <w:t>Derivative instruments</w:t>
            </w:r>
          </w:p>
        </w:tc>
        <w:tc>
          <w:tcPr>
            <w:tcW w:w="4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 and non-current liabilities</w:t>
            </w:r>
          </w:p>
        </w:tc>
        <w:tc>
          <w:tcPr>
            <w:tcW w:w="444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Total liabilities assumed</w:t>
            </w:r>
          </w:p>
        </w:tc>
        <w:tc>
          <w:tcPr>
            <w:tcW w:w="44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Net assets acquired</w:t>
            </w:r>
          </w:p>
        </w:tc>
        <w:tc>
          <w:tcPr>
            <w:tcW w:w="44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jc w:val="right"/>
              <w:ind w:right="2569"/>
              <w:spacing w:after="0"/>
              <w:rPr>
                <w:sz w:val="20"/>
                <w:szCs w:val="20"/>
                <w:color w:val="auto"/>
              </w:rPr>
            </w:pPr>
            <w:r>
              <w:rPr>
                <w:rFonts w:ascii="Arial" w:cs="Arial" w:eastAsia="Arial" w:hAnsi="Arial"/>
                <w:sz w:val="14"/>
                <w:szCs w:val="14"/>
                <w:color w:val="auto"/>
              </w:rPr>
              <w:t>100</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96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6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03" w:name="page104"/>
    <w:bookmarkEnd w:id="103"/>
    <w:p>
      <w:pPr>
        <w:jc w:val="both"/>
        <w:ind w:firstLine="255"/>
        <w:spacing w:after="0" w:line="258" w:lineRule="auto"/>
        <w:rPr>
          <w:sz w:val="20"/>
          <w:szCs w:val="20"/>
          <w:color w:val="auto"/>
        </w:rPr>
      </w:pPr>
      <w:r>
        <w:rPr>
          <w:rFonts w:ascii="Arial" w:cs="Arial" w:eastAsia="Arial" w:hAnsi="Arial"/>
          <w:sz w:val="14"/>
          <w:szCs w:val="14"/>
          <w:b w:val="1"/>
          <w:bCs w:val="1"/>
          <w:i w:val="1"/>
          <w:iCs w:val="1"/>
          <w:color w:val="auto"/>
        </w:rPr>
        <w:t xml:space="preserve">Agua Caliente Acquisition — </w:t>
      </w:r>
      <w:r>
        <w:rPr>
          <w:rFonts w:ascii="Arial" w:cs="Arial" w:eastAsia="Arial" w:hAnsi="Arial"/>
          <w:sz w:val="14"/>
          <w:szCs w:val="14"/>
          <w:color w:val="auto"/>
        </w:rPr>
        <w:t>On February 3, 2021, the Company acquired an additional 35% equity interest in the Agua Caliente solar project from NRG for $202 million. Agua Caliente is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290 MW solar project located in Dateland, Arizona in which Clearway previously owned a 16% equity interest. The project has a 25-year PPA with PG&amp;E, with approximately 17 years remaining under the agreement. Following the close of the transaction, the Company owns a 51% equity interest in Agua Caliente. The Agua Caliente operations are included in the Company’s Renewables segment. The acquisition was determined to be an asset acquisition and the cash consideration of $202 million, net of restricted cash acquired of $91 million, represented a net cash outflow of $111 million, which was allocated to the fair value of the assets acquired and liabilities assumed on the acquisition date. A third-party investor holds the remaining 49% equity interest in Agua Caliente, which is reflected in noncontrolling interest at fair value at the acquisition date.</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is a summary of assets and liabilities obtained in connection with the acquisition as of February 3,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5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ind w:right="950"/>
              <w:spacing w:after="0"/>
              <w:rPr>
                <w:sz w:val="20"/>
                <w:szCs w:val="20"/>
                <w:color w:val="auto"/>
              </w:rPr>
            </w:pPr>
            <w:r>
              <w:rPr>
                <w:rFonts w:ascii="Arial" w:cs="Arial" w:eastAsia="Arial" w:hAnsi="Arial"/>
                <w:sz w:val="13"/>
                <w:szCs w:val="13"/>
                <w:b w:val="1"/>
                <w:bCs w:val="1"/>
                <w:color w:val="auto"/>
              </w:rPr>
              <w:t>Agua Caliente</w:t>
            </w:r>
          </w:p>
        </w:tc>
      </w:tr>
      <w:tr>
        <w:trPr>
          <w:trHeight w:val="173"/>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Restricted cash</w:t>
            </w: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80"/>
        </w:trPr>
        <w:tc>
          <w:tcPr>
            <w:tcW w:w="8460" w:type="dxa"/>
            <w:vAlign w:val="bottom"/>
          </w:tcPr>
          <w:p>
            <w:pPr>
              <w:ind w:left="120"/>
              <w:spacing w:after="0"/>
              <w:rPr>
                <w:sz w:val="20"/>
                <w:szCs w:val="20"/>
                <w:color w:val="auto"/>
              </w:rPr>
            </w:pPr>
            <w:r>
              <w:rPr>
                <w:rFonts w:ascii="Arial" w:cs="Arial" w:eastAsia="Arial" w:hAnsi="Arial"/>
                <w:sz w:val="14"/>
                <w:szCs w:val="14"/>
                <w:color w:val="auto"/>
              </w:rPr>
              <w:t>Property, plant and equipment</w:t>
            </w:r>
          </w:p>
        </w:tc>
        <w:tc>
          <w:tcPr>
            <w:tcW w:w="54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181"/>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Intangible asset for power purchase agreement</w:t>
            </w:r>
          </w:p>
        </w:tc>
        <w:tc>
          <w:tcPr>
            <w:tcW w:w="540" w:type="dxa"/>
            <w:vAlign w:val="bottom"/>
            <w:shd w:val="clear" w:color="auto" w:fill="CCEEFF"/>
          </w:tcPr>
          <w:p>
            <w:pPr>
              <w:spacing w:after="0"/>
              <w:rPr>
                <w:sz w:val="15"/>
                <w:szCs w:val="15"/>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current assets</w:t>
            </w:r>
          </w:p>
        </w:tc>
        <w:tc>
          <w:tcPr>
            <w:tcW w:w="5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171"/>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 acquired</w:t>
            </w:r>
          </w:p>
        </w:tc>
        <w:tc>
          <w:tcPr>
            <w:tcW w:w="540" w:type="dxa"/>
            <w:vAlign w:val="bottom"/>
            <w:tcBorders>
              <w:bottom w:val="single" w:sz="8" w:color="auto"/>
            </w:tcBorders>
            <w:shd w:val="clear" w:color="auto" w:fill="CCEEFF"/>
          </w:tcPr>
          <w:p>
            <w:pPr>
              <w:spacing w:after="0"/>
              <w:rPr>
                <w:sz w:val="14"/>
                <w:szCs w:val="14"/>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w:t>
            </w:r>
          </w:p>
        </w:tc>
      </w:tr>
      <w:tr>
        <w:trPr>
          <w:trHeight w:val="192"/>
        </w:trPr>
        <w:tc>
          <w:tcPr>
            <w:tcW w:w="8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180"/>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debt</w:t>
            </w:r>
          </w:p>
        </w:tc>
        <w:tc>
          <w:tcPr>
            <w:tcW w:w="540" w:type="dxa"/>
            <w:vAlign w:val="bottom"/>
            <w:shd w:val="clear" w:color="auto" w:fill="CCEEFF"/>
          </w:tcPr>
          <w:p>
            <w:pPr>
              <w:spacing w:after="0"/>
              <w:rPr>
                <w:sz w:val="15"/>
                <w:szCs w:val="15"/>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current and non-current liabilities</w:t>
            </w:r>
          </w:p>
        </w:tc>
        <w:tc>
          <w:tcPr>
            <w:tcW w:w="5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71"/>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liabilities assumed</w:t>
            </w:r>
          </w:p>
        </w:tc>
        <w:tc>
          <w:tcPr>
            <w:tcW w:w="540" w:type="dxa"/>
            <w:vAlign w:val="bottom"/>
            <w:tcBorders>
              <w:bottom w:val="single" w:sz="8" w:color="auto"/>
            </w:tcBorders>
            <w:shd w:val="clear" w:color="auto" w:fill="CCEEFF"/>
          </w:tcPr>
          <w:p>
            <w:pPr>
              <w:spacing w:after="0"/>
              <w:rPr>
                <w:sz w:val="14"/>
                <w:szCs w:val="14"/>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w:t>
            </w:r>
          </w:p>
        </w:tc>
      </w:tr>
      <w:tr>
        <w:trPr>
          <w:trHeight w:val="171"/>
        </w:trPr>
        <w:tc>
          <w:tcPr>
            <w:tcW w:w="8460" w:type="dxa"/>
            <w:vAlign w:val="bottom"/>
          </w:tcPr>
          <w:p>
            <w:pPr>
              <w:ind w:left="120"/>
              <w:spacing w:after="0"/>
              <w:rPr>
                <w:sz w:val="20"/>
                <w:szCs w:val="20"/>
                <w:color w:val="auto"/>
              </w:rPr>
            </w:pPr>
            <w:r>
              <w:rPr>
                <w:rFonts w:ascii="Arial" w:cs="Arial" w:eastAsia="Arial" w:hAnsi="Arial"/>
                <w:sz w:val="14"/>
                <w:szCs w:val="14"/>
                <w:color w:val="auto"/>
              </w:rPr>
              <w:t>Noncontrolling interest</w:t>
            </w:r>
          </w:p>
        </w:tc>
        <w:tc>
          <w:tcPr>
            <w:tcW w:w="54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Arial" w:cs="Arial" w:eastAsia="Arial" w:hAnsi="Arial"/>
                <w:sz w:val="14"/>
                <w:szCs w:val="14"/>
                <w:color w:val="auto"/>
              </w:rPr>
              <w:t>273</w:t>
            </w:r>
          </w:p>
        </w:tc>
      </w:tr>
      <w:tr>
        <w:trPr>
          <w:trHeight w:val="180"/>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Equity method investment removed</w:t>
            </w:r>
          </w:p>
        </w:tc>
        <w:tc>
          <w:tcPr>
            <w:tcW w:w="540" w:type="dxa"/>
            <w:vAlign w:val="bottom"/>
            <w:tcBorders>
              <w:bottom w:val="single" w:sz="8" w:color="auto"/>
            </w:tcBorders>
            <w:shd w:val="clear" w:color="auto" w:fill="CCEEFF"/>
          </w:tcPr>
          <w:p>
            <w:pPr>
              <w:spacing w:after="0"/>
              <w:rPr>
                <w:sz w:val="15"/>
                <w:szCs w:val="15"/>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Net assets acquired less noncontrolling interest</w:t>
            </w:r>
          </w:p>
        </w:tc>
        <w:tc>
          <w:tcPr>
            <w:tcW w:w="5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r>
      <w:tr>
        <w:trPr>
          <w:trHeight w:val="20"/>
        </w:trPr>
        <w:tc>
          <w:tcPr>
            <w:tcW w:w="8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b w:val="1"/>
          <w:bCs w:val="1"/>
          <w:i w:val="1"/>
          <w:iCs w:val="1"/>
          <w:color w:val="auto"/>
        </w:rPr>
        <w:t xml:space="preserve">Rattlesnake Drop Down — </w:t>
      </w:r>
      <w:r>
        <w:rPr>
          <w:rFonts w:ascii="Arial" w:cs="Arial" w:eastAsia="Arial" w:hAnsi="Arial"/>
          <w:sz w:val="13"/>
          <w:szCs w:val="13"/>
          <w:color w:val="auto"/>
        </w:rPr>
        <w:t>On January 12, 2021, the Company acquired CEG’s equity interest and a third-party investor’s minority interest in CWSP Rattlesnake Holding, LLC for $132</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million in cash consideration. CWSP Rattlesnake Holding LLC indirectly consolidates the Rattlesnake wind project, a 160 MW wind facility with 144 MW of deliverable capacity in Adams County, Washington, as further described in Note 5, </w:t>
      </w:r>
      <w:r>
        <w:rPr>
          <w:rFonts w:ascii="Arial" w:cs="Arial" w:eastAsia="Arial" w:hAnsi="Arial"/>
          <w:sz w:val="13"/>
          <w:szCs w:val="13"/>
          <w:i w:val="1"/>
          <w:iCs w:val="1"/>
          <w:color w:val="auto"/>
        </w:rPr>
        <w:t>Investments Accounted for by the Equity Method and Variable Interest Entities.</w:t>
      </w:r>
      <w:r>
        <w:rPr>
          <w:rFonts w:ascii="Arial" w:cs="Arial" w:eastAsia="Arial" w:hAnsi="Arial"/>
          <w:sz w:val="13"/>
          <w:szCs w:val="13"/>
          <w:color w:val="auto"/>
        </w:rPr>
        <w:t xml:space="preserve"> The project has a 20-year PPA with Avista Corporation, which began when the facility reached commercial operations in December 2020. The Rattlesnake operations are included in the Company’s Renewables segment. The acquisition was determined to be an asset acquisition and not a business combination, therefore, the Company consolidated the financial information for Rattlesnake on a prospective basis. The assets and liabilities transferred to the Company relate to interests under common control and were recorded at historical cost in accordance with ASC 805-50, </w:t>
      </w:r>
      <w:r>
        <w:rPr>
          <w:rFonts w:ascii="Arial" w:cs="Arial" w:eastAsia="Arial" w:hAnsi="Arial"/>
          <w:sz w:val="13"/>
          <w:szCs w:val="13"/>
          <w:i w:val="1"/>
          <w:iCs w:val="1"/>
          <w:color w:val="auto"/>
        </w:rPr>
        <w:t>Business Combinations - Related Issues</w:t>
      </w:r>
      <w:r>
        <w:rPr>
          <w:rFonts w:ascii="Arial" w:cs="Arial" w:eastAsia="Arial" w:hAnsi="Arial"/>
          <w:sz w:val="13"/>
          <w:szCs w:val="13"/>
          <w:color w:val="auto"/>
        </w:rPr>
        <w:t>. The difference between the cash paid of $132 million and the historical cost of the Company’s acquired interests of $14 million was recorded as an adjustment to CEG’s contributed capital balance.</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is a summary of assets and liabilities transferred in connection with the acquisition as of January 12, 2021: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5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1030"/>
              <w:spacing w:after="0"/>
              <w:rPr>
                <w:sz w:val="20"/>
                <w:szCs w:val="20"/>
                <w:color w:val="auto"/>
              </w:rPr>
            </w:pPr>
            <w:r>
              <w:rPr>
                <w:rFonts w:ascii="Arial" w:cs="Arial" w:eastAsia="Arial" w:hAnsi="Arial"/>
                <w:sz w:val="13"/>
                <w:szCs w:val="13"/>
                <w:b w:val="1"/>
                <w:bCs w:val="1"/>
                <w:color w:val="auto"/>
              </w:rPr>
              <w:t>Rattlesnake</w:t>
            </w:r>
          </w:p>
        </w:tc>
      </w:tr>
      <w:tr>
        <w:trPr>
          <w:trHeight w:val="173"/>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assets</w:t>
            </w: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0"/>
        </w:trPr>
        <w:tc>
          <w:tcPr>
            <w:tcW w:w="8460" w:type="dxa"/>
            <w:vAlign w:val="bottom"/>
          </w:tcPr>
          <w:p>
            <w:pPr>
              <w:ind w:left="120"/>
              <w:spacing w:after="0"/>
              <w:rPr>
                <w:sz w:val="20"/>
                <w:szCs w:val="20"/>
                <w:color w:val="auto"/>
              </w:rPr>
            </w:pPr>
            <w:r>
              <w:rPr>
                <w:rFonts w:ascii="Arial" w:cs="Arial" w:eastAsia="Arial" w:hAnsi="Arial"/>
                <w:sz w:val="14"/>
                <w:szCs w:val="14"/>
                <w:color w:val="auto"/>
              </w:rPr>
              <w:t>Property, plant and equipment</w:t>
            </w:r>
          </w:p>
        </w:tc>
        <w:tc>
          <w:tcPr>
            <w:tcW w:w="58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181"/>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Right-of-use assets</w:t>
            </w:r>
          </w:p>
        </w:tc>
        <w:tc>
          <w:tcPr>
            <w:tcW w:w="580" w:type="dxa"/>
            <w:vAlign w:val="bottom"/>
            <w:tcBorders>
              <w:bottom w:val="single" w:sz="8" w:color="auto"/>
            </w:tcBorders>
            <w:shd w:val="clear" w:color="auto" w:fill="CCEEFF"/>
          </w:tcPr>
          <w:p>
            <w:pPr>
              <w:spacing w:after="0"/>
              <w:rPr>
                <w:sz w:val="15"/>
                <w:szCs w:val="15"/>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Total assets acquired</w:t>
            </w:r>
          </w:p>
        </w:tc>
        <w:tc>
          <w:tcPr>
            <w:tcW w:w="58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12"/>
        </w:trPr>
        <w:tc>
          <w:tcPr>
            <w:tcW w:w="8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180"/>
        </w:trPr>
        <w:tc>
          <w:tcPr>
            <w:tcW w:w="8460" w:type="dxa"/>
            <w:vAlign w:val="bottom"/>
          </w:tcPr>
          <w:p>
            <w:pPr>
              <w:ind w:left="120"/>
              <w:spacing w:after="0" w:line="181" w:lineRule="exact"/>
              <w:rPr>
                <w:sz w:val="20"/>
                <w:szCs w:val="20"/>
                <w:color w:val="auto"/>
              </w:rPr>
            </w:pPr>
            <w:r>
              <w:rPr>
                <w:rFonts w:ascii="Arial" w:cs="Arial" w:eastAsia="Arial" w:hAnsi="Arial"/>
                <w:sz w:val="14"/>
                <w:szCs w:val="14"/>
                <w:color w:val="auto"/>
              </w:rPr>
              <w:t xml:space="preserve">Long-term debt </w:t>
            </w:r>
            <w:r>
              <w:rPr>
                <w:rFonts w:ascii="Arial" w:cs="Arial" w:eastAsia="Arial" w:hAnsi="Arial"/>
                <w:sz w:val="18"/>
                <w:szCs w:val="18"/>
                <w:color w:val="auto"/>
                <w:vertAlign w:val="superscript"/>
              </w:rPr>
              <w:t>(a)</w:t>
            </w:r>
          </w:p>
        </w:tc>
        <w:tc>
          <w:tcPr>
            <w:tcW w:w="58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180"/>
        </w:trPr>
        <w:tc>
          <w:tcPr>
            <w:tcW w:w="8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lease liabilities</w:t>
            </w:r>
          </w:p>
        </w:tc>
        <w:tc>
          <w:tcPr>
            <w:tcW w:w="580" w:type="dxa"/>
            <w:vAlign w:val="bottom"/>
            <w:shd w:val="clear" w:color="auto" w:fill="CCEEFF"/>
          </w:tcPr>
          <w:p>
            <w:pPr>
              <w:spacing w:after="0"/>
              <w:rPr>
                <w:sz w:val="15"/>
                <w:szCs w:val="15"/>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current and non-current liabilities</w:t>
            </w:r>
          </w:p>
        </w:tc>
        <w:tc>
          <w:tcPr>
            <w:tcW w:w="5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71"/>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liabilities assumed</w:t>
            </w:r>
          </w:p>
        </w:tc>
        <w:tc>
          <w:tcPr>
            <w:tcW w:w="580" w:type="dxa"/>
            <w:vAlign w:val="bottom"/>
            <w:tcBorders>
              <w:bottom w:val="single" w:sz="8" w:color="auto"/>
            </w:tcBorders>
            <w:shd w:val="clear" w:color="auto" w:fill="CCEEFF"/>
          </w:tcPr>
          <w:p>
            <w:pPr>
              <w:spacing w:after="0"/>
              <w:rPr>
                <w:sz w:val="14"/>
                <w:szCs w:val="14"/>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w:t>
            </w: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Net assets acquired</w:t>
            </w: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0"/>
        </w:trPr>
        <w:tc>
          <w:tcPr>
            <w:tcW w:w="8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left="60" w:firstLine="9"/>
        <w:spacing w:after="0" w:line="236" w:lineRule="auto"/>
        <w:tabs>
          <w:tab w:leader="none" w:pos="195" w:val="left"/>
        </w:tabs>
        <w:numPr>
          <w:ilvl w:val="0"/>
          <w:numId w:val="63"/>
        </w:numPr>
        <w:rPr>
          <w:rFonts w:ascii="Arial" w:cs="Arial" w:eastAsia="Arial" w:hAnsi="Arial"/>
          <w:sz w:val="15"/>
          <w:szCs w:val="15"/>
          <w:color w:val="auto"/>
          <w:vertAlign w:val="superscript"/>
        </w:rPr>
      </w:pPr>
      <w:r>
        <w:rPr>
          <w:rFonts w:ascii="Arial" w:cs="Arial" w:eastAsia="Arial" w:hAnsi="Arial"/>
          <w:sz w:val="10"/>
          <w:szCs w:val="10"/>
          <w:color w:val="auto"/>
        </w:rPr>
        <w:t>Repaid at acquisition date utilizing $107 million contributed by tax equity investor and $103 million contributed by CEG, both recorded as contributions in noncontrolling interest. Of the $210 million contributed, $176 million was utilized to pay down the acquired debt, $29 million was utilized to fund project reserve accounts and $5 million was utilized to pay associated fees.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8"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i w:val="1"/>
          <w:iCs w:val="1"/>
          <w:color w:val="auto"/>
        </w:rPr>
        <w:t>Dispositions</w:t>
      </w:r>
    </w:p>
    <w:p>
      <w:pPr>
        <w:spacing w:after="0" w:line="136"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b w:val="1"/>
          <w:bCs w:val="1"/>
          <w:i w:val="1"/>
          <w:iCs w:val="1"/>
          <w:color w:val="auto"/>
        </w:rPr>
        <w:t xml:space="preserve">Kawailoa Sale </w:t>
      </w:r>
      <w:r>
        <w:rPr>
          <w:rFonts w:ascii="Arial" w:cs="Arial" w:eastAsia="Arial" w:hAnsi="Arial"/>
          <w:sz w:val="14"/>
          <w:szCs w:val="14"/>
          <w:color w:val="auto"/>
        </w:rPr>
        <w:t>— On August 1, 2022, the Company sold 100% of its Class A membership interests in the Kawailoa Partnership to Clearway Renew LLC for cash proceeds of $9 million, which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equals the Company’s initial investment. The Kawailoa Partnership is a partnership that consolidates, through its 51% controlling majority interest, a lower-level partnership that is 49% owned by a third-party investor, and which consolidates the Kawailoa solar project through its ownership of a controlling interest in the tax equity fund that holds the project, as further described in Note 5, </w:t>
      </w:r>
      <w:r>
        <w:rPr>
          <w:rFonts w:ascii="Arial" w:cs="Arial" w:eastAsia="Arial" w:hAnsi="Arial"/>
          <w:sz w:val="14"/>
          <w:szCs w:val="14"/>
          <w:i w:val="1"/>
          <w:iCs w:val="1"/>
          <w:color w:val="auto"/>
        </w:rPr>
        <w:t>Investments Accounted for by the Equity Method and Variable Interest Entities</w:t>
      </w:r>
      <w:r>
        <w:rPr>
          <w:rFonts w:ascii="Arial" w:cs="Arial" w:eastAsia="Arial" w:hAnsi="Arial"/>
          <w:sz w:val="14"/>
          <w:szCs w:val="14"/>
          <w:color w:val="auto"/>
        </w:rPr>
        <w:t>. The assets and liabilities transferred to Clearway Renew LLC relate to interests under common control and were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transferred at historical cost in accordance with ASC 805-50, </w:t>
      </w:r>
      <w:r>
        <w:rPr>
          <w:rFonts w:ascii="Arial" w:cs="Arial" w:eastAsia="Arial" w:hAnsi="Arial"/>
          <w:sz w:val="14"/>
          <w:szCs w:val="14"/>
          <w:i w:val="1"/>
          <w:iCs w:val="1"/>
          <w:color w:val="auto"/>
        </w:rPr>
        <w:t>Business Combinations - Related Issues</w:t>
      </w:r>
      <w:r>
        <w:rPr>
          <w:rFonts w:ascii="Arial" w:cs="Arial" w:eastAsia="Arial" w:hAnsi="Arial"/>
          <w:sz w:val="14"/>
          <w:szCs w:val="14"/>
          <w:color w:val="auto"/>
        </w:rPr>
        <w:t>. This resulted in the Company removing $69 million from members’ equity, inclusive of the noncontrolling interest related to the Kawailoa Partnership at the time of sale. Noncontrolling interests prior to the sale include the interests of the third-party investor, tax equity investor and Clearway Renew LLC.</w:t>
      </w:r>
    </w:p>
    <w:p>
      <w:pPr>
        <w:spacing w:after="0" w:line="109" w:lineRule="exact"/>
        <w:rPr>
          <w:sz w:val="20"/>
          <w:szCs w:val="20"/>
          <w:color w:val="auto"/>
        </w:rPr>
      </w:pPr>
    </w:p>
    <w:p>
      <w:pPr>
        <w:jc w:val="both"/>
        <w:ind w:firstLine="318"/>
        <w:spacing w:after="0" w:line="256" w:lineRule="auto"/>
        <w:rPr>
          <w:sz w:val="20"/>
          <w:szCs w:val="20"/>
          <w:color w:val="auto"/>
        </w:rPr>
      </w:pPr>
      <w:r>
        <w:rPr>
          <w:rFonts w:ascii="Arial" w:cs="Arial" w:eastAsia="Arial" w:hAnsi="Arial"/>
          <w:sz w:val="14"/>
          <w:szCs w:val="14"/>
          <w:b w:val="1"/>
          <w:bCs w:val="1"/>
          <w:i w:val="1"/>
          <w:iCs w:val="1"/>
          <w:color w:val="auto"/>
        </w:rPr>
        <w:t xml:space="preserve">Thermal Disposition </w:t>
      </w:r>
      <w:r>
        <w:rPr>
          <w:rFonts w:ascii="Arial" w:cs="Arial" w:eastAsia="Arial" w:hAnsi="Arial"/>
          <w:sz w:val="14"/>
          <w:szCs w:val="14"/>
          <w:color w:val="auto"/>
        </w:rPr>
        <w:t>— On May 1, 2022, the Company completed the sale of 100% of its interests in the Thermal Business to KKR for net proceeds of approximately $1.46 billion, inclusive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working capital adjustments, which excludes approximately $18 million in transaction expenses that were incurred in connection with the disposition. The Thermal Disposition resulted in a gain on sale of business of approximately $1.29 billion, which is net of the $18 million in transaction expenses referenced above. The proceeds from the sale were utilized to repay certain borrowings outstanding as further described in Note 10, </w:t>
      </w:r>
      <w:r>
        <w:rPr>
          <w:rFonts w:ascii="Arial" w:cs="Arial" w:eastAsia="Arial" w:hAnsi="Arial"/>
          <w:sz w:val="14"/>
          <w:szCs w:val="14"/>
          <w:i w:val="1"/>
          <w:iCs w:val="1"/>
          <w:color w:val="auto"/>
        </w:rPr>
        <w:t>Long-term Debt</w:t>
      </w:r>
      <w:r>
        <w:rPr>
          <w:rFonts w:ascii="Arial" w:cs="Arial" w:eastAsia="Arial" w:hAnsi="Arial"/>
          <w:sz w:val="14"/>
          <w:szCs w:val="14"/>
          <w:color w:val="auto"/>
        </w:rPr>
        <w:t>, with the remaining proceeds invested in short-term investments classified as cash and cash equivalents on the Company’s consolidated balance sheet as of September 30, 2022. Effective with the approval by the Board of Directors and signing of the agreement to sell the Thermal Business on October 22, 2021, the Company concluded that all entities that are included within the Thermal Business would be treated as held for sale on a prospective basis, thus the assets and liabilities were reported as separate held for sale line items on the Company’s consolidated balance sheet as of December 31, 2021. As of December 31, 2021, property, plant and equipment represented 78% and intangible assets represented 9% of assets classified as held for sale while long-term debt represented 85% of liabilities classified as held for sale. The Company’s Thermal segment is comprised solely of the Thermal Business's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Property, Plant and Equipment</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major classes of property, plant, and equipment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December 31, 2022</w:t>
            </w: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91"/>
              <w:spacing w:after="0"/>
              <w:rPr>
                <w:sz w:val="20"/>
                <w:szCs w:val="20"/>
                <w:color w:val="auto"/>
              </w:rPr>
            </w:pPr>
            <w:r>
              <w:rPr>
                <w:rFonts w:ascii="Arial" w:cs="Arial" w:eastAsia="Arial" w:hAnsi="Arial"/>
                <w:sz w:val="11"/>
                <w:szCs w:val="11"/>
                <w:b w:val="1"/>
                <w:bCs w:val="1"/>
                <w:color w:val="auto"/>
                <w:w w:val="94"/>
              </w:rPr>
              <w:t>December 31, 2021</w:t>
            </w:r>
          </w:p>
        </w:tc>
        <w:tc>
          <w:tcPr>
            <w:tcW w:w="80" w:type="dxa"/>
            <w:vAlign w:val="bottom"/>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Depreciable Lives</w:t>
            </w:r>
          </w:p>
        </w:tc>
      </w:tr>
      <w:tr>
        <w:trPr>
          <w:trHeight w:val="153"/>
        </w:trPr>
        <w:tc>
          <w:tcPr>
            <w:tcW w:w="220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87"/>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Facilities and equipment</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9,747</w:t>
            </w: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3 - 40 Years</w:t>
            </w:r>
          </w:p>
        </w:tc>
      </w:tr>
      <w:tr>
        <w:trPr>
          <w:trHeight w:val="180"/>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Land and improvements</w:t>
            </w:r>
          </w:p>
        </w:tc>
        <w:tc>
          <w:tcPr>
            <w:tcW w:w="2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320</w:t>
            </w: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1"/>
        </w:trPr>
        <w:tc>
          <w:tcPr>
            <w:tcW w:w="624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Construction in progress </w:t>
            </w:r>
            <w:r>
              <w:rPr>
                <w:rFonts w:ascii="Arial" w:cs="Arial" w:eastAsia="Arial" w:hAnsi="Arial"/>
                <w:sz w:val="18"/>
                <w:szCs w:val="18"/>
                <w:color w:val="auto"/>
                <w:vertAlign w:val="superscript"/>
              </w:rPr>
              <w:t>(a)</w:t>
            </w: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71"/>
        </w:trPr>
        <w:tc>
          <w:tcPr>
            <w:tcW w:w="6240" w:type="dxa"/>
            <w:vAlign w:val="bottom"/>
            <w:gridSpan w:val="2"/>
          </w:tcPr>
          <w:p>
            <w:pPr>
              <w:ind w:left="180"/>
              <w:spacing w:after="0"/>
              <w:rPr>
                <w:sz w:val="20"/>
                <w:szCs w:val="20"/>
                <w:color w:val="auto"/>
              </w:rPr>
            </w:pPr>
            <w:r>
              <w:rPr>
                <w:rFonts w:ascii="Arial" w:cs="Arial" w:eastAsia="Arial" w:hAnsi="Arial"/>
                <w:sz w:val="14"/>
                <w:szCs w:val="14"/>
                <w:color w:val="auto"/>
              </w:rPr>
              <w:t>Total property, plant and equipment</w:t>
            </w: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10,445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10,151</w:t>
            </w: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Accumulated depreciation</w:t>
            </w:r>
          </w:p>
        </w:tc>
        <w:tc>
          <w:tcPr>
            <w:tcW w:w="2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(2,501)</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71"/>
        </w:trPr>
        <w:tc>
          <w:tcPr>
            <w:tcW w:w="6240" w:type="dxa"/>
            <w:vAlign w:val="bottom"/>
            <w:gridSpan w:val="2"/>
          </w:tcPr>
          <w:p>
            <w:pPr>
              <w:ind w:left="180"/>
              <w:spacing w:after="0"/>
              <w:rPr>
                <w:sz w:val="20"/>
                <w:szCs w:val="20"/>
                <w:color w:val="auto"/>
              </w:rPr>
            </w:pPr>
            <w:r>
              <w:rPr>
                <w:rFonts w:ascii="Arial" w:cs="Arial" w:eastAsia="Arial" w:hAnsi="Arial"/>
                <w:sz w:val="14"/>
                <w:szCs w:val="14"/>
                <w:color w:val="auto"/>
              </w:rPr>
              <w:t>Net property, plant and equipment</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7,421</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7,650</w:t>
            </w: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0"/>
        </w:trPr>
        <w:tc>
          <w:tcPr>
            <w:tcW w:w="22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20"/>
        </w:trPr>
        <w:tc>
          <w:tcPr>
            <w:tcW w:w="2200" w:type="dxa"/>
            <w:vAlign w:val="bottom"/>
            <w:tcBorders>
              <w:bottom w:val="single" w:sz="8" w:color="auto"/>
            </w:tcBorders>
          </w:tcPr>
          <w:p>
            <w:pPr>
              <w:spacing w:after="0"/>
              <w:rPr>
                <w:sz w:val="10"/>
                <w:szCs w:val="10"/>
                <w:color w:val="auto"/>
              </w:rPr>
            </w:pPr>
          </w:p>
        </w:tc>
        <w:tc>
          <w:tcPr>
            <w:tcW w:w="4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tcPr>
          <w:p>
            <w:pPr>
              <w:spacing w:after="0"/>
              <w:rPr>
                <w:sz w:val="10"/>
                <w:szCs w:val="10"/>
                <w:color w:val="auto"/>
              </w:rPr>
            </w:pPr>
          </w:p>
        </w:tc>
      </w:tr>
    </w:tbl>
    <w:p>
      <w:pPr>
        <w:spacing w:after="0" w:line="73" w:lineRule="exact"/>
        <w:rPr>
          <w:sz w:val="20"/>
          <w:szCs w:val="20"/>
          <w:color w:val="auto"/>
        </w:rPr>
      </w:pPr>
    </w:p>
    <w:p>
      <w:pPr>
        <w:ind w:left="200" w:hanging="131"/>
        <w:spacing w:after="0"/>
        <w:tabs>
          <w:tab w:leader="none" w:pos="200" w:val="left"/>
        </w:tabs>
        <w:numPr>
          <w:ilvl w:val="0"/>
          <w:numId w:val="64"/>
        </w:numPr>
        <w:rPr>
          <w:rFonts w:ascii="Arial" w:cs="Arial" w:eastAsia="Arial" w:hAnsi="Arial"/>
          <w:sz w:val="16"/>
          <w:szCs w:val="16"/>
          <w:color w:val="auto"/>
          <w:vertAlign w:val="superscript"/>
        </w:rPr>
      </w:pPr>
      <w:r>
        <w:rPr>
          <w:rFonts w:ascii="Arial" w:cs="Arial" w:eastAsia="Arial" w:hAnsi="Arial"/>
          <w:sz w:val="11"/>
          <w:szCs w:val="11"/>
          <w:color w:val="auto"/>
        </w:rPr>
        <w:t>As of December 31, 2022 and 2021, construction in progress includes $17 million and $15 million, respectively, of capital expenditures that relate to prepaid long-term service agreements in the Conventional segment.</w:t>
      </w:r>
    </w:p>
    <w:p>
      <w:pPr>
        <w:spacing w:after="0" w:line="125" w:lineRule="exact"/>
        <w:rPr>
          <w:sz w:val="20"/>
          <w:szCs w:val="20"/>
          <w:color w:val="auto"/>
        </w:rPr>
      </w:pPr>
    </w:p>
    <w:p>
      <w:pPr>
        <w:ind w:firstLine="318"/>
        <w:spacing w:after="0" w:line="321" w:lineRule="auto"/>
        <w:rPr>
          <w:sz w:val="20"/>
          <w:szCs w:val="20"/>
          <w:color w:val="auto"/>
        </w:rPr>
      </w:pPr>
      <w:r>
        <w:rPr>
          <w:rFonts w:ascii="Arial" w:cs="Arial" w:eastAsia="Arial" w:hAnsi="Arial"/>
          <w:sz w:val="13"/>
          <w:szCs w:val="13"/>
          <w:color w:val="auto"/>
        </w:rPr>
        <w:t>Depreciation expense related to property, plant and equipment during the years ended December 31, 2022, 2021 and 2020 was $502 million, $499 million and $420 million, respectively. The Company accelerated depreciation of the Pinnacle wind project in connection with the repowering project, which resulted in additional depreciation expense in the amount of $34 million in 2021.</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The Company recorded long-lived asset impairments during each of the years ended December 31, 2022 and December 31, 2021, as further described in Note 9, </w:t>
      </w:r>
      <w:r>
        <w:rPr>
          <w:rFonts w:ascii="Arial" w:cs="Arial" w:eastAsia="Arial" w:hAnsi="Arial"/>
          <w:sz w:val="13"/>
          <w:szCs w:val="13"/>
          <w:i w:val="1"/>
          <w:iCs w:val="1"/>
          <w:color w:val="auto"/>
        </w:rPr>
        <w:t>Asset Impairments.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color w:val="auto"/>
        </w:rPr>
        <w:t>Note 5 — Investments Accounted for by the Equity Method and Variable Interest Entities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Method Investments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maximum exposure to loss as of December 31, 2022 is limited to its equity investment in the unconsolidated entities, as further summarized in the table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40" w:type="dxa"/>
            <w:vAlign w:val="bottom"/>
            <w:gridSpan w:val="2"/>
          </w:tcPr>
          <w:p>
            <w:pPr>
              <w:ind w:left="2980"/>
              <w:spacing w:after="0"/>
              <w:rPr>
                <w:sz w:val="20"/>
                <w:szCs w:val="20"/>
                <w:color w:val="auto"/>
              </w:rPr>
            </w:pPr>
            <w:r>
              <w:rPr>
                <w:rFonts w:ascii="Arial" w:cs="Arial" w:eastAsia="Arial" w:hAnsi="Arial"/>
                <w:sz w:val="13"/>
                <w:szCs w:val="13"/>
                <w:b w:val="1"/>
                <w:bCs w:val="1"/>
                <w:color w:val="auto"/>
              </w:rPr>
              <w:t>Name</w:t>
            </w:r>
          </w:p>
        </w:tc>
        <w:tc>
          <w:tcPr>
            <w:tcW w:w="2520" w:type="dxa"/>
            <w:vAlign w:val="bottom"/>
            <w:gridSpan w:val="2"/>
          </w:tcPr>
          <w:p>
            <w:pPr>
              <w:ind w:left="720"/>
              <w:spacing w:after="0"/>
              <w:rPr>
                <w:sz w:val="20"/>
                <w:szCs w:val="20"/>
                <w:color w:val="auto"/>
              </w:rPr>
            </w:pPr>
            <w:r>
              <w:rPr>
                <w:rFonts w:ascii="Arial" w:cs="Arial" w:eastAsia="Arial" w:hAnsi="Arial"/>
                <w:sz w:val="13"/>
                <w:szCs w:val="13"/>
                <w:b w:val="1"/>
                <w:bCs w:val="1"/>
                <w:color w:val="auto"/>
              </w:rPr>
              <w:t>Economic Interest</w:t>
            </w:r>
          </w:p>
        </w:tc>
        <w:tc>
          <w:tcPr>
            <w:tcW w:w="380" w:type="dxa"/>
            <w:vAlign w:val="bottom"/>
          </w:tcPr>
          <w:p>
            <w:pPr>
              <w:spacing w:after="0"/>
              <w:rPr>
                <w:sz w:val="14"/>
                <w:szCs w:val="14"/>
                <w:color w:val="auto"/>
              </w:rPr>
            </w:pPr>
          </w:p>
        </w:tc>
        <w:tc>
          <w:tcPr>
            <w:tcW w:w="2040" w:type="dxa"/>
            <w:vAlign w:val="bottom"/>
          </w:tcPr>
          <w:p>
            <w:pPr>
              <w:jc w:val="right"/>
              <w:ind w:right="611"/>
              <w:spacing w:after="0"/>
              <w:rPr>
                <w:sz w:val="20"/>
                <w:szCs w:val="20"/>
                <w:color w:val="auto"/>
              </w:rPr>
            </w:pPr>
            <w:r>
              <w:rPr>
                <w:rFonts w:ascii="Arial" w:cs="Arial" w:eastAsia="Arial" w:hAnsi="Arial"/>
                <w:sz w:val="13"/>
                <w:szCs w:val="13"/>
                <w:b w:val="1"/>
                <w:bCs w:val="1"/>
                <w:color w:val="auto"/>
              </w:rPr>
              <w:t>Investment Balance</w:t>
            </w:r>
          </w:p>
        </w:tc>
      </w:tr>
      <w:tr>
        <w:trPr>
          <w:trHeight w:val="160"/>
        </w:trPr>
        <w:tc>
          <w:tcPr>
            <w:tcW w:w="6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jc w:val="right"/>
              <w:ind w:right="811"/>
              <w:spacing w:after="0"/>
              <w:rPr>
                <w:sz w:val="20"/>
                <w:szCs w:val="20"/>
                <w:color w:val="auto"/>
              </w:rPr>
            </w:pPr>
            <w:r>
              <w:rPr>
                <w:rFonts w:ascii="Arial" w:cs="Arial" w:eastAsia="Arial" w:hAnsi="Arial"/>
                <w:sz w:val="13"/>
                <w:szCs w:val="13"/>
                <w:b w:val="1"/>
                <w:bCs w:val="1"/>
                <w:color w:val="auto"/>
              </w:rPr>
              <w:t>(In millions)</w:t>
            </w:r>
          </w:p>
        </w:tc>
      </w:tr>
      <w:tr>
        <w:trPr>
          <w:trHeight w:val="183"/>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Avenal</w:t>
            </w: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0"/>
        </w:trPr>
        <w:tc>
          <w:tcPr>
            <w:tcW w:w="6340" w:type="dxa"/>
            <w:vAlign w:val="bottom"/>
            <w:gridSpan w:val="2"/>
          </w:tcPr>
          <w:p>
            <w:pPr>
              <w:ind w:left="120"/>
              <w:spacing w:after="0"/>
              <w:rPr>
                <w:sz w:val="20"/>
                <w:szCs w:val="20"/>
                <w:color w:val="auto"/>
              </w:rPr>
            </w:pPr>
            <w:r>
              <w:rPr>
                <w:rFonts w:ascii="Arial" w:cs="Arial" w:eastAsia="Arial" w:hAnsi="Arial"/>
                <w:sz w:val="14"/>
                <w:szCs w:val="14"/>
                <w:color w:val="auto"/>
              </w:rPr>
              <w:t>Desert Sunlight</w:t>
            </w:r>
          </w:p>
        </w:tc>
        <w:tc>
          <w:tcPr>
            <w:tcW w:w="242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181"/>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Elkhorn Ridge</w:t>
            </w: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66.7%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80"/>
        </w:trPr>
        <w:tc>
          <w:tcPr>
            <w:tcW w:w="6340" w:type="dxa"/>
            <w:vAlign w:val="bottom"/>
            <w:gridSpan w:val="2"/>
          </w:tcPr>
          <w:p>
            <w:pPr>
              <w:ind w:left="120"/>
              <w:spacing w:after="0" w:line="181" w:lineRule="exact"/>
              <w:rPr>
                <w:sz w:val="20"/>
                <w:szCs w:val="20"/>
                <w:color w:val="auto"/>
              </w:rPr>
            </w:pPr>
            <w:r>
              <w:rPr>
                <w:rFonts w:ascii="Arial" w:cs="Arial" w:eastAsia="Arial" w:hAnsi="Arial"/>
                <w:sz w:val="14"/>
                <w:szCs w:val="14"/>
                <w:color w:val="auto"/>
              </w:rPr>
              <w:t xml:space="preserve">GenConn </w:t>
            </w:r>
            <w:r>
              <w:rPr>
                <w:rFonts w:ascii="Arial" w:cs="Arial" w:eastAsia="Arial" w:hAnsi="Arial"/>
                <w:sz w:val="18"/>
                <w:szCs w:val="18"/>
                <w:color w:val="auto"/>
                <w:vertAlign w:val="superscript"/>
              </w:rPr>
              <w:t>(a)</w:t>
            </w:r>
          </w:p>
        </w:tc>
        <w:tc>
          <w:tcPr>
            <w:tcW w:w="2420" w:type="dxa"/>
            <w:vAlign w:val="bottom"/>
          </w:tcPr>
          <w:p>
            <w:pPr>
              <w:jc w:val="center"/>
              <w:spacing w:after="0"/>
              <w:rPr>
                <w:sz w:val="20"/>
                <w:szCs w:val="20"/>
                <w:color w:val="auto"/>
              </w:rPr>
            </w:pPr>
            <w:r>
              <w:rPr>
                <w:rFonts w:ascii="Arial" w:cs="Arial" w:eastAsia="Arial" w:hAnsi="Arial"/>
                <w:sz w:val="14"/>
                <w:szCs w:val="14"/>
                <w:color w:val="auto"/>
                <w:w w:val="92"/>
              </w:rPr>
              <w:t>50%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80"/>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San Juan Mesa</w:t>
            </w: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71"/>
        </w:trPr>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r>
      <w:tr>
        <w:trPr>
          <w:trHeight w:val="20"/>
        </w:trPr>
        <w:tc>
          <w:tcPr>
            <w:tcW w:w="6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60"/>
        <w:spacing w:after="0"/>
        <w:rPr>
          <w:sz w:val="20"/>
          <w:szCs w:val="20"/>
          <w:color w:val="auto"/>
        </w:rPr>
      </w:pPr>
      <w:r>
        <w:rPr>
          <w:rFonts w:ascii="Arial" w:cs="Arial" w:eastAsia="Arial" w:hAnsi="Arial"/>
          <w:sz w:val="18"/>
          <w:szCs w:val="18"/>
          <w:color w:val="auto"/>
          <w:vertAlign w:val="superscript"/>
        </w:rPr>
        <w:t>(a)</w:t>
      </w:r>
      <w:r>
        <w:rPr>
          <w:rFonts w:ascii="Arial" w:cs="Arial" w:eastAsia="Arial" w:hAnsi="Arial"/>
          <w:sz w:val="13"/>
          <w:szCs w:val="13"/>
          <w:color w:val="auto"/>
        </w:rPr>
        <w:t xml:space="preserve"> GenConn is a variable interest entity.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December 31, 2022 and 2021, the Company had $19 million and $14 million, respectively, of undistributed earnings from its equity method investments.</w:t>
      </w:r>
    </w:p>
    <w:p>
      <w:pPr>
        <w:spacing w:after="0" w:line="136" w:lineRule="exact"/>
        <w:rPr>
          <w:sz w:val="20"/>
          <w:szCs w:val="20"/>
          <w:color w:val="auto"/>
        </w:rPr>
      </w:pPr>
    </w:p>
    <w:p>
      <w:pPr>
        <w:jc w:val="both"/>
        <w:ind w:firstLine="318"/>
        <w:spacing w:after="0" w:line="331" w:lineRule="auto"/>
        <w:rPr>
          <w:sz w:val="20"/>
          <w:szCs w:val="20"/>
          <w:color w:val="auto"/>
        </w:rPr>
      </w:pPr>
      <w:r>
        <w:rPr>
          <w:rFonts w:ascii="Arial" w:cs="Arial" w:eastAsia="Arial" w:hAnsi="Arial"/>
          <w:sz w:val="12"/>
          <w:szCs w:val="12"/>
          <w:color w:val="auto"/>
        </w:rPr>
        <w:t>The Company acquired its interest in Desert Sunlight on June 30, 2015, for $285 million, which resulted in a difference between the purchase price and the basis of the acquired assets and liabilities of $181 million. The difference is attributable to the fair value of the property, plant and equipment and power purchase agreements. The Company is amortizing the related basis differences to equity in earnings of unconsolidated subsidiaries over the related useful life of the underlying assets acquired. As of December 31, 2022, the carrying value of the basis difference is $129 million.</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pro-rata share of non-recourse debt held by unconsolidated affiliates was $325 million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106" w:name="page107"/>
    <w:bookmarkEnd w:id="106"/>
    <w:p>
      <w:pPr>
        <w:ind w:left="320"/>
        <w:spacing w:after="0"/>
        <w:rPr>
          <w:sz w:val="20"/>
          <w:szCs w:val="20"/>
          <w:color w:val="auto"/>
        </w:rPr>
      </w:pPr>
      <w:r>
        <w:rPr>
          <w:rFonts w:ascii="Arial" w:cs="Arial" w:eastAsia="Arial" w:hAnsi="Arial"/>
          <w:sz w:val="14"/>
          <w:szCs w:val="14"/>
          <w:color w:val="auto"/>
        </w:rPr>
        <w:t>The following tables present summarized financial information for the Company’s equity method investments: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93"/>
              </w:rPr>
              <w:t>Year Ended December 31,</w:t>
            </w: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0"/>
        </w:trPr>
        <w:tc>
          <w:tcPr>
            <w:tcW w:w="6500" w:type="dxa"/>
            <w:vAlign w:val="bottom"/>
          </w:tcPr>
          <w:p>
            <w:pPr>
              <w:spacing w:after="0"/>
              <w:rPr>
                <w:sz w:val="13"/>
                <w:szCs w:val="13"/>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89"/>
              </w:rPr>
              <w:t>2021</w:t>
            </w: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2020</w:t>
            </w:r>
          </w:p>
        </w:tc>
      </w:tr>
      <w:tr>
        <w:trPr>
          <w:trHeight w:val="163"/>
        </w:trPr>
        <w:tc>
          <w:tcPr>
            <w:tcW w:w="6500" w:type="dxa"/>
            <w:vAlign w:val="bottom"/>
          </w:tcPr>
          <w:p>
            <w:pPr>
              <w:ind w:left="20"/>
              <w:spacing w:after="0"/>
              <w:rPr>
                <w:sz w:val="20"/>
                <w:szCs w:val="20"/>
                <w:color w:val="auto"/>
              </w:rPr>
            </w:pPr>
            <w:r>
              <w:rPr>
                <w:rFonts w:ascii="Arial" w:cs="Arial" w:eastAsia="Arial" w:hAnsi="Arial"/>
                <w:sz w:val="13"/>
                <w:szCs w:val="13"/>
                <w:b w:val="1"/>
                <w:bCs w:val="1"/>
                <w:color w:val="auto"/>
              </w:rPr>
              <w:t>Income Statement Data:</w:t>
            </w: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58"/>
              <w:spacing w:after="0"/>
              <w:rPr>
                <w:sz w:val="20"/>
                <w:szCs w:val="20"/>
                <w:color w:val="auto"/>
              </w:rPr>
            </w:pPr>
            <w:r>
              <w:rPr>
                <w:rFonts w:ascii="Arial" w:cs="Arial" w:eastAsia="Arial" w:hAnsi="Arial"/>
                <w:sz w:val="11"/>
                <w:szCs w:val="11"/>
                <w:b w:val="1"/>
                <w:bCs w:val="1"/>
                <w:color w:val="auto"/>
                <w:w w:val="97"/>
              </w:rPr>
              <w:t>(In millions)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7"/>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GenConn</w:t>
            </w: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78"/>
        </w:trPr>
        <w:tc>
          <w:tcPr>
            <w:tcW w:w="6500" w:type="dxa"/>
            <w:vAlign w:val="bottom"/>
          </w:tcPr>
          <w:p>
            <w:pPr>
              <w:ind w:left="20"/>
              <w:spacing w:after="0"/>
              <w:rPr>
                <w:sz w:val="20"/>
                <w:szCs w:val="20"/>
                <w:color w:val="auto"/>
              </w:rPr>
            </w:pPr>
            <w:r>
              <w:rPr>
                <w:rFonts w:ascii="Arial" w:cs="Arial" w:eastAsia="Arial" w:hAnsi="Arial"/>
                <w:sz w:val="13"/>
                <w:szCs w:val="13"/>
                <w:color w:val="auto"/>
              </w:rPr>
              <w:t>Operating revenues</w:t>
            </w:r>
          </w:p>
        </w:tc>
        <w:tc>
          <w:tcPr>
            <w:tcW w:w="1080" w:type="dxa"/>
            <w:vAlign w:val="bottom"/>
          </w:tcPr>
          <w:p>
            <w:pPr>
              <w:jc w:val="right"/>
              <w:ind w:right="94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ind w:right="18"/>
              <w:spacing w:after="0"/>
              <w:rPr>
                <w:sz w:val="20"/>
                <w:szCs w:val="20"/>
                <w:color w:val="auto"/>
              </w:rPr>
            </w:pPr>
            <w:r>
              <w:rPr>
                <w:rFonts w:ascii="Arial" w:cs="Arial" w:eastAsia="Arial" w:hAnsi="Arial"/>
                <w:sz w:val="13"/>
                <w:szCs w:val="13"/>
                <w:color w:val="auto"/>
              </w:rPr>
              <w:t>55</w:t>
            </w:r>
          </w:p>
        </w:tc>
        <w:tc>
          <w:tcPr>
            <w:tcW w:w="620" w:type="dxa"/>
            <w:vAlign w:val="bottom"/>
          </w:tcPr>
          <w:p>
            <w:pPr>
              <w:jc w:val="right"/>
              <w:ind w:right="39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83"/>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22</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78"/>
        </w:trPr>
        <w:tc>
          <w:tcPr>
            <w:tcW w:w="65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8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Arial" w:cs="Arial" w:eastAsia="Arial" w:hAnsi="Arial"/>
                <w:sz w:val="13"/>
                <w:szCs w:val="13"/>
                <w:color w:val="auto"/>
              </w:rPr>
              <w:t>13</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83"/>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Desert Sunlight</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8"/>
        </w:trPr>
        <w:tc>
          <w:tcPr>
            <w:tcW w:w="6500" w:type="dxa"/>
            <w:vAlign w:val="bottom"/>
          </w:tcPr>
          <w:p>
            <w:pPr>
              <w:ind w:left="20"/>
              <w:spacing w:after="0"/>
              <w:rPr>
                <w:sz w:val="20"/>
                <w:szCs w:val="20"/>
                <w:color w:val="auto"/>
              </w:rPr>
            </w:pPr>
            <w:r>
              <w:rPr>
                <w:rFonts w:ascii="Arial" w:cs="Arial" w:eastAsia="Arial" w:hAnsi="Arial"/>
                <w:sz w:val="13"/>
                <w:szCs w:val="13"/>
                <w:color w:val="auto"/>
              </w:rPr>
              <w:t>Operating revenues</w:t>
            </w:r>
          </w:p>
        </w:tc>
        <w:tc>
          <w:tcPr>
            <w:tcW w:w="108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Arial" w:cs="Arial" w:eastAsia="Arial" w:hAnsi="Arial"/>
                <w:sz w:val="13"/>
                <w:szCs w:val="13"/>
                <w:color w:val="auto"/>
              </w:rPr>
              <w:t>205</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209</w:t>
            </w:r>
          </w:p>
        </w:tc>
      </w:tr>
      <w:tr>
        <w:trPr>
          <w:trHeight w:val="183"/>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income</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146</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r>
      <w:tr>
        <w:trPr>
          <w:trHeight w:val="178"/>
        </w:trPr>
        <w:tc>
          <w:tcPr>
            <w:tcW w:w="65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8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Arial" w:cs="Arial" w:eastAsia="Arial" w:hAnsi="Arial"/>
                <w:sz w:val="13"/>
                <w:szCs w:val="13"/>
                <w:color w:val="auto"/>
              </w:rPr>
              <w:t>112</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88</w:t>
            </w:r>
          </w:p>
        </w:tc>
      </w:tr>
      <w:tr>
        <w:trPr>
          <w:trHeight w:val="172"/>
        </w:trPr>
        <w:tc>
          <w:tcPr>
            <w:tcW w:w="6500" w:type="dxa"/>
            <w:vAlign w:val="bottom"/>
            <w:shd w:val="clear" w:color="auto" w:fill="CCEEFF"/>
          </w:tcPr>
          <w:p>
            <w:pPr>
              <w:ind w:left="20"/>
              <w:spacing w:after="0" w:line="172" w:lineRule="exact"/>
              <w:rPr>
                <w:sz w:val="20"/>
                <w:szCs w:val="20"/>
                <w:color w:val="auto"/>
              </w:rPr>
            </w:pPr>
            <w:r>
              <w:rPr>
                <w:rFonts w:ascii="Arial" w:cs="Arial" w:eastAsia="Arial" w:hAnsi="Arial"/>
                <w:sz w:val="19"/>
                <w:szCs w:val="19"/>
                <w:b w:val="1"/>
                <w:bCs w:val="1"/>
                <w:color w:val="auto"/>
                <w:vertAlign w:val="subscript"/>
              </w:rPr>
              <w:t>Other</w:t>
            </w:r>
            <w:r>
              <w:rPr>
                <w:rFonts w:ascii="Arial" w:cs="Arial" w:eastAsia="Arial" w:hAnsi="Arial"/>
                <w:sz w:val="7"/>
                <w:szCs w:val="7"/>
                <w:b w:val="1"/>
                <w:bCs w:val="1"/>
                <w:color w:val="auto"/>
              </w:rPr>
              <w:t xml:space="preserve"> (a) (b)</w:t>
            </w: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6500" w:type="dxa"/>
            <w:vAlign w:val="bottom"/>
          </w:tcPr>
          <w:p>
            <w:pPr>
              <w:ind w:left="20"/>
              <w:spacing w:after="0"/>
              <w:rPr>
                <w:sz w:val="20"/>
                <w:szCs w:val="20"/>
                <w:color w:val="auto"/>
              </w:rPr>
            </w:pPr>
            <w:r>
              <w:rPr>
                <w:rFonts w:ascii="Arial" w:cs="Arial" w:eastAsia="Arial" w:hAnsi="Arial"/>
                <w:sz w:val="14"/>
                <w:szCs w:val="14"/>
                <w:color w:val="auto"/>
              </w:rPr>
              <w:t>Operating revenues</w:t>
            </w:r>
          </w:p>
        </w:tc>
        <w:tc>
          <w:tcPr>
            <w:tcW w:w="108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Arial" w:cs="Arial" w:eastAsia="Arial" w:hAnsi="Arial"/>
                <w:sz w:val="13"/>
                <w:szCs w:val="13"/>
                <w:color w:val="auto"/>
              </w:rPr>
              <w:t>49</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299</w:t>
            </w:r>
          </w:p>
        </w:tc>
      </w:tr>
      <w:tr>
        <w:trPr>
          <w:trHeight w:val="181"/>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16</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r>
      <w:tr>
        <w:trPr>
          <w:trHeight w:val="180"/>
        </w:trPr>
        <w:tc>
          <w:tcPr>
            <w:tcW w:w="6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8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Arial" w:cs="Arial" w:eastAsia="Arial" w:hAnsi="Arial"/>
                <w:sz w:val="13"/>
                <w:szCs w:val="13"/>
                <w:color w:val="auto"/>
              </w:rPr>
              <w:t>13</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85"/>
        </w:trPr>
        <w:tc>
          <w:tcPr>
            <w:tcW w:w="65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60" w:type="dxa"/>
            <w:vAlign w:val="bottom"/>
            <w:gridSpan w:val="2"/>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r>
      <w:tr>
        <w:trPr>
          <w:trHeight w:val="153"/>
        </w:trPr>
        <w:tc>
          <w:tcPr>
            <w:tcW w:w="6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1"/>
                <w:szCs w:val="11"/>
                <w:b w:val="1"/>
                <w:bCs w:val="1"/>
                <w:color w:val="auto"/>
              </w:rPr>
              <w:t>As of December 31,</w:t>
            </w:r>
          </w:p>
        </w:tc>
        <w:tc>
          <w:tcPr>
            <w:tcW w:w="980" w:type="dxa"/>
            <w:vAlign w:val="bottom"/>
            <w:tcBorders>
              <w:bottom w:val="single" w:sz="8" w:color="auto"/>
            </w:tcBorders>
          </w:tcPr>
          <w:p>
            <w:pPr>
              <w:spacing w:after="0"/>
              <w:rPr>
                <w:sz w:val="13"/>
                <w:szCs w:val="13"/>
                <w:color w:val="auto"/>
              </w:rPr>
            </w:pPr>
          </w:p>
        </w:tc>
      </w:tr>
      <w:tr>
        <w:trPr>
          <w:trHeight w:val="147"/>
        </w:trPr>
        <w:tc>
          <w:tcPr>
            <w:tcW w:w="6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89"/>
              </w:rPr>
              <w:t>2022</w:t>
            </w:r>
          </w:p>
        </w:tc>
        <w:tc>
          <w:tcPr>
            <w:tcW w:w="6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2021</w:t>
            </w:r>
          </w:p>
        </w:tc>
      </w:tr>
      <w:tr>
        <w:trPr>
          <w:trHeight w:val="163"/>
        </w:trPr>
        <w:tc>
          <w:tcPr>
            <w:tcW w:w="6500" w:type="dxa"/>
            <w:vAlign w:val="bottom"/>
          </w:tcPr>
          <w:p>
            <w:pPr>
              <w:ind w:left="20"/>
              <w:spacing w:after="0"/>
              <w:rPr>
                <w:sz w:val="20"/>
                <w:szCs w:val="20"/>
                <w:color w:val="auto"/>
              </w:rPr>
            </w:pPr>
            <w:r>
              <w:rPr>
                <w:rFonts w:ascii="Arial" w:cs="Arial" w:eastAsia="Arial" w:hAnsi="Arial"/>
                <w:sz w:val="13"/>
                <w:szCs w:val="13"/>
                <w:b w:val="1"/>
                <w:bCs w:val="1"/>
                <w:color w:val="auto"/>
              </w:rPr>
              <w:t>Balance Sheet Data:</w:t>
            </w: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right"/>
              <w:ind w:right="236"/>
              <w:spacing w:after="0"/>
              <w:rPr>
                <w:sz w:val="20"/>
                <w:szCs w:val="20"/>
                <w:color w:val="auto"/>
              </w:rPr>
            </w:pPr>
            <w:r>
              <w:rPr>
                <w:rFonts w:ascii="Arial" w:cs="Arial" w:eastAsia="Arial" w:hAnsi="Arial"/>
                <w:sz w:val="11"/>
                <w:szCs w:val="11"/>
                <w:b w:val="1"/>
                <w:bCs w:val="1"/>
                <w:color w:val="auto"/>
              </w:rPr>
              <w:t>(In millions)</w:t>
            </w:r>
          </w:p>
        </w:tc>
        <w:tc>
          <w:tcPr>
            <w:tcW w:w="980" w:type="dxa"/>
            <w:vAlign w:val="bottom"/>
          </w:tcPr>
          <w:p>
            <w:pPr>
              <w:spacing w:after="0"/>
              <w:rPr>
                <w:sz w:val="14"/>
                <w:szCs w:val="14"/>
                <w:color w:val="auto"/>
              </w:rPr>
            </w:pPr>
          </w:p>
        </w:tc>
      </w:tr>
      <w:tr>
        <w:trPr>
          <w:trHeight w:val="187"/>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GenConn</w:t>
            </w:r>
          </w:p>
        </w:tc>
        <w:tc>
          <w:tcPr>
            <w:tcW w:w="10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78"/>
        </w:trPr>
        <w:tc>
          <w:tcPr>
            <w:tcW w:w="65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ind w:right="18"/>
              <w:spacing w:after="0"/>
              <w:rPr>
                <w:sz w:val="20"/>
                <w:szCs w:val="20"/>
                <w:color w:val="auto"/>
              </w:rPr>
            </w:pPr>
            <w:r>
              <w:rPr>
                <w:rFonts w:ascii="Arial" w:cs="Arial" w:eastAsia="Arial" w:hAnsi="Arial"/>
                <w:sz w:val="13"/>
                <w:szCs w:val="13"/>
                <w:color w:val="auto"/>
              </w:rPr>
              <w:t>39</w:t>
            </w:r>
          </w:p>
        </w:tc>
        <w:tc>
          <w:tcPr>
            <w:tcW w:w="620" w:type="dxa"/>
            <w:vAlign w:val="bottom"/>
          </w:tcPr>
          <w:p>
            <w:pPr>
              <w:jc w:val="right"/>
              <w:ind w:right="39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83"/>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assets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312</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r>
      <w:tr>
        <w:trPr>
          <w:trHeight w:val="178"/>
        </w:trPr>
        <w:tc>
          <w:tcPr>
            <w:tcW w:w="650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Arial" w:cs="Arial" w:eastAsia="Arial" w:hAnsi="Arial"/>
                <w:sz w:val="13"/>
                <w:szCs w:val="13"/>
                <w:color w:val="auto"/>
              </w:rPr>
              <w:t>16</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83"/>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liabilities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170</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r>
      <w:tr>
        <w:trPr>
          <w:trHeight w:val="177"/>
        </w:trPr>
        <w:tc>
          <w:tcPr>
            <w:tcW w:w="6500" w:type="dxa"/>
            <w:vAlign w:val="bottom"/>
          </w:tcPr>
          <w:p>
            <w:pPr>
              <w:ind w:left="20"/>
              <w:spacing w:after="0"/>
              <w:rPr>
                <w:sz w:val="20"/>
                <w:szCs w:val="20"/>
                <w:color w:val="auto"/>
              </w:rPr>
            </w:pPr>
            <w:r>
              <w:rPr>
                <w:rFonts w:ascii="Arial" w:cs="Arial" w:eastAsia="Arial" w:hAnsi="Arial"/>
                <w:sz w:val="13"/>
                <w:szCs w:val="13"/>
                <w:b w:val="1"/>
                <w:bCs w:val="1"/>
                <w:color w:val="auto"/>
              </w:rPr>
              <w:t>Desert Sunlight</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4"/>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assets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79</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r>
      <w:tr>
        <w:trPr>
          <w:trHeight w:val="178"/>
        </w:trPr>
        <w:tc>
          <w:tcPr>
            <w:tcW w:w="6500" w:type="dxa"/>
            <w:vAlign w:val="bottom"/>
          </w:tcPr>
          <w:p>
            <w:pPr>
              <w:ind w:left="20"/>
              <w:spacing w:after="0"/>
              <w:rPr>
                <w:sz w:val="20"/>
                <w:szCs w:val="20"/>
                <w:color w:val="auto"/>
              </w:rPr>
            </w:pPr>
            <w:r>
              <w:rPr>
                <w:rFonts w:ascii="Arial" w:cs="Arial" w:eastAsia="Arial" w:hAnsi="Arial"/>
                <w:sz w:val="13"/>
                <w:szCs w:val="13"/>
                <w:color w:val="auto"/>
              </w:rPr>
              <w:t>Non-current assets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Arial" w:cs="Arial" w:eastAsia="Arial" w:hAnsi="Arial"/>
                <w:sz w:val="13"/>
                <w:szCs w:val="13"/>
                <w:color w:val="auto"/>
              </w:rPr>
              <w:t>1,175</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1,228</w:t>
            </w:r>
          </w:p>
        </w:tc>
      </w:tr>
      <w:tr>
        <w:trPr>
          <w:trHeight w:val="183"/>
        </w:trPr>
        <w:tc>
          <w:tcPr>
            <w:tcW w:w="6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61</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r>
      <w:tr>
        <w:trPr>
          <w:trHeight w:val="178"/>
        </w:trPr>
        <w:tc>
          <w:tcPr>
            <w:tcW w:w="6500" w:type="dxa"/>
            <w:vAlign w:val="bottom"/>
          </w:tcPr>
          <w:p>
            <w:pPr>
              <w:ind w:left="20"/>
              <w:spacing w:after="0"/>
              <w:rPr>
                <w:sz w:val="20"/>
                <w:szCs w:val="20"/>
                <w:color w:val="auto"/>
              </w:rPr>
            </w:pPr>
            <w:r>
              <w:rPr>
                <w:rFonts w:ascii="Arial" w:cs="Arial" w:eastAsia="Arial" w:hAnsi="Arial"/>
                <w:sz w:val="13"/>
                <w:szCs w:val="13"/>
                <w:color w:val="auto"/>
              </w:rPr>
              <w:t>Non-current liabilities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Arial" w:cs="Arial" w:eastAsia="Arial" w:hAnsi="Arial"/>
                <w:sz w:val="13"/>
                <w:szCs w:val="13"/>
                <w:color w:val="auto"/>
              </w:rPr>
              <w:t>824</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904</w:t>
            </w:r>
          </w:p>
        </w:tc>
      </w:tr>
      <w:tr>
        <w:trPr>
          <w:trHeight w:val="172"/>
        </w:trPr>
        <w:tc>
          <w:tcPr>
            <w:tcW w:w="650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b w:val="1"/>
                <w:bCs w:val="1"/>
                <w:color w:val="auto"/>
              </w:rPr>
              <w:t xml:space="preserve">Other </w:t>
            </w:r>
            <w:r>
              <w:rPr>
                <w:rFonts w:ascii="Arial" w:cs="Arial" w:eastAsia="Arial" w:hAnsi="Arial"/>
                <w:sz w:val="16"/>
                <w:szCs w:val="16"/>
                <w:b w:val="1"/>
                <w:bCs w:val="1"/>
                <w:color w:val="auto"/>
                <w:vertAlign w:val="superscript"/>
              </w:rPr>
              <w:t>(a)</w:t>
            </w:r>
          </w:p>
        </w:tc>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65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Arial" w:cs="Arial" w:eastAsia="Arial" w:hAnsi="Arial"/>
                <w:sz w:val="13"/>
                <w:szCs w:val="13"/>
                <w:color w:val="auto"/>
              </w:rPr>
              <w:t>22</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81"/>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assets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157</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r>
      <w:tr>
        <w:trPr>
          <w:trHeight w:val="180"/>
        </w:trPr>
        <w:tc>
          <w:tcPr>
            <w:tcW w:w="65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ind w:right="18"/>
              <w:spacing w:after="0"/>
              <w:rPr>
                <w:sz w:val="20"/>
                <w:szCs w:val="20"/>
                <w:color w:val="auto"/>
              </w:rPr>
            </w:pPr>
            <w:r>
              <w:rPr>
                <w:rFonts w:ascii="Arial" w:cs="Arial" w:eastAsia="Arial" w:hAnsi="Arial"/>
                <w:sz w:val="13"/>
                <w:szCs w:val="13"/>
                <w:color w:val="auto"/>
              </w:rPr>
              <w:t>12</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81"/>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liabilities</w:t>
            </w:r>
          </w:p>
        </w:tc>
        <w:tc>
          <w:tcPr>
            <w:tcW w:w="10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91</w:t>
            </w:r>
          </w:p>
        </w:tc>
        <w:tc>
          <w:tcPr>
            <w:tcW w:w="6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297116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71165" cy="6985"/>
                    </a:xfrm>
                    <a:prstGeom prst="rect">
                      <a:avLst/>
                    </a:prstGeom>
                    <a:noFill/>
                  </pic:spPr>
                </pic:pic>
              </a:graphicData>
            </a:graphic>
          </wp:anchor>
        </w:drawing>
      </w:r>
    </w:p>
    <w:p>
      <w:pPr>
        <w:spacing w:after="0" w:line="177" w:lineRule="exact"/>
        <w:rPr>
          <w:sz w:val="20"/>
          <w:szCs w:val="20"/>
          <w:color w:val="auto"/>
        </w:rPr>
      </w:pPr>
    </w:p>
    <w:p>
      <w:pPr>
        <w:ind w:left="60" w:firstLine="9"/>
        <w:spacing w:after="0" w:line="271" w:lineRule="auto"/>
        <w:tabs>
          <w:tab w:leader="none" w:pos="180" w:val="left"/>
        </w:tabs>
        <w:numPr>
          <w:ilvl w:val="0"/>
          <w:numId w:val="65"/>
        </w:numPr>
        <w:rPr>
          <w:rFonts w:ascii="Arial" w:cs="Arial" w:eastAsia="Arial" w:hAnsi="Arial"/>
          <w:sz w:val="13"/>
          <w:szCs w:val="13"/>
          <w:color w:val="auto"/>
          <w:vertAlign w:val="superscript"/>
        </w:rPr>
      </w:pPr>
      <w:r>
        <w:rPr>
          <w:rFonts w:ascii="Arial" w:cs="Arial" w:eastAsia="Arial" w:hAnsi="Arial"/>
          <w:sz w:val="9"/>
          <w:szCs w:val="9"/>
          <w:color w:val="auto"/>
        </w:rPr>
        <w:t>Includes Avenal, Elkhorn Ridge, San Juan Mesa, DGPV Holdco 1, DGPV Holdco 2 and DGPV Holdco 3. DGPV Holdco 1, DGPV Holdco 2 and DGPV Holdco 3 were consolidated by the Company during 2020 and are therefore only included in the summarized income statement data for the year ended December 31, 2020.</w:t>
      </w:r>
    </w:p>
    <w:p>
      <w:pPr>
        <w:spacing w:after="0" w:line="32" w:lineRule="exact"/>
        <w:rPr>
          <w:rFonts w:ascii="Arial" w:cs="Arial" w:eastAsia="Arial" w:hAnsi="Arial"/>
          <w:sz w:val="13"/>
          <w:szCs w:val="13"/>
          <w:color w:val="auto"/>
          <w:vertAlign w:val="superscript"/>
        </w:rPr>
      </w:pPr>
    </w:p>
    <w:p>
      <w:pPr>
        <w:jc w:val="both"/>
        <w:ind w:left="60" w:firstLine="9"/>
        <w:spacing w:after="0" w:line="276" w:lineRule="auto"/>
        <w:tabs>
          <w:tab w:leader="none" w:pos="190" w:val="left"/>
        </w:tabs>
        <w:numPr>
          <w:ilvl w:val="0"/>
          <w:numId w:val="65"/>
        </w:numPr>
        <w:rPr>
          <w:rFonts w:ascii="Arial" w:cs="Arial" w:eastAsia="Arial" w:hAnsi="Arial"/>
          <w:sz w:val="14"/>
          <w:szCs w:val="14"/>
          <w:color w:val="auto"/>
          <w:vertAlign w:val="superscript"/>
        </w:rPr>
      </w:pPr>
      <w:r>
        <w:rPr>
          <w:rFonts w:ascii="Arial" w:cs="Arial" w:eastAsia="Arial" w:hAnsi="Arial"/>
          <w:sz w:val="9"/>
          <w:szCs w:val="9"/>
          <w:color w:val="auto"/>
        </w:rPr>
        <w:t>On February 3, 2021, the Company acquired an additional 35% equity interest in Agua Caliente and removed its equity investment in Agua Caliente and, on December 1, 2021, the Company acquired the remaining 50% equity investment in the Utah Solar Portfolio and removed its equity investment in the Utah Solar Portfolio. As a result, both Agua Caliente and the Utah Solar Portfolio are excluded from the summarized income statement data for the years ended December 31, 2022 and December 31, 2021.</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Variable Interest Entities, or VIEs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Entities that are Consolidated</w:t>
      </w:r>
    </w:p>
    <w:p>
      <w:pPr>
        <w:spacing w:after="0" w:line="136"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 xml:space="preserve">The Company has a controlling financial interest in certain entities which have been identified as VIEs under ASC 810, </w:t>
      </w:r>
      <w:r>
        <w:rPr>
          <w:rFonts w:ascii="Arial" w:cs="Arial" w:eastAsia="Arial" w:hAnsi="Arial"/>
          <w:sz w:val="13"/>
          <w:szCs w:val="13"/>
          <w:i w:val="1"/>
          <w:iCs w:val="1"/>
          <w:color w:val="auto"/>
        </w:rPr>
        <w:t>Consolidations</w:t>
      </w:r>
      <w:r>
        <w:rPr>
          <w:rFonts w:ascii="Arial" w:cs="Arial" w:eastAsia="Arial" w:hAnsi="Arial"/>
          <w:sz w:val="13"/>
          <w:szCs w:val="13"/>
          <w:color w:val="auto"/>
        </w:rPr>
        <w:t>. These arrangements are primarily related to tax equity arrangements entered into with third parties in order to monetize certain tax credits associated with wind and solar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07" w:name="page108"/>
    <w:bookmarkEnd w:id="107"/>
    <w:p>
      <w:pPr>
        <w:ind w:left="320"/>
        <w:spacing w:after="0"/>
        <w:rPr>
          <w:sz w:val="20"/>
          <w:szCs w:val="20"/>
          <w:color w:val="auto"/>
        </w:rPr>
      </w:pPr>
      <w:r>
        <w:rPr>
          <w:rFonts w:ascii="Arial" w:cs="Arial" w:eastAsia="Arial" w:hAnsi="Arial"/>
          <w:sz w:val="14"/>
          <w:szCs w:val="14"/>
          <w:color w:val="auto"/>
        </w:rPr>
        <w:t>The following is a summary of significant activity during 2022 related to the Company’s consolidated VIEs: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b w:val="1"/>
          <w:bCs w:val="1"/>
          <w:i w:val="1"/>
          <w:iCs w:val="1"/>
          <w:color w:val="auto"/>
        </w:rPr>
        <w:t xml:space="preserve">Lighthouse Renewable Holdco LLC — </w:t>
      </w:r>
      <w:r>
        <w:rPr>
          <w:rFonts w:ascii="Arial" w:cs="Arial" w:eastAsia="Arial" w:hAnsi="Arial"/>
          <w:sz w:val="14"/>
          <w:szCs w:val="14"/>
          <w:color w:val="auto"/>
        </w:rPr>
        <w:t>The Company, through its indirect, wholly-owned subsidiary, Lighthouse Renewable Class A LLC, holds the Class A membership interests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Lighthouse Renewable Holdco LLC, while a third-party investor holds the Class B membership interests. The Company consolidates Lighthouse Renewable Holdco LLC, which is a VIE, as the Company is the primary beneficiary, through its role as managing member.</w:t>
      </w:r>
    </w:p>
    <w:p>
      <w:pPr>
        <w:spacing w:after="0" w:line="9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In addition, Lighthouse Renewable Holdco LLC indirectly holds the Class B membership interests in several tax equity funds, including Mesquite Star Tax Equity Holdco LLC, Black Rock TE Holdco LLC, Mililani TE Holdco LLC and Waiawa TE Holdco LLC, as further described below.</w:t>
      </w:r>
    </w:p>
    <w:p>
      <w:pPr>
        <w:spacing w:after="0" w:line="90"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 xml:space="preserve">As described in Note 3, </w:t>
      </w:r>
      <w:r>
        <w:rPr>
          <w:rFonts w:ascii="Arial" w:cs="Arial" w:eastAsia="Arial" w:hAnsi="Arial"/>
          <w:sz w:val="13"/>
          <w:szCs w:val="13"/>
          <w:i w:val="1"/>
          <w:iCs w:val="1"/>
          <w:color w:val="auto"/>
        </w:rPr>
        <w:t>Acquisitions and Dispositions</w:t>
      </w:r>
      <w:r>
        <w:rPr>
          <w:rFonts w:ascii="Arial" w:cs="Arial" w:eastAsia="Arial" w:hAnsi="Arial"/>
          <w:sz w:val="13"/>
          <w:szCs w:val="13"/>
          <w:color w:val="auto"/>
        </w:rPr>
        <w:t>, on March 25, 2022, Lighthouse Renewable Holdco LLC acquired Mililani BL Borrower Holdco LLC, the indirect owner of the Class B membership interests of a tax equity fund, Mililani TE Holdco LLC, that holds the Mililani I solar project. Mililani BL Borrower Holdco LLC consolidates Mililani TE Holdco LLC, which is a VIE, as it is the primary beneficiary through its role as managing member. The Class A membership interests are held by a tax equity investor and are reflected as noncontrolling interest on the Company’s consolidated balance sheet. The third-party investor in Lighthouse Renewable Holdco LLC also acquired and contributed an interest in Mililani BL Borrower Holdco LLC to Lighthouse Renewable Holdco LLC. The Company recorded the related noncontrolling interest at historical carrying amount, with the offset to contributed capital.</w:t>
      </w:r>
    </w:p>
    <w:p>
      <w:pPr>
        <w:spacing w:after="0" w:line="92"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 xml:space="preserve">As described in Note 3, </w:t>
      </w:r>
      <w:r>
        <w:rPr>
          <w:rFonts w:ascii="Arial" w:cs="Arial" w:eastAsia="Arial" w:hAnsi="Arial"/>
          <w:sz w:val="13"/>
          <w:szCs w:val="13"/>
          <w:i w:val="1"/>
          <w:iCs w:val="1"/>
          <w:color w:val="auto"/>
        </w:rPr>
        <w:t>Acquisitions and Dispositions</w:t>
      </w:r>
      <w:r>
        <w:rPr>
          <w:rFonts w:ascii="Arial" w:cs="Arial" w:eastAsia="Arial" w:hAnsi="Arial"/>
          <w:sz w:val="13"/>
          <w:szCs w:val="13"/>
          <w:color w:val="auto"/>
        </w:rPr>
        <w:t>, on October 3, 2022, Lighthouse Renewable Holdco LLC acquired Waiawa BL Borrower Holdco LLC, the indirect owner of the Class B membership interests of a tax equity fund, Waiawa TE Holdco LLC, that holds the Waiawa solar project. Waiawa BL Borrower Holdco LLC consolidates Waiawa TE Holdco LLC, which is a VIE, as it is the primary beneficiary through its role as managing member. The Class A membership interests are held by a tax equity investor and are reflected as noncontrolling interest on the Company’s consolidated balance sheet. The third-party investor in Lighthouse Renewable Holdco LLC also acquired and contributed an interest in Waiawa BL Borrower Holdco LLC to Lighthouse Renewable Holdco LLC. The Company recorded the related noncontrolling interest at historical carrying amount, with the offset to contributed capital.</w:t>
      </w:r>
    </w:p>
    <w:p>
      <w:pPr>
        <w:spacing w:after="0" w:line="8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4"/>
          <w:szCs w:val="14"/>
          <w:b w:val="1"/>
          <w:bCs w:val="1"/>
          <w:i w:val="1"/>
          <w:iCs w:val="1"/>
          <w:color w:val="auto"/>
        </w:rPr>
        <w:t xml:space="preserve">Kawailoa Partnership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described in</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Note 3</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Acquisitions and Dispositions</w:t>
      </w:r>
      <w:r>
        <w:rPr>
          <w:rFonts w:ascii="Arial" w:cs="Arial" w:eastAsia="Arial" w:hAnsi="Arial"/>
          <w:sz w:val="14"/>
          <w:szCs w:val="14"/>
          <w:color w:val="auto"/>
        </w:rPr>
        <w:t>, on August 1, 2022, the Company sold 100% of its Class A membership interests in Kawailoa Solar Partnership</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LLC, or the Kawailoa Partnership, to Clearway Renew LLC. Prior to the sale, the Kawailoa Partnership owned 51% of the Kawailoa solar project, with the remaining 49% owned by a third-party investor. The Kawailoa Partnership consolidated the Kawailoa solar project through its ownership of the Class B membership interests and role as managing member in Kawailoa Solar Holdings LLC, a tax equity fund, which owns the Kawailoa solar project. The Class A membership interests in Kawailoa Solar Holdings LLC are held by a tax equity investor and were reflected as noncontrolling interest on the Company’s consolidated balance sheet. The Company, as the Class A member, was the primary beneficiary through its role as managing member and consolidated the Kawailoa Partnership.</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Summarized financial information for the Company’s consolidated VIEs consisted of the following as of December 31,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Langford TE Partnership</w:t>
            </w:r>
          </w:p>
        </w:tc>
        <w:tc>
          <w:tcPr>
            <w:tcW w:w="140" w:type="dxa"/>
            <w:vAlign w:val="bottom"/>
          </w:tcPr>
          <w:p>
            <w:pPr>
              <w:spacing w:after="0"/>
              <w:rPr>
                <w:sz w:val="10"/>
                <w:szCs w:val="1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Lighthouse Renewable</w:t>
            </w:r>
          </w:p>
        </w:tc>
        <w:tc>
          <w:tcPr>
            <w:tcW w:w="140" w:type="dxa"/>
            <w:vAlign w:val="bottom"/>
          </w:tcPr>
          <w:p>
            <w:pPr>
              <w:spacing w:after="0"/>
              <w:rPr>
                <w:sz w:val="10"/>
                <w:szCs w:val="10"/>
                <w:color w:val="auto"/>
              </w:rPr>
            </w:pPr>
          </w:p>
        </w:tc>
        <w:tc>
          <w:tcPr>
            <w:tcW w:w="1160" w:type="dxa"/>
            <w:vAlign w:val="bottom"/>
          </w:tcPr>
          <w:p>
            <w:pPr>
              <w:jc w:val="right"/>
              <w:ind w:right="94"/>
              <w:spacing w:after="0"/>
              <w:rPr>
                <w:sz w:val="20"/>
                <w:szCs w:val="20"/>
                <w:color w:val="auto"/>
              </w:rPr>
            </w:pPr>
            <w:r>
              <w:rPr>
                <w:rFonts w:ascii="Arial" w:cs="Arial" w:eastAsia="Arial" w:hAnsi="Arial"/>
                <w:sz w:val="10"/>
                <w:szCs w:val="10"/>
                <w:b w:val="1"/>
                <w:bCs w:val="1"/>
                <w:color w:val="auto"/>
                <w:w w:val="89"/>
              </w:rPr>
              <w:t>Lighthouse Renewable</w:t>
            </w:r>
          </w:p>
        </w:tc>
        <w:tc>
          <w:tcPr>
            <w:tcW w:w="0" w:type="dxa"/>
            <w:vAlign w:val="bottom"/>
          </w:tcPr>
          <w:p>
            <w:pPr>
              <w:spacing w:after="0"/>
              <w:rPr>
                <w:sz w:val="1"/>
                <w:szCs w:val="1"/>
                <w:color w:val="auto"/>
              </w:rPr>
            </w:pPr>
          </w:p>
        </w:tc>
      </w:tr>
      <w:tr>
        <w:trPr>
          <w:trHeight w:val="149"/>
        </w:trPr>
        <w:tc>
          <w:tcPr>
            <w:tcW w:w="3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Alta TE Holdco</w:t>
            </w:r>
          </w:p>
        </w:tc>
        <w:tc>
          <w:tcPr>
            <w:tcW w:w="80" w:type="dxa"/>
            <w:vAlign w:val="bottom"/>
          </w:tcPr>
          <w:p>
            <w:pPr>
              <w:spacing w:after="0"/>
              <w:rPr>
                <w:sz w:val="12"/>
                <w:szCs w:val="12"/>
                <w:color w:val="auto"/>
              </w:rPr>
            </w:pPr>
          </w:p>
        </w:tc>
        <w:tc>
          <w:tcPr>
            <w:tcW w:w="1300" w:type="dxa"/>
            <w:vAlign w:val="bottom"/>
            <w:gridSpan w:val="2"/>
          </w:tcPr>
          <w:p>
            <w:pPr>
              <w:ind w:left="20"/>
              <w:spacing w:after="0"/>
              <w:rPr>
                <w:sz w:val="20"/>
                <w:szCs w:val="20"/>
                <w:color w:val="auto"/>
              </w:rPr>
            </w:pPr>
            <w:r>
              <w:rPr>
                <w:rFonts w:ascii="Arial" w:cs="Arial" w:eastAsia="Arial" w:hAnsi="Arial"/>
                <w:sz w:val="10"/>
                <w:szCs w:val="10"/>
                <w:b w:val="1"/>
                <w:bCs w:val="1"/>
                <w:color w:val="auto"/>
              </w:rPr>
              <w:t>Buckthorn Holdings, LLC</w:t>
            </w:r>
          </w:p>
        </w:tc>
        <w:tc>
          <w:tcPr>
            <w:tcW w:w="200" w:type="dxa"/>
            <w:vAlign w:val="bottom"/>
          </w:tcPr>
          <w:p>
            <w:pPr>
              <w:spacing w:after="0"/>
              <w:rPr>
                <w:sz w:val="12"/>
                <w:szCs w:val="12"/>
                <w:color w:val="auto"/>
              </w:rPr>
            </w:pPr>
          </w:p>
        </w:tc>
        <w:tc>
          <w:tcPr>
            <w:tcW w:w="1160" w:type="dxa"/>
            <w:vAlign w:val="bottom"/>
            <w:gridSpan w:val="2"/>
          </w:tcPr>
          <w:p>
            <w:pPr>
              <w:ind w:left="100"/>
              <w:spacing w:after="0"/>
              <w:rPr>
                <w:sz w:val="20"/>
                <w:szCs w:val="20"/>
                <w:color w:val="auto"/>
              </w:rPr>
            </w:pPr>
            <w:r>
              <w:rPr>
                <w:rFonts w:ascii="Arial" w:cs="Arial" w:eastAsia="Arial" w:hAnsi="Arial"/>
                <w:sz w:val="10"/>
                <w:szCs w:val="10"/>
                <w:b w:val="1"/>
                <w:bCs w:val="1"/>
                <w:color w:val="auto"/>
              </w:rPr>
              <w:t xml:space="preserve">DGPV Funds </w:t>
            </w:r>
            <w:r>
              <w:rPr>
                <w:rFonts w:ascii="Arial" w:cs="Arial" w:eastAsia="Arial" w:hAnsi="Arial"/>
                <w:sz w:val="12"/>
                <w:szCs w:val="12"/>
                <w:b w:val="1"/>
                <w:bCs w:val="1"/>
                <w:color w:val="auto"/>
                <w:vertAlign w:val="superscript"/>
              </w:rPr>
              <w:t>(a)</w:t>
            </w:r>
          </w:p>
        </w:tc>
        <w:tc>
          <w:tcPr>
            <w:tcW w:w="100" w:type="dxa"/>
            <w:vAlign w:val="bottom"/>
          </w:tcPr>
          <w:p>
            <w:pPr>
              <w:spacing w:after="0"/>
              <w:rPr>
                <w:sz w:val="12"/>
                <w:szCs w:val="12"/>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LLC</w:t>
            </w:r>
          </w:p>
        </w:tc>
        <w:tc>
          <w:tcPr>
            <w:tcW w:w="140" w:type="dxa"/>
            <w:vAlign w:val="bottom"/>
          </w:tcPr>
          <w:p>
            <w:pPr>
              <w:spacing w:after="0"/>
              <w:rPr>
                <w:sz w:val="12"/>
                <w:szCs w:val="12"/>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 xml:space="preserve">Holdco LLC </w:t>
            </w:r>
            <w:r>
              <w:rPr>
                <w:rFonts w:ascii="Arial" w:cs="Arial" w:eastAsia="Arial" w:hAnsi="Arial"/>
                <w:sz w:val="12"/>
                <w:szCs w:val="12"/>
                <w:b w:val="1"/>
                <w:bCs w:val="1"/>
                <w:color w:val="auto"/>
                <w:w w:val="92"/>
                <w:vertAlign w:val="superscript"/>
              </w:rPr>
              <w:t>(b)</w:t>
            </w:r>
          </w:p>
        </w:tc>
        <w:tc>
          <w:tcPr>
            <w:tcW w:w="140" w:type="dxa"/>
            <w:vAlign w:val="bottom"/>
          </w:tcPr>
          <w:p>
            <w:pPr>
              <w:spacing w:after="0"/>
              <w:rPr>
                <w:sz w:val="12"/>
                <w:szCs w:val="12"/>
                <w:color w:val="auto"/>
              </w:rPr>
            </w:pPr>
          </w:p>
        </w:tc>
        <w:tc>
          <w:tcPr>
            <w:tcW w:w="1160" w:type="dxa"/>
            <w:vAlign w:val="bottom"/>
          </w:tcPr>
          <w:p>
            <w:pPr>
              <w:jc w:val="right"/>
              <w:ind w:right="234"/>
              <w:spacing w:after="0"/>
              <w:rPr>
                <w:sz w:val="20"/>
                <w:szCs w:val="20"/>
                <w:color w:val="auto"/>
              </w:rPr>
            </w:pPr>
            <w:r>
              <w:rPr>
                <w:rFonts w:ascii="Arial" w:cs="Arial" w:eastAsia="Arial" w:hAnsi="Arial"/>
                <w:sz w:val="10"/>
                <w:szCs w:val="10"/>
                <w:b w:val="1"/>
                <w:bCs w:val="1"/>
                <w:color w:val="auto"/>
              </w:rPr>
              <w:t xml:space="preserve">Holdco 2 LLC </w:t>
            </w:r>
            <w:r>
              <w:rPr>
                <w:rFonts w:ascii="Arial" w:cs="Arial" w:eastAsia="Arial" w:hAnsi="Arial"/>
                <w:sz w:val="12"/>
                <w:szCs w:val="12"/>
                <w:b w:val="1"/>
                <w:bCs w:val="1"/>
                <w:color w:val="auto"/>
                <w:vertAlign w:val="superscript"/>
              </w:rPr>
              <w:t>(c)</w:t>
            </w:r>
          </w:p>
        </w:tc>
        <w:tc>
          <w:tcPr>
            <w:tcW w:w="0" w:type="dxa"/>
            <w:vAlign w:val="bottom"/>
          </w:tcPr>
          <w:p>
            <w:pPr>
              <w:spacing w:after="0"/>
              <w:rPr>
                <w:sz w:val="1"/>
                <w:szCs w:val="1"/>
                <w:color w:val="auto"/>
              </w:rPr>
            </w:pPr>
          </w:p>
        </w:tc>
      </w:tr>
      <w:tr>
        <w:trPr>
          <w:trHeight w:val="171"/>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current and non-current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81"/>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tcPr>
          <w:p>
            <w:pPr>
              <w:ind w:left="100"/>
              <w:spacing w:after="0"/>
              <w:rPr>
                <w:sz w:val="20"/>
                <w:szCs w:val="20"/>
                <w:color w:val="auto"/>
              </w:rPr>
            </w:pPr>
            <w:r>
              <w:rPr>
                <w:rFonts w:ascii="Arial" w:cs="Arial" w:eastAsia="Arial" w:hAnsi="Arial"/>
                <w:sz w:val="14"/>
                <w:szCs w:val="14"/>
                <w:color w:val="auto"/>
              </w:rPr>
              <w:t>Total assets</w:t>
            </w: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582</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962</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181"/>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and non-current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71"/>
        </w:trPr>
        <w:tc>
          <w:tcPr>
            <w:tcW w:w="3100" w:type="dxa"/>
            <w:vAlign w:val="bottom"/>
          </w:tcPr>
          <w:p>
            <w:pPr>
              <w:ind w:left="100"/>
              <w:spacing w:after="0"/>
              <w:rPr>
                <w:sz w:val="20"/>
                <w:szCs w:val="20"/>
                <w:color w:val="auto"/>
              </w:rPr>
            </w:pPr>
            <w:r>
              <w:rPr>
                <w:rFonts w:ascii="Arial" w:cs="Arial" w:eastAsia="Arial" w:hAnsi="Arial"/>
                <w:sz w:val="14"/>
                <w:szCs w:val="14"/>
                <w:color w:val="auto"/>
              </w:rPr>
              <w:t>Total liabilities</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71"/>
        </w:trPr>
        <w:tc>
          <w:tcPr>
            <w:tcW w:w="3100" w:type="dxa"/>
            <w:vAlign w:val="bottom"/>
          </w:tcPr>
          <w:p>
            <w:pPr>
              <w:ind w:left="100"/>
              <w:spacing w:after="0"/>
              <w:rPr>
                <w:sz w:val="20"/>
                <w:szCs w:val="20"/>
                <w:color w:val="auto"/>
              </w:rPr>
            </w:pPr>
            <w:r>
              <w:rPr>
                <w:rFonts w:ascii="Arial" w:cs="Arial" w:eastAsia="Arial" w:hAnsi="Arial"/>
                <w:sz w:val="14"/>
                <w:szCs w:val="14"/>
                <w:color w:val="auto"/>
              </w:rPr>
              <w:t>Net assets less noncontrolling interests</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200" w:hanging="131"/>
        <w:spacing w:after="0"/>
        <w:tabs>
          <w:tab w:leader="none" w:pos="200" w:val="left"/>
        </w:tabs>
        <w:numPr>
          <w:ilvl w:val="0"/>
          <w:numId w:val="66"/>
        </w:numPr>
        <w:rPr>
          <w:rFonts w:ascii="Arial" w:cs="Arial" w:eastAsia="Arial" w:hAnsi="Arial"/>
          <w:sz w:val="16"/>
          <w:szCs w:val="16"/>
          <w:color w:val="auto"/>
          <w:vertAlign w:val="superscript"/>
        </w:rPr>
      </w:pPr>
      <w:r>
        <w:rPr>
          <w:rFonts w:ascii="Arial" w:cs="Arial" w:eastAsia="Arial" w:hAnsi="Arial"/>
          <w:sz w:val="10"/>
          <w:szCs w:val="10"/>
          <w:color w:val="auto"/>
        </w:rPr>
        <w:t>DGPV Funds is comprised of Clearway &amp; EFS Distributed Solar LLC, DGPV Fund 4 LLC, Golden Puma Fund LLC, Renew Solar CS4 Fund LLC and Chestnut Fund LLC, which are all tax equity funds.</w:t>
      </w:r>
    </w:p>
    <w:p>
      <w:pPr>
        <w:spacing w:after="0" w:line="56" w:lineRule="exact"/>
        <w:rPr>
          <w:rFonts w:ascii="Arial" w:cs="Arial" w:eastAsia="Arial" w:hAnsi="Arial"/>
          <w:sz w:val="16"/>
          <w:szCs w:val="16"/>
          <w:color w:val="auto"/>
          <w:vertAlign w:val="superscript"/>
        </w:rPr>
      </w:pPr>
    </w:p>
    <w:p>
      <w:pPr>
        <w:ind w:left="220" w:hanging="151"/>
        <w:spacing w:after="0" w:line="187" w:lineRule="auto"/>
        <w:tabs>
          <w:tab w:leader="none" w:pos="220" w:val="left"/>
        </w:tabs>
        <w:numPr>
          <w:ilvl w:val="0"/>
          <w:numId w:val="66"/>
        </w:numPr>
        <w:rPr>
          <w:rFonts w:ascii="Arial" w:cs="Arial" w:eastAsia="Arial" w:hAnsi="Arial"/>
          <w:sz w:val="15"/>
          <w:szCs w:val="15"/>
          <w:color w:val="auto"/>
          <w:vertAlign w:val="superscript"/>
        </w:rPr>
      </w:pPr>
      <w:r>
        <w:rPr>
          <w:rFonts w:ascii="Arial" w:cs="Arial" w:eastAsia="Arial" w:hAnsi="Arial"/>
          <w:sz w:val="10"/>
          <w:szCs w:val="10"/>
          <w:color w:val="auto"/>
        </w:rPr>
        <w:t>Lighthouse Renewable Holdco LLC consolidates Mesquite Star Tax Equity Holdco LLC, Black Rock TE Holdco LLC, Mililani TE Holdco LLC and Waiawa TE Holdco LLC, which are consolidated VIEs.</w:t>
      </w:r>
    </w:p>
    <w:p>
      <w:pPr>
        <w:spacing w:after="0" w:line="72" w:lineRule="exact"/>
        <w:rPr>
          <w:rFonts w:ascii="Arial" w:cs="Arial" w:eastAsia="Arial" w:hAnsi="Arial"/>
          <w:sz w:val="15"/>
          <w:szCs w:val="15"/>
          <w:color w:val="auto"/>
          <w:vertAlign w:val="superscript"/>
        </w:rPr>
      </w:pPr>
    </w:p>
    <w:p>
      <w:pPr>
        <w:ind w:left="200" w:hanging="131"/>
        <w:spacing w:after="0" w:line="182" w:lineRule="auto"/>
        <w:tabs>
          <w:tab w:leader="none" w:pos="200" w:val="left"/>
        </w:tabs>
        <w:numPr>
          <w:ilvl w:val="0"/>
          <w:numId w:val="66"/>
        </w:numPr>
        <w:rPr>
          <w:rFonts w:ascii="Arial" w:cs="Arial" w:eastAsia="Arial" w:hAnsi="Arial"/>
          <w:sz w:val="16"/>
          <w:szCs w:val="16"/>
          <w:color w:val="auto"/>
          <w:vertAlign w:val="superscript"/>
        </w:rPr>
      </w:pPr>
      <w:r>
        <w:rPr>
          <w:rFonts w:ascii="Arial" w:cs="Arial" w:eastAsia="Arial" w:hAnsi="Arial"/>
          <w:sz w:val="10"/>
          <w:szCs w:val="10"/>
          <w:color w:val="auto"/>
        </w:rPr>
        <w:t>Lighthouse Renewable Holdco 2 LLC consolidates Mesquite Sky TE Holdco LLC, which is a consolidated VIE.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15"/>
        </w:trPr>
        <w:tc>
          <w:tcPr>
            <w:tcW w:w="30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0"/>
              </w:rPr>
              <w:t>Pinnacle Repowering TE</w:t>
            </w: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20"/>
              <w:spacing w:after="0"/>
              <w:rPr>
                <w:sz w:val="20"/>
                <w:szCs w:val="20"/>
                <w:color w:val="auto"/>
              </w:rPr>
            </w:pPr>
            <w:r>
              <w:rPr>
                <w:rFonts w:ascii="Arial" w:cs="Arial" w:eastAsia="Arial" w:hAnsi="Arial"/>
                <w:sz w:val="10"/>
                <w:szCs w:val="10"/>
                <w:b w:val="1"/>
                <w:bCs w:val="1"/>
                <w:color w:val="auto"/>
              </w:rPr>
              <w:t>Oahu Solar LLC</w:t>
            </w:r>
          </w:p>
        </w:tc>
        <w:tc>
          <w:tcPr>
            <w:tcW w:w="100" w:type="dxa"/>
            <w:vAlign w:val="bottom"/>
          </w:tcPr>
          <w:p>
            <w:pPr>
              <w:spacing w:after="0"/>
              <w:rPr>
                <w:sz w:val="12"/>
                <w:szCs w:val="12"/>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8"/>
              </w:rPr>
              <w:t>Holdco</w:t>
            </w:r>
          </w:p>
        </w:tc>
        <w:tc>
          <w:tcPr>
            <w:tcW w:w="1380" w:type="dxa"/>
            <w:vAlign w:val="bottom"/>
            <w:gridSpan w:val="3"/>
          </w:tcPr>
          <w:p>
            <w:pPr>
              <w:ind w:left="40"/>
              <w:spacing w:after="0"/>
              <w:rPr>
                <w:sz w:val="20"/>
                <w:szCs w:val="20"/>
                <w:color w:val="auto"/>
              </w:rPr>
            </w:pPr>
            <w:r>
              <w:rPr>
                <w:rFonts w:ascii="Arial" w:cs="Arial" w:eastAsia="Arial" w:hAnsi="Arial"/>
                <w:sz w:val="10"/>
                <w:szCs w:val="10"/>
                <w:b w:val="1"/>
                <w:bCs w:val="1"/>
                <w:color w:val="auto"/>
              </w:rPr>
              <w:t>Rattlesnake TE Holdco LLC</w:t>
            </w:r>
          </w:p>
        </w:tc>
        <w:tc>
          <w:tcPr>
            <w:tcW w:w="160" w:type="dxa"/>
            <w:vAlign w:val="bottom"/>
          </w:tcPr>
          <w:p>
            <w:pPr>
              <w:spacing w:after="0"/>
              <w:rPr>
                <w:sz w:val="12"/>
                <w:szCs w:val="12"/>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Rosie TargetCo LLC</w:t>
            </w:r>
          </w:p>
        </w:tc>
        <w:tc>
          <w:tcPr>
            <w:tcW w:w="120" w:type="dxa"/>
            <w:vAlign w:val="bottom"/>
          </w:tcPr>
          <w:p>
            <w:pPr>
              <w:spacing w:after="0"/>
              <w:rPr>
                <w:sz w:val="12"/>
                <w:szCs w:val="12"/>
                <w:color w:val="auto"/>
              </w:rPr>
            </w:pPr>
          </w:p>
        </w:tc>
        <w:tc>
          <w:tcPr>
            <w:tcW w:w="1220" w:type="dxa"/>
            <w:vAlign w:val="bottom"/>
            <w:gridSpan w:val="2"/>
          </w:tcPr>
          <w:p>
            <w:pPr>
              <w:ind w:left="40"/>
              <w:spacing w:after="0"/>
              <w:rPr>
                <w:sz w:val="20"/>
                <w:szCs w:val="20"/>
                <w:color w:val="auto"/>
              </w:rPr>
            </w:pPr>
            <w:r>
              <w:rPr>
                <w:rFonts w:ascii="Arial" w:cs="Arial" w:eastAsia="Arial" w:hAnsi="Arial"/>
                <w:sz w:val="10"/>
                <w:szCs w:val="10"/>
                <w:b w:val="1"/>
                <w:bCs w:val="1"/>
                <w:color w:val="auto"/>
              </w:rPr>
              <w:t>Wildorado TE Holdco</w:t>
            </w:r>
          </w:p>
        </w:tc>
        <w:tc>
          <w:tcPr>
            <w:tcW w:w="280" w:type="dxa"/>
            <w:vAlign w:val="bottom"/>
          </w:tcPr>
          <w:p>
            <w:pPr>
              <w:spacing w:after="0"/>
              <w:rPr>
                <w:sz w:val="12"/>
                <w:szCs w:val="12"/>
                <w:color w:val="auto"/>
              </w:rPr>
            </w:pPr>
          </w:p>
        </w:tc>
        <w:tc>
          <w:tcPr>
            <w:tcW w:w="1020" w:type="dxa"/>
            <w:vAlign w:val="bottom"/>
          </w:tcPr>
          <w:p>
            <w:pPr>
              <w:jc w:val="right"/>
              <w:ind w:right="392"/>
              <w:spacing w:after="0"/>
              <w:rPr>
                <w:sz w:val="20"/>
                <w:szCs w:val="20"/>
                <w:color w:val="auto"/>
              </w:rPr>
            </w:pPr>
            <w:r>
              <w:rPr>
                <w:rFonts w:ascii="Arial" w:cs="Arial" w:eastAsia="Arial" w:hAnsi="Arial"/>
                <w:sz w:val="10"/>
                <w:szCs w:val="10"/>
                <w:b w:val="1"/>
                <w:bCs w:val="1"/>
                <w:color w:val="auto"/>
              </w:rPr>
              <w:t xml:space="preserve">Other </w:t>
            </w:r>
            <w:r>
              <w:rPr>
                <w:rFonts w:ascii="Arial" w:cs="Arial" w:eastAsia="Arial" w:hAnsi="Arial"/>
                <w:sz w:val="12"/>
                <w:szCs w:val="12"/>
                <w:b w:val="1"/>
                <w:bCs w:val="1"/>
                <w:color w:val="auto"/>
                <w:vertAlign w:val="superscript"/>
              </w:rPr>
              <w:t>(a)</w:t>
            </w:r>
          </w:p>
        </w:tc>
        <w:tc>
          <w:tcPr>
            <w:tcW w:w="0" w:type="dxa"/>
            <w:vAlign w:val="bottom"/>
          </w:tcPr>
          <w:p>
            <w:pPr>
              <w:spacing w:after="0"/>
              <w:rPr>
                <w:sz w:val="1"/>
                <w:szCs w:val="1"/>
                <w:color w:val="auto"/>
              </w:rPr>
            </w:pPr>
          </w:p>
        </w:tc>
      </w:tr>
      <w:tr>
        <w:trPr>
          <w:trHeight w:val="171"/>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current and non-current assets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308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1"/>
        </w:trPr>
        <w:tc>
          <w:tcPr>
            <w:tcW w:w="3080" w:type="dxa"/>
            <w:vAlign w:val="bottom"/>
          </w:tcPr>
          <w:p>
            <w:pPr>
              <w:ind w:left="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and non-current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71"/>
        </w:trPr>
        <w:tc>
          <w:tcPr>
            <w:tcW w:w="3080" w:type="dxa"/>
            <w:vAlign w:val="bottom"/>
          </w:tcPr>
          <w:p>
            <w:pPr>
              <w:ind w:left="100"/>
              <w:spacing w:after="0"/>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0"/>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71"/>
        </w:trPr>
        <w:tc>
          <w:tcPr>
            <w:tcW w:w="3080" w:type="dxa"/>
            <w:vAlign w:val="bottom"/>
          </w:tcPr>
          <w:p>
            <w:pPr>
              <w:ind w:left="100"/>
              <w:spacing w:after="0"/>
              <w:rPr>
                <w:sz w:val="20"/>
                <w:szCs w:val="20"/>
                <w:color w:val="auto"/>
              </w:rPr>
            </w:pPr>
            <w:r>
              <w:rPr>
                <w:rFonts w:ascii="Arial" w:cs="Arial" w:eastAsia="Arial" w:hAnsi="Arial"/>
                <w:sz w:val="14"/>
                <w:szCs w:val="14"/>
                <w:color w:val="auto"/>
              </w:rPr>
              <w:t>Net assets less noncontrolling interests</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200" w:hanging="131"/>
        <w:spacing w:after="0"/>
        <w:tabs>
          <w:tab w:leader="none" w:pos="200" w:val="left"/>
        </w:tabs>
        <w:numPr>
          <w:ilvl w:val="0"/>
          <w:numId w:val="67"/>
        </w:numPr>
        <w:rPr>
          <w:rFonts w:ascii="Arial" w:cs="Arial" w:eastAsia="Arial" w:hAnsi="Arial"/>
          <w:sz w:val="16"/>
          <w:szCs w:val="16"/>
          <w:color w:val="auto"/>
          <w:vertAlign w:val="superscript"/>
        </w:rPr>
      </w:pPr>
      <w:r>
        <w:rPr>
          <w:rFonts w:ascii="Arial" w:cs="Arial" w:eastAsia="Arial" w:hAnsi="Arial"/>
          <w:sz w:val="10"/>
          <w:szCs w:val="10"/>
          <w:color w:val="auto"/>
        </w:rPr>
        <w:t>Other is comprised of Elbow Creek TE Holdco and Spring Canyon TE Holdco projects.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Fair Value of Financial Instruments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Accounting under ASC 820</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ASC 820 establishes a fair value hierarchy that prioritizes the inputs to valuation techniques used to measure fair value into three levels as follows:</w:t>
      </w:r>
    </w:p>
    <w:p>
      <w:pPr>
        <w:spacing w:after="0" w:line="51" w:lineRule="exact"/>
        <w:rPr>
          <w:sz w:val="20"/>
          <w:szCs w:val="20"/>
          <w:color w:val="auto"/>
        </w:rPr>
      </w:pPr>
    </w:p>
    <w:p>
      <w:pPr>
        <w:ind w:left="960" w:hanging="191"/>
        <w:spacing w:after="0"/>
        <w:tabs>
          <w:tab w:leader="none" w:pos="9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Level 1—quoted prices (unadjusted) in active markets for identical assets or liabilities that the Company has the ability to access as of the measurement date.</w:t>
      </w:r>
    </w:p>
    <w:p>
      <w:pPr>
        <w:spacing w:after="0" w:line="51" w:lineRule="exact"/>
        <w:rPr>
          <w:rFonts w:ascii="Arial" w:cs="Arial" w:eastAsia="Arial" w:hAnsi="Arial"/>
          <w:sz w:val="14"/>
          <w:szCs w:val="14"/>
          <w:color w:val="auto"/>
        </w:rPr>
      </w:pPr>
    </w:p>
    <w:p>
      <w:pPr>
        <w:ind w:left="960" w:hanging="191"/>
        <w:spacing w:after="0" w:line="281" w:lineRule="auto"/>
        <w:tabs>
          <w:tab w:leader="none" w:pos="956" w:val="left"/>
        </w:tabs>
        <w:numPr>
          <w:ilvl w:val="0"/>
          <w:numId w:val="68"/>
        </w:numPr>
        <w:rPr>
          <w:rFonts w:ascii="Arial" w:cs="Arial" w:eastAsia="Arial" w:hAnsi="Arial"/>
          <w:sz w:val="14"/>
          <w:szCs w:val="14"/>
          <w:color w:val="auto"/>
        </w:rPr>
      </w:pPr>
      <w:r>
        <w:rPr>
          <w:rFonts w:ascii="Arial" w:cs="Arial" w:eastAsia="Arial" w:hAnsi="Arial"/>
          <w:sz w:val="14"/>
          <w:szCs w:val="14"/>
          <w:color w:val="auto"/>
        </w:rPr>
        <w:t>Level 2—inputs other than quoted prices included within Level 1 that are directly observable for the asset or liability or indirectly observable through corroboration with observable market data.</w:t>
      </w:r>
    </w:p>
    <w:p>
      <w:pPr>
        <w:spacing w:after="0" w:line="4" w:lineRule="exact"/>
        <w:rPr>
          <w:rFonts w:ascii="Arial" w:cs="Arial" w:eastAsia="Arial" w:hAnsi="Arial"/>
          <w:sz w:val="14"/>
          <w:szCs w:val="14"/>
          <w:color w:val="auto"/>
        </w:rPr>
      </w:pPr>
    </w:p>
    <w:p>
      <w:pPr>
        <w:ind w:left="960" w:hanging="191"/>
        <w:spacing w:after="0"/>
        <w:tabs>
          <w:tab w:leader="none" w:pos="9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Level 3—unobservable inputs for the asset or liability only used when there is little, if any, market activity for the asset or liability at the measurement date.</w:t>
      </w:r>
    </w:p>
    <w:p>
      <w:pPr>
        <w:spacing w:after="0" w:line="94"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90"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For cash and cash equivalents, restricted cash, accounts receivable — trade, accounts payable — trade, accounts payable — affiliates and accrued expenses and other current liabilities, the carrying amounts approximates fair value because of the short-term maturity of those instruments and are classified as Level 1 within the fair value hierarchy.</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carrying amounts and estimated fair values of the Company’s recorded financial instruments not carried at fair market value or that do not approximate fair value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4"/>
          </w:tcPr>
          <w:p>
            <w:pPr>
              <w:ind w:left="520"/>
              <w:spacing w:after="0"/>
              <w:rPr>
                <w:sz w:val="20"/>
                <w:szCs w:val="20"/>
                <w:color w:val="auto"/>
              </w:rPr>
            </w:pPr>
            <w:r>
              <w:rPr>
                <w:rFonts w:ascii="Arial" w:cs="Arial" w:eastAsia="Arial" w:hAnsi="Arial"/>
                <w:sz w:val="11"/>
                <w:szCs w:val="11"/>
                <w:b w:val="1"/>
                <w:bCs w:val="1"/>
                <w:color w:val="auto"/>
              </w:rPr>
              <w:t>As of December 31, 2022</w:t>
            </w:r>
          </w:p>
        </w:tc>
        <w:tc>
          <w:tcPr>
            <w:tcW w:w="120" w:type="dxa"/>
            <w:vAlign w:val="bottom"/>
          </w:tcPr>
          <w:p>
            <w:pPr>
              <w:spacing w:after="0"/>
              <w:rPr>
                <w:sz w:val="13"/>
                <w:szCs w:val="13"/>
                <w:color w:val="auto"/>
              </w:rPr>
            </w:pPr>
          </w:p>
        </w:tc>
        <w:tc>
          <w:tcPr>
            <w:tcW w:w="2360" w:type="dxa"/>
            <w:vAlign w:val="bottom"/>
            <w:gridSpan w:val="3"/>
          </w:tcPr>
          <w:p>
            <w:pPr>
              <w:jc w:val="right"/>
              <w:ind w:right="574"/>
              <w:spacing w:after="0"/>
              <w:rPr>
                <w:sz w:val="20"/>
                <w:szCs w:val="20"/>
                <w:color w:val="auto"/>
              </w:rPr>
            </w:pPr>
            <w:r>
              <w:rPr>
                <w:rFonts w:ascii="Arial" w:cs="Arial" w:eastAsia="Arial" w:hAnsi="Arial"/>
                <w:sz w:val="11"/>
                <w:szCs w:val="11"/>
                <w:b w:val="1"/>
                <w:bCs w:val="1"/>
                <w:color w:val="auto"/>
              </w:rPr>
              <w:t>As of December 31, 2021</w:t>
            </w:r>
          </w:p>
        </w:tc>
      </w:tr>
      <w:tr>
        <w:trPr>
          <w:trHeight w:val="153"/>
        </w:trPr>
        <w:tc>
          <w:tcPr>
            <w:tcW w:w="6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w w:val="97"/>
              </w:rPr>
              <w:t>Carrying Amount</w:t>
            </w:r>
          </w:p>
        </w:tc>
        <w:tc>
          <w:tcPr>
            <w:tcW w:w="3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1"/>
                <w:szCs w:val="11"/>
                <w:b w:val="1"/>
                <w:bCs w:val="1"/>
                <w:color w:val="auto"/>
              </w:rPr>
              <w:t>Fair Value</w:t>
            </w:r>
          </w:p>
        </w:tc>
        <w:tc>
          <w:tcPr>
            <w:tcW w:w="1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1"/>
                <w:szCs w:val="11"/>
                <w:b w:val="1"/>
                <w:bCs w:val="1"/>
                <w:color w:val="auto"/>
              </w:rPr>
              <w:t>Carrying Amount</w:t>
            </w: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1"/>
                <w:szCs w:val="11"/>
                <w:b w:val="1"/>
                <w:bCs w:val="1"/>
                <w:color w:val="auto"/>
              </w:rPr>
              <w:t>Fair Value</w:t>
            </w:r>
          </w:p>
        </w:tc>
      </w:tr>
      <w:tr>
        <w:trPr>
          <w:trHeight w:val="150"/>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300" w:type="dxa"/>
            <w:vAlign w:val="bottom"/>
            <w:gridSpan w:val="4"/>
          </w:tcPr>
          <w:p>
            <w:pPr>
              <w:jc w:val="right"/>
              <w:ind w:right="916"/>
              <w:spacing w:after="0"/>
              <w:rPr>
                <w:sz w:val="20"/>
                <w:szCs w:val="20"/>
                <w:color w:val="auto"/>
              </w:rPr>
            </w:pPr>
            <w:r>
              <w:rPr>
                <w:rFonts w:ascii="Arial" w:cs="Arial" w:eastAsia="Arial" w:hAnsi="Arial"/>
                <w:sz w:val="11"/>
                <w:szCs w:val="11"/>
                <w:b w:val="1"/>
                <w:bCs w:val="1"/>
                <w:color w:val="auto"/>
              </w:rPr>
              <w:t>(In millions)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7"/>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0"/>
        </w:trPr>
        <w:tc>
          <w:tcPr>
            <w:tcW w:w="6120" w:type="dxa"/>
            <w:vAlign w:val="bottom"/>
          </w:tcPr>
          <w:p>
            <w:pPr>
              <w:ind w:left="120"/>
              <w:spacing w:after="0"/>
              <w:rPr>
                <w:sz w:val="20"/>
                <w:szCs w:val="20"/>
                <w:color w:val="auto"/>
              </w:rPr>
            </w:pPr>
            <w:r>
              <w:rPr>
                <w:rFonts w:ascii="Arial" w:cs="Arial" w:eastAsia="Arial" w:hAnsi="Arial"/>
                <w:sz w:val="14"/>
                <w:szCs w:val="14"/>
                <w:color w:val="auto"/>
              </w:rPr>
              <w:t>Long-term debt, including current portion — affiliate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6"/>
              <w:spacing w:after="0"/>
              <w:rPr>
                <w:sz w:val="20"/>
                <w:szCs w:val="20"/>
                <w:color w:val="auto"/>
              </w:rPr>
            </w:pPr>
            <w:r>
              <w:rPr>
                <w:rFonts w:ascii="Arial" w:cs="Arial" w:eastAsia="Arial" w:hAnsi="Arial"/>
                <w:sz w:val="14"/>
                <w:szCs w:val="14"/>
                <w:color w:val="auto"/>
              </w:rPr>
              <w:t>1</w:t>
            </w:r>
          </w:p>
        </w:tc>
        <w:tc>
          <w:tcPr>
            <w:tcW w:w="2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1"/>
        </w:trPr>
        <w:tc>
          <w:tcPr>
            <w:tcW w:w="6120" w:type="dxa"/>
            <w:vAlign w:val="bottom"/>
            <w:shd w:val="clear" w:color="auto" w:fill="CCEEFF"/>
          </w:tcPr>
          <w:p>
            <w:pPr>
              <w:ind w:left="120"/>
              <w:spacing w:after="0" w:line="170" w:lineRule="exact"/>
              <w:rPr>
                <w:sz w:val="20"/>
                <w:szCs w:val="20"/>
                <w:color w:val="auto"/>
              </w:rPr>
            </w:pPr>
            <w:r>
              <w:rPr>
                <w:rFonts w:ascii="Arial" w:cs="Arial" w:eastAsia="Arial" w:hAnsi="Arial"/>
                <w:sz w:val="14"/>
                <w:szCs w:val="14"/>
                <w:color w:val="auto"/>
              </w:rPr>
              <w:t xml:space="preserve">Long-term debt, including current portion — external </w:t>
            </w:r>
            <w:r>
              <w:rPr>
                <w:rFonts w:ascii="Arial" w:cs="Arial" w:eastAsia="Arial" w:hAnsi="Arial"/>
                <w:sz w:val="18"/>
                <w:szCs w:val="18"/>
                <w:color w:val="auto"/>
                <w:vertAlign w:val="superscript"/>
              </w:rPr>
              <w:t>(a)</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6,874</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7,782</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4" w:lineRule="exact"/>
        <w:rPr>
          <w:sz w:val="20"/>
          <w:szCs w:val="20"/>
          <w:color w:val="auto"/>
        </w:rPr>
      </w:pPr>
    </w:p>
    <w:p>
      <w:pPr>
        <w:ind w:left="200" w:hanging="131"/>
        <w:spacing w:after="0"/>
        <w:tabs>
          <w:tab w:leader="none" w:pos="200" w:val="left"/>
        </w:tabs>
        <w:numPr>
          <w:ilvl w:val="0"/>
          <w:numId w:val="69"/>
        </w:numPr>
        <w:rPr>
          <w:rFonts w:ascii="Arial" w:cs="Arial" w:eastAsia="Arial" w:hAnsi="Arial"/>
          <w:sz w:val="16"/>
          <w:szCs w:val="16"/>
          <w:color w:val="auto"/>
          <w:vertAlign w:val="superscript"/>
        </w:rPr>
      </w:pPr>
      <w:r>
        <w:rPr>
          <w:rFonts w:ascii="Arial" w:cs="Arial" w:eastAsia="Arial" w:hAnsi="Arial"/>
          <w:sz w:val="11"/>
          <w:szCs w:val="11"/>
          <w:color w:val="auto"/>
        </w:rPr>
        <w:t>Excludes net debt issuance costs, which are recorded as a reduction to long-term debt on the Company’s consolidated balance sheets.</w:t>
      </w:r>
    </w:p>
    <w:p>
      <w:pPr>
        <w:spacing w:after="0" w:line="11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December 31, 2022 and 2021: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4"/>
          </w:tcPr>
          <w:p>
            <w:pPr>
              <w:ind w:left="400"/>
              <w:spacing w:after="0"/>
              <w:rPr>
                <w:sz w:val="20"/>
                <w:szCs w:val="20"/>
                <w:color w:val="auto"/>
              </w:rPr>
            </w:pPr>
            <w:r>
              <w:rPr>
                <w:rFonts w:ascii="Arial" w:cs="Arial" w:eastAsia="Arial" w:hAnsi="Arial"/>
                <w:sz w:val="11"/>
                <w:szCs w:val="11"/>
                <w:b w:val="1"/>
                <w:bCs w:val="1"/>
                <w:color w:val="auto"/>
              </w:rPr>
              <w:t>As of December 31, 2022</w:t>
            </w:r>
          </w:p>
        </w:tc>
        <w:tc>
          <w:tcPr>
            <w:tcW w:w="340" w:type="dxa"/>
            <w:vAlign w:val="bottom"/>
          </w:tcPr>
          <w:p>
            <w:pPr>
              <w:spacing w:after="0"/>
              <w:rPr>
                <w:sz w:val="13"/>
                <w:szCs w:val="13"/>
                <w:color w:val="auto"/>
              </w:rPr>
            </w:pPr>
          </w:p>
        </w:tc>
        <w:tc>
          <w:tcPr>
            <w:tcW w:w="2140" w:type="dxa"/>
            <w:vAlign w:val="bottom"/>
            <w:gridSpan w:val="3"/>
          </w:tcPr>
          <w:p>
            <w:pPr>
              <w:jc w:val="right"/>
              <w:ind w:right="576"/>
              <w:spacing w:after="0"/>
              <w:rPr>
                <w:sz w:val="20"/>
                <w:szCs w:val="20"/>
                <w:color w:val="auto"/>
              </w:rPr>
            </w:pPr>
            <w:r>
              <w:rPr>
                <w:rFonts w:ascii="Arial" w:cs="Arial" w:eastAsia="Arial" w:hAnsi="Arial"/>
                <w:sz w:val="11"/>
                <w:szCs w:val="11"/>
                <w:b w:val="1"/>
                <w:bCs w:val="1"/>
                <w:color w:val="auto"/>
              </w:rPr>
              <w:t>As of December 31, 2021</w:t>
            </w:r>
          </w:p>
        </w:tc>
      </w:tr>
      <w:tr>
        <w:trPr>
          <w:trHeight w:val="153"/>
        </w:trPr>
        <w:tc>
          <w:tcPr>
            <w:tcW w:w="61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Level 2</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1"/>
                <w:szCs w:val="11"/>
                <w:b w:val="1"/>
                <w:bCs w:val="1"/>
                <w:color w:val="auto"/>
              </w:rPr>
              <w:t>Level 3</w:t>
            </w:r>
          </w:p>
        </w:tc>
        <w:tc>
          <w:tcPr>
            <w:tcW w:w="10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1"/>
                <w:szCs w:val="11"/>
                <w:b w:val="1"/>
                <w:bCs w:val="1"/>
                <w:color w:val="auto"/>
              </w:rPr>
              <w:t>Level 2</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1"/>
                <w:szCs w:val="11"/>
                <w:b w:val="1"/>
                <w:bCs w:val="1"/>
                <w:color w:val="auto"/>
              </w:rPr>
              <w:t>Level 3</w:t>
            </w:r>
          </w:p>
        </w:tc>
      </w:tr>
      <w:tr>
        <w:trPr>
          <w:trHeight w:val="150"/>
        </w:trPr>
        <w:tc>
          <w:tcPr>
            <w:tcW w:w="6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3"/>
          </w:tcPr>
          <w:p>
            <w:pPr>
              <w:jc w:val="right"/>
              <w:ind w:right="29"/>
              <w:spacing w:after="0"/>
              <w:rPr>
                <w:sz w:val="20"/>
                <w:szCs w:val="20"/>
                <w:color w:val="auto"/>
              </w:rPr>
            </w:pPr>
            <w:r>
              <w:rPr>
                <w:rFonts w:ascii="Arial" w:cs="Arial" w:eastAsia="Arial" w:hAnsi="Arial"/>
                <w:sz w:val="11"/>
                <w:szCs w:val="11"/>
                <w:b w:val="1"/>
                <w:bCs w:val="1"/>
                <w:color w:val="auto"/>
              </w:rPr>
              <w:t>(In millions)</w:t>
            </w: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7"/>
        </w:trPr>
        <w:tc>
          <w:tcPr>
            <w:tcW w:w="6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debt, including current portion</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1,836</w:t>
            </w:r>
          </w:p>
        </w:tc>
        <w:tc>
          <w:tcPr>
            <w:tcW w:w="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4"/>
                <w:szCs w:val="14"/>
                <w:color w:val="auto"/>
              </w:rPr>
              <w:t>2,160</w:t>
            </w:r>
          </w:p>
        </w:tc>
        <w:tc>
          <w:tcPr>
            <w:tcW w:w="3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5,838</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i w:val="1"/>
          <w:iCs w:val="1"/>
          <w:color w:val="auto"/>
        </w:rPr>
        <w:t>Recurring Fair Value Measurements</w:t>
      </w:r>
    </w:p>
    <w:p>
      <w:pPr>
        <w:spacing w:after="0" w:line="136"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20" w:type="dxa"/>
            <w:vAlign w:val="bottom"/>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1"/>
                <w:szCs w:val="11"/>
                <w:b w:val="1"/>
                <w:bCs w:val="1"/>
                <w:color w:val="auto"/>
                <w:w w:val="98"/>
              </w:rPr>
              <w:t>As of December 31, 2022</w:t>
            </w:r>
          </w:p>
        </w:tc>
        <w:tc>
          <w:tcPr>
            <w:tcW w:w="1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1"/>
                <w:szCs w:val="11"/>
                <w:b w:val="1"/>
                <w:bCs w:val="1"/>
                <w:color w:val="auto"/>
              </w:rPr>
              <w:t>As of December 31, 2021</w:t>
            </w:r>
          </w:p>
        </w:tc>
        <w:tc>
          <w:tcPr>
            <w:tcW w:w="1340" w:type="dxa"/>
            <w:vAlign w:val="bottom"/>
            <w:tcBorders>
              <w:bottom w:val="single" w:sz="8" w:color="auto"/>
            </w:tcBorders>
          </w:tcPr>
          <w:p>
            <w:pPr>
              <w:spacing w:after="0"/>
              <w:rPr>
                <w:sz w:val="13"/>
                <w:szCs w:val="13"/>
                <w:color w:val="auto"/>
              </w:rPr>
            </w:pPr>
          </w:p>
        </w:tc>
      </w:tr>
      <w:tr>
        <w:trPr>
          <w:trHeight w:val="159"/>
        </w:trPr>
        <w:tc>
          <w:tcPr>
            <w:tcW w:w="3020" w:type="dxa"/>
            <w:vAlign w:val="bottom"/>
          </w:tcPr>
          <w:p>
            <w:pPr>
              <w:spacing w:after="0"/>
              <w:rPr>
                <w:sz w:val="13"/>
                <w:szCs w:val="13"/>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Fair Value</w:t>
            </w: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760"/>
              <w:spacing w:after="0" w:line="159" w:lineRule="exact"/>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(a)</w:t>
            </w:r>
          </w:p>
        </w:tc>
        <w:tc>
          <w:tcPr>
            <w:tcW w:w="4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1"/>
                <w:szCs w:val="11"/>
                <w:b w:val="1"/>
                <w:bCs w:val="1"/>
                <w:color w:val="auto"/>
                <w:w w:val="98"/>
              </w:rPr>
              <w:t>Fair Value</w:t>
            </w:r>
          </w:p>
        </w:tc>
        <w:tc>
          <w:tcPr>
            <w:tcW w:w="5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73"/>
              <w:spacing w:after="0" w:line="159" w:lineRule="exact"/>
              <w:rPr>
                <w:sz w:val="20"/>
                <w:szCs w:val="20"/>
                <w:color w:val="auto"/>
              </w:rPr>
            </w:pPr>
            <w:r>
              <w:rPr>
                <w:rFonts w:ascii="Arial" w:cs="Arial" w:eastAsia="Arial" w:hAnsi="Arial"/>
                <w:sz w:val="11"/>
                <w:szCs w:val="11"/>
                <w:b w:val="1"/>
                <w:bCs w:val="1"/>
                <w:color w:val="auto"/>
              </w:rPr>
              <w:t xml:space="preserve">Fair Value </w:t>
            </w:r>
            <w:r>
              <w:rPr>
                <w:rFonts w:ascii="Arial" w:cs="Arial" w:eastAsia="Arial" w:hAnsi="Arial"/>
                <w:sz w:val="14"/>
                <w:szCs w:val="14"/>
                <w:b w:val="1"/>
                <w:bCs w:val="1"/>
                <w:color w:val="auto"/>
                <w:vertAlign w:val="superscript"/>
              </w:rPr>
              <w:t>(a)</w:t>
            </w:r>
          </w:p>
        </w:tc>
      </w:tr>
      <w:tr>
        <w:trPr>
          <w:trHeight w:val="150"/>
        </w:trPr>
        <w:tc>
          <w:tcPr>
            <w:tcW w:w="302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1360" w:type="dxa"/>
            <w:vAlign w:val="bottom"/>
          </w:tcPr>
          <w:p>
            <w:pPr>
              <w:jc w:val="right"/>
              <w:ind w:right="54"/>
              <w:spacing w:after="0" w:line="150" w:lineRule="exact"/>
              <w:rPr>
                <w:sz w:val="20"/>
                <w:szCs w:val="20"/>
                <w:color w:val="auto"/>
              </w:rPr>
            </w:pPr>
            <w:r>
              <w:rPr>
                <w:rFonts w:ascii="Arial" w:cs="Arial" w:eastAsia="Arial" w:hAnsi="Arial"/>
                <w:sz w:val="11"/>
                <w:szCs w:val="11"/>
                <w:b w:val="1"/>
                <w:bCs w:val="1"/>
                <w:color w:val="auto"/>
              </w:rPr>
              <w:t xml:space="preserve">Level 2 </w:t>
            </w:r>
            <w:r>
              <w:rPr>
                <w:rFonts w:ascii="Arial" w:cs="Arial" w:eastAsia="Arial" w:hAnsi="Arial"/>
                <w:sz w:val="14"/>
                <w:szCs w:val="14"/>
                <w:b w:val="1"/>
                <w:bCs w:val="1"/>
                <w:color w:val="auto"/>
                <w:vertAlign w:val="superscript"/>
              </w:rPr>
              <w:t>(b)</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00" w:type="dxa"/>
            <w:vAlign w:val="bottom"/>
            <w:gridSpan w:val="2"/>
          </w:tcPr>
          <w:p>
            <w:pPr>
              <w:jc w:val="center"/>
              <w:ind w:right="740"/>
              <w:spacing w:after="0"/>
              <w:rPr>
                <w:sz w:val="20"/>
                <w:szCs w:val="20"/>
                <w:color w:val="auto"/>
              </w:rPr>
            </w:pPr>
            <w:r>
              <w:rPr>
                <w:rFonts w:ascii="Arial" w:cs="Arial" w:eastAsia="Arial" w:hAnsi="Arial"/>
                <w:sz w:val="11"/>
                <w:szCs w:val="11"/>
                <w:b w:val="1"/>
                <w:bCs w:val="1"/>
                <w:color w:val="auto"/>
                <w:w w:val="96"/>
              </w:rPr>
              <w:t>Level 3</w:t>
            </w:r>
          </w:p>
        </w:tc>
        <w:tc>
          <w:tcPr>
            <w:tcW w:w="420" w:type="dxa"/>
            <w:vAlign w:val="bottom"/>
          </w:tcPr>
          <w:p>
            <w:pPr>
              <w:spacing w:after="0"/>
              <w:rPr>
                <w:sz w:val="13"/>
                <w:szCs w:val="13"/>
                <w:color w:val="auto"/>
              </w:rPr>
            </w:pPr>
          </w:p>
        </w:tc>
        <w:tc>
          <w:tcPr>
            <w:tcW w:w="1700" w:type="dxa"/>
            <w:vAlign w:val="bottom"/>
            <w:gridSpan w:val="2"/>
          </w:tcPr>
          <w:p>
            <w:pPr>
              <w:jc w:val="center"/>
              <w:ind w:right="540"/>
              <w:spacing w:after="0"/>
              <w:rPr>
                <w:sz w:val="20"/>
                <w:szCs w:val="20"/>
                <w:color w:val="auto"/>
              </w:rPr>
            </w:pPr>
            <w:r>
              <w:rPr>
                <w:rFonts w:ascii="Arial" w:cs="Arial" w:eastAsia="Arial" w:hAnsi="Arial"/>
                <w:sz w:val="11"/>
                <w:szCs w:val="11"/>
                <w:b w:val="1"/>
                <w:bCs w:val="1"/>
                <w:color w:val="auto"/>
                <w:w w:val="96"/>
              </w:rPr>
              <w:t>Level 2</w:t>
            </w:r>
          </w:p>
        </w:tc>
        <w:tc>
          <w:tcPr>
            <w:tcW w:w="560" w:type="dxa"/>
            <w:vAlign w:val="bottom"/>
          </w:tcPr>
          <w:p>
            <w:pPr>
              <w:spacing w:after="0"/>
              <w:rPr>
                <w:sz w:val="13"/>
                <w:szCs w:val="13"/>
                <w:color w:val="auto"/>
              </w:rPr>
            </w:pPr>
          </w:p>
        </w:tc>
        <w:tc>
          <w:tcPr>
            <w:tcW w:w="1340" w:type="dxa"/>
            <w:vAlign w:val="bottom"/>
          </w:tcPr>
          <w:p>
            <w:pPr>
              <w:jc w:val="right"/>
              <w:ind w:right="713"/>
              <w:spacing w:after="0"/>
              <w:rPr>
                <w:sz w:val="20"/>
                <w:szCs w:val="20"/>
                <w:color w:val="auto"/>
              </w:rPr>
            </w:pPr>
            <w:r>
              <w:rPr>
                <w:rFonts w:ascii="Arial" w:cs="Arial" w:eastAsia="Arial" w:hAnsi="Arial"/>
                <w:sz w:val="11"/>
                <w:szCs w:val="11"/>
                <w:b w:val="1"/>
                <w:bCs w:val="1"/>
                <w:color w:val="auto"/>
              </w:rPr>
              <w:t>Level 3</w:t>
            </w:r>
          </w:p>
        </w:tc>
      </w:tr>
      <w:tr>
        <w:trPr>
          <w:trHeight w:val="160"/>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 assets</w:t>
            </w:r>
          </w:p>
        </w:tc>
        <w:tc>
          <w:tcPr>
            <w:tcW w:w="13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r>
      <w:tr>
        <w:trPr>
          <w:trHeight w:val="180"/>
        </w:trPr>
        <w:tc>
          <w:tcPr>
            <w:tcW w:w="3020" w:type="dxa"/>
            <w:vAlign w:val="bottom"/>
          </w:tcPr>
          <w:p>
            <w:pPr>
              <w:jc w:val="center"/>
              <w:ind w:right="1171"/>
              <w:spacing w:after="0"/>
              <w:rPr>
                <w:sz w:val="20"/>
                <w:szCs w:val="20"/>
                <w:color w:val="auto"/>
              </w:rPr>
            </w:pPr>
            <w:r>
              <w:rPr>
                <w:rFonts w:ascii="Arial" w:cs="Arial" w:eastAsia="Arial" w:hAnsi="Arial"/>
                <w:sz w:val="14"/>
                <w:szCs w:val="14"/>
                <w:color w:val="auto"/>
                <w:w w:val="90"/>
              </w:rPr>
              <w:t>Interest rate contracts</w:t>
            </w:r>
          </w:p>
        </w:tc>
        <w:tc>
          <w:tcPr>
            <w:tcW w:w="1360" w:type="dxa"/>
            <w:vAlign w:val="bottom"/>
          </w:tcPr>
          <w:p>
            <w:pPr>
              <w:jc w:val="right"/>
              <w:ind w:right="1194"/>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0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Other financial instruments </w:t>
            </w:r>
            <w:r>
              <w:rPr>
                <w:rFonts w:ascii="Arial" w:cs="Arial" w:eastAsia="Arial" w:hAnsi="Arial"/>
                <w:sz w:val="18"/>
                <w:szCs w:val="18"/>
                <w:color w:val="auto"/>
                <w:vertAlign w:val="superscript"/>
              </w:rPr>
              <w:t>(c)</w:t>
            </w:r>
          </w:p>
        </w:tc>
        <w:tc>
          <w:tcPr>
            <w:tcW w:w="1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71"/>
        </w:trPr>
        <w:tc>
          <w:tcPr>
            <w:tcW w:w="3020" w:type="dxa"/>
            <w:vAlign w:val="bottom"/>
          </w:tcPr>
          <w:p>
            <w:pPr>
              <w:ind w:left="440"/>
              <w:spacing w:after="0"/>
              <w:rPr>
                <w:sz w:val="20"/>
                <w:szCs w:val="20"/>
                <w:color w:val="auto"/>
              </w:rPr>
            </w:pPr>
            <w:r>
              <w:rPr>
                <w:rFonts w:ascii="Arial" w:cs="Arial" w:eastAsia="Arial" w:hAnsi="Arial"/>
                <w:sz w:val="14"/>
                <w:szCs w:val="14"/>
                <w:b w:val="1"/>
                <w:bCs w:val="1"/>
                <w:color w:val="auto"/>
              </w:rPr>
              <w:t>Total assets</w:t>
            </w:r>
          </w:p>
        </w:tc>
        <w:tc>
          <w:tcPr>
            <w:tcW w:w="1360" w:type="dxa"/>
            <w:vAlign w:val="bottom"/>
            <w:tcBorders>
              <w:top w:val="single" w:sz="8" w:color="auto"/>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42"/>
        </w:trPr>
        <w:tc>
          <w:tcPr>
            <w:tcW w:w="30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Derivative liabilities</w:t>
            </w:r>
          </w:p>
        </w:tc>
        <w:tc>
          <w:tcPr>
            <w:tcW w:w="1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80"/>
        </w:trPr>
        <w:tc>
          <w:tcPr>
            <w:tcW w:w="3020" w:type="dxa"/>
            <w:vAlign w:val="bottom"/>
          </w:tcPr>
          <w:p>
            <w:pPr>
              <w:jc w:val="center"/>
              <w:ind w:right="1171"/>
              <w:spacing w:after="0"/>
              <w:rPr>
                <w:sz w:val="20"/>
                <w:szCs w:val="20"/>
                <w:color w:val="auto"/>
              </w:rPr>
            </w:pPr>
            <w:r>
              <w:rPr>
                <w:rFonts w:ascii="Arial" w:cs="Arial" w:eastAsia="Arial" w:hAnsi="Arial"/>
                <w:sz w:val="14"/>
                <w:szCs w:val="14"/>
                <w:color w:val="auto"/>
                <w:w w:val="92"/>
              </w:rPr>
              <w:t>Commodity contracts</w:t>
            </w:r>
          </w:p>
        </w:tc>
        <w:tc>
          <w:tcPr>
            <w:tcW w:w="1360" w:type="dxa"/>
            <w:vAlign w:val="bottom"/>
          </w:tcPr>
          <w:p>
            <w:pPr>
              <w:jc w:val="right"/>
              <w:ind w:right="1194"/>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69"/>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181"/>
        </w:trPr>
        <w:tc>
          <w:tcPr>
            <w:tcW w:w="3020" w:type="dxa"/>
            <w:vAlign w:val="bottom"/>
            <w:shd w:val="clear" w:color="auto" w:fill="CCEEFF"/>
          </w:tcPr>
          <w:p>
            <w:pPr>
              <w:jc w:val="center"/>
              <w:ind w:right="1171"/>
              <w:spacing w:after="0"/>
              <w:rPr>
                <w:sz w:val="20"/>
                <w:szCs w:val="20"/>
                <w:color w:val="auto"/>
              </w:rPr>
            </w:pPr>
            <w:r>
              <w:rPr>
                <w:rFonts w:ascii="Arial" w:cs="Arial" w:eastAsia="Arial" w:hAnsi="Arial"/>
                <w:sz w:val="14"/>
                <w:szCs w:val="14"/>
                <w:color w:val="auto"/>
                <w:w w:val="90"/>
              </w:rPr>
              <w:t>Interest rate contracts</w:t>
            </w:r>
          </w:p>
        </w:tc>
        <w:tc>
          <w:tcPr>
            <w:tcW w:w="1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3020" w:type="dxa"/>
            <w:vAlign w:val="bottom"/>
          </w:tcPr>
          <w:p>
            <w:pPr>
              <w:jc w:val="center"/>
              <w:ind w:right="1191"/>
              <w:spacing w:after="0"/>
              <w:rPr>
                <w:sz w:val="20"/>
                <w:szCs w:val="20"/>
                <w:color w:val="auto"/>
              </w:rPr>
            </w:pPr>
            <w:r>
              <w:rPr>
                <w:rFonts w:ascii="Arial" w:cs="Arial" w:eastAsia="Arial" w:hAnsi="Arial"/>
                <w:sz w:val="14"/>
                <w:szCs w:val="14"/>
                <w:b w:val="1"/>
                <w:bCs w:val="1"/>
                <w:color w:val="auto"/>
                <w:w w:val="90"/>
              </w:rPr>
              <w:t>Total liabilities</w:t>
            </w:r>
          </w:p>
        </w:tc>
        <w:tc>
          <w:tcPr>
            <w:tcW w:w="1360" w:type="dxa"/>
            <w:vAlign w:val="bottom"/>
            <w:tcBorders>
              <w:top w:val="single" w:sz="8" w:color="auto"/>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69"/>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w:t>
            </w:r>
          </w:p>
        </w:tc>
      </w:tr>
      <w:tr>
        <w:trPr>
          <w:trHeight w:val="20"/>
        </w:trPr>
        <w:tc>
          <w:tcPr>
            <w:tcW w:w="3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200" w:hanging="131"/>
        <w:spacing w:after="0"/>
        <w:tabs>
          <w:tab w:leader="none" w:pos="200" w:val="left"/>
        </w:tabs>
        <w:numPr>
          <w:ilvl w:val="0"/>
          <w:numId w:val="70"/>
        </w:numPr>
        <w:rPr>
          <w:rFonts w:ascii="Arial" w:cs="Arial" w:eastAsia="Arial" w:hAnsi="Arial"/>
          <w:sz w:val="16"/>
          <w:szCs w:val="16"/>
          <w:color w:val="auto"/>
          <w:vertAlign w:val="superscript"/>
        </w:rPr>
      </w:pPr>
      <w:r>
        <w:rPr>
          <w:rFonts w:ascii="Arial" w:cs="Arial" w:eastAsia="Arial" w:hAnsi="Arial"/>
          <w:sz w:val="11"/>
          <w:szCs w:val="11"/>
          <w:color w:val="auto"/>
        </w:rPr>
        <w:t>There were no derivative assets classified as Level 1 or Level 3 and no liabilities classified as Level 1 as of December 31, 2022 and December 31, 2021.</w:t>
      </w:r>
    </w:p>
    <w:p>
      <w:pPr>
        <w:spacing w:after="0" w:line="39" w:lineRule="exact"/>
        <w:rPr>
          <w:rFonts w:ascii="Arial" w:cs="Arial" w:eastAsia="Arial" w:hAnsi="Arial"/>
          <w:sz w:val="16"/>
          <w:szCs w:val="16"/>
          <w:color w:val="auto"/>
          <w:vertAlign w:val="superscript"/>
        </w:rPr>
      </w:pPr>
    </w:p>
    <w:p>
      <w:pPr>
        <w:ind w:left="60" w:firstLine="9"/>
        <w:spacing w:after="0"/>
        <w:tabs>
          <w:tab w:leader="none" w:pos="190" w:val="left"/>
        </w:tabs>
        <w:numPr>
          <w:ilvl w:val="0"/>
          <w:numId w:val="70"/>
        </w:numPr>
        <w:rPr>
          <w:rFonts w:ascii="Arial" w:cs="Arial" w:eastAsia="Arial" w:hAnsi="Arial"/>
          <w:sz w:val="14"/>
          <w:szCs w:val="14"/>
          <w:color w:val="auto"/>
          <w:vertAlign w:val="superscript"/>
        </w:rPr>
      </w:pPr>
      <w:r>
        <w:rPr>
          <w:rFonts w:ascii="Arial" w:cs="Arial" w:eastAsia="Arial" w:hAnsi="Arial"/>
          <w:sz w:val="10"/>
          <w:szCs w:val="10"/>
          <w:color w:val="auto"/>
        </w:rPr>
        <w:t>The Company’s interest rate swaps are measured at fair value using an income approach, which use readily observable inputs, such as forward interest rates (e.g., LIBOR and SOFR) and contractual terms to estimate fair value.</w:t>
      </w:r>
    </w:p>
    <w:p>
      <w:pPr>
        <w:spacing w:after="0" w:line="156" w:lineRule="exact"/>
        <w:rPr>
          <w:rFonts w:ascii="Arial" w:cs="Arial" w:eastAsia="Arial" w:hAnsi="Arial"/>
          <w:sz w:val="14"/>
          <w:szCs w:val="14"/>
          <w:color w:val="auto"/>
          <w:vertAlign w:val="superscript"/>
        </w:rPr>
      </w:pPr>
    </w:p>
    <w:p>
      <w:pPr>
        <w:ind w:left="200" w:hanging="131"/>
        <w:spacing w:after="0"/>
        <w:tabs>
          <w:tab w:leader="none" w:pos="200" w:val="left"/>
        </w:tabs>
        <w:numPr>
          <w:ilvl w:val="0"/>
          <w:numId w:val="70"/>
        </w:numPr>
        <w:rPr>
          <w:rFonts w:ascii="Arial" w:cs="Arial" w:eastAsia="Arial" w:hAnsi="Arial"/>
          <w:sz w:val="16"/>
          <w:szCs w:val="16"/>
          <w:color w:val="auto"/>
          <w:vertAlign w:val="superscript"/>
        </w:rPr>
      </w:pPr>
      <w:r>
        <w:rPr>
          <w:rFonts w:ascii="Arial" w:cs="Arial" w:eastAsia="Arial" w:hAnsi="Arial"/>
          <w:sz w:val="11"/>
          <w:szCs w:val="11"/>
          <w:color w:val="auto"/>
        </w:rPr>
        <w:t>Includes SREC contract.</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reconciles the beginning and ending balances for instruments that are recognized at fair value in the consolidated financial statements using significant unobservable inputs: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w w:val="95"/>
              </w:rPr>
              <w:t>Year ended December 31,</w:t>
            </w:r>
          </w:p>
        </w:tc>
        <w:tc>
          <w:tcPr>
            <w:tcW w:w="1300" w:type="dxa"/>
            <w:vAlign w:val="bottom"/>
            <w:tcBorders>
              <w:bottom w:val="single" w:sz="8" w:color="auto"/>
            </w:tcBorders>
          </w:tcPr>
          <w:p>
            <w:pPr>
              <w:spacing w:after="0"/>
              <w:rPr>
                <w:sz w:val="16"/>
                <w:szCs w:val="16"/>
                <w:color w:val="auto"/>
              </w:rPr>
            </w:pPr>
          </w:p>
        </w:tc>
      </w:tr>
      <w:tr>
        <w:trPr>
          <w:trHeight w:val="171"/>
        </w:trPr>
        <w:tc>
          <w:tcPr>
            <w:tcW w:w="6940" w:type="dxa"/>
            <w:vAlign w:val="bottom"/>
          </w:tcPr>
          <w:p>
            <w:pPr>
              <w:spacing w:after="0"/>
              <w:rPr>
                <w:sz w:val="14"/>
                <w:szCs w:val="14"/>
                <w:color w:val="auto"/>
              </w:rPr>
            </w:pPr>
          </w:p>
        </w:tc>
        <w:tc>
          <w:tcPr>
            <w:tcW w:w="130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49"/>
              <w:spacing w:after="0"/>
              <w:rPr>
                <w:sz w:val="20"/>
                <w:szCs w:val="20"/>
                <w:color w:val="auto"/>
              </w:rPr>
            </w:pPr>
            <w:r>
              <w:rPr>
                <w:rFonts w:ascii="Arial" w:cs="Arial" w:eastAsia="Arial" w:hAnsi="Arial"/>
                <w:sz w:val="14"/>
                <w:szCs w:val="14"/>
                <w:b w:val="1"/>
                <w:bCs w:val="1"/>
                <w:color w:val="auto"/>
              </w:rPr>
              <w:t>2021</w:t>
            </w:r>
          </w:p>
        </w:tc>
      </w:tr>
      <w:tr>
        <w:trPr>
          <w:trHeight w:val="135"/>
        </w:trPr>
        <w:tc>
          <w:tcPr>
            <w:tcW w:w="6940" w:type="dxa"/>
            <w:vAlign w:val="bottom"/>
          </w:tcPr>
          <w:p>
            <w:pPr>
              <w:spacing w:after="0"/>
              <w:rPr>
                <w:sz w:val="11"/>
                <w:szCs w:val="11"/>
                <w:color w:val="auto"/>
              </w:rPr>
            </w:pPr>
          </w:p>
        </w:tc>
        <w:tc>
          <w:tcPr>
            <w:tcW w:w="4340" w:type="dxa"/>
            <w:vAlign w:val="bottom"/>
            <w:gridSpan w:val="5"/>
          </w:tcPr>
          <w:p>
            <w:pPr>
              <w:ind w:left="40"/>
              <w:spacing w:after="0" w:line="135" w:lineRule="exact"/>
              <w:rPr>
                <w:sz w:val="20"/>
                <w:szCs w:val="20"/>
                <w:color w:val="auto"/>
              </w:rPr>
            </w:pPr>
            <w:r>
              <w:rPr>
                <w:rFonts w:ascii="Arial" w:cs="Arial" w:eastAsia="Arial" w:hAnsi="Arial"/>
                <w:sz w:val="14"/>
                <w:szCs w:val="14"/>
                <w:b w:val="1"/>
                <w:bCs w:val="1"/>
                <w:color w:val="auto"/>
                <w:w w:val="91"/>
              </w:rPr>
              <w:t>Fair Value Measurement Using Significant Unobservable Inputs (Level</w:t>
            </w:r>
          </w:p>
        </w:tc>
      </w:tr>
      <w:tr>
        <w:trPr>
          <w:trHeight w:val="184"/>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729"/>
              <w:spacing w:after="0"/>
              <w:rPr>
                <w:sz w:val="20"/>
                <w:szCs w:val="20"/>
                <w:color w:val="auto"/>
              </w:rPr>
            </w:pPr>
            <w:r>
              <w:rPr>
                <w:rFonts w:ascii="Arial" w:cs="Arial" w:eastAsia="Arial" w:hAnsi="Arial"/>
                <w:sz w:val="14"/>
                <w:szCs w:val="14"/>
                <w:b w:val="1"/>
                <w:bCs w:val="1"/>
                <w:color w:val="auto"/>
                <w:w w:val="79"/>
              </w:rPr>
              <w:t>3)</w:t>
            </w:r>
          </w:p>
        </w:tc>
        <w:tc>
          <w:tcPr>
            <w:tcW w:w="1300" w:type="dxa"/>
            <w:vAlign w:val="bottom"/>
            <w:tcBorders>
              <w:bottom w:val="single" w:sz="8" w:color="auto"/>
            </w:tcBorders>
          </w:tcPr>
          <w:p>
            <w:pPr>
              <w:spacing w:after="0"/>
              <w:rPr>
                <w:sz w:val="16"/>
                <w:szCs w:val="16"/>
                <w:color w:val="auto"/>
              </w:rPr>
            </w:pPr>
          </w:p>
        </w:tc>
      </w:tr>
      <w:tr>
        <w:trPr>
          <w:trHeight w:val="171"/>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w:t>
            </w:r>
          </w:p>
        </w:tc>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920" w:type="dxa"/>
            <w:vAlign w:val="bottom"/>
            <w:gridSpan w:val="2"/>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0"/>
        </w:trPr>
        <w:tc>
          <w:tcPr>
            <w:tcW w:w="694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1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1"/>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Contracts acquired</w:t>
            </w:r>
          </w:p>
        </w:tc>
        <w:tc>
          <w:tcPr>
            <w:tcW w:w="13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80"/>
        </w:trPr>
        <w:tc>
          <w:tcPr>
            <w:tcW w:w="6940" w:type="dxa"/>
            <w:vAlign w:val="bottom"/>
          </w:tcPr>
          <w:p>
            <w:pPr>
              <w:ind w:left="20"/>
              <w:spacing w:after="0"/>
              <w:rPr>
                <w:sz w:val="20"/>
                <w:szCs w:val="20"/>
                <w:color w:val="auto"/>
              </w:rPr>
            </w:pPr>
            <w:r>
              <w:rPr>
                <w:rFonts w:ascii="Arial" w:cs="Arial" w:eastAsia="Arial" w:hAnsi="Arial"/>
                <w:sz w:val="14"/>
                <w:szCs w:val="14"/>
                <w:color w:val="auto"/>
              </w:rPr>
              <w:t>Additions due to loss of NPNS exception</w:t>
            </w:r>
          </w:p>
        </w:tc>
        <w:tc>
          <w:tcPr>
            <w:tcW w:w="1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losses for the period included in earnings</w:t>
            </w:r>
          </w:p>
        </w:tc>
        <w:tc>
          <w:tcPr>
            <w:tcW w:w="1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171"/>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Ending balance</w:t>
            </w: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10"/>
        </w:trPr>
        <w:tc>
          <w:tcPr>
            <w:tcW w:w="6940" w:type="dxa"/>
            <w:vAlign w:val="bottom"/>
            <w:shd w:val="clear" w:color="auto" w:fill="CCEEFF"/>
          </w:tcPr>
          <w:p>
            <w:pPr>
              <w:ind w:left="100"/>
              <w:spacing w:after="0" w:line="110" w:lineRule="exact"/>
              <w:rPr>
                <w:sz w:val="20"/>
                <w:szCs w:val="20"/>
                <w:color w:val="auto"/>
              </w:rPr>
            </w:pPr>
            <w:r>
              <w:rPr>
                <w:rFonts w:ascii="Arial" w:cs="Arial" w:eastAsia="Arial" w:hAnsi="Arial"/>
                <w:sz w:val="12"/>
                <w:szCs w:val="12"/>
                <w:color w:val="auto"/>
              </w:rPr>
              <w:t>Change in unrealized losses included in earnings for derivatives and other financial instruments held as of December</w:t>
            </w:r>
          </w:p>
        </w:tc>
        <w:tc>
          <w:tcPr>
            <w:tcW w:w="1300" w:type="dxa"/>
            <w:vAlign w:val="bottom"/>
            <w:shd w:val="clear" w:color="auto" w:fill="CCEEFF"/>
          </w:tcPr>
          <w:p>
            <w:pPr>
              <w:spacing w:after="0"/>
              <w:rPr>
                <w:sz w:val="9"/>
                <w:szCs w:val="9"/>
                <w:color w:val="auto"/>
              </w:rPr>
            </w:pPr>
          </w:p>
        </w:tc>
        <w:tc>
          <w:tcPr>
            <w:tcW w:w="820" w:type="dxa"/>
            <w:vAlign w:val="bottom"/>
            <w:tcBorders>
              <w:right w:val="single" w:sz="8" w:color="CCEEFF"/>
            </w:tcBorders>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r>
      <w:tr>
        <w:trPr>
          <w:trHeight w:val="180"/>
        </w:trPr>
        <w:tc>
          <w:tcPr>
            <w:tcW w:w="6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31,</w:t>
            </w:r>
          </w:p>
        </w:tc>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5"/>
                <w:szCs w:val="15"/>
                <w:color w:val="auto"/>
              </w:rPr>
            </w:pPr>
          </w:p>
        </w:tc>
        <w:tc>
          <w:tcPr>
            <w:tcW w:w="820" w:type="dxa"/>
            <w:vAlign w:val="bottom"/>
            <w:shd w:val="clear" w:color="auto" w:fill="CCEEFF"/>
          </w:tcPr>
          <w:p>
            <w:pPr>
              <w:jc w:val="right"/>
              <w:ind w:right="6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Derivative and Financial Instruments Fair Value Measurements</w:t>
      </w:r>
    </w:p>
    <w:p>
      <w:pPr>
        <w:spacing w:after="0" w:line="136"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The Company’s contracts are non-exchange-traded and valued using prices provided by external sources. The Company uses quoted observable forward prices to value its energy contracts. To the extent that observable forward prices are not available, the quoted prices reflect the average of the forward prices from the prior year, adjusted for inflation. As of December 31, 2022, contracts valued with prices provided by models and other valuation techniques make up 100% of derivative liabilities and 100% of other financial instruments.</w:t>
      </w:r>
    </w:p>
    <w:p>
      <w:pPr>
        <w:spacing w:after="0" w:line="8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Company’s significant positions classified as Level 3 include physical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10" w:name="page111"/>
    <w:bookmarkEnd w:id="110"/>
    <w:p>
      <w:pPr>
        <w:ind w:left="320"/>
        <w:spacing w:after="0"/>
        <w:rPr>
          <w:sz w:val="20"/>
          <w:szCs w:val="20"/>
          <w:color w:val="auto"/>
        </w:rPr>
      </w:pPr>
      <w:r>
        <w:rPr>
          <w:rFonts w:ascii="Arial" w:cs="Arial" w:eastAsia="Arial" w:hAnsi="Arial"/>
          <w:sz w:val="14"/>
          <w:szCs w:val="14"/>
          <w:color w:val="auto"/>
        </w:rPr>
        <w:t>The following table quantifies the significant unobservable inputs used in developing the fair value of the Company’s Level 3 positions as of December 31,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90"/>
              </w:rPr>
              <w:t>December 31, 2022</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2"/>
          </w:tcPr>
          <w:p>
            <w:pPr>
              <w:jc w:val="right"/>
              <w:ind w:right="1349"/>
              <w:spacing w:after="0"/>
              <w:rPr>
                <w:sz w:val="20"/>
                <w:szCs w:val="20"/>
                <w:color w:val="auto"/>
              </w:rPr>
            </w:pPr>
            <w:r>
              <w:rPr>
                <w:rFonts w:ascii="Arial" w:cs="Arial" w:eastAsia="Arial" w:hAnsi="Arial"/>
                <w:sz w:val="14"/>
                <w:szCs w:val="14"/>
                <w:b w:val="1"/>
                <w:bCs w:val="1"/>
                <w:color w:val="auto"/>
              </w:rPr>
              <w:t>Fair Value</w:t>
            </w:r>
          </w:p>
        </w:tc>
        <w:tc>
          <w:tcPr>
            <w:tcW w:w="1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Input/Range</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Significant Unobservable</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220" w:type="dxa"/>
            <w:vAlign w:val="bottom"/>
          </w:tcPr>
          <w:p>
            <w:pPr>
              <w:spacing w:after="0"/>
              <w:rPr>
                <w:sz w:val="16"/>
                <w:szCs w:val="16"/>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Assets</w:t>
            </w: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2"/>
              </w:rPr>
              <w:t>Liabilities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Valuation Technique</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Low</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1920" w:type="dxa"/>
            <w:vAlign w:val="bottom"/>
            <w:gridSpan w:val="3"/>
          </w:tcPr>
          <w:p>
            <w:pPr>
              <w:ind w:left="700"/>
              <w:spacing w:after="0"/>
              <w:rPr>
                <w:sz w:val="20"/>
                <w:szCs w:val="20"/>
                <w:color w:val="auto"/>
              </w:rPr>
            </w:pPr>
            <w:r>
              <w:rPr>
                <w:rFonts w:ascii="Arial" w:cs="Arial" w:eastAsia="Arial" w:hAnsi="Arial"/>
                <w:sz w:val="14"/>
                <w:szCs w:val="14"/>
                <w:b w:val="1"/>
                <w:bCs w:val="1"/>
                <w:color w:val="auto"/>
              </w:rPr>
              <w:t>(In millions)</w:t>
            </w:r>
          </w:p>
        </w:tc>
        <w:tc>
          <w:tcPr>
            <w:tcW w:w="1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220" w:type="dxa"/>
            <w:vAlign w:val="bottom"/>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Commodity Contracts</w:t>
            </w:r>
          </w:p>
        </w:tc>
        <w:tc>
          <w:tcPr>
            <w:tcW w:w="800" w:type="dxa"/>
            <w:vAlign w:val="bottom"/>
            <w:vMerge w:val="restart"/>
            <w:shd w:val="clear" w:color="auto" w:fill="CCEEFF"/>
          </w:tcPr>
          <w:p>
            <w:pPr>
              <w:jc w:val="right"/>
              <w:ind w:right="677"/>
              <w:spacing w:after="0"/>
              <w:rPr>
                <w:sz w:val="20"/>
                <w:szCs w:val="20"/>
                <w:color w:val="auto"/>
              </w:rPr>
            </w:pPr>
            <w:r>
              <w:rPr>
                <w:rFonts w:ascii="Arial" w:cs="Arial" w:eastAsia="Arial" w:hAnsi="Arial"/>
                <w:sz w:val="10"/>
                <w:szCs w:val="10"/>
                <w:color w:val="auto"/>
                <w:w w:val="71"/>
              </w:rPr>
              <w:t>$</w:t>
            </w:r>
          </w:p>
        </w:tc>
        <w:tc>
          <w:tcPr>
            <w:tcW w:w="42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 $</w:t>
            </w:r>
          </w:p>
        </w:tc>
        <w:tc>
          <w:tcPr>
            <w:tcW w:w="2240" w:type="dxa"/>
            <w:vAlign w:val="bottom"/>
            <w:gridSpan w:val="2"/>
            <w:vMerge w:val="restart"/>
            <w:shd w:val="clear" w:color="auto" w:fill="CCEEFF"/>
          </w:tcPr>
          <w:p>
            <w:pPr>
              <w:jc w:val="right"/>
              <w:ind w:right="89"/>
              <w:spacing w:after="0"/>
              <w:rPr>
                <w:sz w:val="20"/>
                <w:szCs w:val="20"/>
                <w:color w:val="auto"/>
              </w:rPr>
            </w:pPr>
            <w:r>
              <w:rPr>
                <w:rFonts w:ascii="Arial" w:cs="Arial" w:eastAsia="Arial" w:hAnsi="Arial"/>
                <w:sz w:val="13"/>
                <w:szCs w:val="13"/>
                <w:color w:val="auto"/>
              </w:rPr>
              <w:t>(353) Discounted Cash Flow</w:t>
            </w:r>
          </w:p>
        </w:tc>
        <w:tc>
          <w:tcPr>
            <w:tcW w:w="1660" w:type="dxa"/>
            <w:vAlign w:val="bottom"/>
            <w:shd w:val="clear" w:color="auto" w:fill="CCEEFF"/>
          </w:tcPr>
          <w:p>
            <w:pPr>
              <w:jc w:val="center"/>
              <w:spacing w:after="0" w:line="131" w:lineRule="exact"/>
              <w:rPr>
                <w:sz w:val="20"/>
                <w:szCs w:val="20"/>
                <w:color w:val="auto"/>
              </w:rPr>
            </w:pPr>
            <w:r>
              <w:rPr>
                <w:rFonts w:ascii="Arial" w:cs="Arial" w:eastAsia="Arial" w:hAnsi="Arial"/>
                <w:sz w:val="13"/>
                <w:szCs w:val="13"/>
                <w:color w:val="auto"/>
                <w:w w:val="90"/>
              </w:rPr>
              <w:t>Forward Market Price (per</w:t>
            </w:r>
          </w:p>
        </w:tc>
        <w:tc>
          <w:tcPr>
            <w:tcW w:w="280" w:type="dxa"/>
            <w:vAlign w:val="bottom"/>
            <w:vMerge w:val="restart"/>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21.25</w:t>
            </w:r>
          </w:p>
        </w:tc>
        <w:tc>
          <w:tcPr>
            <w:tcW w:w="2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100.66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41.09</w:t>
            </w:r>
          </w:p>
        </w:tc>
        <w:tc>
          <w:tcPr>
            <w:tcW w:w="0" w:type="dxa"/>
            <w:vAlign w:val="bottom"/>
          </w:tcPr>
          <w:p>
            <w:pPr>
              <w:spacing w:after="0"/>
              <w:rPr>
                <w:sz w:val="1"/>
                <w:szCs w:val="1"/>
                <w:color w:val="auto"/>
              </w:rPr>
            </w:pPr>
          </w:p>
        </w:tc>
      </w:tr>
      <w:tr>
        <w:trPr>
          <w:trHeight w:val="166"/>
        </w:trPr>
        <w:tc>
          <w:tcPr>
            <w:tcW w:w="222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2240" w:type="dxa"/>
            <w:vAlign w:val="bottom"/>
            <w:gridSpan w:val="2"/>
            <w:vMerge w:val="continue"/>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MWh)</w:t>
            </w:r>
          </w:p>
        </w:tc>
        <w:tc>
          <w:tcPr>
            <w:tcW w:w="280" w:type="dxa"/>
            <w:vAlign w:val="bottom"/>
            <w:vMerge w:val="continue"/>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660" w:type="dxa"/>
            <w:vAlign w:val="bottom"/>
          </w:tcPr>
          <w:p>
            <w:pPr>
              <w:jc w:val="center"/>
              <w:spacing w:after="0" w:line="131" w:lineRule="exact"/>
              <w:rPr>
                <w:sz w:val="20"/>
                <w:szCs w:val="20"/>
                <w:color w:val="auto"/>
              </w:rPr>
            </w:pPr>
            <w:r>
              <w:rPr>
                <w:rFonts w:ascii="Arial" w:cs="Arial" w:eastAsia="Arial" w:hAnsi="Arial"/>
                <w:sz w:val="13"/>
                <w:szCs w:val="13"/>
                <w:color w:val="auto"/>
                <w:w w:val="85"/>
              </w:rPr>
              <w:t>Forecast annual generation</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Other Financial Instruments</w:t>
            </w:r>
          </w:p>
        </w:tc>
        <w:tc>
          <w:tcPr>
            <w:tcW w:w="80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4"/>
                <w:szCs w:val="14"/>
                <w:color w:val="auto"/>
              </w:rPr>
              <w:t>17</w:t>
            </w:r>
          </w:p>
        </w:tc>
        <w:tc>
          <w:tcPr>
            <w:tcW w:w="700" w:type="dxa"/>
            <w:vAlign w:val="bottom"/>
          </w:tcPr>
          <w:p>
            <w:pPr>
              <w:spacing w:after="0"/>
              <w:rPr>
                <w:sz w:val="11"/>
                <w:szCs w:val="11"/>
                <w:color w:val="auto"/>
              </w:rPr>
            </w:pPr>
          </w:p>
        </w:tc>
        <w:tc>
          <w:tcPr>
            <w:tcW w:w="1540" w:type="dxa"/>
            <w:vAlign w:val="bottom"/>
            <w:vMerge w:val="restart"/>
          </w:tcPr>
          <w:p>
            <w:pPr>
              <w:jc w:val="right"/>
              <w:ind w:right="89"/>
              <w:spacing w:after="0"/>
              <w:rPr>
                <w:sz w:val="20"/>
                <w:szCs w:val="20"/>
                <w:color w:val="auto"/>
              </w:rPr>
            </w:pPr>
            <w:r>
              <w:rPr>
                <w:rFonts w:ascii="Arial" w:cs="Arial" w:eastAsia="Arial" w:hAnsi="Arial"/>
                <w:sz w:val="14"/>
                <w:szCs w:val="14"/>
                <w:color w:val="auto"/>
                <w:w w:val="98"/>
              </w:rPr>
              <w:t xml:space="preserve">— </w:t>
            </w:r>
            <w:r>
              <w:rPr>
                <w:rFonts w:ascii="Arial" w:cs="Arial" w:eastAsia="Arial" w:hAnsi="Arial"/>
                <w:sz w:val="12"/>
                <w:szCs w:val="12"/>
                <w:color w:val="auto"/>
                <w:w w:val="98"/>
              </w:rPr>
              <w:t>Discounted Cash Flow</w:t>
            </w:r>
          </w:p>
        </w:tc>
        <w:tc>
          <w:tcPr>
            <w:tcW w:w="1660" w:type="dxa"/>
            <w:vAlign w:val="bottom"/>
          </w:tcPr>
          <w:p>
            <w:pPr>
              <w:jc w:val="center"/>
              <w:spacing w:after="0" w:line="128" w:lineRule="exact"/>
              <w:rPr>
                <w:sz w:val="20"/>
                <w:szCs w:val="20"/>
                <w:color w:val="auto"/>
              </w:rPr>
            </w:pPr>
            <w:r>
              <w:rPr>
                <w:rFonts w:ascii="Arial" w:cs="Arial" w:eastAsia="Arial" w:hAnsi="Arial"/>
                <w:sz w:val="13"/>
                <w:szCs w:val="13"/>
                <w:color w:val="auto"/>
                <w:w w:val="90"/>
              </w:rPr>
              <w:t>levels of certain DG solar</w:t>
            </w:r>
          </w:p>
        </w:tc>
        <w:tc>
          <w:tcPr>
            <w:tcW w:w="2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58,539 MWh</w:t>
            </w:r>
          </w:p>
        </w:tc>
        <w:tc>
          <w:tcPr>
            <w:tcW w:w="22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117,078 MWh</w:t>
            </w:r>
          </w:p>
        </w:tc>
        <w:tc>
          <w:tcPr>
            <w:tcW w:w="1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112,897 MWh</w:t>
            </w:r>
          </w:p>
        </w:tc>
        <w:tc>
          <w:tcPr>
            <w:tcW w:w="0" w:type="dxa"/>
            <w:vAlign w:val="bottom"/>
          </w:tcPr>
          <w:p>
            <w:pPr>
              <w:spacing w:after="0"/>
              <w:rPr>
                <w:sz w:val="1"/>
                <w:szCs w:val="1"/>
                <w:color w:val="auto"/>
              </w:rPr>
            </w:pPr>
          </w:p>
        </w:tc>
      </w:tr>
      <w:tr>
        <w:trPr>
          <w:trHeight w:val="165"/>
        </w:trPr>
        <w:tc>
          <w:tcPr>
            <w:tcW w:w="22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3"/>
                <w:szCs w:val="13"/>
                <w:color w:val="auto"/>
                <w:w w:val="95"/>
              </w:rPr>
              <w:t>facilities</w:t>
            </w:r>
          </w:p>
        </w:tc>
        <w:tc>
          <w:tcPr>
            <w:tcW w:w="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provides the impact on the fair value measurements to increases/(decreases) in significant unobservable inputs as of December 31,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91"/>
              </w:rPr>
              <w:t>Significant Observable Input</w:t>
            </w:r>
          </w:p>
        </w:tc>
        <w:tc>
          <w:tcPr>
            <w:tcW w:w="2260" w:type="dxa"/>
            <w:vAlign w:val="bottom"/>
            <w:tcBorders>
              <w:bottom w:val="single" w:sz="8" w:color="auto"/>
            </w:tcBorders>
          </w:tcPr>
          <w:p>
            <w:pPr>
              <w:jc w:val="center"/>
              <w:ind w:left="289"/>
              <w:spacing w:after="0"/>
              <w:rPr>
                <w:sz w:val="20"/>
                <w:szCs w:val="20"/>
                <w:color w:val="auto"/>
              </w:rPr>
            </w:pPr>
            <w:r>
              <w:rPr>
                <w:rFonts w:ascii="Arial" w:cs="Arial" w:eastAsia="Arial" w:hAnsi="Arial"/>
                <w:sz w:val="14"/>
                <w:szCs w:val="14"/>
                <w:b w:val="1"/>
                <w:bCs w:val="1"/>
                <w:color w:val="auto"/>
                <w:w w:val="90"/>
              </w:rPr>
              <w:t>Position</w:t>
            </w:r>
          </w:p>
        </w:tc>
        <w:tc>
          <w:tcPr>
            <w:tcW w:w="2220" w:type="dxa"/>
            <w:vAlign w:val="bottom"/>
            <w:tcBorders>
              <w:bottom w:val="single" w:sz="8" w:color="auto"/>
            </w:tcBorders>
          </w:tcPr>
          <w:p>
            <w:pPr>
              <w:jc w:val="center"/>
              <w:ind w:left="289"/>
              <w:spacing w:after="0"/>
              <w:rPr>
                <w:sz w:val="20"/>
                <w:szCs w:val="20"/>
                <w:color w:val="auto"/>
              </w:rPr>
            </w:pPr>
            <w:r>
              <w:rPr>
                <w:rFonts w:ascii="Arial" w:cs="Arial" w:eastAsia="Arial" w:hAnsi="Arial"/>
                <w:sz w:val="14"/>
                <w:szCs w:val="14"/>
                <w:b w:val="1"/>
                <w:bCs w:val="1"/>
                <w:color w:val="auto"/>
                <w:w w:val="96"/>
              </w:rPr>
              <w:t>Change In Input</w:t>
            </w:r>
          </w:p>
        </w:tc>
        <w:tc>
          <w:tcPr>
            <w:tcW w:w="264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92"/>
              </w:rPr>
              <w:t>Impact on Fair Value Measurement</w:t>
            </w:r>
          </w:p>
        </w:tc>
      </w:tr>
      <w:tr>
        <w:trPr>
          <w:trHeight w:val="171"/>
        </w:trPr>
        <w:tc>
          <w:tcPr>
            <w:tcW w:w="416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Forward Market Price Power</w:t>
            </w:r>
          </w:p>
        </w:tc>
        <w:tc>
          <w:tcPr>
            <w:tcW w:w="2260" w:type="dxa"/>
            <w:vAlign w:val="bottom"/>
            <w:shd w:val="clear" w:color="auto" w:fill="CCEEFF"/>
          </w:tcPr>
          <w:p>
            <w:pPr>
              <w:jc w:val="center"/>
              <w:ind w:left="289"/>
              <w:spacing w:after="0"/>
              <w:rPr>
                <w:sz w:val="20"/>
                <w:szCs w:val="20"/>
                <w:color w:val="auto"/>
              </w:rPr>
            </w:pPr>
            <w:r>
              <w:rPr>
                <w:rFonts w:ascii="Arial" w:cs="Arial" w:eastAsia="Arial" w:hAnsi="Arial"/>
                <w:sz w:val="14"/>
                <w:szCs w:val="14"/>
                <w:color w:val="auto"/>
                <w:w w:val="90"/>
              </w:rPr>
              <w:t>Buy</w:t>
            </w:r>
          </w:p>
        </w:tc>
        <w:tc>
          <w:tcPr>
            <w:tcW w:w="2220" w:type="dxa"/>
            <w:vAlign w:val="bottom"/>
            <w:shd w:val="clear" w:color="auto" w:fill="CCEEFF"/>
          </w:tcPr>
          <w:p>
            <w:pPr>
              <w:jc w:val="center"/>
              <w:ind w:left="269"/>
              <w:spacing w:after="0"/>
              <w:rPr>
                <w:sz w:val="20"/>
                <w:szCs w:val="20"/>
                <w:color w:val="auto"/>
              </w:rPr>
            </w:pPr>
            <w:r>
              <w:rPr>
                <w:rFonts w:ascii="Arial" w:cs="Arial" w:eastAsia="Arial" w:hAnsi="Arial"/>
                <w:sz w:val="14"/>
                <w:szCs w:val="14"/>
                <w:color w:val="auto"/>
                <w:w w:val="88"/>
              </w:rPr>
              <w:t>Increase/(Decrease)</w:t>
            </w:r>
          </w:p>
        </w:tc>
        <w:tc>
          <w:tcPr>
            <w:tcW w:w="2640" w:type="dxa"/>
            <w:vAlign w:val="bottom"/>
            <w:shd w:val="clear" w:color="auto" w:fill="CCEEFF"/>
          </w:tcPr>
          <w:p>
            <w:pPr>
              <w:jc w:val="center"/>
              <w:ind w:left="149"/>
              <w:spacing w:after="0"/>
              <w:rPr>
                <w:sz w:val="20"/>
                <w:szCs w:val="20"/>
                <w:color w:val="auto"/>
              </w:rPr>
            </w:pPr>
            <w:r>
              <w:rPr>
                <w:rFonts w:ascii="Arial" w:cs="Arial" w:eastAsia="Arial" w:hAnsi="Arial"/>
                <w:sz w:val="14"/>
                <w:szCs w:val="14"/>
                <w:color w:val="auto"/>
                <w:w w:val="97"/>
              </w:rPr>
              <w:t>Higher/(Lower)</w:t>
            </w:r>
          </w:p>
        </w:tc>
      </w:tr>
      <w:tr>
        <w:trPr>
          <w:trHeight w:val="180"/>
        </w:trPr>
        <w:tc>
          <w:tcPr>
            <w:tcW w:w="4160" w:type="dxa"/>
            <w:vAlign w:val="bottom"/>
          </w:tcPr>
          <w:p>
            <w:pPr>
              <w:ind w:left="1440"/>
              <w:spacing w:after="0"/>
              <w:rPr>
                <w:sz w:val="20"/>
                <w:szCs w:val="20"/>
                <w:color w:val="auto"/>
              </w:rPr>
            </w:pPr>
            <w:r>
              <w:rPr>
                <w:rFonts w:ascii="Arial" w:cs="Arial" w:eastAsia="Arial" w:hAnsi="Arial"/>
                <w:sz w:val="14"/>
                <w:szCs w:val="14"/>
                <w:color w:val="auto"/>
              </w:rPr>
              <w:t>Forward Market Price Power</w:t>
            </w:r>
          </w:p>
        </w:tc>
        <w:tc>
          <w:tcPr>
            <w:tcW w:w="2260" w:type="dxa"/>
            <w:vAlign w:val="bottom"/>
          </w:tcPr>
          <w:p>
            <w:pPr>
              <w:jc w:val="center"/>
              <w:ind w:left="289"/>
              <w:spacing w:after="0"/>
              <w:rPr>
                <w:sz w:val="20"/>
                <w:szCs w:val="20"/>
                <w:color w:val="auto"/>
              </w:rPr>
            </w:pPr>
            <w:r>
              <w:rPr>
                <w:rFonts w:ascii="Arial" w:cs="Arial" w:eastAsia="Arial" w:hAnsi="Arial"/>
                <w:sz w:val="14"/>
                <w:szCs w:val="14"/>
                <w:color w:val="auto"/>
                <w:w w:val="94"/>
              </w:rPr>
              <w:t>Sell</w:t>
            </w:r>
          </w:p>
        </w:tc>
        <w:tc>
          <w:tcPr>
            <w:tcW w:w="2220" w:type="dxa"/>
            <w:vAlign w:val="bottom"/>
          </w:tcPr>
          <w:p>
            <w:pPr>
              <w:jc w:val="center"/>
              <w:ind w:left="269"/>
              <w:spacing w:after="0"/>
              <w:rPr>
                <w:sz w:val="20"/>
                <w:szCs w:val="20"/>
                <w:color w:val="auto"/>
              </w:rPr>
            </w:pPr>
            <w:r>
              <w:rPr>
                <w:rFonts w:ascii="Arial" w:cs="Arial" w:eastAsia="Arial" w:hAnsi="Arial"/>
                <w:sz w:val="14"/>
                <w:szCs w:val="14"/>
                <w:color w:val="auto"/>
                <w:w w:val="88"/>
              </w:rPr>
              <w:t>Increase/(Decrease)</w:t>
            </w:r>
          </w:p>
        </w:tc>
        <w:tc>
          <w:tcPr>
            <w:tcW w:w="2640" w:type="dxa"/>
            <w:vAlign w:val="bottom"/>
          </w:tcPr>
          <w:p>
            <w:pPr>
              <w:jc w:val="center"/>
              <w:ind w:left="149"/>
              <w:spacing w:after="0"/>
              <w:rPr>
                <w:sz w:val="20"/>
                <w:szCs w:val="20"/>
                <w:color w:val="auto"/>
              </w:rPr>
            </w:pPr>
            <w:r>
              <w:rPr>
                <w:rFonts w:ascii="Arial" w:cs="Arial" w:eastAsia="Arial" w:hAnsi="Arial"/>
                <w:sz w:val="14"/>
                <w:szCs w:val="14"/>
                <w:color w:val="auto"/>
                <w:w w:val="97"/>
              </w:rPr>
              <w:t>Lower/(Higher)</w:t>
            </w:r>
          </w:p>
        </w:tc>
      </w:tr>
      <w:tr>
        <w:trPr>
          <w:trHeight w:val="181"/>
        </w:trPr>
        <w:tc>
          <w:tcPr>
            <w:tcW w:w="4160" w:type="dxa"/>
            <w:vAlign w:val="bottom"/>
            <w:shd w:val="clear" w:color="auto" w:fill="CCEEFF"/>
          </w:tcPr>
          <w:p>
            <w:pPr>
              <w:jc w:val="center"/>
              <w:ind w:left="149"/>
              <w:spacing w:after="0"/>
              <w:rPr>
                <w:sz w:val="20"/>
                <w:szCs w:val="20"/>
                <w:color w:val="auto"/>
              </w:rPr>
            </w:pPr>
            <w:r>
              <w:rPr>
                <w:rFonts w:ascii="Arial" w:cs="Arial" w:eastAsia="Arial" w:hAnsi="Arial"/>
                <w:sz w:val="14"/>
                <w:szCs w:val="14"/>
                <w:color w:val="auto"/>
                <w:w w:val="89"/>
              </w:rPr>
              <w:t>Forecast Generation Levels</w:t>
            </w:r>
          </w:p>
        </w:tc>
        <w:tc>
          <w:tcPr>
            <w:tcW w:w="2260" w:type="dxa"/>
            <w:vAlign w:val="bottom"/>
            <w:shd w:val="clear" w:color="auto" w:fill="CCEEFF"/>
          </w:tcPr>
          <w:p>
            <w:pPr>
              <w:jc w:val="center"/>
              <w:ind w:left="289"/>
              <w:spacing w:after="0"/>
              <w:rPr>
                <w:sz w:val="20"/>
                <w:szCs w:val="20"/>
                <w:color w:val="auto"/>
              </w:rPr>
            </w:pPr>
            <w:r>
              <w:rPr>
                <w:rFonts w:ascii="Arial" w:cs="Arial" w:eastAsia="Arial" w:hAnsi="Arial"/>
                <w:sz w:val="14"/>
                <w:szCs w:val="14"/>
                <w:color w:val="auto"/>
                <w:w w:val="94"/>
              </w:rPr>
              <w:t>Sell</w:t>
            </w:r>
          </w:p>
        </w:tc>
        <w:tc>
          <w:tcPr>
            <w:tcW w:w="2220" w:type="dxa"/>
            <w:vAlign w:val="bottom"/>
            <w:shd w:val="clear" w:color="auto" w:fill="CCEEFF"/>
          </w:tcPr>
          <w:p>
            <w:pPr>
              <w:jc w:val="center"/>
              <w:ind w:left="269"/>
              <w:spacing w:after="0"/>
              <w:rPr>
                <w:sz w:val="20"/>
                <w:szCs w:val="20"/>
                <w:color w:val="auto"/>
              </w:rPr>
            </w:pPr>
            <w:r>
              <w:rPr>
                <w:rFonts w:ascii="Arial" w:cs="Arial" w:eastAsia="Arial" w:hAnsi="Arial"/>
                <w:sz w:val="14"/>
                <w:szCs w:val="14"/>
                <w:color w:val="auto"/>
                <w:w w:val="88"/>
              </w:rPr>
              <w:t>Increase/(Decrease)</w:t>
            </w:r>
          </w:p>
        </w:tc>
        <w:tc>
          <w:tcPr>
            <w:tcW w:w="2640" w:type="dxa"/>
            <w:vAlign w:val="bottom"/>
            <w:shd w:val="clear" w:color="auto" w:fill="CCEEFF"/>
          </w:tcPr>
          <w:p>
            <w:pPr>
              <w:jc w:val="center"/>
              <w:ind w:left="149"/>
              <w:spacing w:after="0"/>
              <w:rPr>
                <w:sz w:val="20"/>
                <w:szCs w:val="20"/>
                <w:color w:val="auto"/>
              </w:rPr>
            </w:pPr>
            <w:r>
              <w:rPr>
                <w:rFonts w:ascii="Arial" w:cs="Arial" w:eastAsia="Arial" w:hAnsi="Arial"/>
                <w:sz w:val="14"/>
                <w:szCs w:val="14"/>
                <w:color w:val="auto"/>
                <w:w w:val="97"/>
              </w:rPr>
              <w:t>Higher/(Lower)</w:t>
            </w:r>
          </w:p>
        </w:tc>
      </w:tr>
    </w:tbl>
    <w:p>
      <w:pPr>
        <w:spacing w:after="0" w:line="18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2022, the non-performance reserve was a $40 million gain recorded primarily to total operating revenues in the consolidated statement of income. It is possible that future market prices could vary from those used in recording assets and liabilities and such variations could be material.</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 of Credit Risk</w:t>
      </w:r>
    </w:p>
    <w:p>
      <w:pPr>
        <w:spacing w:after="0" w:line="136"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color w:val="auto"/>
        </w:rPr>
        <w:t xml:space="preserve">In addition to the credit risk discussion as disclosed in Note 2,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92"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b w:val="1"/>
          <w:bCs w:val="1"/>
          <w:color w:val="auto"/>
        </w:rPr>
        <w:t>Note 7 — Accounting for Derivative Instruments and Hedging Activities</w:t>
      </w:r>
    </w:p>
    <w:p>
      <w:pPr>
        <w:spacing w:after="0" w:line="14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 related commodity contracts and interest rate swaps.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Swaps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Company enters into interest rate swap agreements in order to hedge the variability of expected future cash interest payments. As of December 31, 2022, the Company had interest rate derivative instruments on non-recourse debt extending through 2031, a portion of which were designated as cash flow hedges. Under the interest rate swap agreements, the Company pays a fixed rate and the counterparties to the agreements pay a variable interest rate.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Energy Related Commodities</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As of December 31, 2022, the Company had energy-related derivative instruments extending through 2033. At December 31, 2022, these contracts were not designated as cash flow or fair value hedges.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Volumetric Underlying Derivative Transactions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net notional volume buy/(sell) of the Company’s open derivative transactions broken out by commodity as of December 31, 2022 and 2021: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5"/>
              </w:rPr>
              <w:t>Total Volume</w:t>
            </w:r>
          </w:p>
        </w:tc>
        <w:tc>
          <w:tcPr>
            <w:tcW w:w="1460" w:type="dxa"/>
            <w:vAlign w:val="bottom"/>
            <w:tcBorders>
              <w:bottom w:val="single" w:sz="8" w:color="auto"/>
            </w:tcBorders>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December 31, 2022</w:t>
            </w:r>
          </w:p>
        </w:tc>
        <w:tc>
          <w:tcPr>
            <w:tcW w:w="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w w:val="98"/>
              </w:rPr>
              <w:t>December 31, 2021</w:t>
            </w:r>
          </w:p>
        </w:tc>
      </w:tr>
      <w:tr>
        <w:trPr>
          <w:trHeight w:val="117"/>
        </w:trPr>
        <w:tc>
          <w:tcPr>
            <w:tcW w:w="20" w:type="dxa"/>
            <w:vAlign w:val="bottom"/>
          </w:tcPr>
          <w:p>
            <w:pPr>
              <w:spacing w:after="0"/>
              <w:rPr>
                <w:sz w:val="10"/>
                <w:szCs w:val="10"/>
                <w:color w:val="auto"/>
              </w:rPr>
            </w:pPr>
          </w:p>
        </w:tc>
        <w:tc>
          <w:tcPr>
            <w:tcW w:w="10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Commodity</w:t>
            </w:r>
          </w:p>
        </w:tc>
        <w:tc>
          <w:tcPr>
            <w:tcW w:w="6500" w:type="dxa"/>
            <w:vAlign w:val="bottom"/>
            <w:gridSpan w:val="3"/>
          </w:tcPr>
          <w:p>
            <w:pPr>
              <w:ind w:left="340"/>
              <w:spacing w:after="0" w:line="117" w:lineRule="exact"/>
              <w:rPr>
                <w:sz w:val="20"/>
                <w:szCs w:val="20"/>
                <w:color w:val="auto"/>
              </w:rPr>
            </w:pPr>
            <w:r>
              <w:rPr>
                <w:rFonts w:ascii="Arial" w:cs="Arial" w:eastAsia="Arial" w:hAnsi="Arial"/>
                <w:sz w:val="11"/>
                <w:szCs w:val="11"/>
                <w:b w:val="1"/>
                <w:bCs w:val="1"/>
                <w:color w:val="auto"/>
              </w:rPr>
              <w:t>Units</w:t>
            </w:r>
          </w:p>
        </w:tc>
        <w:tc>
          <w:tcPr>
            <w:tcW w:w="1400" w:type="dxa"/>
            <w:vAlign w:val="bottom"/>
          </w:tcPr>
          <w:p>
            <w:pPr>
              <w:spacing w:after="0"/>
              <w:rPr>
                <w:sz w:val="10"/>
                <w:szCs w:val="10"/>
                <w:color w:val="auto"/>
              </w:rPr>
            </w:pPr>
          </w:p>
        </w:tc>
        <w:tc>
          <w:tcPr>
            <w:tcW w:w="880" w:type="dxa"/>
            <w:vAlign w:val="bottom"/>
            <w:gridSpan w:val="2"/>
          </w:tcPr>
          <w:p>
            <w:pPr>
              <w:jc w:val="center"/>
              <w:spacing w:after="0" w:line="117" w:lineRule="exact"/>
              <w:rPr>
                <w:sz w:val="20"/>
                <w:szCs w:val="20"/>
                <w:color w:val="auto"/>
              </w:rPr>
            </w:pPr>
            <w:r>
              <w:rPr>
                <w:rFonts w:ascii="Arial" w:cs="Arial" w:eastAsia="Arial" w:hAnsi="Arial"/>
                <w:sz w:val="11"/>
                <w:szCs w:val="11"/>
                <w:b w:val="1"/>
                <w:bCs w:val="1"/>
                <w:color w:val="auto"/>
                <w:w w:val="93"/>
              </w:rPr>
              <w:t>(In millions)</w:t>
            </w:r>
          </w:p>
        </w:tc>
        <w:tc>
          <w:tcPr>
            <w:tcW w:w="146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Natural Gas</w:t>
            </w:r>
          </w:p>
        </w:tc>
        <w:tc>
          <w:tcPr>
            <w:tcW w:w="650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MMBtu</w:t>
            </w:r>
          </w:p>
        </w:tc>
        <w:tc>
          <w:tcPr>
            <w:tcW w:w="14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color w:val="auto"/>
              </w:rPr>
              <w:t>Power</w:t>
            </w:r>
          </w:p>
        </w:tc>
        <w:tc>
          <w:tcPr>
            <w:tcW w:w="6500" w:type="dxa"/>
            <w:vAlign w:val="bottom"/>
            <w:gridSpan w:val="3"/>
          </w:tcPr>
          <w:p>
            <w:pPr>
              <w:ind w:left="340"/>
              <w:spacing w:after="0"/>
              <w:rPr>
                <w:sz w:val="20"/>
                <w:szCs w:val="20"/>
                <w:color w:val="auto"/>
              </w:rPr>
            </w:pPr>
            <w:r>
              <w:rPr>
                <w:rFonts w:ascii="Arial" w:cs="Arial" w:eastAsia="Arial" w:hAnsi="Arial"/>
                <w:sz w:val="14"/>
                <w:szCs w:val="14"/>
                <w:color w:val="auto"/>
              </w:rPr>
              <w:t>MWh</w:t>
            </w:r>
          </w:p>
        </w:tc>
        <w:tc>
          <w:tcPr>
            <w:tcW w:w="14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w:t>
            </w:r>
          </w:p>
        </w:tc>
        <w:tc>
          <w:tcPr>
            <w:tcW w:w="4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1"/>
        </w:trPr>
        <w:tc>
          <w:tcPr>
            <w:tcW w:w="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w:t>
            </w:r>
          </w:p>
        </w:tc>
        <w:tc>
          <w:tcPr>
            <w:tcW w:w="650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Dollars</w:t>
            </w:r>
          </w:p>
        </w:tc>
        <w:tc>
          <w:tcPr>
            <w:tcW w:w="1400" w:type="dxa"/>
            <w:vAlign w:val="bottom"/>
            <w:shd w:val="clear" w:color="auto" w:fill="CCEEFF"/>
          </w:tcPr>
          <w:p>
            <w:pPr>
              <w:jc w:val="right"/>
              <w:ind w:right="1256"/>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96"/>
              </w:rPr>
              <w:t>1,084</w:t>
            </w:r>
          </w:p>
        </w:tc>
        <w:tc>
          <w:tcPr>
            <w:tcW w:w="4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Derivative Instruments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fair value within the derivative instrument valuation on the consolidated balance sheets: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Fair Value</w:t>
            </w:r>
          </w:p>
        </w:tc>
        <w:tc>
          <w:tcPr>
            <w:tcW w:w="1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gridSpan w:val="4"/>
          </w:tcPr>
          <w:p>
            <w:pPr>
              <w:ind w:left="800"/>
              <w:spacing w:after="0"/>
              <w:rPr>
                <w:sz w:val="20"/>
                <w:szCs w:val="20"/>
                <w:color w:val="auto"/>
              </w:rPr>
            </w:pPr>
            <w:r>
              <w:rPr>
                <w:rFonts w:ascii="Arial" w:cs="Arial" w:eastAsia="Arial" w:hAnsi="Arial"/>
                <w:sz w:val="11"/>
                <w:szCs w:val="11"/>
                <w:b w:val="1"/>
                <w:bCs w:val="1"/>
                <w:color w:val="auto"/>
              </w:rPr>
              <w:t>Derivative Assets</w:t>
            </w:r>
          </w:p>
        </w:tc>
        <w:tc>
          <w:tcPr>
            <w:tcW w:w="180" w:type="dxa"/>
            <w:vAlign w:val="bottom"/>
          </w:tcPr>
          <w:p>
            <w:pPr>
              <w:spacing w:after="0"/>
              <w:rPr>
                <w:sz w:val="13"/>
                <w:szCs w:val="13"/>
                <w:color w:val="auto"/>
              </w:rPr>
            </w:pPr>
          </w:p>
        </w:tc>
        <w:tc>
          <w:tcPr>
            <w:tcW w:w="2500" w:type="dxa"/>
            <w:vAlign w:val="bottom"/>
            <w:gridSpan w:val="3"/>
          </w:tcPr>
          <w:p>
            <w:pPr>
              <w:jc w:val="right"/>
              <w:ind w:right="771"/>
              <w:spacing w:after="0"/>
              <w:rPr>
                <w:sz w:val="20"/>
                <w:szCs w:val="20"/>
                <w:color w:val="auto"/>
              </w:rPr>
            </w:pPr>
            <w:r>
              <w:rPr>
                <w:rFonts w:ascii="Arial" w:cs="Arial" w:eastAsia="Arial" w:hAnsi="Arial"/>
                <w:sz w:val="11"/>
                <w:szCs w:val="11"/>
                <w:b w:val="1"/>
                <w:bCs w:val="1"/>
                <w:color w:val="auto"/>
              </w:rPr>
              <w:t>Derivative Liabilities</w:t>
            </w:r>
          </w:p>
        </w:tc>
        <w:tc>
          <w:tcPr>
            <w:tcW w:w="0" w:type="dxa"/>
            <w:vAlign w:val="bottom"/>
          </w:tcPr>
          <w:p>
            <w:pPr>
              <w:spacing w:after="0"/>
              <w:rPr>
                <w:sz w:val="1"/>
                <w:szCs w:val="1"/>
                <w:color w:val="auto"/>
              </w:rPr>
            </w:pPr>
          </w:p>
        </w:tc>
      </w:tr>
      <w:tr>
        <w:trPr>
          <w:trHeight w:val="150"/>
        </w:trPr>
        <w:tc>
          <w:tcPr>
            <w:tcW w:w="4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1"/>
                <w:szCs w:val="11"/>
                <w:b w:val="1"/>
                <w:bCs w:val="1"/>
                <w:color w:val="auto"/>
                <w:w w:val="94"/>
              </w:rPr>
              <w:t>December 31, 2022</w:t>
            </w:r>
          </w:p>
        </w:tc>
        <w:tc>
          <w:tcPr>
            <w:tcW w:w="2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1"/>
                <w:szCs w:val="11"/>
                <w:b w:val="1"/>
                <w:bCs w:val="1"/>
                <w:color w:val="auto"/>
                <w:w w:val="98"/>
              </w:rPr>
              <w:t>December 31, 2021</w:t>
            </w:r>
          </w:p>
        </w:tc>
        <w:tc>
          <w:tcPr>
            <w:tcW w:w="8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1"/>
                <w:szCs w:val="11"/>
                <w:b w:val="1"/>
                <w:bCs w:val="1"/>
                <w:color w:val="auto"/>
                <w:w w:val="90"/>
              </w:rPr>
              <w:t>December 31, 2022</w:t>
            </w:r>
          </w:p>
        </w:tc>
        <w:tc>
          <w:tcPr>
            <w:tcW w:w="2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1"/>
                <w:szCs w:val="11"/>
                <w:b w:val="1"/>
                <w:bCs w:val="1"/>
                <w:color w:val="auto"/>
                <w:w w:val="96"/>
              </w:rPr>
              <w:t>December 31, 2021</w:t>
            </w:r>
          </w:p>
        </w:tc>
        <w:tc>
          <w:tcPr>
            <w:tcW w:w="0" w:type="dxa"/>
            <w:vAlign w:val="bottom"/>
          </w:tcPr>
          <w:p>
            <w:pPr>
              <w:spacing w:after="0"/>
              <w:rPr>
                <w:sz w:val="1"/>
                <w:szCs w:val="1"/>
                <w:color w:val="auto"/>
              </w:rPr>
            </w:pPr>
          </w:p>
        </w:tc>
      </w:tr>
      <w:tr>
        <w:trPr>
          <w:trHeight w:val="150"/>
        </w:trPr>
        <w:tc>
          <w:tcPr>
            <w:tcW w:w="4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4"/>
          </w:tcPr>
          <w:p>
            <w:pPr>
              <w:jc w:val="right"/>
              <w:ind w:right="1032"/>
              <w:spacing w:after="0"/>
              <w:rPr>
                <w:sz w:val="20"/>
                <w:szCs w:val="20"/>
                <w:color w:val="auto"/>
              </w:rPr>
            </w:pPr>
            <w:r>
              <w:rPr>
                <w:rFonts w:ascii="Arial" w:cs="Arial" w:eastAsia="Arial" w:hAnsi="Arial"/>
                <w:sz w:val="11"/>
                <w:szCs w:val="11"/>
                <w:b w:val="1"/>
                <w:bCs w:val="1"/>
                <w:color w:val="auto"/>
              </w:rPr>
              <w:t>(In millions)</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Cash Flow Hedges:</w:t>
            </w: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20" w:type="dxa"/>
            <w:vAlign w:val="bottom"/>
          </w:tcPr>
          <w:p>
            <w:pPr>
              <w:ind w:left="120"/>
              <w:spacing w:after="0"/>
              <w:rPr>
                <w:sz w:val="20"/>
                <w:szCs w:val="20"/>
                <w:color w:val="auto"/>
              </w:rPr>
            </w:pPr>
            <w:r>
              <w:rPr>
                <w:rFonts w:ascii="Arial" w:cs="Arial" w:eastAsia="Arial" w:hAnsi="Arial"/>
                <w:sz w:val="14"/>
                <w:szCs w:val="14"/>
                <w:color w:val="auto"/>
              </w:rPr>
              <w:t>Interest rate contracts current</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1"/>
        </w:trPr>
        <w:tc>
          <w:tcPr>
            <w:tcW w:w="4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rate contracts long-term</w:t>
            </w:r>
          </w:p>
        </w:tc>
        <w:tc>
          <w:tcPr>
            <w:tcW w:w="13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18</w:t>
            </w: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Derivatives Designated as Cash Flow Hedges</w:t>
            </w:r>
          </w:p>
        </w:tc>
        <w:tc>
          <w:tcPr>
            <w:tcW w:w="1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1"/>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Not Designated as Cash Flow Hedges:</w:t>
            </w:r>
          </w:p>
        </w:tc>
        <w:tc>
          <w:tcPr>
            <w:tcW w:w="1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20" w:type="dxa"/>
            <w:vAlign w:val="bottom"/>
          </w:tcPr>
          <w:p>
            <w:pPr>
              <w:ind w:left="120"/>
              <w:spacing w:after="0"/>
              <w:rPr>
                <w:sz w:val="20"/>
                <w:szCs w:val="20"/>
                <w:color w:val="auto"/>
              </w:rPr>
            </w:pPr>
            <w:r>
              <w:rPr>
                <w:rFonts w:ascii="Arial" w:cs="Arial" w:eastAsia="Arial" w:hAnsi="Arial"/>
                <w:sz w:val="14"/>
                <w:szCs w:val="14"/>
                <w:color w:val="auto"/>
              </w:rPr>
              <w:t>Interest rate contracts current</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19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1"/>
        </w:trPr>
        <w:tc>
          <w:tcPr>
            <w:tcW w:w="4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rate contracts long-term</w:t>
            </w: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45</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0"/>
        </w:trPr>
        <w:tc>
          <w:tcPr>
            <w:tcW w:w="4420" w:type="dxa"/>
            <w:vAlign w:val="bottom"/>
          </w:tcPr>
          <w:p>
            <w:pPr>
              <w:ind w:left="120"/>
              <w:spacing w:after="0"/>
              <w:rPr>
                <w:sz w:val="20"/>
                <w:szCs w:val="20"/>
                <w:color w:val="auto"/>
              </w:rPr>
            </w:pPr>
            <w:r>
              <w:rPr>
                <w:rFonts w:ascii="Arial" w:cs="Arial" w:eastAsia="Arial" w:hAnsi="Arial"/>
                <w:sz w:val="14"/>
                <w:szCs w:val="14"/>
                <w:color w:val="auto"/>
              </w:rPr>
              <w:t>Commodity contracts current</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1"/>
        </w:trPr>
        <w:tc>
          <w:tcPr>
            <w:tcW w:w="4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Commodity contracts long-term</w:t>
            </w: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303</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Derivatives Not Designated as Cash Flow Hedges</w:t>
            </w:r>
          </w:p>
        </w:tc>
        <w:tc>
          <w:tcPr>
            <w:tcW w:w="13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64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353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w:t>
            </w:r>
          </w:p>
        </w:tc>
        <w:tc>
          <w:tcPr>
            <w:tcW w:w="1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89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109</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44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112" w:name="page113"/>
    <w:bookmarkEnd w:id="112"/>
    <w:p>
      <w:pPr>
        <w:ind w:firstLine="318"/>
        <w:spacing w:after="0" w:line="281" w:lineRule="auto"/>
        <w:rPr>
          <w:sz w:val="20"/>
          <w:szCs w:val="20"/>
          <w:color w:val="auto"/>
        </w:rPr>
      </w:pPr>
      <w:r>
        <w:rPr>
          <w:rFonts w:ascii="Arial" w:cs="Arial" w:eastAsia="Arial" w:hAnsi="Arial"/>
          <w:sz w:val="14"/>
          <w:szCs w:val="14"/>
          <w:color w:val="auto"/>
        </w:rPr>
        <w:t>The Company has elected to present derivative assets and liabilities on the balance sheet on a trade-by-trade basis and does not offset amounts at the counterparty level. As of December 31, 2022 and 2021, the amount of outstanding collateral paid or received was immaterial. The following tables summarize the offsetting of derivatives by counterparty: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140" w:type="dxa"/>
            <w:vAlign w:val="bottom"/>
            <w:tcBorders>
              <w:bottom w:val="single" w:sz="8" w:color="auto"/>
            </w:tcBorders>
            <w:gridSpan w:val="5"/>
          </w:tcPr>
          <w:p>
            <w:pPr>
              <w:jc w:val="center"/>
              <w:ind w:left="1593"/>
              <w:spacing w:after="0"/>
              <w:rPr>
                <w:sz w:val="20"/>
                <w:szCs w:val="20"/>
                <w:color w:val="auto"/>
              </w:rPr>
            </w:pPr>
            <w:r>
              <w:rPr>
                <w:rFonts w:ascii="Arial" w:cs="Arial" w:eastAsia="Arial" w:hAnsi="Arial"/>
                <w:sz w:val="11"/>
                <w:szCs w:val="11"/>
                <w:b w:val="1"/>
                <w:bCs w:val="1"/>
                <w:color w:val="auto"/>
                <w:w w:val="92"/>
              </w:rPr>
              <w:t>Gross Amounts Not Offset in the Statement of Financial Position</w:t>
            </w: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7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Gross Amounts of Recognized Assets/Liabilities</w:t>
            </w: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360"/>
              <w:spacing w:after="0"/>
              <w:rPr>
                <w:sz w:val="20"/>
                <w:szCs w:val="20"/>
                <w:color w:val="auto"/>
              </w:rPr>
            </w:pPr>
            <w:r>
              <w:rPr>
                <w:rFonts w:ascii="Arial" w:cs="Arial" w:eastAsia="Arial" w:hAnsi="Arial"/>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Net Amount</w:t>
            </w:r>
          </w:p>
        </w:tc>
      </w:tr>
      <w:tr>
        <w:trPr>
          <w:trHeight w:val="16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Commodity contracts</w:t>
            </w:r>
          </w:p>
        </w:tc>
        <w:tc>
          <w:tcPr>
            <w:tcW w:w="1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jc w:val="center"/>
              <w:ind w:right="1280"/>
              <w:spacing w:after="0"/>
              <w:rPr>
                <w:sz w:val="20"/>
                <w:szCs w:val="20"/>
                <w:color w:val="auto"/>
              </w:rPr>
            </w:pPr>
            <w:r>
              <w:rPr>
                <w:rFonts w:ascii="Arial" w:cs="Arial" w:eastAsia="Arial" w:hAnsi="Arial"/>
                <w:sz w:val="11"/>
                <w:szCs w:val="11"/>
                <w:b w:val="1"/>
                <w:bCs w:val="1"/>
                <w:color w:val="auto"/>
                <w:w w:val="97"/>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160" w:type="dxa"/>
            <w:vAlign w:val="bottom"/>
          </w:tcPr>
          <w:p>
            <w:pPr>
              <w:ind w:left="180"/>
              <w:spacing w:after="0"/>
              <w:rPr>
                <w:sz w:val="20"/>
                <w:szCs w:val="20"/>
                <w:color w:val="auto"/>
              </w:rPr>
            </w:pPr>
            <w:r>
              <w:rPr>
                <w:rFonts w:ascii="Arial" w:cs="Arial" w:eastAsia="Arial" w:hAnsi="Arial"/>
                <w:sz w:val="14"/>
                <w:szCs w:val="14"/>
                <w:color w:val="auto"/>
              </w:rPr>
              <w:t>Derivative liabilities</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2600" w:type="dxa"/>
            <w:vAlign w:val="bottom"/>
          </w:tcPr>
          <w:p>
            <w:pPr>
              <w:jc w:val="right"/>
              <w:spacing w:after="0"/>
              <w:rPr>
                <w:sz w:val="20"/>
                <w:szCs w:val="20"/>
                <w:color w:val="auto"/>
              </w:rPr>
            </w:pPr>
            <w:r>
              <w:rPr>
                <w:rFonts w:ascii="Arial" w:cs="Arial" w:eastAsia="Arial" w:hAnsi="Arial"/>
                <w:sz w:val="14"/>
                <w:szCs w:val="14"/>
                <w:color w:val="auto"/>
              </w:rPr>
              <w:t>(353)</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(353)</w:t>
            </w:r>
          </w:p>
        </w:tc>
      </w:tr>
      <w:tr>
        <w:trPr>
          <w:trHeight w:val="171"/>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commodity contracts</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2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r>
      <w:tr>
        <w:trPr>
          <w:trHeight w:val="160"/>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Interest rate contracts</w:t>
            </w:r>
          </w:p>
        </w:tc>
        <w:tc>
          <w:tcPr>
            <w:tcW w:w="1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80"/>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Derivative assets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2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71"/>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interest rate contracts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2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w:t>
            </w:r>
          </w:p>
        </w:tc>
      </w:tr>
      <w:tr>
        <w:trPr>
          <w:trHeight w:val="17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 instruments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r>
      <w:tr>
        <w:trPr>
          <w:trHeight w:val="278"/>
        </w:trPr>
        <w:tc>
          <w:tcPr>
            <w:tcW w:w="4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5"/>
          </w:tcPr>
          <w:p>
            <w:pPr>
              <w:jc w:val="center"/>
              <w:ind w:left="1593"/>
              <w:spacing w:after="0"/>
              <w:rPr>
                <w:sz w:val="20"/>
                <w:szCs w:val="20"/>
                <w:color w:val="auto"/>
              </w:rPr>
            </w:pPr>
            <w:r>
              <w:rPr>
                <w:rFonts w:ascii="Arial" w:cs="Arial" w:eastAsia="Arial" w:hAnsi="Arial"/>
                <w:sz w:val="11"/>
                <w:szCs w:val="11"/>
                <w:b w:val="1"/>
                <w:bCs w:val="1"/>
                <w:color w:val="auto"/>
                <w:w w:val="92"/>
              </w:rPr>
              <w:t>Gross Amounts Not Offset in the Statement of Financial Position</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7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Gross Amounts of Recognized Assets/Liabilities</w:t>
            </w: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360"/>
              <w:spacing w:after="0"/>
              <w:rPr>
                <w:sz w:val="20"/>
                <w:szCs w:val="20"/>
                <w:color w:val="auto"/>
              </w:rPr>
            </w:pPr>
            <w:r>
              <w:rPr>
                <w:rFonts w:ascii="Arial" w:cs="Arial" w:eastAsia="Arial" w:hAnsi="Arial"/>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Net Amount</w:t>
            </w:r>
          </w:p>
        </w:tc>
      </w:tr>
      <w:tr>
        <w:trPr>
          <w:trHeight w:val="16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Commodity contracts</w:t>
            </w:r>
          </w:p>
        </w:tc>
        <w:tc>
          <w:tcPr>
            <w:tcW w:w="1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jc w:val="center"/>
              <w:ind w:right="1280"/>
              <w:spacing w:after="0"/>
              <w:rPr>
                <w:sz w:val="20"/>
                <w:szCs w:val="20"/>
                <w:color w:val="auto"/>
              </w:rPr>
            </w:pPr>
            <w:r>
              <w:rPr>
                <w:rFonts w:ascii="Arial" w:cs="Arial" w:eastAsia="Arial" w:hAnsi="Arial"/>
                <w:sz w:val="11"/>
                <w:szCs w:val="11"/>
                <w:b w:val="1"/>
                <w:bCs w:val="1"/>
                <w:color w:val="auto"/>
                <w:w w:val="97"/>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160" w:type="dxa"/>
            <w:vAlign w:val="bottom"/>
          </w:tcPr>
          <w:p>
            <w:pPr>
              <w:ind w:left="180"/>
              <w:spacing w:after="0"/>
              <w:rPr>
                <w:sz w:val="20"/>
                <w:szCs w:val="20"/>
                <w:color w:val="auto"/>
              </w:rPr>
            </w:pPr>
            <w:r>
              <w:rPr>
                <w:rFonts w:ascii="Arial" w:cs="Arial" w:eastAsia="Arial" w:hAnsi="Arial"/>
                <w:sz w:val="14"/>
                <w:szCs w:val="14"/>
                <w:color w:val="auto"/>
              </w:rPr>
              <w:t>Derivative liabilities</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2600" w:type="dxa"/>
            <w:vAlign w:val="bottom"/>
          </w:tcPr>
          <w:p>
            <w:pPr>
              <w:jc w:val="right"/>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171"/>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commodity contracts</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2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r>
      <w:tr>
        <w:trPr>
          <w:trHeight w:val="160"/>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Interest rate contracts</w:t>
            </w:r>
          </w:p>
        </w:tc>
        <w:tc>
          <w:tcPr>
            <w:tcW w:w="1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80"/>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Derivative assets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2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4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Derivative liabilities</w:t>
            </w:r>
          </w:p>
        </w:tc>
        <w:tc>
          <w:tcPr>
            <w:tcW w:w="1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r>
      <w:tr>
        <w:trPr>
          <w:trHeight w:val="17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interest rate contracts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71"/>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Total derivative instruments</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Accumulated Other Comprehensive Income (Loss)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effects on the Company’s accumulated OCI (OCL) balance attributable to interest rate swaps designated as cash flow hedge derivatives: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7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1"/>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40" w:type="dxa"/>
            <w:vAlign w:val="bottom"/>
          </w:tcPr>
          <w:p>
            <w:pPr>
              <w:spacing w:after="0"/>
              <w:rPr>
                <w:sz w:val="13"/>
                <w:szCs w:val="13"/>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1"/>
                <w:szCs w:val="11"/>
                <w:b w:val="1"/>
                <w:bCs w:val="1"/>
                <w:color w:val="auto"/>
              </w:rPr>
              <w:t>2022</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92"/>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50"/>
        </w:trPr>
        <w:tc>
          <w:tcPr>
            <w:tcW w:w="7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(In millions)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OCI (OCL) beginning balance</w:t>
            </w:r>
          </w:p>
        </w:tc>
        <w:tc>
          <w:tcPr>
            <w:tcW w:w="760" w:type="dxa"/>
            <w:vAlign w:val="bottom"/>
            <w:shd w:val="clear" w:color="auto" w:fill="CCEEFF"/>
          </w:tcPr>
          <w:p>
            <w:pPr>
              <w:jc w:val="right"/>
              <w:ind w:right="612"/>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center"/>
              <w:ind w:left="592"/>
              <w:spacing w:after="0"/>
              <w:rPr>
                <w:sz w:val="20"/>
                <w:szCs w:val="20"/>
                <w:color w:val="auto"/>
              </w:rPr>
            </w:pPr>
            <w:r>
              <w:rPr>
                <w:rFonts w:ascii="Arial" w:cs="Arial" w:eastAsia="Arial" w:hAnsi="Arial"/>
                <w:sz w:val="14"/>
                <w:szCs w:val="14"/>
                <w:color w:val="auto"/>
                <w:w w:val="96"/>
              </w:rPr>
              <w:t>(35)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0"/>
        </w:trPr>
        <w:tc>
          <w:tcPr>
            <w:tcW w:w="7740" w:type="dxa"/>
            <w:vAlign w:val="bottom"/>
          </w:tcPr>
          <w:p>
            <w:pPr>
              <w:ind w:left="100"/>
              <w:spacing w:after="0"/>
              <w:rPr>
                <w:sz w:val="20"/>
                <w:szCs w:val="20"/>
                <w:color w:val="auto"/>
              </w:rPr>
            </w:pPr>
            <w:r>
              <w:rPr>
                <w:rFonts w:ascii="Arial" w:cs="Arial" w:eastAsia="Arial" w:hAnsi="Arial"/>
                <w:sz w:val="14"/>
                <w:szCs w:val="14"/>
                <w:color w:val="auto"/>
              </w:rPr>
              <w:t>Reclassified from accumulated OCI/OCL to income due to realization of previously deferred amounts</w:t>
            </w:r>
          </w:p>
        </w:tc>
        <w:tc>
          <w:tcPr>
            <w:tcW w:w="7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left="632"/>
              <w:spacing w:after="0"/>
              <w:rPr>
                <w:sz w:val="20"/>
                <w:szCs w:val="20"/>
                <w:color w:val="auto"/>
              </w:rPr>
            </w:pPr>
            <w:r>
              <w:rPr>
                <w:rFonts w:ascii="Arial" w:cs="Arial" w:eastAsia="Arial" w:hAnsi="Arial"/>
                <w:sz w:val="14"/>
                <w:szCs w:val="14"/>
                <w:color w:val="auto"/>
                <w:w w:val="76"/>
              </w:rPr>
              <w:t>11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1"/>
        </w:trPr>
        <w:tc>
          <w:tcPr>
            <w:tcW w:w="77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Capistrano Wind Portfolio Acquisition</w:t>
            </w: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7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Mark-to-market of cash flow hedge accounting contracts</w:t>
            </w: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left="632"/>
              <w:spacing w:after="0"/>
              <w:rPr>
                <w:sz w:val="20"/>
                <w:szCs w:val="20"/>
                <w:color w:val="auto"/>
              </w:rPr>
            </w:pPr>
            <w:r>
              <w:rPr>
                <w:rFonts w:ascii="Arial" w:cs="Arial" w:eastAsia="Arial" w:hAnsi="Arial"/>
                <w:sz w:val="14"/>
                <w:szCs w:val="14"/>
                <w:color w:val="auto"/>
                <w:w w:val="76"/>
              </w:rPr>
              <w:t>11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OCI (OCL) ending balance</w:t>
            </w:r>
          </w:p>
        </w:tc>
        <w:tc>
          <w:tcPr>
            <w:tcW w:w="76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center"/>
              <w:ind w:left="592"/>
              <w:spacing w:after="0"/>
              <w:rPr>
                <w:sz w:val="20"/>
                <w:szCs w:val="20"/>
                <w:color w:val="auto"/>
              </w:rPr>
            </w:pPr>
            <w:r>
              <w:rPr>
                <w:rFonts w:ascii="Arial" w:cs="Arial" w:eastAsia="Arial" w:hAnsi="Arial"/>
                <w:sz w:val="14"/>
                <w:szCs w:val="14"/>
                <w:color w:val="auto"/>
                <w:w w:val="96"/>
              </w:rPr>
              <w:t>(13)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Accumulated OCI (OCL) attributable to noncontrolling interests</w:t>
            </w:r>
          </w:p>
        </w:tc>
        <w:tc>
          <w:tcPr>
            <w:tcW w:w="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40" w:type="dxa"/>
            <w:vAlign w:val="bottom"/>
            <w:tcBorders>
              <w:top w:val="single" w:sz="8" w:color="CCEEFF"/>
              <w:bottom w:val="single" w:sz="8" w:color="CCEEFF"/>
            </w:tcBorders>
            <w:vMerge w:val="continue"/>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ind w:left="612"/>
              <w:spacing w:after="0" w:line="143" w:lineRule="exact"/>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OCI (OCL) attributable to Clearway Energy LLC</w:t>
            </w:r>
          </w:p>
        </w:tc>
        <w:tc>
          <w:tcPr>
            <w:tcW w:w="76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center"/>
              <w:ind w:left="592"/>
              <w:spacing w:after="0"/>
              <w:rPr>
                <w:sz w:val="20"/>
                <w:szCs w:val="20"/>
                <w:color w:val="auto"/>
              </w:rPr>
            </w:pPr>
            <w:r>
              <w:rPr>
                <w:rFonts w:ascii="Arial" w:cs="Arial" w:eastAsia="Arial" w:hAnsi="Arial"/>
                <w:sz w:val="14"/>
                <w:szCs w:val="14"/>
                <w:color w:val="auto"/>
                <w:w w:val="96"/>
              </w:rPr>
              <w:t>(13)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4"/>
                <w:szCs w:val="14"/>
                <w:color w:val="auto"/>
              </w:rPr>
              <w:t>Income expected to be realized from OCI during the next 12 months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40" w:type="dxa"/>
            <w:vAlign w:val="bottom"/>
            <w:vMerge w:val="continue"/>
          </w:tcPr>
          <w:p>
            <w:pPr>
              <w:spacing w:after="0"/>
              <w:rPr>
                <w:sz w:val="12"/>
                <w:szCs w:val="12"/>
                <w:color w:val="auto"/>
              </w:rPr>
            </w:pPr>
          </w:p>
        </w:tc>
        <w:tc>
          <w:tcPr>
            <w:tcW w:w="760" w:type="dxa"/>
            <w:vAlign w:val="bottom"/>
          </w:tcPr>
          <w:p>
            <w:pPr>
              <w:jc w:val="right"/>
              <w:ind w:right="612"/>
              <w:spacing w:after="0" w:line="143"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43"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Amounts reclassified from accumulated OCI/OCL into income are recorded to interest expense.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13" w:name="page114"/>
    <w:bookmarkEnd w:id="113"/>
    <w:p>
      <w:pPr>
        <w:ind w:left="320" w:right="3400"/>
        <w:spacing w:after="0" w:line="398" w:lineRule="auto"/>
        <w:rPr>
          <w:sz w:val="20"/>
          <w:szCs w:val="20"/>
          <w:color w:val="auto"/>
        </w:rPr>
      </w:pPr>
      <w:r>
        <w:rPr>
          <w:rFonts w:ascii="Arial" w:cs="Arial" w:eastAsia="Arial" w:hAnsi="Arial"/>
          <w:sz w:val="14"/>
          <w:szCs w:val="14"/>
          <w:b w:val="1"/>
          <w:bCs w:val="1"/>
          <w:i w:val="1"/>
          <w:iCs w:val="1"/>
          <w:color w:val="auto"/>
        </w:rPr>
        <w:t xml:space="preserve">Impact of Derivative Instruments on the Consolidated Statements of Income </w:t>
      </w:r>
      <w:r>
        <w:rPr>
          <w:rFonts w:ascii="Arial" w:cs="Arial" w:eastAsia="Arial" w:hAnsi="Arial"/>
          <w:sz w:val="14"/>
          <w:szCs w:val="14"/>
          <w:color w:val="auto"/>
        </w:rPr>
        <w:t>Mark-to-market gains/(losses) related to the Company’s derivatives are recorded in the consolidated statements of income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7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1"/>
              </w:rPr>
              <w:t>Year ended December 31,</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3"/>
        </w:trPr>
        <w:tc>
          <w:tcPr>
            <w:tcW w:w="774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76"/>
              <w:spacing w:after="0"/>
              <w:rPr>
                <w:sz w:val="20"/>
                <w:szCs w:val="20"/>
                <w:color w:val="auto"/>
              </w:rPr>
            </w:pPr>
            <w:r>
              <w:rPr>
                <w:rFonts w:ascii="Arial" w:cs="Arial" w:eastAsia="Arial" w:hAnsi="Arial"/>
                <w:sz w:val="11"/>
                <w:szCs w:val="11"/>
                <w:b w:val="1"/>
                <w:bCs w:val="1"/>
                <w:color w:val="auto"/>
                <w:w w:val="89"/>
              </w:rPr>
              <w:t>2021</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1"/>
                <w:szCs w:val="11"/>
                <w:b w:val="1"/>
                <w:bCs w:val="1"/>
                <w:color w:val="auto"/>
              </w:rPr>
              <w:t>2020</w:t>
            </w:r>
          </w:p>
        </w:tc>
      </w:tr>
      <w:tr>
        <w:trPr>
          <w:trHeight w:val="150"/>
        </w:trPr>
        <w:tc>
          <w:tcPr>
            <w:tcW w:w="77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76"/>
              <w:spacing w:after="0"/>
              <w:rPr>
                <w:sz w:val="20"/>
                <w:szCs w:val="20"/>
                <w:color w:val="auto"/>
              </w:rPr>
            </w:pPr>
            <w:r>
              <w:rPr>
                <w:rFonts w:ascii="Arial" w:cs="Arial" w:eastAsia="Arial" w:hAnsi="Arial"/>
                <w:sz w:val="11"/>
                <w:szCs w:val="11"/>
                <w:b w:val="1"/>
                <w:bCs w:val="1"/>
                <w:color w:val="auto"/>
                <w:w w:val="93"/>
              </w:rPr>
              <w:t>(In millions)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77"/>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Contracts (Interest expense)</w:t>
            </w:r>
          </w:p>
        </w:tc>
        <w:tc>
          <w:tcPr>
            <w:tcW w:w="720" w:type="dxa"/>
            <w:vAlign w:val="bottom"/>
            <w:shd w:val="clear" w:color="auto" w:fill="CCEEFF"/>
          </w:tcPr>
          <w:p>
            <w:pPr>
              <w:jc w:val="right"/>
              <w:ind w:right="576"/>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4"/>
                <w:szCs w:val="14"/>
                <w:color w:val="auto"/>
              </w:rPr>
              <w:t>53</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39"/>
        </w:trPr>
        <w:tc>
          <w:tcPr>
            <w:tcW w:w="7740" w:type="dxa"/>
            <w:vAlign w:val="bottom"/>
          </w:tcPr>
          <w:p>
            <w:pPr>
              <w:ind w:left="20"/>
              <w:spacing w:after="0"/>
              <w:rPr>
                <w:sz w:val="20"/>
                <w:szCs w:val="20"/>
                <w:color w:val="auto"/>
              </w:rPr>
            </w:pPr>
            <w:r>
              <w:rPr>
                <w:rFonts w:ascii="Arial" w:cs="Arial" w:eastAsia="Arial" w:hAnsi="Arial"/>
                <w:sz w:val="14"/>
                <w:szCs w:val="14"/>
                <w:color w:val="auto"/>
              </w:rPr>
              <w:t xml:space="preserve">Commodity Contracts (Operating revenue) </w:t>
            </w:r>
            <w:r>
              <w:rPr>
                <w:rFonts w:ascii="Arial" w:cs="Arial" w:eastAsia="Arial" w:hAnsi="Arial"/>
                <w:sz w:val="18"/>
                <w:szCs w:val="18"/>
                <w:color w:val="auto"/>
                <w:vertAlign w:val="superscript"/>
              </w:rPr>
              <w:t>(a)</w:t>
            </w:r>
          </w:p>
        </w:tc>
        <w:tc>
          <w:tcPr>
            <w:tcW w:w="7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(174)</w:t>
            </w:r>
          </w:p>
        </w:tc>
        <w:tc>
          <w:tcPr>
            <w:tcW w:w="26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Arial" w:cs="Arial" w:eastAsia="Arial" w:hAnsi="Arial"/>
                <w:sz w:val="14"/>
                <w:szCs w:val="14"/>
                <w:color w:val="242424"/>
              </w:rPr>
              <w:t>(83)</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r>
    </w:tbl>
    <w:p>
      <w:pPr>
        <w:spacing w:after="0" w:line="43" w:lineRule="exact"/>
        <w:rPr>
          <w:sz w:val="20"/>
          <w:szCs w:val="20"/>
          <w:color w:val="auto"/>
        </w:rPr>
      </w:pPr>
    </w:p>
    <w:p>
      <w:pPr>
        <w:ind w:left="60" w:firstLine="9"/>
        <w:spacing w:after="0" w:line="284" w:lineRule="auto"/>
        <w:tabs>
          <w:tab w:leader="none" w:pos="182" w:val="left"/>
        </w:tabs>
        <w:numPr>
          <w:ilvl w:val="0"/>
          <w:numId w:val="71"/>
        </w:numPr>
        <w:rPr>
          <w:rFonts w:ascii="Arial" w:cs="Arial" w:eastAsia="Arial" w:hAnsi="Arial"/>
          <w:sz w:val="13"/>
          <w:szCs w:val="13"/>
          <w:color w:val="auto"/>
          <w:vertAlign w:val="superscript"/>
        </w:rPr>
      </w:pPr>
      <w:r>
        <w:rPr>
          <w:rFonts w:ascii="Arial" w:cs="Arial" w:eastAsia="Arial" w:hAnsi="Arial"/>
          <w:sz w:val="9"/>
          <w:szCs w:val="9"/>
          <w:color w:val="auto"/>
        </w:rPr>
        <w:t>Relates to long-term commodity contracts at Elbow Creek, Mesquite Star, Mt. Storm, Langford and Mesquite Sky. During the year ended December 31, 2022, the commodity contract for Langford, which previously met the NPNS exception, no longer qualified for NPNS treatment and, accordingly, is accounted for as a derivative and marked to fair value through operating revenues.</w:t>
      </w:r>
    </w:p>
    <w:p>
      <w:pPr>
        <w:spacing w:after="0" w:line="98"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 xml:space="preserve">Prior to the Thermal Disposition, which is further described in Note 3, </w:t>
      </w:r>
      <w:r>
        <w:rPr>
          <w:rFonts w:ascii="Arial" w:cs="Arial" w:eastAsia="Arial" w:hAnsi="Arial"/>
          <w:sz w:val="14"/>
          <w:szCs w:val="14"/>
          <w:i w:val="1"/>
          <w:iCs w:val="1"/>
          <w:color w:val="auto"/>
        </w:rPr>
        <w:t>Acquisitions and Dispositions</w:t>
      </w:r>
      <w:r>
        <w:rPr>
          <w:rFonts w:ascii="Arial" w:cs="Arial" w:eastAsia="Arial" w:hAnsi="Arial"/>
          <w:sz w:val="14"/>
          <w:szCs w:val="14"/>
          <w:color w:val="auto"/>
        </w:rPr>
        <w:t>, a portion of the Company’s derivative commodity contracts were related to its Thermal Business for the purchase of fuel/electricity commodities based on the forecasted usage of the thermal district energy centers. Realized gains and losses on these contracts were reflected in the fuel costs that were permitted to be billed to customers through the related customer contracts or tariffs and, accordingly, no gains or losses were reflected in the consolidated statements of income for these contracts through the period that the Company owned the Thermal Business.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See Note 6, </w:t>
      </w:r>
      <w:r>
        <w:rPr>
          <w:rFonts w:ascii="Arial" w:cs="Arial" w:eastAsia="Arial" w:hAnsi="Arial"/>
          <w:sz w:val="14"/>
          <w:szCs w:val="14"/>
          <w:i w:val="1"/>
          <w:iCs w:val="1"/>
          <w:color w:val="auto"/>
        </w:rPr>
        <w:t>Fair Value of Financial Instruments</w:t>
      </w:r>
      <w:r>
        <w:rPr>
          <w:rFonts w:ascii="Arial" w:cs="Arial" w:eastAsia="Arial" w:hAnsi="Arial"/>
          <w:sz w:val="14"/>
          <w:szCs w:val="14"/>
          <w:color w:val="auto"/>
        </w:rPr>
        <w:t>, for a discussion regarding concentration of credit risk.</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Intangible Assets</w:t>
      </w:r>
    </w:p>
    <w:p>
      <w:pPr>
        <w:spacing w:after="0" w:line="14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i w:val="1"/>
          <w:iCs w:val="1"/>
          <w:color w:val="auto"/>
        </w:rPr>
        <w:t xml:space="preserve">Intangible Assets </w:t>
      </w:r>
      <w:r>
        <w:rPr>
          <w:rFonts w:ascii="Arial" w:cs="Arial" w:eastAsia="Arial" w:hAnsi="Arial"/>
          <w:sz w:val="14"/>
          <w:szCs w:val="14"/>
          <w:color w:val="auto"/>
        </w:rPr>
        <w:t>— The Company’s intangible assets as of December 31, 2022 and 2021 primarily reflect intangible assets established from its business acquisitions and are comprised of the</w:t>
      </w:r>
      <w:r>
        <w:rPr>
          <w:rFonts w:ascii="Arial" w:cs="Arial" w:eastAsia="Arial" w:hAnsi="Arial"/>
          <w:sz w:val="14"/>
          <w:szCs w:val="14"/>
          <w:i w:val="1"/>
          <w:iCs w:val="1"/>
          <w:color w:val="auto"/>
        </w:rPr>
        <w:t xml:space="preserve"> </w:t>
      </w:r>
      <w:r>
        <w:rPr>
          <w:rFonts w:ascii="Arial" w:cs="Arial" w:eastAsia="Arial" w:hAnsi="Arial"/>
          <w:sz w:val="14"/>
          <w:szCs w:val="14"/>
          <w:color w:val="auto"/>
        </w:rPr>
        <w:t>following:</w:t>
      </w:r>
    </w:p>
    <w:p>
      <w:pPr>
        <w:spacing w:after="0" w:line="90" w:lineRule="exact"/>
        <w:rPr>
          <w:sz w:val="20"/>
          <w:szCs w:val="20"/>
          <w:color w:val="auto"/>
        </w:rPr>
      </w:pPr>
    </w:p>
    <w:p>
      <w:pPr>
        <w:ind w:left="520" w:hanging="260"/>
        <w:spacing w:after="0" w:line="321" w:lineRule="auto"/>
        <w:tabs>
          <w:tab w:leader="none" w:pos="516" w:val="left"/>
        </w:tabs>
        <w:numPr>
          <w:ilvl w:val="0"/>
          <w:numId w:val="72"/>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PPAs </w:t>
      </w:r>
      <w:r>
        <w:rPr>
          <w:rFonts w:ascii="Arial" w:cs="Arial" w:eastAsia="Arial" w:hAnsi="Arial"/>
          <w:sz w:val="13"/>
          <w:szCs w:val="13"/>
          <w:color w:val="auto"/>
        </w:rPr>
        <w:t>— Established predominantly with the acquisitions of the Alta Wind Portfolio, Walnut Creek, Tapestry, Laredo Ridge, Carlsbad Energy Center, Agua Caliente, the Utah Solar Portfolio,</w:t>
      </w:r>
      <w:r>
        <w:rPr>
          <w:rFonts w:ascii="Arial" w:cs="Arial" w:eastAsia="Arial" w:hAnsi="Arial"/>
          <w:sz w:val="13"/>
          <w:szCs w:val="13"/>
          <w:i w:val="1"/>
          <w:iCs w:val="1"/>
          <w:color w:val="auto"/>
        </w:rPr>
        <w:t xml:space="preserve"> </w:t>
      </w:r>
      <w:r>
        <w:rPr>
          <w:rFonts w:ascii="Arial" w:cs="Arial" w:eastAsia="Arial" w:hAnsi="Arial"/>
          <w:sz w:val="13"/>
          <w:szCs w:val="13"/>
          <w:color w:val="auto"/>
        </w:rPr>
        <w:t>and the Capistrano Wind Portfolio. These represent the fair value of the PPAs acquired. These are amortized on a straight-line basis, over the term of the PPA.</w:t>
      </w:r>
    </w:p>
    <w:p>
      <w:pPr>
        <w:spacing w:after="0" w:line="24" w:lineRule="exact"/>
        <w:rPr>
          <w:rFonts w:ascii="Arial" w:cs="Arial" w:eastAsia="Arial" w:hAnsi="Arial"/>
          <w:sz w:val="13"/>
          <w:szCs w:val="13"/>
          <w:i w:val="1"/>
          <w:iCs w:val="1"/>
          <w:color w:val="auto"/>
        </w:rPr>
      </w:pPr>
    </w:p>
    <w:p>
      <w:pPr>
        <w:ind w:left="520" w:right="140" w:hanging="260"/>
        <w:spacing w:after="0" w:line="281" w:lineRule="auto"/>
        <w:tabs>
          <w:tab w:leader="none" w:pos="516" w:val="left"/>
        </w:tabs>
        <w:numPr>
          <w:ilvl w:val="0"/>
          <w:numId w:val="7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Leasehold Rights </w:t>
      </w:r>
      <w:r>
        <w:rPr>
          <w:rFonts w:ascii="Arial" w:cs="Arial" w:eastAsia="Arial" w:hAnsi="Arial"/>
          <w:sz w:val="14"/>
          <w:szCs w:val="14"/>
          <w:color w:val="auto"/>
        </w:rPr>
        <w:t>— Established with the acquisition of the Alta Wind Portfolio, this represents the fair value of contractual rights to receive royalty payments equal to a percentage of PPA</w:t>
      </w:r>
      <w:r>
        <w:rPr>
          <w:rFonts w:ascii="Arial" w:cs="Arial" w:eastAsia="Arial" w:hAnsi="Arial"/>
          <w:sz w:val="14"/>
          <w:szCs w:val="14"/>
          <w:i w:val="1"/>
          <w:iCs w:val="1"/>
          <w:color w:val="auto"/>
        </w:rPr>
        <w:t xml:space="preserve"> </w:t>
      </w:r>
      <w:r>
        <w:rPr>
          <w:rFonts w:ascii="Arial" w:cs="Arial" w:eastAsia="Arial" w:hAnsi="Arial"/>
          <w:sz w:val="14"/>
          <w:szCs w:val="14"/>
          <w:color w:val="auto"/>
        </w:rPr>
        <w:t>revenue from certain projects. These are amortized as a reduction to operating revenue on a straight-line basis over the term of the PPAs.</w:t>
      </w:r>
    </w:p>
    <w:p>
      <w:pPr>
        <w:spacing w:after="0" w:line="4" w:lineRule="exact"/>
        <w:rPr>
          <w:rFonts w:ascii="Arial" w:cs="Arial" w:eastAsia="Arial" w:hAnsi="Arial"/>
          <w:sz w:val="14"/>
          <w:szCs w:val="14"/>
          <w:i w:val="1"/>
          <w:iCs w:val="1"/>
          <w:color w:val="auto"/>
        </w:rPr>
      </w:pPr>
    </w:p>
    <w:p>
      <w:pPr>
        <w:ind w:left="520" w:hanging="260"/>
        <w:spacing w:after="0" w:line="281" w:lineRule="auto"/>
        <w:tabs>
          <w:tab w:leader="none" w:pos="516" w:val="left"/>
        </w:tabs>
        <w:numPr>
          <w:ilvl w:val="0"/>
          <w:numId w:val="72"/>
        </w:numPr>
        <w:rPr>
          <w:rFonts w:ascii="Arial" w:cs="Arial" w:eastAsia="Arial" w:hAnsi="Arial"/>
          <w:sz w:val="14"/>
          <w:szCs w:val="14"/>
          <w:color w:val="auto"/>
        </w:rPr>
      </w:pPr>
      <w:r>
        <w:rPr>
          <w:rFonts w:ascii="Arial" w:cs="Arial" w:eastAsia="Arial" w:hAnsi="Arial"/>
          <w:sz w:val="14"/>
          <w:szCs w:val="14"/>
          <w:i w:val="1"/>
          <w:iCs w:val="1"/>
          <w:color w:val="auto"/>
        </w:rPr>
        <w:t xml:space="preserve">Customer relationships </w:t>
      </w:r>
      <w:r>
        <w:rPr>
          <w:rFonts w:ascii="Arial" w:cs="Arial" w:eastAsia="Arial" w:hAnsi="Arial"/>
          <w:sz w:val="14"/>
          <w:szCs w:val="14"/>
          <w:color w:val="auto"/>
        </w:rPr>
        <w:t>— Established with the acquisition of Energy Center Omaha and Energy Center Phoenix, these intangibles were included in the Thermal Business and were classified</w:t>
      </w:r>
      <w:r>
        <w:rPr>
          <w:rFonts w:ascii="Arial" w:cs="Arial" w:eastAsia="Arial" w:hAnsi="Arial"/>
          <w:sz w:val="14"/>
          <w:szCs w:val="14"/>
          <w:i w:val="1"/>
          <w:iCs w:val="1"/>
          <w:color w:val="auto"/>
        </w:rPr>
        <w:t xml:space="preserve"> </w:t>
      </w:r>
      <w:r>
        <w:rPr>
          <w:rFonts w:ascii="Arial" w:cs="Arial" w:eastAsia="Arial" w:hAnsi="Arial"/>
          <w:sz w:val="14"/>
          <w:szCs w:val="14"/>
          <w:color w:val="auto"/>
        </w:rPr>
        <w:t>as held for sale at December 31, 2021. The Thermal Business was sold on May 1, 2022.</w:t>
      </w:r>
    </w:p>
    <w:p>
      <w:pPr>
        <w:spacing w:after="0" w:line="4" w:lineRule="exact"/>
        <w:rPr>
          <w:rFonts w:ascii="Arial" w:cs="Arial" w:eastAsia="Arial" w:hAnsi="Arial"/>
          <w:sz w:val="14"/>
          <w:szCs w:val="14"/>
          <w:color w:val="auto"/>
        </w:rPr>
      </w:pPr>
    </w:p>
    <w:p>
      <w:pPr>
        <w:ind w:left="520" w:right="120" w:hanging="260"/>
        <w:spacing w:after="0" w:line="260" w:lineRule="auto"/>
        <w:tabs>
          <w:tab w:leader="none" w:pos="516" w:val="left"/>
        </w:tabs>
        <w:numPr>
          <w:ilvl w:val="0"/>
          <w:numId w:val="7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Customer contracts </w:t>
      </w:r>
      <w:r>
        <w:rPr>
          <w:rFonts w:ascii="Arial" w:cs="Arial" w:eastAsia="Arial" w:hAnsi="Arial"/>
          <w:sz w:val="14"/>
          <w:szCs w:val="14"/>
          <w:color w:val="auto"/>
        </w:rPr>
        <w:t>— Established with the acquisition of Energy Center Phoenix, these intangibles were included in the Thermal Business and were classified as held for sale at December</w:t>
      </w:r>
      <w:r>
        <w:rPr>
          <w:rFonts w:ascii="Arial" w:cs="Arial" w:eastAsia="Arial" w:hAnsi="Arial"/>
          <w:sz w:val="14"/>
          <w:szCs w:val="14"/>
          <w:i w:val="1"/>
          <w:iCs w:val="1"/>
          <w:color w:val="auto"/>
        </w:rPr>
        <w:t xml:space="preserve"> </w:t>
      </w:r>
      <w:r>
        <w:rPr>
          <w:rFonts w:ascii="Arial" w:cs="Arial" w:eastAsia="Arial" w:hAnsi="Arial"/>
          <w:sz w:val="14"/>
          <w:szCs w:val="14"/>
          <w:color w:val="auto"/>
        </w:rPr>
        <w:t>31, 2021. The Thermal Business was sold on May 1, 2022.</w:t>
      </w:r>
    </w:p>
    <w:p>
      <w:pPr>
        <w:jc w:val="both"/>
        <w:ind w:left="520" w:hanging="260"/>
        <w:spacing w:after="0" w:line="230" w:lineRule="auto"/>
        <w:tabs>
          <w:tab w:leader="none" w:pos="516" w:val="left"/>
        </w:tabs>
        <w:numPr>
          <w:ilvl w:val="0"/>
          <w:numId w:val="7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Emission Allowances </w:t>
      </w:r>
      <w:r>
        <w:rPr>
          <w:rFonts w:ascii="Arial" w:cs="Arial" w:eastAsia="Arial" w:hAnsi="Arial"/>
          <w:sz w:val="14"/>
          <w:szCs w:val="14"/>
          <w:color w:val="auto"/>
        </w:rPr>
        <w:t>— These intangibles primarily consist of SO</w:t>
      </w:r>
      <w:r>
        <w:rPr>
          <w:rFonts w:ascii="Arial" w:cs="Arial" w:eastAsia="Arial" w:hAnsi="Arial"/>
          <w:sz w:val="18"/>
          <w:szCs w:val="18"/>
          <w:color w:val="auto"/>
          <w:vertAlign w:val="subscript"/>
        </w:rPr>
        <w:t>2</w:t>
      </w:r>
      <w:r>
        <w:rPr>
          <w:rFonts w:ascii="Arial" w:cs="Arial" w:eastAsia="Arial" w:hAnsi="Arial"/>
          <w:sz w:val="14"/>
          <w:szCs w:val="14"/>
          <w:i w:val="1"/>
          <w:iCs w:val="1"/>
          <w:color w:val="auto"/>
        </w:rPr>
        <w:t xml:space="preserve"> </w:t>
      </w:r>
      <w:r>
        <w:rPr>
          <w:rFonts w:ascii="Arial" w:cs="Arial" w:eastAsia="Arial" w:hAnsi="Arial"/>
          <w:sz w:val="14"/>
          <w:szCs w:val="14"/>
          <w:color w:val="auto"/>
        </w:rPr>
        <w:t>and NO</w:t>
      </w:r>
      <w:r>
        <w:rPr>
          <w:rFonts w:ascii="Arial" w:cs="Arial" w:eastAsia="Arial" w:hAnsi="Arial"/>
          <w:sz w:val="11"/>
          <w:szCs w:val="11"/>
          <w:color w:val="auto"/>
        </w:rPr>
        <w:t>x</w:t>
      </w:r>
      <w:r>
        <w:rPr>
          <w:rFonts w:ascii="Arial" w:cs="Arial" w:eastAsia="Arial" w:hAnsi="Arial"/>
          <w:sz w:val="14"/>
          <w:szCs w:val="14"/>
          <w:i w:val="1"/>
          <w:iCs w:val="1"/>
          <w:color w:val="auto"/>
        </w:rPr>
        <w:t xml:space="preserve"> </w:t>
      </w:r>
      <w:r>
        <w:rPr>
          <w:rFonts w:ascii="Arial" w:cs="Arial" w:eastAsia="Arial" w:hAnsi="Arial"/>
          <w:sz w:val="14"/>
          <w:szCs w:val="14"/>
          <w:color w:val="auto"/>
        </w:rPr>
        <w:t>emission allowances established with the El Segundo, Walnut Creek and Carlsbad Energy Center acquisitions.</w:t>
      </w:r>
      <w:r>
        <w:rPr>
          <w:rFonts w:ascii="Arial" w:cs="Arial" w:eastAsia="Arial" w:hAnsi="Arial"/>
          <w:sz w:val="14"/>
          <w:szCs w:val="14"/>
          <w:i w:val="1"/>
          <w:iCs w:val="1"/>
          <w:color w:val="auto"/>
        </w:rPr>
        <w:t xml:space="preserve"> </w:t>
      </w:r>
      <w:r>
        <w:rPr>
          <w:rFonts w:ascii="Arial" w:cs="Arial" w:eastAsia="Arial" w:hAnsi="Arial"/>
          <w:sz w:val="14"/>
          <w:szCs w:val="14"/>
          <w:color w:val="auto"/>
        </w:rPr>
        <w:t>These emission allowances are held-for-use and are amortized to cost of operations, with NO</w:t>
      </w:r>
      <w:r>
        <w:rPr>
          <w:rFonts w:ascii="Arial" w:cs="Arial" w:eastAsia="Arial" w:hAnsi="Arial"/>
          <w:sz w:val="11"/>
          <w:szCs w:val="11"/>
          <w:color w:val="auto"/>
        </w:rPr>
        <w:t>x</w:t>
      </w:r>
      <w:r>
        <w:rPr>
          <w:rFonts w:ascii="Arial" w:cs="Arial" w:eastAsia="Arial" w:hAnsi="Arial"/>
          <w:sz w:val="14"/>
          <w:szCs w:val="14"/>
          <w:color w:val="auto"/>
        </w:rPr>
        <w:t xml:space="preserve"> allowances amortized on a straight-line basis and SO</w:t>
      </w:r>
      <w:r>
        <w:rPr>
          <w:rFonts w:ascii="Arial" w:cs="Arial" w:eastAsia="Arial" w:hAnsi="Arial"/>
          <w:sz w:val="18"/>
          <w:szCs w:val="18"/>
          <w:color w:val="auto"/>
          <w:vertAlign w:val="subscript"/>
        </w:rPr>
        <w:t>2</w:t>
      </w:r>
      <w:r>
        <w:rPr>
          <w:rFonts w:ascii="Arial" w:cs="Arial" w:eastAsia="Arial" w:hAnsi="Arial"/>
          <w:sz w:val="14"/>
          <w:szCs w:val="14"/>
          <w:color w:val="auto"/>
        </w:rPr>
        <w:t xml:space="preserve"> allowances amortized based on units of production.</w:t>
      </w:r>
    </w:p>
    <w:p>
      <w:pPr>
        <w:spacing w:after="0" w:line="32" w:lineRule="exact"/>
        <w:rPr>
          <w:rFonts w:ascii="Arial" w:cs="Arial" w:eastAsia="Arial" w:hAnsi="Arial"/>
          <w:sz w:val="14"/>
          <w:szCs w:val="14"/>
          <w:i w:val="1"/>
          <w:iCs w:val="1"/>
          <w:color w:val="auto"/>
        </w:rPr>
      </w:pPr>
    </w:p>
    <w:p>
      <w:pPr>
        <w:jc w:val="both"/>
        <w:ind w:left="520" w:hanging="260"/>
        <w:spacing w:after="0" w:line="297" w:lineRule="auto"/>
        <w:tabs>
          <w:tab w:leader="none" w:pos="516" w:val="left"/>
        </w:tabs>
        <w:numPr>
          <w:ilvl w:val="0"/>
          <w:numId w:val="72"/>
        </w:numPr>
        <w:rPr>
          <w:rFonts w:ascii="Arial" w:cs="Arial" w:eastAsia="Arial" w:hAnsi="Arial"/>
          <w:sz w:val="13"/>
          <w:szCs w:val="13"/>
          <w:i w:val="1"/>
          <w:iCs w:val="1"/>
          <w:color w:val="auto"/>
        </w:rPr>
      </w:pPr>
      <w:r>
        <w:rPr>
          <w:rFonts w:ascii="Arial" w:cs="Arial" w:eastAsia="Arial" w:hAnsi="Arial"/>
          <w:sz w:val="13"/>
          <w:szCs w:val="13"/>
          <w:color w:val="auto"/>
        </w:rPr>
        <w:t>Other — Consists of a) the acquisition date fair value of the contractual rights to a ground lease for South Trent and to utilize certain interconnection facilities for Blythe as well as land rights acquired in connection with the acquisition of Elbow Creek and Langford Wind; b) development rights related to certain solar business acquisitions; c) RECs acquired in connection with the acquisition of the Utah Solar Portfolio; and d) favorable land leases acquired in connection with the acquisition of the Utah Star Portfolio.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14" w:name="page115"/>
    <w:bookmarkEnd w:id="114"/>
    <w:p>
      <w:pPr>
        <w:ind w:left="320"/>
        <w:spacing w:after="0"/>
        <w:rPr>
          <w:sz w:val="20"/>
          <w:szCs w:val="20"/>
          <w:color w:val="auto"/>
        </w:rPr>
      </w:pPr>
      <w:r>
        <w:rPr>
          <w:rFonts w:ascii="Arial" w:cs="Arial" w:eastAsia="Arial" w:hAnsi="Arial"/>
          <w:sz w:val="14"/>
          <w:szCs w:val="14"/>
          <w:color w:val="auto"/>
        </w:rPr>
        <w:t>The following tables summarize the components of intangible assets subject to amortization: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420" w:type="dxa"/>
            <w:vAlign w:val="bottom"/>
            <w:gridSpan w:val="2"/>
          </w:tcPr>
          <w:p>
            <w:pPr>
              <w:spacing w:after="0"/>
              <w:rPr>
                <w:sz w:val="20"/>
                <w:szCs w:val="20"/>
                <w:color w:val="auto"/>
              </w:rPr>
            </w:pPr>
            <w:r>
              <w:rPr>
                <w:rFonts w:ascii="Arial" w:cs="Arial" w:eastAsia="Arial" w:hAnsi="Arial"/>
                <w:sz w:val="11"/>
                <w:szCs w:val="11"/>
                <w:b w:val="1"/>
                <w:bCs w:val="1"/>
                <w:color w:val="auto"/>
              </w:rPr>
              <w:t>Year ended December 31, 2022</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418"/>
              <w:spacing w:after="0"/>
              <w:rPr>
                <w:sz w:val="20"/>
                <w:szCs w:val="20"/>
                <w:color w:val="auto"/>
              </w:rPr>
            </w:pPr>
            <w:r>
              <w:rPr>
                <w:rFonts w:ascii="Arial" w:cs="Arial" w:eastAsia="Arial" w:hAnsi="Arial"/>
                <w:sz w:val="11"/>
                <w:szCs w:val="11"/>
                <w:b w:val="1"/>
                <w:bCs w:val="1"/>
                <w:color w:val="auto"/>
                <w:w w:val="83"/>
              </w:rPr>
              <w:t>PPAs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right"/>
              <w:ind w:right="118"/>
              <w:spacing w:after="0"/>
              <w:rPr>
                <w:sz w:val="20"/>
                <w:szCs w:val="20"/>
                <w:color w:val="auto"/>
              </w:rPr>
            </w:pPr>
            <w:r>
              <w:rPr>
                <w:rFonts w:ascii="Arial" w:cs="Arial" w:eastAsia="Arial" w:hAnsi="Arial"/>
                <w:sz w:val="11"/>
                <w:szCs w:val="11"/>
                <w:b w:val="1"/>
                <w:bCs w:val="1"/>
                <w:color w:val="auto"/>
                <w:w w:val="95"/>
              </w:rPr>
              <w:t>Leasehold Rights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rPr>
                <w:sz w:val="20"/>
                <w:szCs w:val="20"/>
                <w:color w:val="auto"/>
              </w:rPr>
            </w:pPr>
            <w:r>
              <w:rPr>
                <w:rFonts w:ascii="Arial" w:cs="Arial" w:eastAsia="Arial" w:hAnsi="Arial"/>
                <w:sz w:val="11"/>
                <w:szCs w:val="11"/>
                <w:b w:val="1"/>
                <w:bCs w:val="1"/>
                <w:color w:val="auto"/>
                <w:w w:val="97"/>
              </w:rPr>
              <w:t>Emission Allowances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ind w:left="420"/>
              <w:spacing w:after="0"/>
              <w:rPr>
                <w:sz w:val="20"/>
                <w:szCs w:val="20"/>
                <w:color w:val="auto"/>
              </w:rPr>
            </w:pPr>
            <w:r>
              <w:rPr>
                <w:rFonts w:ascii="Arial" w:cs="Arial" w:eastAsia="Arial" w:hAnsi="Arial"/>
                <w:sz w:val="11"/>
                <w:szCs w:val="11"/>
                <w:b w:val="1"/>
                <w:bCs w:val="1"/>
                <w:color w:val="auto"/>
              </w:rPr>
              <w:t>Other</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Total</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1"/>
                <w:szCs w:val="11"/>
                <w:b w:val="1"/>
                <w:bCs w:val="1"/>
                <w:color w:val="auto"/>
              </w:rPr>
              <w:t>(In millions)</w:t>
            </w:r>
          </w:p>
        </w:tc>
        <w:tc>
          <w:tcPr>
            <w:tcW w:w="19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9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January 1, 2022</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28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w w:val="82"/>
              </w:rPr>
              <w:t>17</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34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20" w:type="dxa"/>
            <w:vAlign w:val="bottom"/>
            <w:gridSpan w:val="2"/>
          </w:tcPr>
          <w:p>
            <w:pPr>
              <w:spacing w:after="0" w:line="170" w:lineRule="exact"/>
              <w:rPr>
                <w:sz w:val="20"/>
                <w:szCs w:val="20"/>
                <w:color w:val="auto"/>
              </w:rPr>
            </w:pPr>
            <w:r>
              <w:rPr>
                <w:rFonts w:ascii="Arial" w:cs="Arial" w:eastAsia="Arial" w:hAnsi="Arial"/>
                <w:sz w:val="13"/>
                <w:szCs w:val="13"/>
                <w:color w:val="auto"/>
              </w:rPr>
              <w:t xml:space="preserve">Acquisitions </w:t>
            </w:r>
            <w:r>
              <w:rPr>
                <w:rFonts w:ascii="Arial" w:cs="Arial" w:eastAsia="Arial" w:hAnsi="Arial"/>
                <w:sz w:val="16"/>
                <w:szCs w:val="16"/>
                <w:color w:val="auto"/>
                <w:vertAlign w:val="superscript"/>
              </w:rPr>
              <w:t>(a)</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56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20" w:type="dxa"/>
            <w:vAlign w:val="bottom"/>
            <w:gridSpan w:val="2"/>
          </w:tcPr>
          <w:p>
            <w:pPr>
              <w:spacing w:after="0"/>
              <w:rPr>
                <w:sz w:val="20"/>
                <w:szCs w:val="20"/>
                <w:color w:val="auto"/>
              </w:rPr>
            </w:pPr>
            <w:r>
              <w:rPr>
                <w:rFonts w:ascii="Arial" w:cs="Arial" w:eastAsia="Arial" w:hAnsi="Arial"/>
                <w:sz w:val="13"/>
                <w:szCs w:val="13"/>
                <w:color w:val="auto"/>
              </w:rPr>
              <w:t>December 31, 2022</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3,321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560"/>
              <w:spacing w:after="0"/>
              <w:rPr>
                <w:sz w:val="20"/>
                <w:szCs w:val="20"/>
                <w:color w:val="auto"/>
              </w:rPr>
            </w:pPr>
            <w:r>
              <w:rPr>
                <w:rFonts w:ascii="Arial" w:cs="Arial" w:eastAsia="Arial" w:hAnsi="Arial"/>
                <w:sz w:val="13"/>
                <w:szCs w:val="13"/>
                <w:color w:val="auto"/>
                <w:w w:val="82"/>
              </w:rPr>
              <w:t>17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3,442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Less accumulated amortization</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(833)</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gridSpan w:val="3"/>
            <w:shd w:val="clear" w:color="auto" w:fill="CCEEFF"/>
          </w:tcPr>
          <w:p>
            <w:pPr>
              <w:ind w:left="580"/>
              <w:spacing w:after="0"/>
              <w:rPr>
                <w:sz w:val="20"/>
                <w:szCs w:val="20"/>
                <w:color w:val="auto"/>
              </w:rPr>
            </w:pPr>
            <w:r>
              <w:rPr>
                <w:rFonts w:ascii="Arial" w:cs="Arial" w:eastAsia="Arial" w:hAnsi="Arial"/>
                <w:sz w:val="13"/>
                <w:szCs w:val="13"/>
                <w:color w:val="auto"/>
                <w:w w:val="87"/>
              </w:rPr>
              <w:t>(4)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3"/>
                <w:szCs w:val="13"/>
                <w:color w:val="auto"/>
              </w:rPr>
              <w:t>Net carrying amount</w:t>
            </w:r>
          </w:p>
        </w:tc>
        <w:tc>
          <w:tcPr>
            <w:tcW w:w="220" w:type="dxa"/>
            <w:vAlign w:val="bottom"/>
          </w:tcPr>
          <w:p>
            <w:pPr>
              <w:spacing w:after="0"/>
              <w:rPr>
                <w:sz w:val="14"/>
                <w:szCs w:val="14"/>
                <w:color w:val="auto"/>
              </w:rPr>
            </w:pPr>
          </w:p>
        </w:tc>
        <w:tc>
          <w:tcPr>
            <w:tcW w:w="82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2,488</w:t>
            </w:r>
          </w:p>
        </w:tc>
        <w:tc>
          <w:tcPr>
            <w:tcW w:w="2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52</w:t>
            </w:r>
          </w:p>
        </w:tc>
        <w:tc>
          <w:tcPr>
            <w:tcW w:w="28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700" w:type="dxa"/>
            <w:vAlign w:val="bottom"/>
            <w:gridSpan w:val="2"/>
          </w:tcPr>
          <w:p>
            <w:pPr>
              <w:ind w:left="560"/>
              <w:spacing w:after="0"/>
              <w:rPr>
                <w:sz w:val="20"/>
                <w:szCs w:val="20"/>
                <w:color w:val="auto"/>
              </w:rPr>
            </w:pPr>
            <w:r>
              <w:rPr>
                <w:rFonts w:ascii="Arial" w:cs="Arial" w:eastAsia="Arial" w:hAnsi="Arial"/>
                <w:sz w:val="13"/>
                <w:szCs w:val="13"/>
                <w:color w:val="auto"/>
                <w:w w:val="82"/>
              </w:rPr>
              <w:t>13</w:t>
            </w:r>
          </w:p>
        </w:tc>
        <w:tc>
          <w:tcPr>
            <w:tcW w:w="2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12</w:t>
            </w:r>
          </w:p>
        </w:tc>
        <w:tc>
          <w:tcPr>
            <w:tcW w:w="340" w:type="dxa"/>
            <w:vAlign w:val="bottom"/>
            <w:gridSpan w:val="3"/>
          </w:tcPr>
          <w:p>
            <w:pPr>
              <w:jc w:val="center"/>
              <w:spacing w:after="0"/>
              <w:rPr>
                <w:sz w:val="20"/>
                <w:szCs w:val="20"/>
                <w:color w:val="auto"/>
              </w:rPr>
            </w:pPr>
            <w:r>
              <w:rPr>
                <w:rFonts w:ascii="Arial" w:cs="Arial" w:eastAsia="Arial" w:hAnsi="Arial"/>
                <w:sz w:val="13"/>
                <w:szCs w:val="13"/>
                <w:color w:val="auto"/>
                <w:w w:val="82"/>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2,565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gridSpan w:val="3"/>
            <w:vMerge w:val="restart"/>
          </w:tcPr>
          <w:p>
            <w:pPr>
              <w:ind w:left="40"/>
              <w:spacing w:after="0"/>
              <w:rPr>
                <w:sz w:val="20"/>
                <w:szCs w:val="20"/>
                <w:color w:val="auto"/>
              </w:rPr>
            </w:pPr>
            <w:r>
              <w:rPr>
                <w:rFonts w:ascii="Arial" w:cs="Arial" w:eastAsia="Arial" w:hAnsi="Arial"/>
                <w:sz w:val="14"/>
                <w:szCs w:val="14"/>
                <w:color w:val="auto"/>
                <w:w w:val="95"/>
                <w:vertAlign w:val="superscript"/>
              </w:rPr>
              <w:t>(</w:t>
            </w:r>
            <w:r>
              <w:rPr>
                <w:rFonts w:ascii="Arial" w:cs="Arial" w:eastAsia="Arial" w:hAnsi="Arial"/>
                <w:sz w:val="18"/>
                <w:szCs w:val="18"/>
                <w:color w:val="auto"/>
                <w:w w:val="95"/>
                <w:vertAlign w:val="superscript"/>
              </w:rPr>
              <w:t>a)</w:t>
            </w:r>
            <w:r>
              <w:rPr>
                <w:rFonts w:ascii="Arial" w:cs="Arial" w:eastAsia="Arial" w:hAnsi="Arial"/>
                <w:sz w:val="11"/>
                <w:szCs w:val="11"/>
                <w:color w:val="auto"/>
                <w:w w:val="95"/>
              </w:rPr>
              <w:t xml:space="preserve"> The weighted average life of acquired intangibles was 10 years for PPAs.</w:t>
            </w: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64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Year ended December 31, 2021</w:t>
            </w:r>
          </w:p>
        </w:tc>
        <w:tc>
          <w:tcPr>
            <w:tcW w:w="220" w:type="dxa"/>
            <w:vAlign w:val="bottom"/>
          </w:tcPr>
          <w:p>
            <w:pPr>
              <w:spacing w:after="0"/>
              <w:rPr>
                <w:sz w:val="16"/>
                <w:szCs w:val="16"/>
                <w:color w:val="auto"/>
              </w:rPr>
            </w:pPr>
          </w:p>
        </w:tc>
        <w:tc>
          <w:tcPr>
            <w:tcW w:w="92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PPAs</w:t>
            </w:r>
          </w:p>
        </w:tc>
        <w:tc>
          <w:tcPr>
            <w:tcW w:w="80" w:type="dxa"/>
            <w:vAlign w:val="bottom"/>
          </w:tcPr>
          <w:p>
            <w:pPr>
              <w:spacing w:after="0"/>
              <w:rPr>
                <w:sz w:val="16"/>
                <w:szCs w:val="16"/>
                <w:color w:val="auto"/>
              </w:rPr>
            </w:pPr>
          </w:p>
        </w:tc>
        <w:tc>
          <w:tcPr>
            <w:tcW w:w="106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Leasehold Rights</w:t>
            </w:r>
          </w:p>
        </w:tc>
        <w:tc>
          <w:tcPr>
            <w:tcW w:w="1360" w:type="dxa"/>
            <w:vAlign w:val="bottom"/>
            <w:gridSpan w:val="5"/>
            <w:vMerge w:val="restart"/>
          </w:tcPr>
          <w:p>
            <w:pPr>
              <w:jc w:val="right"/>
              <w:ind w:right="140"/>
              <w:spacing w:after="0"/>
              <w:rPr>
                <w:sz w:val="20"/>
                <w:szCs w:val="20"/>
                <w:color w:val="auto"/>
              </w:rPr>
            </w:pPr>
            <w:r>
              <w:rPr>
                <w:rFonts w:ascii="Arial" w:cs="Arial" w:eastAsia="Arial" w:hAnsi="Arial"/>
                <w:sz w:val="11"/>
                <w:szCs w:val="11"/>
                <w:b w:val="1"/>
                <w:bCs w:val="1"/>
                <w:color w:val="auto"/>
                <w:w w:val="94"/>
              </w:rPr>
              <w:t>Customer Relationships</w:t>
            </w:r>
          </w:p>
        </w:tc>
        <w:tc>
          <w:tcPr>
            <w:tcW w:w="11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Customer Contracts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Emission</w:t>
            </w:r>
          </w:p>
        </w:tc>
        <w:tc>
          <w:tcPr>
            <w:tcW w:w="280" w:type="dxa"/>
            <w:vAlign w:val="bottom"/>
          </w:tcPr>
          <w:p>
            <w:pPr>
              <w:spacing w:after="0"/>
              <w:rPr>
                <w:sz w:val="16"/>
                <w:szCs w:val="16"/>
                <w:color w:val="auto"/>
              </w:rPr>
            </w:pPr>
          </w:p>
        </w:tc>
        <w:tc>
          <w:tcPr>
            <w:tcW w:w="340" w:type="dxa"/>
            <w:vAlign w:val="bottom"/>
            <w:gridSpan w:val="3"/>
            <w:vMerge w:val="restart"/>
          </w:tcPr>
          <w:p>
            <w:pPr>
              <w:jc w:val="center"/>
              <w:ind w:right="40"/>
              <w:spacing w:after="0"/>
              <w:rPr>
                <w:sz w:val="20"/>
                <w:szCs w:val="20"/>
                <w:color w:val="auto"/>
              </w:rPr>
            </w:pPr>
            <w:r>
              <w:rPr>
                <w:rFonts w:ascii="Arial" w:cs="Arial" w:eastAsia="Arial" w:hAnsi="Arial"/>
                <w:sz w:val="11"/>
                <w:szCs w:val="11"/>
                <w:b w:val="1"/>
                <w:bCs w:val="1"/>
                <w:color w:val="auto"/>
              </w:rPr>
              <w:t>Other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gridSpan w:val="2"/>
            <w:vMerge w:val="restart"/>
          </w:tcPr>
          <w:p>
            <w:pPr>
              <w:jc w:val="right"/>
              <w:ind w:right="3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4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ind w:left="20"/>
              <w:spacing w:after="0" w:line="93" w:lineRule="exact"/>
              <w:rPr>
                <w:sz w:val="20"/>
                <w:szCs w:val="20"/>
                <w:color w:val="auto"/>
              </w:rPr>
            </w:pPr>
            <w:r>
              <w:rPr>
                <w:rFonts w:ascii="Arial" w:cs="Arial" w:eastAsia="Arial" w:hAnsi="Arial"/>
                <w:sz w:val="10"/>
                <w:szCs w:val="10"/>
                <w:b w:val="1"/>
                <w:bCs w:val="1"/>
                <w:color w:val="auto"/>
              </w:rPr>
              <w:t>Allowances</w:t>
            </w:r>
          </w:p>
        </w:tc>
        <w:tc>
          <w:tcPr>
            <w:tcW w:w="280" w:type="dxa"/>
            <w:vAlign w:val="bottom"/>
          </w:tcPr>
          <w:p>
            <w:pPr>
              <w:spacing w:after="0"/>
              <w:rPr>
                <w:sz w:val="9"/>
                <w:szCs w:val="9"/>
                <w:color w:val="auto"/>
              </w:rPr>
            </w:pPr>
          </w:p>
        </w:tc>
        <w:tc>
          <w:tcPr>
            <w:tcW w:w="3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1"/>
                <w:szCs w:val="11"/>
                <w:b w:val="1"/>
                <w:bCs w:val="1"/>
                <w:color w:val="auto"/>
              </w:rPr>
              <w:t>(In millions)</w:t>
            </w:r>
          </w:p>
        </w:tc>
        <w:tc>
          <w:tcPr>
            <w:tcW w:w="194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9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January 1, 2021</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w w:val="98"/>
              </w:rPr>
              <w:t>1,661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6"/>
              </w:rPr>
              <w:t>86</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38"/>
              <w:spacing w:after="0"/>
              <w:rPr>
                <w:sz w:val="20"/>
                <w:szCs w:val="20"/>
                <w:color w:val="auto"/>
              </w:rPr>
            </w:pPr>
            <w:r>
              <w:rPr>
                <w:rFonts w:ascii="Arial" w:cs="Arial" w:eastAsia="Arial" w:hAnsi="Arial"/>
                <w:sz w:val="13"/>
                <w:szCs w:val="13"/>
                <w:color w:val="auto"/>
                <w:w w:val="82"/>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66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center"/>
              <w:ind w:left="316"/>
              <w:spacing w:after="0"/>
              <w:rPr>
                <w:sz w:val="20"/>
                <w:szCs w:val="20"/>
                <w:color w:val="auto"/>
              </w:rPr>
            </w:pPr>
            <w:r>
              <w:rPr>
                <w:rFonts w:ascii="Arial" w:cs="Arial" w:eastAsia="Arial" w:hAnsi="Arial"/>
                <w:sz w:val="13"/>
                <w:szCs w:val="13"/>
                <w:color w:val="auto"/>
                <w:w w:val="82"/>
              </w:rPr>
              <w:t>15</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1,857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20" w:type="dxa"/>
            <w:vAlign w:val="bottom"/>
            <w:gridSpan w:val="2"/>
          </w:tcPr>
          <w:p>
            <w:pPr>
              <w:spacing w:after="0" w:line="170" w:lineRule="exact"/>
              <w:rPr>
                <w:sz w:val="20"/>
                <w:szCs w:val="20"/>
                <w:color w:val="auto"/>
              </w:rPr>
            </w:pPr>
            <w:r>
              <w:rPr>
                <w:rFonts w:ascii="Arial" w:cs="Arial" w:eastAsia="Arial" w:hAnsi="Arial"/>
                <w:sz w:val="13"/>
                <w:szCs w:val="13"/>
                <w:color w:val="auto"/>
              </w:rPr>
              <w:t xml:space="preserve">Acquisitions </w:t>
            </w:r>
            <w:r>
              <w:rPr>
                <w:rFonts w:ascii="Arial" w:cs="Arial" w:eastAsia="Arial" w:hAnsi="Arial"/>
                <w:sz w:val="16"/>
                <w:szCs w:val="16"/>
                <w:color w:val="auto"/>
                <w:vertAlign w:val="superscript"/>
              </w:rPr>
              <w:t>(a)</w:t>
            </w:r>
          </w:p>
        </w:tc>
        <w:tc>
          <w:tcPr>
            <w:tcW w:w="220" w:type="dxa"/>
            <w:vAlign w:val="bottom"/>
          </w:tcPr>
          <w:p>
            <w:pPr>
              <w:spacing w:after="0"/>
              <w:rPr>
                <w:sz w:val="14"/>
                <w:szCs w:val="14"/>
                <w:color w:val="auto"/>
              </w:rPr>
            </w:pPr>
          </w:p>
        </w:tc>
        <w:tc>
          <w:tcPr>
            <w:tcW w:w="820" w:type="dxa"/>
            <w:vAlign w:val="bottom"/>
            <w:gridSpan w:val="2"/>
          </w:tcPr>
          <w:p>
            <w:pPr>
              <w:ind w:left="480"/>
              <w:spacing w:after="0"/>
              <w:rPr>
                <w:sz w:val="20"/>
                <w:szCs w:val="20"/>
                <w:color w:val="auto"/>
              </w:rPr>
            </w:pPr>
            <w:r>
              <w:rPr>
                <w:rFonts w:ascii="Arial" w:cs="Arial" w:eastAsia="Arial" w:hAnsi="Arial"/>
                <w:sz w:val="13"/>
                <w:szCs w:val="13"/>
                <w:color w:val="auto"/>
                <w:w w:val="98"/>
              </w:rPr>
              <w:t>1,324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3"/>
          </w:tcPr>
          <w:p>
            <w:pPr>
              <w:jc w:val="center"/>
              <w:ind w:right="140"/>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4"/>
                <w:szCs w:val="14"/>
                <w:color w:val="auto"/>
              </w:rPr>
            </w:pPr>
          </w:p>
        </w:tc>
        <w:tc>
          <w:tcPr>
            <w:tcW w:w="280" w:type="dxa"/>
            <w:vAlign w:val="bottom"/>
            <w:gridSpan w:val="4"/>
          </w:tcPr>
          <w:p>
            <w:pPr>
              <w:jc w:val="right"/>
              <w:ind w:right="140"/>
              <w:spacing w:after="0"/>
              <w:rPr>
                <w:sz w:val="20"/>
                <w:szCs w:val="20"/>
                <w:color w:val="auto"/>
              </w:rPr>
            </w:pPr>
            <w:r>
              <w:rPr>
                <w:rFonts w:ascii="Arial" w:cs="Arial" w:eastAsia="Arial" w:hAnsi="Arial"/>
                <w:sz w:val="13"/>
                <w:szCs w:val="13"/>
                <w:color w:val="auto"/>
                <w:w w:val="91"/>
              </w:rPr>
              <w:t>—</w:t>
            </w:r>
          </w:p>
        </w:tc>
        <w:tc>
          <w:tcPr>
            <w:tcW w:w="440" w:type="dxa"/>
            <w:vAlign w:val="bottom"/>
          </w:tcPr>
          <w:p>
            <w:pPr>
              <w:spacing w:after="0"/>
              <w:rPr>
                <w:sz w:val="14"/>
                <w:szCs w:val="14"/>
                <w:color w:val="auto"/>
              </w:rPr>
            </w:pPr>
          </w:p>
        </w:tc>
        <w:tc>
          <w:tcPr>
            <w:tcW w:w="700" w:type="dxa"/>
            <w:vAlign w:val="bottom"/>
            <w:gridSpan w:val="2"/>
          </w:tcPr>
          <w:p>
            <w:pPr>
              <w:jc w:val="center"/>
              <w:ind w:left="23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1,328</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spacing w:after="0" w:line="170" w:lineRule="exact"/>
              <w:rPr>
                <w:sz w:val="20"/>
                <w:szCs w:val="20"/>
                <w:color w:val="auto"/>
              </w:rPr>
            </w:pPr>
            <w:r>
              <w:rPr>
                <w:rFonts w:ascii="Arial" w:cs="Arial" w:eastAsia="Arial" w:hAnsi="Arial"/>
                <w:sz w:val="13"/>
                <w:szCs w:val="13"/>
                <w:color w:val="auto"/>
              </w:rPr>
              <w:t xml:space="preserve">Reclassified to held for sale </w:t>
            </w:r>
            <w:r>
              <w:rPr>
                <w:rFonts w:ascii="Arial" w:cs="Arial" w:eastAsia="Arial" w:hAnsi="Arial"/>
                <w:sz w:val="16"/>
                <w:szCs w:val="16"/>
                <w:color w:val="auto"/>
                <w:vertAlign w:val="superscript"/>
              </w:rPr>
              <w:t>(b)</w:t>
            </w:r>
          </w:p>
        </w:tc>
        <w:tc>
          <w:tcPr>
            <w:tcW w:w="2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center"/>
              <w:ind w:left="296"/>
              <w:spacing w:after="0"/>
              <w:rPr>
                <w:sz w:val="20"/>
                <w:szCs w:val="20"/>
                <w:color w:val="auto"/>
              </w:rPr>
            </w:pPr>
            <w:r>
              <w:rPr>
                <w:rFonts w:ascii="Arial" w:cs="Arial" w:eastAsia="Arial" w:hAnsi="Arial"/>
                <w:sz w:val="13"/>
                <w:szCs w:val="13"/>
                <w:color w:val="auto"/>
                <w:w w:val="94"/>
              </w:rPr>
              <w:t>(15)</w:t>
            </w: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20" w:type="dxa"/>
            <w:vAlign w:val="bottom"/>
            <w:gridSpan w:val="2"/>
          </w:tcPr>
          <w:p>
            <w:pPr>
              <w:spacing w:after="0"/>
              <w:rPr>
                <w:sz w:val="20"/>
                <w:szCs w:val="20"/>
                <w:color w:val="auto"/>
              </w:rPr>
            </w:pPr>
            <w:r>
              <w:rPr>
                <w:rFonts w:ascii="Arial" w:cs="Arial" w:eastAsia="Arial" w:hAnsi="Arial"/>
                <w:sz w:val="13"/>
                <w:szCs w:val="13"/>
                <w:color w:val="auto"/>
              </w:rPr>
              <w:t>December 31, 2021</w:t>
            </w:r>
          </w:p>
        </w:tc>
        <w:tc>
          <w:tcPr>
            <w:tcW w:w="220" w:type="dxa"/>
            <w:vAlign w:val="bottom"/>
          </w:tcPr>
          <w:p>
            <w:pPr>
              <w:spacing w:after="0"/>
              <w:rPr>
                <w:sz w:val="13"/>
                <w:szCs w:val="13"/>
                <w:color w:val="auto"/>
              </w:rPr>
            </w:pPr>
          </w:p>
        </w:tc>
        <w:tc>
          <w:tcPr>
            <w:tcW w:w="820" w:type="dxa"/>
            <w:vAlign w:val="bottom"/>
            <w:gridSpan w:val="2"/>
          </w:tcPr>
          <w:p>
            <w:pPr>
              <w:ind w:left="480"/>
              <w:spacing w:after="0"/>
              <w:rPr>
                <w:sz w:val="20"/>
                <w:szCs w:val="20"/>
                <w:color w:val="auto"/>
              </w:rPr>
            </w:pPr>
            <w:r>
              <w:rPr>
                <w:rFonts w:ascii="Arial" w:cs="Arial" w:eastAsia="Arial" w:hAnsi="Arial"/>
                <w:sz w:val="13"/>
                <w:szCs w:val="13"/>
                <w:color w:val="auto"/>
                <w:w w:val="98"/>
              </w:rPr>
              <w:t>2,985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gridSpan w:val="3"/>
          </w:tcPr>
          <w:p>
            <w:pPr>
              <w:jc w:val="center"/>
              <w:spacing w:after="0"/>
              <w:rPr>
                <w:sz w:val="20"/>
                <w:szCs w:val="20"/>
                <w:color w:val="auto"/>
              </w:rPr>
            </w:pPr>
            <w:r>
              <w:rPr>
                <w:rFonts w:ascii="Arial" w:cs="Arial" w:eastAsia="Arial" w:hAnsi="Arial"/>
                <w:sz w:val="13"/>
                <w:szCs w:val="13"/>
                <w:color w:val="auto"/>
                <w:w w:val="96"/>
              </w:rPr>
              <w:t>86</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gridSpan w:val="4"/>
          </w:tcPr>
          <w:p>
            <w:pPr>
              <w:jc w:val="right"/>
              <w:ind w:right="140"/>
              <w:spacing w:after="0"/>
              <w:rPr>
                <w:sz w:val="20"/>
                <w:szCs w:val="20"/>
                <w:color w:val="auto"/>
              </w:rPr>
            </w:pPr>
            <w:r>
              <w:rPr>
                <w:rFonts w:ascii="Arial" w:cs="Arial" w:eastAsia="Arial" w:hAnsi="Arial"/>
                <w:sz w:val="13"/>
                <w:szCs w:val="13"/>
                <w:color w:val="auto"/>
                <w:w w:val="91"/>
              </w:rPr>
              <w:t>—</w:t>
            </w:r>
          </w:p>
        </w:tc>
        <w:tc>
          <w:tcPr>
            <w:tcW w:w="440" w:type="dxa"/>
            <w:vAlign w:val="bottom"/>
          </w:tcPr>
          <w:p>
            <w:pPr>
              <w:spacing w:after="0"/>
              <w:rPr>
                <w:sz w:val="13"/>
                <w:szCs w:val="13"/>
                <w:color w:val="auto"/>
              </w:rPr>
            </w:pPr>
          </w:p>
        </w:tc>
        <w:tc>
          <w:tcPr>
            <w:tcW w:w="700" w:type="dxa"/>
            <w:vAlign w:val="bottom"/>
            <w:gridSpan w:val="2"/>
          </w:tcPr>
          <w:p>
            <w:pPr>
              <w:jc w:val="center"/>
              <w:ind w:left="23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ind w:left="64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3,104</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Less accumulated amortization</w:t>
            </w: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(566)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gridSpan w:val="3"/>
            <w:shd w:val="clear" w:color="auto" w:fill="CCEEFF"/>
          </w:tcPr>
          <w:p>
            <w:pPr>
              <w:jc w:val="center"/>
              <w:ind w:right="20"/>
              <w:spacing w:after="0"/>
              <w:rPr>
                <w:sz w:val="20"/>
                <w:szCs w:val="20"/>
                <w:color w:val="auto"/>
              </w:rPr>
            </w:pPr>
            <w:r>
              <w:rPr>
                <w:rFonts w:ascii="Arial" w:cs="Arial" w:eastAsia="Arial" w:hAnsi="Arial"/>
                <w:sz w:val="13"/>
                <w:szCs w:val="13"/>
                <w:color w:val="auto"/>
                <w:w w:val="86"/>
              </w:rPr>
              <w:t>(30)</w:t>
            </w: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center"/>
              <w:ind w:left="316"/>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(605)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3"/>
                <w:szCs w:val="13"/>
                <w:color w:val="auto"/>
              </w:rPr>
              <w:t>Net carrying amount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ind w:left="480"/>
              <w:spacing w:after="0"/>
              <w:rPr>
                <w:sz w:val="20"/>
                <w:szCs w:val="20"/>
                <w:color w:val="auto"/>
              </w:rPr>
            </w:pPr>
            <w:r>
              <w:rPr>
                <w:rFonts w:ascii="Arial" w:cs="Arial" w:eastAsia="Arial" w:hAnsi="Arial"/>
                <w:sz w:val="13"/>
                <w:szCs w:val="13"/>
                <w:color w:val="auto"/>
                <w:w w:val="98"/>
              </w:rPr>
              <w:t>2,419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spacing w:after="0"/>
              <w:rPr>
                <w:sz w:val="14"/>
                <w:szCs w:val="14"/>
                <w:color w:val="auto"/>
              </w:rPr>
            </w:pPr>
          </w:p>
        </w:tc>
        <w:tc>
          <w:tcPr>
            <w:tcW w:w="220" w:type="dxa"/>
            <w:vAlign w:val="bottom"/>
            <w:gridSpan w:val="3"/>
          </w:tcPr>
          <w:p>
            <w:pPr>
              <w:jc w:val="center"/>
              <w:spacing w:after="0"/>
              <w:rPr>
                <w:sz w:val="20"/>
                <w:szCs w:val="20"/>
                <w:color w:val="auto"/>
              </w:rPr>
            </w:pPr>
            <w:r>
              <w:rPr>
                <w:rFonts w:ascii="Arial" w:cs="Arial" w:eastAsia="Arial" w:hAnsi="Arial"/>
                <w:sz w:val="13"/>
                <w:szCs w:val="13"/>
                <w:color w:val="auto"/>
                <w:w w:val="96"/>
              </w:rPr>
              <w:t>56</w:t>
            </w:r>
          </w:p>
        </w:tc>
        <w:tc>
          <w:tcPr>
            <w:tcW w:w="100" w:type="dxa"/>
            <w:vAlign w:val="bottom"/>
          </w:tcPr>
          <w:p>
            <w:pPr>
              <w:spacing w:after="0"/>
              <w:rPr>
                <w:sz w:val="14"/>
                <w:szCs w:val="14"/>
                <w:color w:val="auto"/>
              </w:rPr>
            </w:pPr>
          </w:p>
        </w:tc>
        <w:tc>
          <w:tcPr>
            <w:tcW w:w="1080" w:type="dxa"/>
            <w:vAlign w:val="bottom"/>
          </w:tcPr>
          <w:p>
            <w:pPr>
              <w:jc w:val="right"/>
              <w:ind w:right="938"/>
              <w:spacing w:after="0"/>
              <w:rPr>
                <w:sz w:val="20"/>
                <w:szCs w:val="20"/>
                <w:color w:val="auto"/>
              </w:rPr>
            </w:pPr>
            <w:r>
              <w:rPr>
                <w:rFonts w:ascii="Arial" w:cs="Arial" w:eastAsia="Arial" w:hAnsi="Arial"/>
                <w:sz w:val="13"/>
                <w:szCs w:val="13"/>
                <w:color w:val="auto"/>
                <w:w w:val="82"/>
              </w:rPr>
              <w:t>$</w:t>
            </w:r>
          </w:p>
        </w:tc>
        <w:tc>
          <w:tcPr>
            <w:tcW w:w="280" w:type="dxa"/>
            <w:vAlign w:val="bottom"/>
            <w:gridSpan w:val="4"/>
          </w:tcPr>
          <w:p>
            <w:pPr>
              <w:jc w:val="right"/>
              <w:ind w:right="140"/>
              <w:spacing w:after="0"/>
              <w:rPr>
                <w:sz w:val="20"/>
                <w:szCs w:val="20"/>
                <w:color w:val="auto"/>
              </w:rPr>
            </w:pPr>
            <w:r>
              <w:rPr>
                <w:rFonts w:ascii="Arial" w:cs="Arial" w:eastAsia="Arial" w:hAnsi="Arial"/>
                <w:sz w:val="13"/>
                <w:szCs w:val="13"/>
                <w:color w:val="auto"/>
                <w:w w:val="91"/>
              </w:rPr>
              <w:t>—</w:t>
            </w:r>
          </w:p>
        </w:tc>
        <w:tc>
          <w:tcPr>
            <w:tcW w:w="44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center"/>
              <w:ind w:left="236"/>
              <w:spacing w:after="0"/>
              <w:rPr>
                <w:sz w:val="20"/>
                <w:szCs w:val="20"/>
                <w:color w:val="auto"/>
              </w:rPr>
            </w:pPr>
            <w:r>
              <w:rPr>
                <w:rFonts w:ascii="Arial" w:cs="Arial" w:eastAsia="Arial" w:hAnsi="Arial"/>
                <w:sz w:val="13"/>
                <w:szCs w:val="13"/>
                <w:color w:val="auto"/>
                <w:w w:val="91"/>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4"/>
                <w:szCs w:val="14"/>
                <w:color w:val="auto"/>
              </w:rPr>
            </w:pPr>
          </w:p>
        </w:tc>
        <w:tc>
          <w:tcPr>
            <w:tcW w:w="820" w:type="dxa"/>
            <w:vAlign w:val="bottom"/>
          </w:tcPr>
          <w:p>
            <w:pPr>
              <w:ind w:left="640"/>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10</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200" w:hanging="131"/>
        <w:spacing w:after="0"/>
        <w:tabs>
          <w:tab w:leader="none" w:pos="200" w:val="left"/>
        </w:tabs>
        <w:numPr>
          <w:ilvl w:val="0"/>
          <w:numId w:val="73"/>
        </w:numPr>
        <w:rPr>
          <w:rFonts w:ascii="Arial" w:cs="Arial" w:eastAsia="Arial" w:hAnsi="Arial"/>
          <w:sz w:val="16"/>
          <w:szCs w:val="16"/>
          <w:color w:val="auto"/>
          <w:vertAlign w:val="superscript"/>
        </w:rPr>
      </w:pPr>
      <w:r>
        <w:rPr>
          <w:rFonts w:ascii="Arial" w:cs="Arial" w:eastAsia="Arial" w:hAnsi="Arial"/>
          <w:sz w:val="10"/>
          <w:szCs w:val="10"/>
          <w:color w:val="auto"/>
        </w:rPr>
        <w:t>The weighted average life of acquired intangibles was 17 years for PPAs, 15 years for RECs and 15 years for favorable leases.</w:t>
      </w:r>
    </w:p>
    <w:p>
      <w:pPr>
        <w:spacing w:after="0" w:line="34" w:lineRule="exact"/>
        <w:rPr>
          <w:rFonts w:ascii="Arial" w:cs="Arial" w:eastAsia="Arial" w:hAnsi="Arial"/>
          <w:sz w:val="16"/>
          <w:szCs w:val="16"/>
          <w:color w:val="auto"/>
          <w:vertAlign w:val="superscript"/>
        </w:rPr>
      </w:pPr>
    </w:p>
    <w:p>
      <w:pPr>
        <w:ind w:left="200" w:hanging="131"/>
        <w:spacing w:after="0" w:line="187" w:lineRule="auto"/>
        <w:tabs>
          <w:tab w:leader="none" w:pos="200" w:val="left"/>
        </w:tabs>
        <w:numPr>
          <w:ilvl w:val="0"/>
          <w:numId w:val="73"/>
        </w:numPr>
        <w:rPr>
          <w:rFonts w:ascii="Arial" w:cs="Arial" w:eastAsia="Arial" w:hAnsi="Arial"/>
          <w:sz w:val="15"/>
          <w:szCs w:val="15"/>
          <w:color w:val="auto"/>
          <w:vertAlign w:val="superscript"/>
        </w:rPr>
      </w:pPr>
      <w:r>
        <w:rPr>
          <w:rFonts w:ascii="Arial" w:cs="Arial" w:eastAsia="Arial" w:hAnsi="Arial"/>
          <w:sz w:val="10"/>
          <w:szCs w:val="10"/>
          <w:color w:val="auto"/>
        </w:rPr>
        <w:t>Thermal Business intangible assets were classified as held for sale at December 31, 2021, and the Thermal Business was subsequently sold on May 1, 2022.</w:t>
      </w:r>
    </w:p>
    <w:p>
      <w:pPr>
        <w:spacing w:after="0" w:line="11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Company recorded amortization expense of $174 million during the year ended December 31, 2022, $143 million for the year ended December 31, 2021 and $91 million for the year ended December 31, 2020. Of these amounts, $168 million for the year ended December 31, 2022, $135 million for the year ended December 31, 2021 and $88 million for the year ended December 31, 2020, were related to the amortization of intangible assets for power purchase agreements and were recorded to contract amortization expense, which reduced operating revenues in the consolidated statements of income. The Company estimates the future amortization expense for its intangibles for the next five years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b w:val="1"/>
                <w:bCs w:val="1"/>
                <w:color w:val="auto"/>
              </w:rPr>
              <w:t>(In millions)</w:t>
            </w:r>
          </w:p>
        </w:tc>
      </w:tr>
      <w:tr>
        <w:trPr>
          <w:trHeight w:val="163"/>
        </w:trPr>
        <w:tc>
          <w:tcPr>
            <w:tcW w:w="9100" w:type="dxa"/>
            <w:vAlign w:val="bottom"/>
            <w:shd w:val="clear" w:color="auto" w:fill="CCEEFF"/>
          </w:tcPr>
          <w:p>
            <w:pPr>
              <w:jc w:val="right"/>
              <w:ind w:right="8756"/>
              <w:spacing w:after="0"/>
              <w:rPr>
                <w:sz w:val="20"/>
                <w:szCs w:val="20"/>
                <w:color w:val="auto"/>
              </w:rPr>
            </w:pPr>
            <w:r>
              <w:rPr>
                <w:rFonts w:ascii="Arial" w:cs="Arial" w:eastAsia="Arial" w:hAnsi="Arial"/>
                <w:sz w:val="13"/>
                <w:szCs w:val="13"/>
                <w:color w:val="auto"/>
                <w:w w:val="89"/>
              </w:rPr>
              <w:t>2023</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r>
      <w:tr>
        <w:trPr>
          <w:trHeight w:val="168"/>
        </w:trPr>
        <w:tc>
          <w:tcPr>
            <w:tcW w:w="9100" w:type="dxa"/>
            <w:vAlign w:val="bottom"/>
          </w:tcPr>
          <w:p>
            <w:pPr>
              <w:jc w:val="right"/>
              <w:ind w:right="8756"/>
              <w:spacing w:after="0"/>
              <w:rPr>
                <w:sz w:val="20"/>
                <w:szCs w:val="20"/>
                <w:color w:val="auto"/>
              </w:rPr>
            </w:pPr>
            <w:r>
              <w:rPr>
                <w:rFonts w:ascii="Arial" w:cs="Arial" w:eastAsia="Arial" w:hAnsi="Arial"/>
                <w:sz w:val="13"/>
                <w:szCs w:val="13"/>
                <w:color w:val="auto"/>
                <w:w w:val="89"/>
              </w:rPr>
              <w:t>2024</w:t>
            </w:r>
          </w:p>
        </w:tc>
        <w:tc>
          <w:tcPr>
            <w:tcW w:w="4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180</w:t>
            </w:r>
          </w:p>
        </w:tc>
      </w:tr>
      <w:tr>
        <w:trPr>
          <w:trHeight w:val="172"/>
        </w:trPr>
        <w:tc>
          <w:tcPr>
            <w:tcW w:w="9100" w:type="dxa"/>
            <w:vAlign w:val="bottom"/>
            <w:shd w:val="clear" w:color="auto" w:fill="CCEEFF"/>
          </w:tcPr>
          <w:p>
            <w:pPr>
              <w:jc w:val="right"/>
              <w:ind w:right="8756"/>
              <w:spacing w:after="0"/>
              <w:rPr>
                <w:sz w:val="20"/>
                <w:szCs w:val="20"/>
                <w:color w:val="auto"/>
              </w:rPr>
            </w:pPr>
            <w:r>
              <w:rPr>
                <w:rFonts w:ascii="Arial" w:cs="Arial" w:eastAsia="Arial" w:hAnsi="Arial"/>
                <w:sz w:val="13"/>
                <w:szCs w:val="13"/>
                <w:color w:val="auto"/>
                <w:w w:val="89"/>
              </w:rPr>
              <w:t>2025</w:t>
            </w:r>
          </w:p>
        </w:tc>
        <w:tc>
          <w:tcPr>
            <w:tcW w:w="42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r>
      <w:tr>
        <w:trPr>
          <w:trHeight w:val="168"/>
        </w:trPr>
        <w:tc>
          <w:tcPr>
            <w:tcW w:w="9100" w:type="dxa"/>
            <w:vAlign w:val="bottom"/>
          </w:tcPr>
          <w:p>
            <w:pPr>
              <w:jc w:val="right"/>
              <w:ind w:right="8756"/>
              <w:spacing w:after="0"/>
              <w:rPr>
                <w:sz w:val="20"/>
                <w:szCs w:val="20"/>
                <w:color w:val="auto"/>
              </w:rPr>
            </w:pPr>
            <w:r>
              <w:rPr>
                <w:rFonts w:ascii="Arial" w:cs="Arial" w:eastAsia="Arial" w:hAnsi="Arial"/>
                <w:sz w:val="13"/>
                <w:szCs w:val="13"/>
                <w:color w:val="auto"/>
                <w:w w:val="89"/>
              </w:rPr>
              <w:t>2026</w:t>
            </w:r>
          </w:p>
        </w:tc>
        <w:tc>
          <w:tcPr>
            <w:tcW w:w="4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180</w:t>
            </w:r>
          </w:p>
        </w:tc>
      </w:tr>
      <w:tr>
        <w:trPr>
          <w:trHeight w:val="172"/>
        </w:trPr>
        <w:tc>
          <w:tcPr>
            <w:tcW w:w="9100" w:type="dxa"/>
            <w:vAlign w:val="bottom"/>
            <w:shd w:val="clear" w:color="auto" w:fill="CCEEFF"/>
          </w:tcPr>
          <w:p>
            <w:pPr>
              <w:jc w:val="right"/>
              <w:ind w:right="8756"/>
              <w:spacing w:after="0"/>
              <w:rPr>
                <w:sz w:val="20"/>
                <w:szCs w:val="20"/>
                <w:color w:val="auto"/>
              </w:rPr>
            </w:pPr>
            <w:r>
              <w:rPr>
                <w:rFonts w:ascii="Arial" w:cs="Arial" w:eastAsia="Arial" w:hAnsi="Arial"/>
                <w:sz w:val="13"/>
                <w:szCs w:val="13"/>
                <w:color w:val="auto"/>
                <w:w w:val="89"/>
              </w:rPr>
              <w:t>2027</w:t>
            </w:r>
          </w:p>
        </w:tc>
        <w:tc>
          <w:tcPr>
            <w:tcW w:w="42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Asset Impairments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2022 Impairment Losses</w:t>
      </w:r>
    </w:p>
    <w:p>
      <w:pPr>
        <w:spacing w:after="0" w:line="136"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color w:val="auto"/>
        </w:rPr>
        <w:t>During the fourth quarter of 2022, in preparation and review of its annual budget, the Company updated its long-term estimates of operating and capital expenditures and revised its assessment of long-term merchant power prices, which was primarily informed by present conditions and did not contemplate future policy changes, which could impact renewable energy power prices. The impairment analysis reviews certain qualitative factors as well as the results of long-term operating expectations and its carrying value to determine if impairment indicators are present. The impairment analysis indicated that the projected future cash flows for certain projects within the Renewables segment no longer supported the recoverability of the carrying value of the related long-lived assets. As such, the Company recorded an impairment loss of $16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b w:val="1"/>
          <w:bCs w:val="1"/>
          <w:i w:val="1"/>
          <w:iCs w:val="1"/>
          <w:color w:val="auto"/>
        </w:rPr>
        <w:t>2021 Impairment Losses</w:t>
      </w:r>
    </w:p>
    <w:p>
      <w:pPr>
        <w:spacing w:after="0" w:line="13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The impairment analysis indicated that the projected future cash flows for several wind projects within the Renewables segment no longer supported the recoverability of the carrying value of the related long-lived assets. As such, the Company recorded an impairment loss of $6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2020 Impairment Losses</w:t>
      </w:r>
    </w:p>
    <w:p>
      <w:pPr>
        <w:spacing w:after="0" w:line="13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The impairment analysis indicated that the projected future cash flows for several wind projects within the Renewables segment no longer supported the recoverability of the carrying value of the related long-lived assets. As such, the Company recorded an impairment loss of $24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8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Additionally, during the fourth quarter of 2020, as the Company updated its estimated cash flows in connection with the preparation and review of the Company’s annual budget, the Company determined that there was a significant decrease in the estimated future cash flows for its equity method investment in San Juan Mesa, a facility in the Renewables segment located in Elida, New Mexico. The decrease in the forecasted cash flows which was primarily driven by a decline in forecasted revenue in future merchant periods, was significant enough to be considered an indication of a decline in value of the investment that was not temporary. The Company concluded there was an other-than-temporary impairment of its investment and recorded an impairment loss of $8 million to reflect the investment at fair market value. The resulting fair value is a Level 3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b w:val="1"/>
          <w:bCs w:val="1"/>
          <w:color w:val="auto"/>
        </w:rPr>
        <w:t>Note 10 — Long-term Debt</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borrowings, including short-term and long-term portions consisted of the following: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December 31, 2022</w:t>
            </w:r>
          </w:p>
        </w:tc>
        <w:tc>
          <w:tcPr>
            <w:tcW w:w="100" w:type="dxa"/>
            <w:vAlign w:val="bottom"/>
          </w:tcPr>
          <w:p>
            <w:pPr>
              <w:spacing w:after="0"/>
              <w:rPr>
                <w:sz w:val="10"/>
                <w:szCs w:val="10"/>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December 31, 2021</w:t>
            </w:r>
          </w:p>
        </w:tc>
        <w:tc>
          <w:tcPr>
            <w:tcW w:w="14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 xml:space="preserve">Interest rate % </w:t>
            </w:r>
            <w:r>
              <w:rPr>
                <w:rFonts w:ascii="Arial" w:cs="Arial" w:eastAsia="Arial" w:hAnsi="Arial"/>
                <w:sz w:val="14"/>
                <w:szCs w:val="14"/>
                <w:b w:val="1"/>
                <w:bCs w:val="1"/>
                <w:color w:val="auto"/>
                <w:vertAlign w:val="superscript"/>
              </w:rPr>
              <w:t>(a)(b)</w:t>
            </w:r>
          </w:p>
        </w:tc>
        <w:tc>
          <w:tcPr>
            <w:tcW w:w="1520" w:type="dxa"/>
            <w:vAlign w:val="bottom"/>
            <w:gridSpan w:val="2"/>
          </w:tcPr>
          <w:p>
            <w:pPr>
              <w:ind w:left="40"/>
              <w:spacing w:after="0"/>
              <w:rPr>
                <w:sz w:val="20"/>
                <w:szCs w:val="20"/>
                <w:color w:val="auto"/>
              </w:rPr>
            </w:pPr>
            <w:r>
              <w:rPr>
                <w:rFonts w:ascii="Arial" w:cs="Arial" w:eastAsia="Arial" w:hAnsi="Arial"/>
                <w:sz w:val="11"/>
                <w:szCs w:val="11"/>
                <w:b w:val="1"/>
                <w:bCs w:val="1"/>
                <w:color w:val="auto"/>
                <w:w w:val="88"/>
              </w:rPr>
              <w:t>Letters of Credit Outstanding at</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257"/>
              <w:spacing w:after="0"/>
              <w:rPr>
                <w:sz w:val="20"/>
                <w:szCs w:val="20"/>
                <w:color w:val="auto"/>
              </w:rPr>
            </w:pPr>
            <w:r>
              <w:rPr>
                <w:rFonts w:ascii="Arial" w:cs="Arial" w:eastAsia="Arial" w:hAnsi="Arial"/>
                <w:sz w:val="11"/>
                <w:szCs w:val="11"/>
                <w:b w:val="1"/>
                <w:bCs w:val="1"/>
                <w:color w:val="auto"/>
                <w:w w:val="96"/>
              </w:rPr>
              <w:t>December 31, 2022</w:t>
            </w:r>
          </w:p>
        </w:tc>
        <w:tc>
          <w:tcPr>
            <w:tcW w:w="0" w:type="dxa"/>
            <w:vAlign w:val="bottom"/>
          </w:tcPr>
          <w:p>
            <w:pPr>
              <w:spacing w:after="0"/>
              <w:rPr>
                <w:sz w:val="1"/>
                <w:szCs w:val="1"/>
                <w:color w:val="auto"/>
              </w:rPr>
            </w:pPr>
          </w:p>
        </w:tc>
      </w:tr>
      <w:tr>
        <w:trPr>
          <w:trHeight w:val="144"/>
        </w:trPr>
        <w:tc>
          <w:tcPr>
            <w:tcW w:w="5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ind w:left="60"/>
              <w:spacing w:after="0"/>
              <w:rPr>
                <w:sz w:val="20"/>
                <w:szCs w:val="20"/>
                <w:color w:val="auto"/>
              </w:rPr>
            </w:pPr>
            <w:r>
              <w:rPr>
                <w:rFonts w:ascii="Arial" w:cs="Arial" w:eastAsia="Arial" w:hAnsi="Arial"/>
                <w:sz w:val="11"/>
                <w:szCs w:val="11"/>
                <w:b w:val="1"/>
                <w:bCs w:val="1"/>
                <w:color w:val="auto"/>
                <w:w w:val="99"/>
              </w:rPr>
              <w:t>(In millions, except rates)</w:t>
            </w:r>
          </w:p>
        </w:tc>
        <w:tc>
          <w:tcPr>
            <w:tcW w:w="1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Intercompany Note with Clearway Energy, Inc.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left="897"/>
              <w:spacing w:after="0"/>
              <w:rPr>
                <w:sz w:val="20"/>
                <w:szCs w:val="20"/>
                <w:color w:val="auto"/>
              </w:rPr>
            </w:pPr>
            <w:r>
              <w:rPr>
                <w:rFonts w:ascii="Arial" w:cs="Arial" w:eastAsia="Arial" w:hAnsi="Arial"/>
                <w:sz w:val="13"/>
                <w:szCs w:val="13"/>
                <w:color w:val="auto"/>
                <w:w w:val="85"/>
              </w:rPr>
              <w:t>4.550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2028 Senior Notes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850</w:t>
            </w:r>
          </w:p>
        </w:tc>
        <w:tc>
          <w:tcPr>
            <w:tcW w:w="320" w:type="dxa"/>
            <w:vAlign w:val="bottom"/>
          </w:tcPr>
          <w:p>
            <w:pPr>
              <w:spacing w:after="0"/>
              <w:rPr>
                <w:sz w:val="14"/>
                <w:szCs w:val="14"/>
                <w:color w:val="auto"/>
              </w:rPr>
            </w:pPr>
          </w:p>
        </w:tc>
        <w:tc>
          <w:tcPr>
            <w:tcW w:w="1360" w:type="dxa"/>
            <w:vAlign w:val="bottom"/>
          </w:tcPr>
          <w:p>
            <w:pPr>
              <w:jc w:val="center"/>
              <w:ind w:left="897"/>
              <w:spacing w:after="0"/>
              <w:rPr>
                <w:sz w:val="20"/>
                <w:szCs w:val="20"/>
                <w:color w:val="auto"/>
              </w:rPr>
            </w:pPr>
            <w:r>
              <w:rPr>
                <w:rFonts w:ascii="Arial" w:cs="Arial" w:eastAsia="Arial" w:hAnsi="Arial"/>
                <w:sz w:val="13"/>
                <w:szCs w:val="13"/>
                <w:color w:val="auto"/>
                <w:w w:val="85"/>
              </w:rPr>
              <w:t>4.750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2031 Senior Notes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w:t>
            </w: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2032 Senior Notes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350</w:t>
            </w:r>
          </w:p>
        </w:tc>
        <w:tc>
          <w:tcPr>
            <w:tcW w:w="3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3.750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w w:val="97"/>
              </w:rPr>
              <w:t xml:space="preserve">Clearway Energy LLC and Clearway Energy Operating LLC Revolving Credit Facility, due 2023 </w:t>
            </w:r>
            <w:r>
              <w:rPr>
                <w:rFonts w:ascii="Arial" w:cs="Arial" w:eastAsia="Arial" w:hAnsi="Arial"/>
                <w:sz w:val="16"/>
                <w:szCs w:val="16"/>
                <w:color w:val="auto"/>
                <w:w w:val="97"/>
                <w:vertAlign w:val="superscript"/>
              </w:rPr>
              <w:t>(c)</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Bridge Loan, due 2022</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335</w:t>
            </w:r>
          </w:p>
        </w:tc>
        <w:tc>
          <w:tcPr>
            <w:tcW w:w="3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rPr>
              <w:t>S+1.250</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Non-recourse project-level debt: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Agua Caliente Solar LLC, due 2037</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684</w:t>
            </w:r>
          </w:p>
        </w:tc>
        <w:tc>
          <w:tcPr>
            <w:tcW w:w="3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2.395-3.633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242424"/>
              </w:rPr>
              <w:t>45</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Alta Wind Asset Management LLC, due 2031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3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L+2.625</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242424"/>
              </w:rPr>
              <w:t>—</w:t>
            </w: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Alta Wind I-V lease financing arrangements, due 2034 and 2035</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756</w:t>
            </w:r>
          </w:p>
        </w:tc>
        <w:tc>
          <w:tcPr>
            <w:tcW w:w="3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5.696-7.015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242424"/>
              </w:rPr>
              <w:t>23</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Alta Wind Realty Investments LLC, due 2031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242424"/>
              </w:rPr>
              <w:t>—</w:t>
            </w: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Borrego, due 2024 and 2038</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54</w:t>
            </w:r>
          </w:p>
        </w:tc>
        <w:tc>
          <w:tcPr>
            <w:tcW w:w="320" w:type="dxa"/>
            <w:vAlign w:val="bottom"/>
          </w:tcPr>
          <w:p>
            <w:pPr>
              <w:spacing w:after="0"/>
              <w:rPr>
                <w:sz w:val="14"/>
                <w:szCs w:val="14"/>
                <w:color w:val="auto"/>
              </w:rPr>
            </w:pPr>
          </w:p>
        </w:tc>
        <w:tc>
          <w:tcPr>
            <w:tcW w:w="1440" w:type="dxa"/>
            <w:vAlign w:val="bottom"/>
            <w:gridSpan w:val="2"/>
          </w:tcPr>
          <w:p>
            <w:pPr>
              <w:jc w:val="center"/>
              <w:ind w:left="777"/>
              <w:spacing w:after="0"/>
              <w:rPr>
                <w:sz w:val="20"/>
                <w:szCs w:val="20"/>
                <w:color w:val="auto"/>
              </w:rPr>
            </w:pPr>
            <w:r>
              <w:rPr>
                <w:rFonts w:ascii="Arial" w:cs="Arial" w:eastAsia="Arial" w:hAnsi="Arial"/>
                <w:sz w:val="13"/>
                <w:szCs w:val="13"/>
                <w:color w:val="auto"/>
                <w:w w:val="90"/>
              </w:rPr>
              <w:t>Various</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242424"/>
              </w:rPr>
              <w:t>—</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Buckthorn Solar, due 2025</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3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L+1.750</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242424"/>
              </w:rPr>
              <w:t>21</w:t>
            </w: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Capistrano Wind Portfolio, due 2029 and 2031</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rPr>
              <w:t>L+2.000</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242424"/>
              </w:rPr>
              <w:t>36</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Carlsbad Energy Holdings LLC, due 2027</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3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L+1.750</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242424"/>
              </w:rPr>
              <w:t>63</w:t>
            </w: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Carlsbad Energy Holdings LLC, due 2038</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407</w:t>
            </w:r>
          </w:p>
        </w:tc>
        <w:tc>
          <w:tcPr>
            <w:tcW w:w="3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4.120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242424"/>
              </w:rPr>
              <w:t>—</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Carlsbad Holdco, LLC, due 2038</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242424"/>
              </w:rPr>
              <w:t>5</w:t>
            </w: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CVSR, due 2037</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652</w:t>
            </w:r>
          </w:p>
        </w:tc>
        <w:tc>
          <w:tcPr>
            <w:tcW w:w="3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2.339-3.775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242424"/>
              </w:rPr>
              <w:t>—</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CVSR Holdco Notes, due 2037</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242424"/>
              </w:rPr>
              <w:t>12</w:t>
            </w: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DG-CS Master Borrower LLC, due 2040</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441</w:t>
            </w:r>
          </w:p>
        </w:tc>
        <w:tc>
          <w:tcPr>
            <w:tcW w:w="3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3.510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242424"/>
              </w:rPr>
              <w:t>30</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El Segundo Energy Center, due 2023</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3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L+1.875-2.500</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242424"/>
              </w:rPr>
              <w:t>80</w:t>
            </w: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Kawailoa Solar Portfolio LLC, due 2026</w:t>
            </w: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78</w:t>
            </w:r>
          </w:p>
        </w:tc>
        <w:tc>
          <w:tcPr>
            <w:tcW w:w="3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rPr>
              <w:t>L+1.375</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242424"/>
              </w:rPr>
              <w:t>—</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Laredo Ridge, due 2028</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3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L+2.125</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242424"/>
              </w:rPr>
              <w:t>—</w:t>
            </w: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Marsh Landing, due 2023</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84</w:t>
            </w:r>
          </w:p>
        </w:tc>
        <w:tc>
          <w:tcPr>
            <w:tcW w:w="3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rPr>
              <w:t>L+2.375</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242424"/>
              </w:rPr>
              <w:t>45</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Mililani I, due 2027</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L+1.500</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242424"/>
              </w:rPr>
              <w:t>6</w:t>
            </w: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NIMH Solar, due 2024</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176</w:t>
            </w:r>
          </w:p>
        </w:tc>
        <w:tc>
          <w:tcPr>
            <w:tcW w:w="3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rPr>
              <w:t>L+2.000</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242424"/>
              </w:rPr>
              <w:t>10</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Oahu Solar Holdings LLC, due 2026</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3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L+1.375</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242424"/>
              </w:rPr>
              <w:t>9</w:t>
            </w: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Rosie Class B LLC, due 2027</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78</w:t>
            </w:r>
          </w:p>
        </w:tc>
        <w:tc>
          <w:tcPr>
            <w:tcW w:w="3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rPr>
              <w:t>L+1.750</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242424"/>
              </w:rPr>
              <w:t>17</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Tapestry Wind LLC, due 2031</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3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L+1.375</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242424"/>
              </w:rPr>
              <w:t>—</w:t>
            </w: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Utah Solar Holdings, due 2036</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273</w:t>
            </w:r>
          </w:p>
        </w:tc>
        <w:tc>
          <w:tcPr>
            <w:tcW w:w="320" w:type="dxa"/>
            <w:vAlign w:val="bottom"/>
          </w:tcPr>
          <w:p>
            <w:pPr>
              <w:spacing w:after="0"/>
              <w:rPr>
                <w:sz w:val="14"/>
                <w:szCs w:val="14"/>
                <w:color w:val="auto"/>
              </w:rPr>
            </w:pPr>
          </w:p>
        </w:tc>
        <w:tc>
          <w:tcPr>
            <w:tcW w:w="1360" w:type="dxa"/>
            <w:vAlign w:val="bottom"/>
          </w:tcPr>
          <w:p>
            <w:pPr>
              <w:jc w:val="center"/>
              <w:ind w:left="897"/>
              <w:spacing w:after="0"/>
              <w:rPr>
                <w:sz w:val="20"/>
                <w:szCs w:val="20"/>
                <w:color w:val="auto"/>
              </w:rPr>
            </w:pPr>
            <w:r>
              <w:rPr>
                <w:rFonts w:ascii="Arial" w:cs="Arial" w:eastAsia="Arial" w:hAnsi="Arial"/>
                <w:sz w:val="13"/>
                <w:szCs w:val="13"/>
                <w:color w:val="auto"/>
                <w:w w:val="85"/>
              </w:rPr>
              <w:t>3.590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242424"/>
              </w:rPr>
              <w:t>9</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 xml:space="preserve">Viento Funding II, LLC, due 2023 and 2029 </w:t>
            </w:r>
            <w:r>
              <w:rPr>
                <w:rFonts w:ascii="Arial" w:cs="Arial" w:eastAsia="Arial" w:hAnsi="Arial"/>
                <w:sz w:val="16"/>
                <w:szCs w:val="16"/>
                <w:color w:val="auto"/>
                <w:vertAlign w:val="superscript"/>
              </w:rPr>
              <w:t>(d)</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3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S+1.475</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242424"/>
              </w:rPr>
              <w:t>26</w:t>
            </w: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Waiawa, due 2023 and 2028</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rPr>
              <w:t>L+1.000-1.250</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242424"/>
              </w:rPr>
              <w:t>10</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Walnut Creek, due 2023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3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L+1.875</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242424"/>
              </w:rPr>
              <w:t>74</w:t>
            </w: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WCEP Holdings, LLC, due 2023</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w:t>
            </w:r>
          </w:p>
        </w:tc>
        <w:tc>
          <w:tcPr>
            <w:tcW w:w="3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rPr>
              <w:t>L+3.000</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242424"/>
              </w:rPr>
              <w:t>—</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3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center"/>
              <w:ind w:left="777"/>
              <w:spacing w:after="0"/>
              <w:rPr>
                <w:sz w:val="20"/>
                <w:szCs w:val="20"/>
                <w:color w:val="auto"/>
              </w:rPr>
            </w:pPr>
            <w:r>
              <w:rPr>
                <w:rFonts w:ascii="Arial" w:cs="Arial" w:eastAsia="Arial" w:hAnsi="Arial"/>
                <w:sz w:val="13"/>
                <w:szCs w:val="13"/>
                <w:color w:val="auto"/>
                <w:w w:val="90"/>
              </w:rPr>
              <w:t>Various</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242424"/>
              </w:rPr>
              <w:t>200</w:t>
            </w:r>
          </w:p>
        </w:tc>
        <w:tc>
          <w:tcPr>
            <w:tcW w:w="0" w:type="dxa"/>
            <w:vAlign w:val="bottom"/>
          </w:tcPr>
          <w:p>
            <w:pPr>
              <w:spacing w:after="0"/>
              <w:rPr>
                <w:sz w:val="1"/>
                <w:szCs w:val="1"/>
                <w:color w:val="auto"/>
              </w:rPr>
            </w:pPr>
          </w:p>
        </w:tc>
      </w:tr>
      <w:tr>
        <w:trPr>
          <w:trHeight w:val="158"/>
        </w:trPr>
        <w:tc>
          <w:tcPr>
            <w:tcW w:w="5540" w:type="dxa"/>
            <w:vAlign w:val="bottom"/>
          </w:tcPr>
          <w:p>
            <w:pPr>
              <w:ind w:left="120"/>
              <w:spacing w:after="0"/>
              <w:rPr>
                <w:sz w:val="20"/>
                <w:szCs w:val="20"/>
                <w:color w:val="auto"/>
              </w:rPr>
            </w:pPr>
            <w:r>
              <w:rPr>
                <w:rFonts w:ascii="Arial" w:cs="Arial" w:eastAsia="Arial" w:hAnsi="Arial"/>
                <w:sz w:val="13"/>
                <w:szCs w:val="13"/>
                <w:color w:val="auto"/>
              </w:rPr>
              <w:t>Subtotal non-recourse project-level debt</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4,745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5,073</w:t>
            </w: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debt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7,779</w:t>
            </w: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40" w:type="dxa"/>
            <w:vAlign w:val="bottom"/>
          </w:tcPr>
          <w:p>
            <w:pPr>
              <w:ind w:left="20"/>
              <w:spacing w:after="0"/>
              <w:rPr>
                <w:sz w:val="20"/>
                <w:szCs w:val="20"/>
                <w:color w:val="auto"/>
              </w:rPr>
            </w:pPr>
            <w:r>
              <w:rPr>
                <w:rFonts w:ascii="Arial" w:cs="Arial" w:eastAsia="Arial" w:hAnsi="Arial"/>
                <w:sz w:val="13"/>
                <w:szCs w:val="13"/>
                <w:color w:val="auto"/>
              </w:rPr>
              <w:t>Less current maturities</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(773)</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net debt issuance costs</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54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 xml:space="preserve">Add premiums </w:t>
            </w:r>
            <w:r>
              <w:rPr>
                <w:rFonts w:ascii="Arial" w:cs="Arial" w:eastAsia="Arial" w:hAnsi="Arial"/>
                <w:sz w:val="16"/>
                <w:szCs w:val="16"/>
                <w:color w:val="auto"/>
                <w:vertAlign w:val="superscript"/>
              </w:rPr>
              <w:t>(e)</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32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long-term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6,491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6,939</w:t>
            </w:r>
          </w:p>
        </w:tc>
        <w:tc>
          <w:tcPr>
            <w:tcW w:w="3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180" w:hanging="111"/>
        <w:spacing w:after="0"/>
        <w:tabs>
          <w:tab w:leader="none" w:pos="180" w:val="left"/>
        </w:tabs>
        <w:numPr>
          <w:ilvl w:val="0"/>
          <w:numId w:val="74"/>
        </w:numPr>
        <w:rPr>
          <w:rFonts w:ascii="Arial" w:cs="Arial" w:eastAsia="Arial" w:hAnsi="Arial"/>
          <w:sz w:val="13"/>
          <w:szCs w:val="13"/>
          <w:color w:val="auto"/>
          <w:vertAlign w:val="superscript"/>
        </w:rPr>
      </w:pPr>
      <w:r>
        <w:rPr>
          <w:rFonts w:ascii="Arial" w:cs="Arial" w:eastAsia="Arial" w:hAnsi="Arial"/>
          <w:sz w:val="9"/>
          <w:szCs w:val="9"/>
          <w:color w:val="auto"/>
        </w:rPr>
        <w:t>As of December 31, 2022, L+ equals 3 month LIBOR plus x%, except Marsh Landing, due 2023, Waiawa, due 2023, and Walnut Creek, due 2023, where L+ equals 1 month LIBOR plus x%.</w:t>
      </w:r>
    </w:p>
    <w:p>
      <w:pPr>
        <w:spacing w:after="0" w:line="34" w:lineRule="exact"/>
        <w:rPr>
          <w:rFonts w:ascii="Arial" w:cs="Arial" w:eastAsia="Arial" w:hAnsi="Arial"/>
          <w:sz w:val="13"/>
          <w:szCs w:val="13"/>
          <w:color w:val="auto"/>
          <w:vertAlign w:val="superscript"/>
        </w:rPr>
      </w:pPr>
    </w:p>
    <w:p>
      <w:pPr>
        <w:ind w:left="180" w:hanging="111"/>
        <w:spacing w:after="0" w:line="216" w:lineRule="auto"/>
        <w:tabs>
          <w:tab w:leader="none" w:pos="180" w:val="left"/>
        </w:tabs>
        <w:numPr>
          <w:ilvl w:val="0"/>
          <w:numId w:val="74"/>
        </w:numPr>
        <w:rPr>
          <w:rFonts w:ascii="Arial" w:cs="Arial" w:eastAsia="Arial" w:hAnsi="Arial"/>
          <w:sz w:val="13"/>
          <w:szCs w:val="13"/>
          <w:color w:val="auto"/>
          <w:vertAlign w:val="superscript"/>
        </w:rPr>
      </w:pPr>
      <w:r>
        <w:rPr>
          <w:rFonts w:ascii="Arial" w:cs="Arial" w:eastAsia="Arial" w:hAnsi="Arial"/>
          <w:sz w:val="9"/>
          <w:szCs w:val="9"/>
          <w:color w:val="auto"/>
        </w:rPr>
        <w:t>S+ equals SOFR, plus x%</w:t>
      </w:r>
    </w:p>
    <w:p>
      <w:pPr>
        <w:spacing w:after="0" w:line="35" w:lineRule="exact"/>
        <w:rPr>
          <w:rFonts w:ascii="Arial" w:cs="Arial" w:eastAsia="Arial" w:hAnsi="Arial"/>
          <w:sz w:val="13"/>
          <w:szCs w:val="13"/>
          <w:color w:val="auto"/>
          <w:vertAlign w:val="superscript"/>
        </w:rPr>
      </w:pPr>
    </w:p>
    <w:p>
      <w:pPr>
        <w:ind w:left="180" w:hanging="111"/>
        <w:spacing w:after="0" w:line="200" w:lineRule="auto"/>
        <w:tabs>
          <w:tab w:leader="none" w:pos="180" w:val="left"/>
        </w:tabs>
        <w:numPr>
          <w:ilvl w:val="0"/>
          <w:numId w:val="74"/>
        </w:numPr>
        <w:rPr>
          <w:rFonts w:ascii="Arial" w:cs="Arial" w:eastAsia="Arial" w:hAnsi="Arial"/>
          <w:sz w:val="14"/>
          <w:szCs w:val="14"/>
          <w:color w:val="auto"/>
          <w:vertAlign w:val="superscript"/>
        </w:rPr>
      </w:pPr>
      <w:r>
        <w:rPr>
          <w:rFonts w:ascii="Arial" w:cs="Arial" w:eastAsia="Arial" w:hAnsi="Arial"/>
          <w:sz w:val="10"/>
          <w:szCs w:val="10"/>
          <w:color w:val="auto"/>
        </w:rPr>
        <w:t>Applicable rate is determined by the borrower leverage ratio, as defined in the credit agreement</w:t>
      </w:r>
    </w:p>
    <w:p>
      <w:pPr>
        <w:spacing w:after="0" w:line="24" w:lineRule="exact"/>
        <w:rPr>
          <w:rFonts w:ascii="Arial" w:cs="Arial" w:eastAsia="Arial" w:hAnsi="Arial"/>
          <w:sz w:val="14"/>
          <w:szCs w:val="14"/>
          <w:color w:val="auto"/>
          <w:vertAlign w:val="superscript"/>
        </w:rPr>
      </w:pPr>
    </w:p>
    <w:p>
      <w:pPr>
        <w:ind w:firstLine="69"/>
        <w:spacing w:after="0" w:line="237" w:lineRule="auto"/>
        <w:tabs>
          <w:tab w:leader="none" w:pos="188" w:val="left"/>
        </w:tabs>
        <w:numPr>
          <w:ilvl w:val="0"/>
          <w:numId w:val="74"/>
        </w:numPr>
        <w:rPr>
          <w:rFonts w:ascii="Arial" w:cs="Arial" w:eastAsia="Arial" w:hAnsi="Arial"/>
          <w:sz w:val="14"/>
          <w:szCs w:val="14"/>
          <w:color w:val="auto"/>
          <w:vertAlign w:val="superscript"/>
        </w:rPr>
      </w:pPr>
      <w:r>
        <w:rPr>
          <w:rFonts w:ascii="Arial" w:cs="Arial" w:eastAsia="Arial" w:hAnsi="Arial"/>
          <w:sz w:val="10"/>
          <w:szCs w:val="10"/>
          <w:color w:val="auto"/>
        </w:rPr>
        <w:t>Laredo Ridge, due 2028; Tapestry Wind LLC, due 2031; and Viento Funding II, LLC, due 2023 project-level debt were repaid on March 16, 2022 totaling $186 million and was replaced with $190 million in new project-level debt under Viento Funding II, LLC that was obtained on March 16, 2022 and is due in 2029, as discussed further below.</w:t>
      </w:r>
    </w:p>
    <w:p>
      <w:pPr>
        <w:spacing w:after="0" w:line="20" w:lineRule="exact"/>
        <w:rPr>
          <w:rFonts w:ascii="Arial" w:cs="Arial" w:eastAsia="Arial" w:hAnsi="Arial"/>
          <w:sz w:val="14"/>
          <w:szCs w:val="14"/>
          <w:color w:val="auto"/>
          <w:vertAlign w:val="superscript"/>
        </w:rPr>
      </w:pPr>
    </w:p>
    <w:p>
      <w:pPr>
        <w:ind w:left="180" w:hanging="111"/>
        <w:spacing w:after="0"/>
        <w:tabs>
          <w:tab w:leader="none" w:pos="180" w:val="left"/>
        </w:tabs>
        <w:numPr>
          <w:ilvl w:val="0"/>
          <w:numId w:val="74"/>
        </w:numPr>
        <w:rPr>
          <w:rFonts w:ascii="Arial" w:cs="Arial" w:eastAsia="Arial" w:hAnsi="Arial"/>
          <w:sz w:val="13"/>
          <w:szCs w:val="13"/>
          <w:color w:val="auto"/>
          <w:vertAlign w:val="superscript"/>
        </w:rPr>
      </w:pPr>
      <w:r>
        <w:rPr>
          <w:rFonts w:ascii="Arial" w:cs="Arial" w:eastAsia="Arial" w:hAnsi="Arial"/>
          <w:sz w:val="9"/>
          <w:szCs w:val="9"/>
          <w:color w:val="auto"/>
        </w:rPr>
        <w:t>Premiums relate to the 2028 Senior Notes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7" w:name="page118"/>
    <w:bookmarkEnd w:id="117"/>
    <w:p>
      <w:pPr>
        <w:jc w:val="both"/>
        <w:ind w:firstLine="318"/>
        <w:spacing w:after="0" w:line="284" w:lineRule="auto"/>
        <w:rPr>
          <w:sz w:val="20"/>
          <w:szCs w:val="20"/>
          <w:color w:val="auto"/>
        </w:rPr>
      </w:pPr>
      <w:r>
        <w:rPr>
          <w:rFonts w:ascii="Arial" w:cs="Arial" w:eastAsia="Arial" w:hAnsi="Arial"/>
          <w:sz w:val="13"/>
          <w:szCs w:val="13"/>
          <w:color w:val="auto"/>
        </w:rPr>
        <w:t>The financing arrangements listed above contain certain covenants, including financial covenants that the Company is required to be in compliance with during the term of the respective arrangement. Under the project-level financing arrangements, each project is permitted to pay distributions out of available cash as long as certain conditions are satisfied, including that no default under the applicable arrangements has occurred and that each project is otherwise in compliance with all relevant conditions under the financing agreements, including meeting required financial ratios, where applicable. The Company’s project-level financing arrangements are non-recourse to the Company, thus, each project pledges its underlying assets as collateral, and if a project is in default of its financing arrangement, then the related lender could demand repayment of the project or enforce their security interests with respect to the pledged collateral.</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December 31, 2022, the Company was in compliance with all of the required principal, interest, sinking fund and redemption covenants.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Bridge Loan Agreement</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212529"/>
        </w:rPr>
        <w:t xml:space="preserve">On November 30, 2021, Clearway Energy Operating LLC entered into a senior secured bridge credit agreement, or the Bridge Loan Agreement. The Bridge Loan Agreement provided for a senior secured term loan facility in an aggregate principal amount of $335 million. The borrowings under the term loan facility were used to </w:t>
      </w:r>
      <w:r>
        <w:rPr>
          <w:rFonts w:ascii="Arial" w:cs="Arial" w:eastAsia="Arial" w:hAnsi="Arial"/>
          <w:sz w:val="14"/>
          <w:szCs w:val="14"/>
          <w:color w:val="000000"/>
        </w:rPr>
        <w:t>acquire the Utah Solar Portfolio on December 1, 2021, as</w:t>
      </w:r>
      <w:r>
        <w:rPr>
          <w:rFonts w:ascii="Arial" w:cs="Arial" w:eastAsia="Arial" w:hAnsi="Arial"/>
          <w:sz w:val="14"/>
          <w:szCs w:val="14"/>
          <w:color w:val="212529"/>
        </w:rPr>
        <w:t xml:space="preserve"> </w:t>
      </w:r>
      <w:r>
        <w:rPr>
          <w:rFonts w:ascii="Arial" w:cs="Arial" w:eastAsia="Arial" w:hAnsi="Arial"/>
          <w:sz w:val="14"/>
          <w:szCs w:val="14"/>
          <w:color w:val="000000"/>
        </w:rPr>
        <w:t xml:space="preserve">further described in Note 3, </w:t>
      </w:r>
      <w:r>
        <w:rPr>
          <w:rFonts w:ascii="Arial" w:cs="Arial" w:eastAsia="Arial" w:hAnsi="Arial"/>
          <w:sz w:val="14"/>
          <w:szCs w:val="14"/>
          <w:i w:val="1"/>
          <w:iCs w:val="1"/>
          <w:color w:val="000000"/>
        </w:rPr>
        <w:t>Acquisitions and Dispositions</w:t>
      </w:r>
      <w:r>
        <w:rPr>
          <w:rFonts w:ascii="Arial" w:cs="Arial" w:eastAsia="Arial" w:hAnsi="Arial"/>
          <w:sz w:val="14"/>
          <w:szCs w:val="14"/>
          <w:color w:val="000000"/>
        </w:rPr>
        <w:t>.</w:t>
      </w:r>
    </w:p>
    <w:p>
      <w:pPr>
        <w:spacing w:after="0" w:line="9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 xml:space="preserve">On May 3, 2022, the Company repaid the $335 million in outstanding borrowings under the Bridge Loan Agreement utilizing proceeds received from the Thermal Disposition, as further described as further described in Note 3, </w:t>
      </w:r>
      <w:r>
        <w:rPr>
          <w:rFonts w:ascii="Arial" w:cs="Arial" w:eastAsia="Arial" w:hAnsi="Arial"/>
          <w:sz w:val="14"/>
          <w:szCs w:val="14"/>
          <w:i w:val="1"/>
          <w:iCs w:val="1"/>
          <w:color w:val="auto"/>
        </w:rPr>
        <w:t>Acquisitions and Dispositions</w:t>
      </w:r>
      <w:r>
        <w:rPr>
          <w:rFonts w:ascii="Arial" w:cs="Arial" w:eastAsia="Arial" w:hAnsi="Arial"/>
          <w:sz w:val="14"/>
          <w:szCs w:val="14"/>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Clearway Energy LLC and Clearway Energy Operating LLC Revolving Credit Facility</w:t>
      </w:r>
    </w:p>
    <w:p>
      <w:pPr>
        <w:spacing w:after="0" w:line="136"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auto"/>
        </w:rPr>
        <w:t>On November 30, 2021, Clearway Energy Operating LLC entered into the Sixth Amendment to Amended and Restated Credit Agreement, which amended the Company’s revolving credit facility to provide for an increase of the maximum permitted Borrower Leverage Ratio (as defined in the credit agreement governing the Company’s revolving credit facility) to 6.00 to 1.00 from November 30, 2021 through May 2, 2022. The Sixth Amendment also (i) permits the incurrence of the term loan facility under the Bridge Loan Agreement, (ii) permits the incurrence of hedging obligations, subject to certain conditions, and provides for a $40 million basket for cash collateral which may be provided to secure hedging obligations (iii) permits the prepayment of unsecured, junior or subordinated indebtedness at any time following May 3, 2022, subject to certain conditions, including that, after giving effect to such payment, the Borrower Leverage Ratio would not be greater than 5.50 to 1.00 and the Borrower Interest Coverage Ratio (as defined in the credit agreement governing the Company’s revolving credit facility) would not be less than 1.75 to 1.00 and (iv) implements certain other technical modifications.</w:t>
      </w:r>
    </w:p>
    <w:p>
      <w:pPr>
        <w:spacing w:after="0" w:line="109"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 xml:space="preserve">As of December 31, 2022, the Company had no outstanding borrowings under the revolving credit facility and $125 million in letters of credit outstanding. During the year ended December 31, 2022, the Company borrowed $80 million under the revolving credit facility and repaid $325 million, $305 million of which was repaid on May 3, 2022, utilizing the proceeds received from the Thermal Disposition. </w:t>
      </w:r>
      <w:r>
        <w:rPr>
          <w:rFonts w:ascii="Arial" w:cs="Arial" w:eastAsia="Arial" w:hAnsi="Arial"/>
          <w:sz w:val="13"/>
          <w:szCs w:val="13"/>
          <w:color w:val="231F20"/>
        </w:rPr>
        <w:t>The facility will continue to be used for general corporate purposes including financing of future acquisitions and posting letters of credit.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2032 Senior Notes</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On October 1, 2021, Clearway Energy Operating LLC completed the sale of $350 million of senior unsecured notes due 2032, or the 2032 Senior Notes. The 2032 Senior Notes bear interest at 3.750% and mature on January 15, 2032. Interest on the 2032 Senior Notes is payable semi-annually on January 15 and July 15 of each year. The 2032 Senior Notes are unsecured obligations of Clearway Energy Operating LLC and are guaranteed by Clearway Energy LLC and by certain of Clearway Energy Operating LLC’s wholly-owned current and future subsidiaries. The net proceeds from the 2032 Senior Notes were used, together with existing corporate liquidity, to repurchase the 2026 Senior Notes, as described below.</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2026 Senior Notes Tender Offer and Redemption</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In October 2021, the Company repurchased and redeemed an aggregate principal amount of $350 million of the 2026 Senior Notes, through the cash tender offer announced on September 24, 2021 and the redemption of the remaining principal amount of $227 million on October 25, 2021. The 2026 Senior Notes repurchased and redeemed in October 2021 were effectuated at a premium of approximately 103% for total consideration of $359 million and, as a result, the Company recorded a loss on extinguishment in the amount of $9 million. The Company recorded an additional $3 million loss on extinguishment to write off the remaining unamortized deferred financing fees related to the 2026 Senior Notes.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b w:val="1"/>
          <w:bCs w:val="1"/>
          <w:i w:val="1"/>
          <w:iCs w:val="1"/>
          <w:color w:val="auto"/>
        </w:rPr>
        <w:t>2031 Senior Notes</w:t>
      </w:r>
    </w:p>
    <w:p>
      <w:pPr>
        <w:spacing w:after="0" w:line="13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The 2031 Senior Notes are unsecured obligations of Clearway Energy Operating LLC and are guaranteed by Clearway Energy LLC and by certain of Clearway Energy Operating LLC’s wholly-owned current and future subsidiaries. The net proceeds from the 2031 Senior Notes were used to repurchase the 2025 Senior Notes, as described below, as well as to repay amounts outstanding under the Company’s revolving credit facility and for general corporate purposes.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Senior Notes Tender Offer and Redemption</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In March 2021, the Company repurchased and redeemed an aggregate principal amount of $600 million of the 2025 Senior Notes, through the cash tender offer announced on March 2, 2021 and the redemption of the remaining principal amount of $183 million on March 17, 2021. The 2025 Senior Notes repurchased and redeemed in March 2021 were effectuated at a premium of approximately 106% for total consideration of $636 million and, as a result, the Company recorded a loss on extinguishment in the amount of $36 million. The Company recorded an additional $5 million loss on extinguishment to write off the remaining unamortized deferred financing fees related to the 2025 Senior Notes.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Project-level Debt</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El Segundo Energy Center</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On December 15, 2022, the Company repaid the outstanding project-level debt of El Segundo Energy Center in the amount of approximately $130 million, utilizing cash on hand. The project-level debt had an original maturity of August 2023.</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Waiawa</w:t>
      </w:r>
    </w:p>
    <w:p>
      <w:pPr>
        <w:spacing w:after="0" w:line="136"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3"/>
          <w:szCs w:val="13"/>
          <w:color w:val="auto"/>
        </w:rPr>
        <w:t xml:space="preserve">On October 3, 2022, as part of the acquisition of Waiawa, as further described in Note 3, </w:t>
      </w:r>
      <w:r>
        <w:rPr>
          <w:rFonts w:ascii="Arial" w:cs="Arial" w:eastAsia="Arial" w:hAnsi="Arial"/>
          <w:sz w:val="13"/>
          <w:szCs w:val="13"/>
          <w:i w:val="1"/>
          <w:iCs w:val="1"/>
          <w:color w:val="auto"/>
        </w:rPr>
        <w:t>Acquisitions and Dispositions</w:t>
      </w:r>
      <w:r>
        <w:rPr>
          <w:rFonts w:ascii="Arial" w:cs="Arial" w:eastAsia="Arial" w:hAnsi="Arial"/>
          <w:sz w:val="13"/>
          <w:szCs w:val="13"/>
          <w:color w:val="auto"/>
        </w:rPr>
        <w:t>, the Company assumed the project’s financing agreement, which included a $22 million construction loan that converts to a term loan upon the project reaching substantial completion, a $55 million tax equity bridge loan and a $26 million sponsor equity bridge loan. The sponsor equity bridge loan was repaid at acquisition date, along with $2 million in associated fees, utilizing $12 million from the cash equity investor, as well as $16 million of the Company’s purchase price, which was contributed back by CEG. The tax equity bridge loan will be repaid with the final proceeds from the tax equity investor that will be received upon Waiawa reaching substantial completion, which is expected to occur in the first half of 2023. Subsequent to the Waiawa acquisition, the Company borrowed an additional $20 million in construction loans. As of December 31, 2022, the Company had $42 million in outstanding construction loans in addition to the $55 million tax equity bridge loan referenced above.</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Capistrano Wind Portfolio</w:t>
      </w:r>
    </w:p>
    <w:p>
      <w:pPr>
        <w:spacing w:after="0" w:line="136"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 xml:space="preserve">On August 22, 2022, as part of the acquisition of the Capistrano Wind Portfolio, as further described in Note 3, </w:t>
      </w:r>
      <w:r>
        <w:rPr>
          <w:rFonts w:ascii="Arial" w:cs="Arial" w:eastAsia="Arial" w:hAnsi="Arial"/>
          <w:sz w:val="13"/>
          <w:szCs w:val="13"/>
          <w:i w:val="1"/>
          <w:iCs w:val="1"/>
          <w:color w:val="auto"/>
        </w:rPr>
        <w:t>Acquisitions and Dispositions</w:t>
      </w:r>
      <w:r>
        <w:rPr>
          <w:rFonts w:ascii="Arial" w:cs="Arial" w:eastAsia="Arial" w:hAnsi="Arial"/>
          <w:sz w:val="13"/>
          <w:szCs w:val="13"/>
          <w:color w:val="auto"/>
        </w:rPr>
        <w:t>, the Company assumed non-recourse project-level debt totaling $164 million held by the Broken Bow, Cedro Hill and Crofton Bluffs wind projects, which is net of $2 million in previously deferred unamortized debt issuance costs. The non-recourse project-level debt bears interest at a rate of LIBOR plus an applicable margin, which is currently 2.00% per annum, and maturities range from September 30, 2029 to July 14, 2031.</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Mililani I</w:t>
      </w:r>
    </w:p>
    <w:p>
      <w:pPr>
        <w:spacing w:after="0" w:line="136"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3"/>
          <w:szCs w:val="13"/>
          <w:color w:val="auto"/>
        </w:rPr>
        <w:t xml:space="preserve">On March 25, 2022, as part of the acquisition of Mililani I, as further described in Note 3, </w:t>
      </w:r>
      <w:r>
        <w:rPr>
          <w:rFonts w:ascii="Arial" w:cs="Arial" w:eastAsia="Arial" w:hAnsi="Arial"/>
          <w:sz w:val="13"/>
          <w:szCs w:val="13"/>
          <w:i w:val="1"/>
          <w:iCs w:val="1"/>
          <w:color w:val="auto"/>
        </w:rPr>
        <w:t>Acquisitions and Dispositions</w:t>
      </w:r>
      <w:r>
        <w:rPr>
          <w:rFonts w:ascii="Arial" w:cs="Arial" w:eastAsia="Arial" w:hAnsi="Arial"/>
          <w:sz w:val="13"/>
          <w:szCs w:val="13"/>
          <w:color w:val="auto"/>
        </w:rPr>
        <w:t>, the Company assumed the project’s financing agreement, which included a $16 million construction loan that converts to a term loan upon the project reaching substantial completion, a $60 million tax equity bridge loan and a $27 million sponsor equity bridge loan. The sponsor equity bridge loan was repaid at acquisition date, along with $2 million in associated fees, utilizing $14 million from the cash equity investor, as well as $15 million of the Company’s purchase price, which was contributed back by CEG. On December 7, 2022, when the project reached substantial completion, the tax equity investor contributed an additional $42 million and CEG contributed an additional $11 million, which was utilized, along with the $18 million in escrow, to repay the $60 million tax equity bridge loan, to fund $7 million in construction completion reserves and to pay $4 million in associated fees. Subsequent to the Mililani I acquisition, the Company had borrowed an additional $32 million in construction loans that was converted to a term loan in the amount of $48 million. As of December 31, 2022, the Company had a $47 million term loan outstanding, as $1 million was paid in December 2022.</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19" w:name="page120"/>
    <w:bookmarkEnd w:id="119"/>
    <w:p>
      <w:pPr>
        <w:ind w:left="320"/>
        <w:spacing w:after="0"/>
        <w:rPr>
          <w:sz w:val="20"/>
          <w:szCs w:val="20"/>
          <w:color w:val="auto"/>
        </w:rPr>
      </w:pPr>
      <w:r>
        <w:rPr>
          <w:rFonts w:ascii="Arial" w:cs="Arial" w:eastAsia="Arial" w:hAnsi="Arial"/>
          <w:sz w:val="14"/>
          <w:szCs w:val="14"/>
          <w:i w:val="1"/>
          <w:iCs w:val="1"/>
          <w:color w:val="auto"/>
        </w:rPr>
        <w:t>Viento Funding II, LLC</w:t>
      </w:r>
    </w:p>
    <w:p>
      <w:pPr>
        <w:spacing w:after="0" w:line="136"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term loan bears annual interest at a rate of SOFR plus a spread of 0.10% and an applicable margin, which is 1.375% per annum through the fourth anniversary of the term loan and 1.50% per annum thereafter through the maturity date of March 16, 2029. The proceeds from the term loan were used to pay off the existing debt in the amount of $186 million related to Laredo Ridge, Tapestry Wind LLC and Viento Funding II, LLC and to pay related financing costs. The Company recorded a loss on debt extinguishment of $2 million to expense unamortized debt issuance costs.</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Agua Caliente Solar LLC</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 xml:space="preserve">As part of the acquisition of Agua Caliente Borrower 1 LLC and the consolidation of Agua Caliente, as further described in Note 3, </w:t>
      </w:r>
      <w:r>
        <w:rPr>
          <w:rFonts w:ascii="Arial" w:cs="Arial" w:eastAsia="Arial" w:hAnsi="Arial"/>
          <w:sz w:val="14"/>
          <w:szCs w:val="14"/>
          <w:i w:val="1"/>
          <w:iCs w:val="1"/>
          <w:color w:val="auto"/>
        </w:rPr>
        <w:t>Acquisitions and Dispositions,</w:t>
      </w:r>
      <w:r>
        <w:rPr>
          <w:rFonts w:ascii="Arial" w:cs="Arial" w:eastAsia="Arial" w:hAnsi="Arial"/>
          <w:sz w:val="14"/>
          <w:szCs w:val="14"/>
          <w:color w:val="auto"/>
        </w:rPr>
        <w:t xml:space="preserve"> the Company consolidated non-recourse debt of $716 million related to Agua Caliente Solar, LLC on February 3, 2021. The debt consists of a credit agreement with the Federal Financing Bank and accrues interest at fixed rates between 2.395% and 3.633%, which matures in 2037.</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Pinnacle Repowering Partnership HoldCo LLC</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Wind LLC financing agreement, which related to the Pinnacle wind project, to pay vendor invoices and fees and to acquire certain equipment from Clearway Renew LLC to be utilized in the repowering project. On December 15, 2021, the Company repaid the outstanding principal amount of $117 million.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Interest Rate Swaps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Project Financings</w:t>
      </w:r>
    </w:p>
    <w:p>
      <w:pPr>
        <w:spacing w:after="0" w:line="14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Many of the Company’s project subsidiaries entered into interest rate swaps, intended to hedge the risks associated with interest rates on non-recourse project level debt. These swaps amortize in proportion to their respective loans and are floating for a fixed rate where the project subsidiary pays its counterparty the equivalent of a fixed interest payment on a predetermined notional amount and will receive quarterly the equivalent of a floating interest payment based on the same notional amount. All interest rate swap payments by the project subsidiary and its counterparty are made quarterly and the LIBOR or SOFR is determined in advance of each interest period.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20" w:name="page121"/>
    <w:bookmarkEnd w:id="120"/>
    <w:p>
      <w:pPr>
        <w:ind w:left="140"/>
        <w:spacing w:after="0"/>
        <w:rPr>
          <w:sz w:val="20"/>
          <w:szCs w:val="20"/>
          <w:color w:val="auto"/>
        </w:rPr>
      </w:pPr>
      <w:r>
        <w:rPr>
          <w:rFonts w:ascii="Arial" w:cs="Arial" w:eastAsia="Arial" w:hAnsi="Arial"/>
          <w:sz w:val="14"/>
          <w:szCs w:val="14"/>
          <w:color w:val="auto"/>
        </w:rPr>
        <w:t>The following table summarizes the swaps, some of which are forward starting as indicated, related to the Company’s project level debt as of December 31, 2022: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Fixed Interest</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center"/>
              <w:ind w:right="96"/>
              <w:spacing w:after="0"/>
              <w:rPr>
                <w:sz w:val="20"/>
                <w:szCs w:val="20"/>
                <w:color w:val="auto"/>
              </w:rPr>
            </w:pPr>
            <w:r>
              <w:rPr>
                <w:rFonts w:ascii="Arial" w:cs="Arial" w:eastAsia="Arial" w:hAnsi="Arial"/>
                <w:sz w:val="13"/>
                <w:szCs w:val="13"/>
                <w:b w:val="1"/>
                <w:bCs w:val="1"/>
                <w:color w:val="auto"/>
                <w:w w:val="90"/>
              </w:rPr>
              <w:t>Notional Amount at</w:t>
            </w: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rPr>
              <w:t>% of Principal</w:t>
            </w:r>
          </w:p>
        </w:tc>
        <w:tc>
          <w:tcPr>
            <w:tcW w:w="80" w:type="dxa"/>
            <w:vAlign w:val="bottom"/>
            <w:vMerge w:val="restart"/>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80" w:type="dxa"/>
            <w:vAlign w:val="bottom"/>
            <w:vMerge w:val="restart"/>
          </w:tcPr>
          <w:p>
            <w:pPr>
              <w:ind w:left="160"/>
              <w:spacing w:after="0"/>
              <w:rPr>
                <w:sz w:val="20"/>
                <w:szCs w:val="20"/>
                <w:color w:val="auto"/>
              </w:rPr>
            </w:pPr>
            <w:r>
              <w:rPr>
                <w:rFonts w:ascii="Arial" w:cs="Arial" w:eastAsia="Arial" w:hAnsi="Arial"/>
                <w:sz w:val="13"/>
                <w:szCs w:val="13"/>
                <w:b w:val="1"/>
                <w:bCs w:val="1"/>
                <w:color w:val="auto"/>
                <w:w w:val="97"/>
              </w:rPr>
              <w:t>Floating Interest Rate</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jc w:val="center"/>
              <w:ind w:right="116"/>
              <w:spacing w:after="0" w:line="128" w:lineRule="exact"/>
              <w:rPr>
                <w:sz w:val="20"/>
                <w:szCs w:val="20"/>
                <w:color w:val="auto"/>
              </w:rPr>
            </w:pPr>
            <w:r>
              <w:rPr>
                <w:rFonts w:ascii="Arial" w:cs="Arial" w:eastAsia="Arial" w:hAnsi="Arial"/>
                <w:sz w:val="13"/>
                <w:szCs w:val="13"/>
                <w:b w:val="1"/>
                <w:bCs w:val="1"/>
                <w:color w:val="auto"/>
                <w:w w:val="89"/>
              </w:rPr>
              <w:t>December 31, 2022 (In</w:t>
            </w:r>
          </w:p>
        </w:tc>
        <w:tc>
          <w:tcPr>
            <w:tcW w:w="80" w:type="dxa"/>
            <w:vAlign w:val="bottom"/>
          </w:tcPr>
          <w:p>
            <w:pPr>
              <w:spacing w:after="0"/>
              <w:rPr>
                <w:sz w:val="11"/>
                <w:szCs w:val="11"/>
                <w:color w:val="auto"/>
              </w:rPr>
            </w:pPr>
          </w:p>
        </w:tc>
        <w:tc>
          <w:tcPr>
            <w:tcW w:w="1780" w:type="dxa"/>
            <w:vAlign w:val="bottom"/>
            <w:gridSpan w:val="2"/>
            <w:vMerge w:val="restart"/>
          </w:tcPr>
          <w:p>
            <w:pPr>
              <w:jc w:val="right"/>
              <w:ind w:right="436"/>
              <w:spacing w:after="0"/>
              <w:rPr>
                <w:sz w:val="20"/>
                <w:szCs w:val="20"/>
                <w:color w:val="auto"/>
              </w:rPr>
            </w:pPr>
            <w:r>
              <w:rPr>
                <w:rFonts w:ascii="Arial" w:cs="Arial" w:eastAsia="Arial" w:hAnsi="Arial"/>
                <w:sz w:val="13"/>
                <w:szCs w:val="13"/>
                <w:b w:val="1"/>
                <w:bCs w:val="1"/>
                <w:color w:val="auto"/>
              </w:rPr>
              <w:t>Effective Date</w:t>
            </w:r>
          </w:p>
        </w:tc>
        <w:tc>
          <w:tcPr>
            <w:tcW w:w="100" w:type="dxa"/>
            <w:vAlign w:val="bottom"/>
            <w:vMerge w:val="restart"/>
          </w:tcPr>
          <w:p>
            <w:pPr>
              <w:spacing w:after="0"/>
              <w:rPr>
                <w:sz w:val="11"/>
                <w:szCs w:val="11"/>
                <w:color w:val="auto"/>
              </w:rPr>
            </w:pPr>
          </w:p>
        </w:tc>
        <w:tc>
          <w:tcPr>
            <w:tcW w:w="172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68"/>
        </w:trPr>
        <w:tc>
          <w:tcPr>
            <w:tcW w:w="2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Rate</w:t>
            </w: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9"/>
              </w:rPr>
              <w:t>millions)</w:t>
            </w:r>
          </w:p>
        </w:tc>
        <w:tc>
          <w:tcPr>
            <w:tcW w:w="8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7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Avra Valley</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88 %</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2.333 %</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3-Month LIBOR</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November 30, 2012</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November 30, 2030</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Alta Wind Asset Management</w:t>
            </w:r>
          </w:p>
        </w:tc>
        <w:tc>
          <w:tcPr>
            <w:tcW w:w="1020" w:type="dxa"/>
            <w:vAlign w:val="bottom"/>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2.470 %</w:t>
            </w:r>
          </w:p>
        </w:tc>
        <w:tc>
          <w:tcPr>
            <w:tcW w:w="1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3"/>
                <w:szCs w:val="13"/>
                <w:color w:val="auto"/>
              </w:rPr>
              <w:t>3-Month LIBOR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1880" w:type="dxa"/>
            <w:vAlign w:val="bottom"/>
            <w:gridSpan w:val="3"/>
          </w:tcPr>
          <w:p>
            <w:pPr>
              <w:jc w:val="right"/>
              <w:ind w:right="100"/>
              <w:spacing w:after="0"/>
              <w:rPr>
                <w:sz w:val="20"/>
                <w:szCs w:val="20"/>
                <w:color w:val="auto"/>
              </w:rPr>
            </w:pPr>
            <w:r>
              <w:rPr>
                <w:rFonts w:ascii="Arial" w:cs="Arial" w:eastAsia="Arial" w:hAnsi="Arial"/>
                <w:sz w:val="13"/>
                <w:szCs w:val="13"/>
                <w:color w:val="auto"/>
              </w:rPr>
              <w:t>May 22, 2013</w:t>
            </w:r>
          </w:p>
        </w:tc>
        <w:tc>
          <w:tcPr>
            <w:tcW w:w="1720" w:type="dxa"/>
            <w:vAlign w:val="bottom"/>
            <w:gridSpan w:val="2"/>
          </w:tcPr>
          <w:p>
            <w:pPr>
              <w:jc w:val="right"/>
              <w:ind w:right="20"/>
              <w:spacing w:after="0"/>
              <w:rPr>
                <w:sz w:val="20"/>
                <w:szCs w:val="20"/>
                <w:color w:val="auto"/>
              </w:rPr>
            </w:pPr>
            <w:r>
              <w:rPr>
                <w:rFonts w:ascii="Arial" w:cs="Arial" w:eastAsia="Arial" w:hAnsi="Arial"/>
                <w:sz w:val="13"/>
                <w:szCs w:val="13"/>
                <w:color w:val="auto"/>
              </w:rPr>
              <w:t>May 15, 2031</w:t>
            </w:r>
          </w:p>
        </w:tc>
        <w:tc>
          <w:tcPr>
            <w:tcW w:w="0" w:type="dxa"/>
            <w:vAlign w:val="bottom"/>
          </w:tcPr>
          <w:p>
            <w:pPr>
              <w:spacing w:after="0"/>
              <w:rPr>
                <w:sz w:val="1"/>
                <w:szCs w:val="1"/>
                <w:color w:val="auto"/>
              </w:rPr>
            </w:pPr>
          </w:p>
        </w:tc>
      </w:tr>
      <w:tr>
        <w:trPr>
          <w:trHeight w:val="172"/>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Borrego</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0.476 %</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3-Month LIBOR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June 30, 2020</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December 31, 2024</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Buckthorn Solar</w:t>
            </w:r>
          </w:p>
        </w:tc>
        <w:tc>
          <w:tcPr>
            <w:tcW w:w="1020" w:type="dxa"/>
            <w:vAlign w:val="bottom"/>
          </w:tcPr>
          <w:p>
            <w:pPr>
              <w:jc w:val="right"/>
              <w:spacing w:after="0"/>
              <w:rPr>
                <w:sz w:val="20"/>
                <w:szCs w:val="20"/>
                <w:color w:val="auto"/>
              </w:rPr>
            </w:pPr>
            <w:r>
              <w:rPr>
                <w:rFonts w:ascii="Arial" w:cs="Arial" w:eastAsia="Arial" w:hAnsi="Arial"/>
                <w:sz w:val="13"/>
                <w:szCs w:val="13"/>
                <w:color w:val="auto"/>
              </w:rPr>
              <w:t>81 %</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Various</w:t>
            </w:r>
          </w:p>
        </w:tc>
        <w:tc>
          <w:tcPr>
            <w:tcW w:w="1580" w:type="dxa"/>
            <w:vAlign w:val="bottom"/>
            <w:gridSpan w:val="2"/>
          </w:tcPr>
          <w:p>
            <w:pPr>
              <w:ind w:left="20"/>
              <w:spacing w:after="0"/>
              <w:rPr>
                <w:sz w:val="20"/>
                <w:szCs w:val="20"/>
                <w:color w:val="auto"/>
              </w:rPr>
            </w:pPr>
            <w:r>
              <w:rPr>
                <w:rFonts w:ascii="Arial" w:cs="Arial" w:eastAsia="Arial" w:hAnsi="Arial"/>
                <w:sz w:val="13"/>
                <w:szCs w:val="13"/>
                <w:color w:val="auto"/>
              </w:rPr>
              <w:t>3-Month LIBOR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4"/>
                <w:szCs w:val="14"/>
                <w:color w:val="auto"/>
              </w:rPr>
            </w:pPr>
          </w:p>
        </w:tc>
        <w:tc>
          <w:tcPr>
            <w:tcW w:w="1880" w:type="dxa"/>
            <w:vAlign w:val="bottom"/>
            <w:gridSpan w:val="3"/>
          </w:tcPr>
          <w:p>
            <w:pPr>
              <w:jc w:val="right"/>
              <w:ind w:right="100"/>
              <w:spacing w:after="0"/>
              <w:rPr>
                <w:sz w:val="20"/>
                <w:szCs w:val="20"/>
                <w:color w:val="auto"/>
              </w:rPr>
            </w:pPr>
            <w:r>
              <w:rPr>
                <w:rFonts w:ascii="Arial" w:cs="Arial" w:eastAsia="Arial" w:hAnsi="Arial"/>
                <w:sz w:val="13"/>
                <w:szCs w:val="13"/>
                <w:color w:val="auto"/>
              </w:rPr>
              <w:t>February 28, 2018</w:t>
            </w:r>
          </w:p>
        </w:tc>
        <w:tc>
          <w:tcPr>
            <w:tcW w:w="1720" w:type="dxa"/>
            <w:vAlign w:val="bottom"/>
            <w:gridSpan w:val="2"/>
          </w:tcPr>
          <w:p>
            <w:pPr>
              <w:jc w:val="right"/>
              <w:ind w:right="20"/>
              <w:spacing w:after="0"/>
              <w:rPr>
                <w:sz w:val="20"/>
                <w:szCs w:val="20"/>
                <w:color w:val="auto"/>
              </w:rPr>
            </w:pPr>
            <w:r>
              <w:rPr>
                <w:rFonts w:ascii="Arial" w:cs="Arial" w:eastAsia="Arial" w:hAnsi="Arial"/>
                <w:sz w:val="13"/>
                <w:szCs w:val="13"/>
                <w:color w:val="auto"/>
              </w:rPr>
              <w:t>December 31, 2041</w:t>
            </w:r>
          </w:p>
        </w:tc>
        <w:tc>
          <w:tcPr>
            <w:tcW w:w="0" w:type="dxa"/>
            <w:vAlign w:val="bottom"/>
          </w:tcPr>
          <w:p>
            <w:pPr>
              <w:spacing w:after="0"/>
              <w:rPr>
                <w:sz w:val="1"/>
                <w:szCs w:val="1"/>
                <w:color w:val="auto"/>
              </w:rPr>
            </w:pPr>
          </w:p>
        </w:tc>
      </w:tr>
      <w:tr>
        <w:trPr>
          <w:trHeight w:val="172"/>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Carlsbad Energy Holdings</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Various</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3-Month LIBOR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Various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September 30, 2027</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Capistrano Wind Portfolio</w:t>
            </w:r>
          </w:p>
        </w:tc>
        <w:tc>
          <w:tcPr>
            <w:tcW w:w="1020" w:type="dxa"/>
            <w:vAlign w:val="bottom"/>
          </w:tcPr>
          <w:p>
            <w:pPr>
              <w:jc w:val="right"/>
              <w:spacing w:after="0"/>
              <w:rPr>
                <w:sz w:val="20"/>
                <w:szCs w:val="20"/>
                <w:color w:val="auto"/>
              </w:rPr>
            </w:pPr>
            <w:r>
              <w:rPr>
                <w:rFonts w:ascii="Arial" w:cs="Arial" w:eastAsia="Arial" w:hAnsi="Arial"/>
                <w:sz w:val="13"/>
                <w:szCs w:val="13"/>
                <w:color w:val="auto"/>
              </w:rPr>
              <w:t>95 %</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Various</w:t>
            </w:r>
          </w:p>
        </w:tc>
        <w:tc>
          <w:tcPr>
            <w:tcW w:w="1580" w:type="dxa"/>
            <w:vAlign w:val="bottom"/>
            <w:gridSpan w:val="2"/>
          </w:tcPr>
          <w:p>
            <w:pPr>
              <w:ind w:left="20"/>
              <w:spacing w:after="0"/>
              <w:rPr>
                <w:sz w:val="20"/>
                <w:szCs w:val="20"/>
                <w:color w:val="auto"/>
              </w:rPr>
            </w:pPr>
            <w:r>
              <w:rPr>
                <w:rFonts w:ascii="Arial" w:cs="Arial" w:eastAsia="Arial" w:hAnsi="Arial"/>
                <w:sz w:val="13"/>
                <w:szCs w:val="13"/>
                <w:color w:val="auto"/>
              </w:rPr>
              <w:t>3-Month LIBOR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148</w:t>
            </w:r>
          </w:p>
        </w:tc>
        <w:tc>
          <w:tcPr>
            <w:tcW w:w="80" w:type="dxa"/>
            <w:vAlign w:val="bottom"/>
          </w:tcPr>
          <w:p>
            <w:pPr>
              <w:spacing w:after="0"/>
              <w:rPr>
                <w:sz w:val="14"/>
                <w:szCs w:val="14"/>
                <w:color w:val="auto"/>
              </w:rPr>
            </w:pPr>
          </w:p>
        </w:tc>
        <w:tc>
          <w:tcPr>
            <w:tcW w:w="1880" w:type="dxa"/>
            <w:vAlign w:val="bottom"/>
            <w:gridSpan w:val="3"/>
          </w:tcPr>
          <w:p>
            <w:pPr>
              <w:jc w:val="right"/>
              <w:ind w:right="100"/>
              <w:spacing w:after="0"/>
              <w:rPr>
                <w:sz w:val="20"/>
                <w:szCs w:val="20"/>
                <w:color w:val="auto"/>
              </w:rPr>
            </w:pPr>
            <w:r>
              <w:rPr>
                <w:rFonts w:ascii="Arial" w:cs="Arial" w:eastAsia="Arial" w:hAnsi="Arial"/>
                <w:sz w:val="13"/>
                <w:szCs w:val="13"/>
                <w:color w:val="auto"/>
              </w:rPr>
              <w:t>Various</w:t>
            </w:r>
          </w:p>
        </w:tc>
        <w:tc>
          <w:tcPr>
            <w:tcW w:w="1720" w:type="dxa"/>
            <w:vAlign w:val="bottom"/>
            <w:gridSpan w:val="2"/>
          </w:tcPr>
          <w:p>
            <w:pPr>
              <w:jc w:val="right"/>
              <w:ind w:right="20"/>
              <w:spacing w:after="0"/>
              <w:rPr>
                <w:sz w:val="20"/>
                <w:szCs w:val="20"/>
                <w:color w:val="auto"/>
              </w:rPr>
            </w:pPr>
            <w:r>
              <w:rPr>
                <w:rFonts w:ascii="Arial" w:cs="Arial" w:eastAsia="Arial" w:hAnsi="Arial"/>
                <w:sz w:val="13"/>
                <w:szCs w:val="13"/>
                <w:color w:val="auto"/>
              </w:rPr>
              <w:t>Various</w:t>
            </w:r>
          </w:p>
        </w:tc>
        <w:tc>
          <w:tcPr>
            <w:tcW w:w="0" w:type="dxa"/>
            <w:vAlign w:val="bottom"/>
          </w:tcPr>
          <w:p>
            <w:pPr>
              <w:spacing w:after="0"/>
              <w:rPr>
                <w:sz w:val="1"/>
                <w:szCs w:val="1"/>
                <w:color w:val="auto"/>
              </w:rPr>
            </w:pPr>
          </w:p>
        </w:tc>
      </w:tr>
      <w:tr>
        <w:trPr>
          <w:trHeight w:val="172"/>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Kansas South</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75 %</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2.368 %</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6-Month LIBOR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June 28, 2013</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December 31, 2030</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Marsh Landing</w:t>
            </w:r>
          </w:p>
        </w:tc>
        <w:tc>
          <w:tcPr>
            <w:tcW w:w="1020" w:type="dxa"/>
            <w:vAlign w:val="bottom"/>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Various</w:t>
            </w:r>
          </w:p>
        </w:tc>
        <w:tc>
          <w:tcPr>
            <w:tcW w:w="1580" w:type="dxa"/>
            <w:vAlign w:val="bottom"/>
            <w:gridSpan w:val="2"/>
          </w:tcPr>
          <w:p>
            <w:pPr>
              <w:ind w:left="20"/>
              <w:spacing w:after="0"/>
              <w:rPr>
                <w:sz w:val="20"/>
                <w:szCs w:val="20"/>
                <w:color w:val="auto"/>
              </w:rPr>
            </w:pPr>
            <w:r>
              <w:rPr>
                <w:rFonts w:ascii="Arial" w:cs="Arial" w:eastAsia="Arial" w:hAnsi="Arial"/>
                <w:sz w:val="13"/>
                <w:szCs w:val="13"/>
                <w:color w:val="auto"/>
              </w:rPr>
              <w:t>3-Month LIBOR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1880" w:type="dxa"/>
            <w:vAlign w:val="bottom"/>
            <w:gridSpan w:val="3"/>
          </w:tcPr>
          <w:p>
            <w:pPr>
              <w:jc w:val="right"/>
              <w:ind w:right="100"/>
              <w:spacing w:after="0"/>
              <w:rPr>
                <w:sz w:val="20"/>
                <w:szCs w:val="20"/>
                <w:color w:val="auto"/>
              </w:rPr>
            </w:pPr>
            <w:r>
              <w:rPr>
                <w:rFonts w:ascii="Arial" w:cs="Arial" w:eastAsia="Arial" w:hAnsi="Arial"/>
                <w:sz w:val="13"/>
                <w:szCs w:val="13"/>
                <w:color w:val="auto"/>
              </w:rPr>
              <w:t>June 28, 2013</w:t>
            </w:r>
          </w:p>
        </w:tc>
        <w:tc>
          <w:tcPr>
            <w:tcW w:w="1720" w:type="dxa"/>
            <w:vAlign w:val="bottom"/>
            <w:gridSpan w:val="2"/>
          </w:tcPr>
          <w:p>
            <w:pPr>
              <w:jc w:val="right"/>
              <w:ind w:right="20"/>
              <w:spacing w:after="0"/>
              <w:rPr>
                <w:sz w:val="20"/>
                <w:szCs w:val="20"/>
                <w:color w:val="auto"/>
              </w:rPr>
            </w:pPr>
            <w:r>
              <w:rPr>
                <w:rFonts w:ascii="Arial" w:cs="Arial" w:eastAsia="Arial" w:hAnsi="Arial"/>
                <w:sz w:val="13"/>
                <w:szCs w:val="13"/>
                <w:color w:val="auto"/>
              </w:rPr>
              <w:t>June 30, 2023</w:t>
            </w:r>
          </w:p>
        </w:tc>
        <w:tc>
          <w:tcPr>
            <w:tcW w:w="0" w:type="dxa"/>
            <w:vAlign w:val="bottom"/>
          </w:tcPr>
          <w:p>
            <w:pPr>
              <w:spacing w:after="0"/>
              <w:rPr>
                <w:sz w:val="1"/>
                <w:szCs w:val="1"/>
                <w:color w:val="auto"/>
              </w:rPr>
            </w:pPr>
          </w:p>
        </w:tc>
      </w:tr>
      <w:tr>
        <w:trPr>
          <w:trHeight w:val="172"/>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Mililani I</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2.041 %</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3-Month LIBOR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September 30, 2022</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September 30, 2042</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NIMH Solar</w:t>
            </w:r>
          </w:p>
        </w:tc>
        <w:tc>
          <w:tcPr>
            <w:tcW w:w="1020" w:type="dxa"/>
            <w:vAlign w:val="bottom"/>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Various</w:t>
            </w:r>
          </w:p>
        </w:tc>
        <w:tc>
          <w:tcPr>
            <w:tcW w:w="1580" w:type="dxa"/>
            <w:vAlign w:val="bottom"/>
            <w:gridSpan w:val="2"/>
          </w:tcPr>
          <w:p>
            <w:pPr>
              <w:ind w:left="20"/>
              <w:spacing w:after="0"/>
              <w:rPr>
                <w:sz w:val="20"/>
                <w:szCs w:val="20"/>
                <w:color w:val="auto"/>
              </w:rPr>
            </w:pPr>
            <w:r>
              <w:rPr>
                <w:rFonts w:ascii="Arial" w:cs="Arial" w:eastAsia="Arial" w:hAnsi="Arial"/>
                <w:sz w:val="13"/>
                <w:szCs w:val="13"/>
                <w:color w:val="auto"/>
              </w:rPr>
              <w:t>3-Month LIBOR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163</w:t>
            </w:r>
          </w:p>
        </w:tc>
        <w:tc>
          <w:tcPr>
            <w:tcW w:w="80" w:type="dxa"/>
            <w:vAlign w:val="bottom"/>
          </w:tcPr>
          <w:p>
            <w:pPr>
              <w:spacing w:after="0"/>
              <w:rPr>
                <w:sz w:val="14"/>
                <w:szCs w:val="14"/>
                <w:color w:val="auto"/>
              </w:rPr>
            </w:pPr>
          </w:p>
        </w:tc>
        <w:tc>
          <w:tcPr>
            <w:tcW w:w="1880" w:type="dxa"/>
            <w:vAlign w:val="bottom"/>
            <w:gridSpan w:val="3"/>
          </w:tcPr>
          <w:p>
            <w:pPr>
              <w:jc w:val="right"/>
              <w:ind w:right="100"/>
              <w:spacing w:after="0"/>
              <w:rPr>
                <w:sz w:val="20"/>
                <w:szCs w:val="20"/>
                <w:color w:val="auto"/>
              </w:rPr>
            </w:pPr>
            <w:r>
              <w:rPr>
                <w:rFonts w:ascii="Arial" w:cs="Arial" w:eastAsia="Arial" w:hAnsi="Arial"/>
                <w:sz w:val="13"/>
                <w:szCs w:val="13"/>
                <w:color w:val="auto"/>
              </w:rPr>
              <w:t>September 30, 2020</w:t>
            </w:r>
          </w:p>
        </w:tc>
        <w:tc>
          <w:tcPr>
            <w:tcW w:w="1720" w:type="dxa"/>
            <w:vAlign w:val="bottom"/>
            <w:gridSpan w:val="2"/>
          </w:tcPr>
          <w:p>
            <w:pPr>
              <w:jc w:val="right"/>
              <w:ind w:right="20"/>
              <w:spacing w:after="0"/>
              <w:rPr>
                <w:sz w:val="20"/>
                <w:szCs w:val="20"/>
                <w:color w:val="auto"/>
              </w:rPr>
            </w:pPr>
            <w:r>
              <w:rPr>
                <w:rFonts w:ascii="Arial" w:cs="Arial" w:eastAsia="Arial" w:hAnsi="Arial"/>
                <w:sz w:val="13"/>
                <w:szCs w:val="13"/>
                <w:color w:val="auto"/>
              </w:rPr>
              <w:t>Various</w:t>
            </w:r>
          </w:p>
        </w:tc>
        <w:tc>
          <w:tcPr>
            <w:tcW w:w="0" w:type="dxa"/>
            <w:vAlign w:val="bottom"/>
          </w:tcPr>
          <w:p>
            <w:pPr>
              <w:spacing w:after="0"/>
              <w:rPr>
                <w:sz w:val="1"/>
                <w:szCs w:val="1"/>
                <w:color w:val="auto"/>
              </w:rPr>
            </w:pPr>
          </w:p>
        </w:tc>
      </w:tr>
      <w:tr>
        <w:trPr>
          <w:trHeight w:val="172"/>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Oahu Solar</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96 %</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Various</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3-Month LIBOR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November 30, 2019</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October 31, 2040</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Rosie Class B</w:t>
            </w:r>
          </w:p>
        </w:tc>
        <w:tc>
          <w:tcPr>
            <w:tcW w:w="1020" w:type="dxa"/>
            <w:vAlign w:val="bottom"/>
          </w:tcPr>
          <w:p>
            <w:pPr>
              <w:jc w:val="right"/>
              <w:spacing w:after="0"/>
              <w:rPr>
                <w:sz w:val="20"/>
                <w:szCs w:val="20"/>
                <w:color w:val="auto"/>
              </w:rPr>
            </w:pPr>
            <w:r>
              <w:rPr>
                <w:rFonts w:ascii="Arial" w:cs="Arial" w:eastAsia="Arial" w:hAnsi="Arial"/>
                <w:sz w:val="13"/>
                <w:szCs w:val="13"/>
                <w:color w:val="auto"/>
              </w:rPr>
              <w:t>95 %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1.446 %</w:t>
            </w:r>
          </w:p>
        </w:tc>
        <w:tc>
          <w:tcPr>
            <w:tcW w:w="1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3"/>
                <w:szCs w:val="13"/>
                <w:color w:val="auto"/>
              </w:rPr>
              <w:t>3-Month LIBOR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4"/>
                <w:szCs w:val="14"/>
                <w:color w:val="auto"/>
              </w:rPr>
            </w:pPr>
          </w:p>
        </w:tc>
        <w:tc>
          <w:tcPr>
            <w:tcW w:w="1880" w:type="dxa"/>
            <w:vAlign w:val="bottom"/>
            <w:gridSpan w:val="3"/>
          </w:tcPr>
          <w:p>
            <w:pPr>
              <w:jc w:val="right"/>
              <w:ind w:right="100"/>
              <w:spacing w:after="0"/>
              <w:rPr>
                <w:sz w:val="20"/>
                <w:szCs w:val="20"/>
                <w:color w:val="auto"/>
              </w:rPr>
            </w:pPr>
            <w:r>
              <w:rPr>
                <w:rFonts w:ascii="Arial" w:cs="Arial" w:eastAsia="Arial" w:hAnsi="Arial"/>
                <w:sz w:val="13"/>
                <w:szCs w:val="13"/>
                <w:color w:val="auto"/>
              </w:rPr>
              <w:t>December 31, 2020</w:t>
            </w:r>
          </w:p>
        </w:tc>
        <w:tc>
          <w:tcPr>
            <w:tcW w:w="1720" w:type="dxa"/>
            <w:vAlign w:val="bottom"/>
            <w:gridSpan w:val="2"/>
          </w:tcPr>
          <w:p>
            <w:pPr>
              <w:jc w:val="right"/>
              <w:ind w:right="20"/>
              <w:spacing w:after="0"/>
              <w:rPr>
                <w:sz w:val="20"/>
                <w:szCs w:val="20"/>
                <w:color w:val="auto"/>
              </w:rPr>
            </w:pPr>
            <w:r>
              <w:rPr>
                <w:rFonts w:ascii="Arial" w:cs="Arial" w:eastAsia="Arial" w:hAnsi="Arial"/>
                <w:sz w:val="13"/>
                <w:szCs w:val="13"/>
                <w:color w:val="auto"/>
              </w:rPr>
              <w:t>Various</w:t>
            </w:r>
          </w:p>
        </w:tc>
        <w:tc>
          <w:tcPr>
            <w:tcW w:w="0" w:type="dxa"/>
            <w:vAlign w:val="bottom"/>
          </w:tcPr>
          <w:p>
            <w:pPr>
              <w:spacing w:after="0"/>
              <w:rPr>
                <w:sz w:val="1"/>
                <w:szCs w:val="1"/>
                <w:color w:val="auto"/>
              </w:rPr>
            </w:pPr>
          </w:p>
        </w:tc>
      </w:tr>
      <w:tr>
        <w:trPr>
          <w:trHeight w:val="172"/>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South Trent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90 %</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3.847 %</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3-Month LIBOR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June 14, 2019</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June 30, 2028</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Viento Funding II</w:t>
            </w:r>
          </w:p>
        </w:tc>
        <w:tc>
          <w:tcPr>
            <w:tcW w:w="1020" w:type="dxa"/>
            <w:vAlign w:val="bottom"/>
          </w:tcPr>
          <w:p>
            <w:pPr>
              <w:jc w:val="right"/>
              <w:spacing w:after="0"/>
              <w:rPr>
                <w:sz w:val="20"/>
                <w:szCs w:val="20"/>
                <w:color w:val="auto"/>
              </w:rPr>
            </w:pPr>
            <w:r>
              <w:rPr>
                <w:rFonts w:ascii="Arial" w:cs="Arial" w:eastAsia="Arial" w:hAnsi="Arial"/>
                <w:sz w:val="13"/>
                <w:szCs w:val="13"/>
                <w:color w:val="auto"/>
              </w:rPr>
              <w:t>90 %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2.530 %</w:t>
            </w:r>
          </w:p>
        </w:tc>
        <w:tc>
          <w:tcPr>
            <w:tcW w:w="1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3"/>
                <w:szCs w:val="13"/>
                <w:color w:val="auto"/>
              </w:rPr>
              <w:t>3-Month 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165</w:t>
            </w:r>
          </w:p>
        </w:tc>
        <w:tc>
          <w:tcPr>
            <w:tcW w:w="80" w:type="dxa"/>
            <w:vAlign w:val="bottom"/>
          </w:tcPr>
          <w:p>
            <w:pPr>
              <w:spacing w:after="0"/>
              <w:rPr>
                <w:sz w:val="14"/>
                <w:szCs w:val="14"/>
                <w:color w:val="auto"/>
              </w:rPr>
            </w:pPr>
          </w:p>
        </w:tc>
        <w:tc>
          <w:tcPr>
            <w:tcW w:w="1880" w:type="dxa"/>
            <w:vAlign w:val="bottom"/>
            <w:gridSpan w:val="3"/>
          </w:tcPr>
          <w:p>
            <w:pPr>
              <w:jc w:val="right"/>
              <w:ind w:right="100"/>
              <w:spacing w:after="0"/>
              <w:rPr>
                <w:sz w:val="20"/>
                <w:szCs w:val="20"/>
                <w:color w:val="auto"/>
              </w:rPr>
            </w:pPr>
            <w:r>
              <w:rPr>
                <w:rFonts w:ascii="Arial" w:cs="Arial" w:eastAsia="Arial" w:hAnsi="Arial"/>
                <w:sz w:val="13"/>
                <w:szCs w:val="13"/>
                <w:color w:val="auto"/>
              </w:rPr>
              <w:t>Various</w:t>
            </w:r>
          </w:p>
        </w:tc>
        <w:tc>
          <w:tcPr>
            <w:tcW w:w="1720" w:type="dxa"/>
            <w:vAlign w:val="bottom"/>
            <w:gridSpan w:val="2"/>
          </w:tcPr>
          <w:p>
            <w:pPr>
              <w:jc w:val="right"/>
              <w:ind w:right="20"/>
              <w:spacing w:after="0"/>
              <w:rPr>
                <w:sz w:val="20"/>
                <w:szCs w:val="20"/>
                <w:color w:val="auto"/>
              </w:rPr>
            </w:pPr>
            <w:r>
              <w:rPr>
                <w:rFonts w:ascii="Arial" w:cs="Arial" w:eastAsia="Arial" w:hAnsi="Arial"/>
                <w:sz w:val="13"/>
                <w:szCs w:val="13"/>
                <w:color w:val="auto"/>
              </w:rPr>
              <w:t>Various</w:t>
            </w:r>
          </w:p>
        </w:tc>
        <w:tc>
          <w:tcPr>
            <w:tcW w:w="0" w:type="dxa"/>
            <w:vAlign w:val="bottom"/>
          </w:tcPr>
          <w:p>
            <w:pPr>
              <w:spacing w:after="0"/>
              <w:rPr>
                <w:sz w:val="1"/>
                <w:szCs w:val="1"/>
                <w:color w:val="auto"/>
              </w:rPr>
            </w:pPr>
          </w:p>
        </w:tc>
      </w:tr>
      <w:tr>
        <w:trPr>
          <w:trHeight w:val="172"/>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Waiawa</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50 %</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2.088 %</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3-Month LIBOR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December 31, 2022</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December 31, 2042</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Arial" w:cs="Arial" w:eastAsia="Arial" w:hAnsi="Arial"/>
                <w:sz w:val="13"/>
                <w:szCs w:val="13"/>
                <w:color w:val="auto"/>
              </w:rPr>
              <w:t>Walnut Creek</w:t>
            </w:r>
          </w:p>
        </w:tc>
        <w:tc>
          <w:tcPr>
            <w:tcW w:w="1020" w:type="dxa"/>
            <w:vAlign w:val="bottom"/>
          </w:tcPr>
          <w:p>
            <w:pPr>
              <w:jc w:val="right"/>
              <w:spacing w:after="0"/>
              <w:rPr>
                <w:sz w:val="20"/>
                <w:szCs w:val="20"/>
                <w:color w:val="auto"/>
              </w:rPr>
            </w:pPr>
            <w:r>
              <w:rPr>
                <w:rFonts w:ascii="Arial" w:cs="Arial" w:eastAsia="Arial" w:hAnsi="Arial"/>
                <w:sz w:val="13"/>
                <w:szCs w:val="13"/>
                <w:color w:val="auto"/>
              </w:rPr>
              <w:t>94 %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3.543 %</w:t>
            </w:r>
          </w:p>
        </w:tc>
        <w:tc>
          <w:tcPr>
            <w:tcW w:w="1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3"/>
                <w:szCs w:val="13"/>
                <w:color w:val="auto"/>
              </w:rPr>
              <w:t>3-Month LIBOR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1880" w:type="dxa"/>
            <w:vAlign w:val="bottom"/>
            <w:gridSpan w:val="3"/>
          </w:tcPr>
          <w:p>
            <w:pPr>
              <w:jc w:val="right"/>
              <w:ind w:right="100"/>
              <w:spacing w:after="0"/>
              <w:rPr>
                <w:sz w:val="20"/>
                <w:szCs w:val="20"/>
                <w:color w:val="auto"/>
              </w:rPr>
            </w:pPr>
            <w:r>
              <w:rPr>
                <w:rFonts w:ascii="Arial" w:cs="Arial" w:eastAsia="Arial" w:hAnsi="Arial"/>
                <w:sz w:val="13"/>
                <w:szCs w:val="13"/>
                <w:color w:val="auto"/>
              </w:rPr>
              <w:t>June 28, 2013</w:t>
            </w:r>
          </w:p>
        </w:tc>
        <w:tc>
          <w:tcPr>
            <w:tcW w:w="1720" w:type="dxa"/>
            <w:vAlign w:val="bottom"/>
            <w:gridSpan w:val="2"/>
          </w:tcPr>
          <w:p>
            <w:pPr>
              <w:jc w:val="right"/>
              <w:ind w:right="20"/>
              <w:spacing w:after="0"/>
              <w:rPr>
                <w:sz w:val="20"/>
                <w:szCs w:val="20"/>
                <w:color w:val="auto"/>
              </w:rPr>
            </w:pPr>
            <w:r>
              <w:rPr>
                <w:rFonts w:ascii="Arial" w:cs="Arial" w:eastAsia="Arial" w:hAnsi="Arial"/>
                <w:sz w:val="13"/>
                <w:szCs w:val="13"/>
                <w:color w:val="auto"/>
              </w:rPr>
              <w:t>May 31, 2023</w:t>
            </w:r>
          </w:p>
        </w:tc>
        <w:tc>
          <w:tcPr>
            <w:tcW w:w="0" w:type="dxa"/>
            <w:vAlign w:val="bottom"/>
          </w:tcPr>
          <w:p>
            <w:pPr>
              <w:spacing w:after="0"/>
              <w:rPr>
                <w:sz w:val="1"/>
                <w:szCs w:val="1"/>
                <w:color w:val="auto"/>
              </w:rPr>
            </w:pPr>
          </w:p>
        </w:tc>
      </w:tr>
      <w:tr>
        <w:trPr>
          <w:trHeight w:val="170"/>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WCEP Holdings</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92 %</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4.003 %</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3-Month LIBOR</w:t>
            </w:r>
          </w:p>
        </w:tc>
        <w:tc>
          <w:tcPr>
            <w:tcW w:w="1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June 28, 2013</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May 31, 2023</w:t>
            </w:r>
          </w:p>
        </w:tc>
        <w:tc>
          <w:tcPr>
            <w:tcW w:w="0" w:type="dxa"/>
            <w:vAlign w:val="bottom"/>
          </w:tcPr>
          <w:p>
            <w:pPr>
              <w:spacing w:after="0"/>
              <w:rPr>
                <w:sz w:val="1"/>
                <w:szCs w:val="1"/>
                <w:color w:val="auto"/>
              </w:rPr>
            </w:pPr>
          </w:p>
        </w:tc>
      </w:tr>
      <w:tr>
        <w:trPr>
          <w:trHeight w:val="163"/>
        </w:trPr>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1,084</w:t>
            </w: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Annual Maturities</w:t>
            </w: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2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600" w:type="dxa"/>
            <w:vAlign w:val="bottom"/>
            <w:gridSpan w:val="10"/>
          </w:tcPr>
          <w:p>
            <w:pPr>
              <w:ind w:left="320"/>
              <w:spacing w:after="0"/>
              <w:rPr>
                <w:sz w:val="20"/>
                <w:szCs w:val="20"/>
                <w:color w:val="auto"/>
              </w:rPr>
            </w:pPr>
            <w:r>
              <w:rPr>
                <w:rFonts w:ascii="Arial" w:cs="Arial" w:eastAsia="Arial" w:hAnsi="Arial"/>
                <w:sz w:val="14"/>
                <w:szCs w:val="14"/>
                <w:color w:val="auto"/>
                <w:w w:val="92"/>
              </w:rPr>
              <w:t>Annual payments based on the maturities of the Company’s debt, for the years ending after December 31, 2022, are as follows:</w:t>
            </w: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677"/>
              <w:spacing w:after="0"/>
              <w:rPr>
                <w:sz w:val="20"/>
                <w:szCs w:val="20"/>
                <w:color w:val="auto"/>
              </w:rPr>
            </w:pPr>
            <w:r>
              <w:rPr>
                <w:rFonts w:ascii="Arial" w:cs="Arial" w:eastAsia="Arial" w:hAnsi="Arial"/>
                <w:sz w:val="11"/>
                <w:szCs w:val="11"/>
                <w:b w:val="1"/>
                <w:bCs w:val="1"/>
                <w:color w:val="auto"/>
              </w:rPr>
              <w:t>(In millions)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24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2023 </w:t>
            </w:r>
            <w:r>
              <w:rPr>
                <w:rFonts w:ascii="Arial" w:cs="Arial" w:eastAsia="Arial" w:hAnsi="Arial"/>
                <w:sz w:val="16"/>
                <w:szCs w:val="16"/>
                <w:color w:val="auto"/>
                <w:vertAlign w:val="superscript"/>
              </w:rPr>
              <w:t>(a)</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2024</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410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40" w:type="dxa"/>
            <w:vAlign w:val="bottom"/>
          </w:tcPr>
          <w:p>
            <w:pPr>
              <w:ind w:left="20"/>
              <w:spacing w:after="0"/>
              <w:rPr>
                <w:sz w:val="20"/>
                <w:szCs w:val="20"/>
                <w:color w:val="auto"/>
              </w:rPr>
            </w:pPr>
            <w:r>
              <w:rPr>
                <w:rFonts w:ascii="Arial" w:cs="Arial" w:eastAsia="Arial" w:hAnsi="Arial"/>
                <w:sz w:val="13"/>
                <w:szCs w:val="13"/>
                <w:color w:val="auto"/>
              </w:rPr>
              <w:t>2026</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Thereafter</w:t>
            </w:r>
          </w:p>
        </w:tc>
        <w:tc>
          <w:tcPr>
            <w:tcW w:w="1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60" w:firstLine="9"/>
        <w:spacing w:after="0"/>
        <w:tabs>
          <w:tab w:leader="none" w:pos="185" w:val="left"/>
        </w:tabs>
        <w:numPr>
          <w:ilvl w:val="0"/>
          <w:numId w:val="75"/>
        </w:numPr>
        <w:rPr>
          <w:rFonts w:ascii="Arial" w:cs="Arial" w:eastAsia="Arial" w:hAnsi="Arial"/>
          <w:sz w:val="14"/>
          <w:szCs w:val="14"/>
          <w:color w:val="auto"/>
          <w:vertAlign w:val="superscript"/>
        </w:rPr>
      </w:pPr>
      <w:r>
        <w:rPr>
          <w:rFonts w:ascii="Arial" w:cs="Arial" w:eastAsia="Arial" w:hAnsi="Arial"/>
          <w:sz w:val="9"/>
          <w:szCs w:val="9"/>
          <w:color w:val="auto"/>
        </w:rPr>
        <w:t>At December 31, 2022, amount includes $97 million recorded in long-term debt on the Company’s consolidated balance sheet that is due in 2023 and is either being funded through long-term equity contributions or is converting to long-term debt.</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Members’ Equity</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lists the distributions paid on the Company’s Class A, Class B, Class C and Class D units during the year ended December 31, 2022: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Arial" w:cs="Arial" w:eastAsia="Arial" w:hAnsi="Arial"/>
                <w:sz w:val="11"/>
                <w:szCs w:val="11"/>
                <w:b w:val="1"/>
                <w:bCs w:val="1"/>
                <w:color w:val="auto"/>
              </w:rPr>
              <w:t>Fourth Quarter 2022</w:t>
            </w:r>
          </w:p>
        </w:tc>
        <w:tc>
          <w:tcPr>
            <w:tcW w:w="14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Third Quarter 2022</w:t>
            </w:r>
          </w:p>
        </w:tc>
        <w:tc>
          <w:tcPr>
            <w:tcW w:w="120" w:type="dxa"/>
            <w:vAlign w:val="bottom"/>
          </w:tcPr>
          <w:p>
            <w:pPr>
              <w:spacing w:after="0"/>
              <w:rPr>
                <w:sz w:val="13"/>
                <w:szCs w:val="13"/>
                <w:color w:val="auto"/>
              </w:rPr>
            </w:pPr>
          </w:p>
        </w:tc>
        <w:tc>
          <w:tcPr>
            <w:tcW w:w="1240" w:type="dxa"/>
            <w:vAlign w:val="bottom"/>
          </w:tcPr>
          <w:p>
            <w:pPr>
              <w:jc w:val="right"/>
              <w:ind w:right="114"/>
              <w:spacing w:after="0"/>
              <w:rPr>
                <w:sz w:val="20"/>
                <w:szCs w:val="20"/>
                <w:color w:val="auto"/>
              </w:rPr>
            </w:pPr>
            <w:r>
              <w:rPr>
                <w:rFonts w:ascii="Arial" w:cs="Arial" w:eastAsia="Arial" w:hAnsi="Arial"/>
                <w:sz w:val="11"/>
                <w:szCs w:val="11"/>
                <w:b w:val="1"/>
                <w:bCs w:val="1"/>
                <w:color w:val="auto"/>
                <w:w w:val="94"/>
              </w:rPr>
              <w:t>Second Quarter 2022</w:t>
            </w:r>
          </w:p>
        </w:tc>
        <w:tc>
          <w:tcPr>
            <w:tcW w:w="220" w:type="dxa"/>
            <w:vAlign w:val="bottom"/>
          </w:tcPr>
          <w:p>
            <w:pPr>
              <w:spacing w:after="0"/>
              <w:rPr>
                <w:sz w:val="13"/>
                <w:szCs w:val="13"/>
                <w:color w:val="auto"/>
              </w:rPr>
            </w:pPr>
          </w:p>
        </w:tc>
        <w:tc>
          <w:tcPr>
            <w:tcW w:w="1180" w:type="dxa"/>
            <w:vAlign w:val="bottom"/>
          </w:tcPr>
          <w:p>
            <w:pPr>
              <w:jc w:val="right"/>
              <w:ind w:right="134"/>
              <w:spacing w:after="0"/>
              <w:rPr>
                <w:sz w:val="20"/>
                <w:szCs w:val="20"/>
                <w:color w:val="auto"/>
              </w:rPr>
            </w:pPr>
            <w:r>
              <w:rPr>
                <w:rFonts w:ascii="Arial" w:cs="Arial" w:eastAsia="Arial" w:hAnsi="Arial"/>
                <w:sz w:val="11"/>
                <w:szCs w:val="11"/>
                <w:b w:val="1"/>
                <w:bCs w:val="1"/>
                <w:color w:val="auto"/>
              </w:rPr>
              <w:t>First Quarter 2022</w:t>
            </w:r>
          </w:p>
        </w:tc>
      </w:tr>
      <w:tr>
        <w:trPr>
          <w:trHeight w:val="180"/>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Distributions per Class A and Class B units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0.3672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0.3536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0.3468</w:t>
            </w:r>
          </w:p>
        </w:tc>
      </w:tr>
      <w:tr>
        <w:trPr>
          <w:trHeight w:val="184"/>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Distributions per Class C and Class D units</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0.3672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0.3604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14"/>
              <w:spacing w:after="0"/>
              <w:rPr>
                <w:sz w:val="20"/>
                <w:szCs w:val="20"/>
                <w:color w:val="auto"/>
              </w:rPr>
            </w:pPr>
            <w:r>
              <w:rPr>
                <w:rFonts w:ascii="Arial" w:cs="Arial" w:eastAsia="Arial" w:hAnsi="Arial"/>
                <w:sz w:val="14"/>
                <w:szCs w:val="14"/>
                <w:color w:val="auto"/>
              </w:rPr>
              <w:t>0.3536</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0.3468</w:t>
            </w: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On February 15, 2023, the Company declared a quarterly distribution on its Class A, Class B, Class C and Class D units of $0.3745 per unit payable on March 15, 2023.</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21" w:name="page122"/>
    <w:bookmarkEnd w:id="121"/>
    <w:p>
      <w:pPr>
        <w:jc w:val="both"/>
        <w:ind w:firstLine="318"/>
        <w:spacing w:after="0" w:line="281" w:lineRule="auto"/>
        <w:rPr>
          <w:sz w:val="20"/>
          <w:szCs w:val="20"/>
          <w:color w:val="auto"/>
        </w:rPr>
      </w:pPr>
      <w:r>
        <w:rPr>
          <w:rFonts w:ascii="Arial" w:cs="Arial" w:eastAsia="Arial" w:hAnsi="Arial"/>
          <w:sz w:val="14"/>
          <w:szCs w:val="14"/>
          <w:color w:val="auto"/>
        </w:rPr>
        <w:t>In addition to the quarterly distributions, the Company paid $19 million in additional distributions, $11 million of which was distributed to Clearway, Inc. and $8 million of which was distributed to CEG, during the third quarter of 2022 in order for Clearway, Inc. to make certain tax payments associated with the sale of the Thermal Business.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Segment Reporting</w:t>
      </w:r>
    </w:p>
    <w:p>
      <w:pPr>
        <w:spacing w:after="0" w:line="140" w:lineRule="exact"/>
        <w:rPr>
          <w:sz w:val="20"/>
          <w:szCs w:val="20"/>
          <w:color w:val="auto"/>
        </w:rPr>
      </w:pPr>
    </w:p>
    <w:p>
      <w:pPr>
        <w:jc w:val="both"/>
        <w:ind w:firstLine="221"/>
        <w:spacing w:after="0" w:line="288" w:lineRule="auto"/>
        <w:rPr>
          <w:sz w:val="20"/>
          <w:szCs w:val="20"/>
          <w:color w:val="auto"/>
        </w:rPr>
      </w:pPr>
      <w:r>
        <w:rPr>
          <w:rFonts w:ascii="Arial" w:cs="Arial" w:eastAsia="Arial" w:hAnsi="Arial"/>
          <w:sz w:val="13"/>
          <w:szCs w:val="13"/>
          <w:color w:val="auto"/>
        </w:rPr>
        <w:t xml:space="preserve">The Company’s segment structure reflects how management currently operates and allocates resources. The Company’s businesses are segregated based on conventional power generation, renewable businesses, which consist of solar and wind, and the Thermal Business, which was sold on May 1, 2022, as further described in Note 3, </w:t>
      </w:r>
      <w:r>
        <w:rPr>
          <w:rFonts w:ascii="Arial" w:cs="Arial" w:eastAsia="Arial" w:hAnsi="Arial"/>
          <w:sz w:val="13"/>
          <w:szCs w:val="13"/>
          <w:i w:val="1"/>
          <w:iCs w:val="1"/>
          <w:color w:val="auto"/>
        </w:rPr>
        <w:t>Acquisitions and Dispositions</w:t>
      </w:r>
      <w:r>
        <w:rPr>
          <w:rFonts w:ascii="Arial" w:cs="Arial" w:eastAsia="Arial" w:hAnsi="Arial"/>
          <w:sz w:val="13"/>
          <w:szCs w:val="13"/>
          <w:color w:val="auto"/>
        </w:rPr>
        <w:t>.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8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Company generated more than 10% of its revenues from the following customers for the years ended December 31, 2022, 2021 and 2020:</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20" w:type="dxa"/>
            <w:vAlign w:val="bottom"/>
          </w:tcPr>
          <w:p>
            <w:pPr>
              <w:spacing w:after="0"/>
              <w:rPr>
                <w:sz w:val="13"/>
                <w:szCs w:val="13"/>
                <w:color w:val="auto"/>
              </w:rPr>
            </w:pPr>
          </w:p>
        </w:tc>
        <w:tc>
          <w:tcPr>
            <w:tcW w:w="16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1"/>
                <w:szCs w:val="11"/>
                <w:b w:val="1"/>
                <w:bCs w:val="1"/>
                <w:color w:val="auto"/>
              </w:rPr>
              <w:t>2022</w:t>
            </w: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right"/>
              <w:ind w:right="198"/>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2020</w:t>
            </w: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20" w:type="dxa"/>
            <w:vAlign w:val="bottom"/>
          </w:tcPr>
          <w:p>
            <w:pPr>
              <w:ind w:left="20"/>
              <w:spacing w:after="0"/>
              <w:rPr>
                <w:sz w:val="20"/>
                <w:szCs w:val="20"/>
                <w:color w:val="auto"/>
              </w:rPr>
            </w:pPr>
            <w:r>
              <w:rPr>
                <w:rFonts w:ascii="Arial" w:cs="Arial" w:eastAsia="Arial" w:hAnsi="Arial"/>
                <w:sz w:val="13"/>
                <w:szCs w:val="13"/>
                <w:b w:val="1"/>
                <w:bCs w:val="1"/>
                <w:color w:val="auto"/>
              </w:rPr>
              <w:t>Customer</w:t>
            </w:r>
          </w:p>
        </w:tc>
        <w:tc>
          <w:tcPr>
            <w:tcW w:w="166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w w:val="91"/>
              </w:rPr>
              <w:t>Conventional</w:t>
            </w: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w w:val="84"/>
              </w:rPr>
              <w:t>Renewables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right"/>
              <w:ind w:right="43"/>
              <w:spacing w:after="0"/>
              <w:rPr>
                <w:sz w:val="20"/>
                <w:szCs w:val="20"/>
                <w:color w:val="auto"/>
              </w:rPr>
            </w:pPr>
            <w:r>
              <w:rPr>
                <w:rFonts w:ascii="Arial" w:cs="Arial" w:eastAsia="Arial" w:hAnsi="Arial"/>
                <w:sz w:val="11"/>
                <w:szCs w:val="11"/>
                <w:b w:val="1"/>
                <w:bCs w:val="1"/>
                <w:color w:val="auto"/>
              </w:rPr>
              <w:t>Conventional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right"/>
              <w:ind w:right="283"/>
              <w:spacing w:after="0"/>
              <w:rPr>
                <w:sz w:val="20"/>
                <w:szCs w:val="20"/>
                <w:color w:val="auto"/>
              </w:rPr>
            </w:pPr>
            <w:r>
              <w:rPr>
                <w:rFonts w:ascii="Arial" w:cs="Arial" w:eastAsia="Arial" w:hAnsi="Arial"/>
                <w:sz w:val="11"/>
                <w:szCs w:val="11"/>
                <w:b w:val="1"/>
                <w:bCs w:val="1"/>
                <w:color w:val="auto"/>
                <w:w w:val="87"/>
              </w:rPr>
              <w:t>Renewables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1"/>
                <w:szCs w:val="11"/>
                <w:b w:val="1"/>
                <w:bCs w:val="1"/>
                <w:color w:val="auto"/>
              </w:rPr>
              <w:t>Conventional</w:t>
            </w:r>
          </w:p>
        </w:tc>
        <w:tc>
          <w:tcPr>
            <w:tcW w:w="140" w:type="dxa"/>
            <w:vAlign w:val="bottom"/>
          </w:tcPr>
          <w:p>
            <w:pPr>
              <w:spacing w:after="0"/>
              <w:rPr>
                <w:sz w:val="13"/>
                <w:szCs w:val="13"/>
                <w:color w:val="auto"/>
              </w:rPr>
            </w:pPr>
          </w:p>
        </w:tc>
        <w:tc>
          <w:tcPr>
            <w:tcW w:w="960" w:type="dxa"/>
            <w:vAlign w:val="bottom"/>
          </w:tcPr>
          <w:p>
            <w:pPr>
              <w:jc w:val="right"/>
              <w:ind w:right="257"/>
              <w:spacing w:after="0"/>
              <w:rPr>
                <w:sz w:val="20"/>
                <w:szCs w:val="20"/>
                <w:color w:val="auto"/>
              </w:rPr>
            </w:pPr>
            <w:r>
              <w:rPr>
                <w:rFonts w:ascii="Arial" w:cs="Arial" w:eastAsia="Arial" w:hAnsi="Arial"/>
                <w:sz w:val="11"/>
                <w:szCs w:val="11"/>
                <w:b w:val="1"/>
                <w:bCs w:val="1"/>
                <w:color w:val="auto"/>
                <w:w w:val="97"/>
              </w:rPr>
              <w:t>Renewables</w:t>
            </w:r>
          </w:p>
        </w:tc>
        <w:tc>
          <w:tcPr>
            <w:tcW w:w="0" w:type="dxa"/>
            <w:vAlign w:val="bottom"/>
          </w:tcPr>
          <w:p>
            <w:pPr>
              <w:spacing w:after="0"/>
              <w:rPr>
                <w:sz w:val="1"/>
                <w:szCs w:val="1"/>
                <w:color w:val="auto"/>
              </w:rPr>
            </w:pPr>
          </w:p>
        </w:tc>
      </w:tr>
      <w:tr>
        <w:trPr>
          <w:trHeight w:val="163"/>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SCE</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17%</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w:t>
            </w: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gridSpan w:val="2"/>
            <w:shd w:val="clear" w:color="auto" w:fill="CCEEFF"/>
          </w:tcPr>
          <w:p>
            <w:pPr>
              <w:jc w:val="right"/>
              <w:ind w:right="263"/>
              <w:spacing w:after="0"/>
              <w:rPr>
                <w:sz w:val="20"/>
                <w:szCs w:val="20"/>
                <w:color w:val="auto"/>
              </w:rPr>
            </w:pPr>
            <w:r>
              <w:rPr>
                <w:rFonts w:ascii="Arial" w:cs="Arial" w:eastAsia="Arial" w:hAnsi="Arial"/>
                <w:sz w:val="13"/>
                <w:szCs w:val="13"/>
                <w:color w:val="auto"/>
                <w:w w:val="99"/>
              </w:rPr>
              <w:t>17%</w:t>
            </w: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gridSpan w:val="2"/>
            <w:shd w:val="clear" w:color="auto" w:fill="CCEEFF"/>
          </w:tcPr>
          <w:p>
            <w:pPr>
              <w:jc w:val="right"/>
              <w:ind w:right="443"/>
              <w:spacing w:after="0"/>
              <w:rPr>
                <w:sz w:val="20"/>
                <w:szCs w:val="20"/>
                <w:color w:val="auto"/>
              </w:rPr>
            </w:pPr>
            <w:r>
              <w:rPr>
                <w:rFonts w:ascii="Arial" w:cs="Arial" w:eastAsia="Arial" w:hAnsi="Arial"/>
                <w:sz w:val="13"/>
                <w:szCs w:val="13"/>
                <w:color w:val="auto"/>
              </w:rPr>
              <w:t>16%</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rPr>
              <w:t>18%</w:t>
            </w: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437"/>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5"/>
        </w:trPr>
        <w:tc>
          <w:tcPr>
            <w:tcW w:w="3420" w:type="dxa"/>
            <w:vAlign w:val="bottom"/>
          </w:tcPr>
          <w:p>
            <w:pPr>
              <w:ind w:left="20"/>
              <w:spacing w:after="0"/>
              <w:rPr>
                <w:sz w:val="20"/>
                <w:szCs w:val="20"/>
                <w:color w:val="auto"/>
              </w:rPr>
            </w:pPr>
            <w:r>
              <w:rPr>
                <w:rFonts w:ascii="Arial" w:cs="Arial" w:eastAsia="Arial" w:hAnsi="Arial"/>
                <w:sz w:val="13"/>
                <w:szCs w:val="13"/>
                <w:color w:val="auto"/>
              </w:rPr>
              <w:t>PG&amp;E</w:t>
            </w:r>
          </w:p>
        </w:tc>
        <w:tc>
          <w:tcPr>
            <w:tcW w:w="1240" w:type="dxa"/>
            <w:vAlign w:val="bottom"/>
          </w:tcPr>
          <w:p>
            <w:pPr>
              <w:jc w:val="center"/>
              <w:spacing w:after="0"/>
              <w:rPr>
                <w:sz w:val="20"/>
                <w:szCs w:val="20"/>
                <w:color w:val="auto"/>
              </w:rPr>
            </w:pPr>
            <w:r>
              <w:rPr>
                <w:rFonts w:ascii="Arial" w:cs="Arial" w:eastAsia="Arial" w:hAnsi="Arial"/>
                <w:sz w:val="13"/>
                <w:szCs w:val="13"/>
                <w:color w:val="auto"/>
                <w:w w:val="92"/>
              </w:rPr>
              <w:t>10%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15%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tcPr>
          <w:p>
            <w:pPr>
              <w:jc w:val="right"/>
              <w:ind w:right="263"/>
              <w:spacing w:after="0"/>
              <w:rPr>
                <w:sz w:val="20"/>
                <w:szCs w:val="20"/>
                <w:color w:val="auto"/>
              </w:rPr>
            </w:pPr>
            <w:r>
              <w:rPr>
                <w:rFonts w:ascii="Arial" w:cs="Arial" w:eastAsia="Arial" w:hAnsi="Arial"/>
                <w:sz w:val="13"/>
                <w:szCs w:val="13"/>
                <w:color w:val="auto"/>
                <w:w w:val="99"/>
              </w:rPr>
              <w:t>10%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right"/>
              <w:ind w:right="443"/>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45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377"/>
        </w:trPr>
        <w:tc>
          <w:tcPr>
            <w:tcW w:w="3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jc w:val="center"/>
              <w:ind w:left="78"/>
              <w:spacing w:after="0"/>
              <w:rPr>
                <w:sz w:val="20"/>
                <w:szCs w:val="20"/>
                <w:color w:val="auto"/>
              </w:rPr>
            </w:pPr>
            <w:r>
              <w:rPr>
                <w:rFonts w:ascii="Arial" w:cs="Arial" w:eastAsia="Arial" w:hAnsi="Arial"/>
                <w:sz w:val="11"/>
                <w:szCs w:val="11"/>
                <w:b w:val="1"/>
                <w:bCs w:val="1"/>
                <w:color w:val="auto"/>
                <w:w w:val="92"/>
              </w:rPr>
              <w:t>Year ended December 31, 2022</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3"/>
          </w:tcPr>
          <w:p>
            <w:pPr>
              <w:jc w:val="right"/>
              <w:ind w:right="157"/>
              <w:spacing w:after="0" w:line="106" w:lineRule="exact"/>
              <w:rPr>
                <w:sz w:val="20"/>
                <w:szCs w:val="20"/>
                <w:color w:val="auto"/>
              </w:rPr>
            </w:pPr>
            <w:r>
              <w:rPr>
                <w:rFonts w:ascii="Arial" w:cs="Arial" w:eastAsia="Arial" w:hAnsi="Arial"/>
                <w:sz w:val="11"/>
                <w:szCs w:val="11"/>
                <w:b w:val="1"/>
                <w:bCs w:val="1"/>
                <w:color w:val="auto"/>
                <w:w w:val="91"/>
              </w:rPr>
              <w:t>Conventional</w:t>
            </w:r>
          </w:p>
        </w:tc>
        <w:tc>
          <w:tcPr>
            <w:tcW w:w="100" w:type="dxa"/>
            <w:vAlign w:val="bottom"/>
          </w:tcPr>
          <w:p>
            <w:pPr>
              <w:spacing w:after="0"/>
              <w:rPr>
                <w:sz w:val="9"/>
                <w:szCs w:val="9"/>
                <w:color w:val="auto"/>
              </w:rPr>
            </w:pPr>
          </w:p>
        </w:tc>
        <w:tc>
          <w:tcPr>
            <w:tcW w:w="1100" w:type="dxa"/>
            <w:vAlign w:val="bottom"/>
            <w:gridSpan w:val="4"/>
            <w:vMerge w:val="restart"/>
          </w:tcPr>
          <w:p>
            <w:pPr>
              <w:jc w:val="right"/>
              <w:ind w:right="198"/>
              <w:spacing w:after="0"/>
              <w:rPr>
                <w:sz w:val="20"/>
                <w:szCs w:val="20"/>
                <w:color w:val="auto"/>
              </w:rPr>
            </w:pPr>
            <w:r>
              <w:rPr>
                <w:rFonts w:ascii="Arial" w:cs="Arial" w:eastAsia="Arial" w:hAnsi="Arial"/>
                <w:sz w:val="11"/>
                <w:szCs w:val="11"/>
                <w:b w:val="1"/>
                <w:bCs w:val="1"/>
                <w:color w:val="auto"/>
              </w:rPr>
              <w:t>Renewables</w:t>
            </w:r>
          </w:p>
        </w:tc>
        <w:tc>
          <w:tcPr>
            <w:tcW w:w="100" w:type="dxa"/>
            <w:vAlign w:val="bottom"/>
          </w:tcPr>
          <w:p>
            <w:pPr>
              <w:spacing w:after="0"/>
              <w:rPr>
                <w:sz w:val="9"/>
                <w:szCs w:val="9"/>
                <w:color w:val="auto"/>
              </w:rPr>
            </w:pPr>
          </w:p>
        </w:tc>
        <w:tc>
          <w:tcPr>
            <w:tcW w:w="900" w:type="dxa"/>
            <w:vAlign w:val="bottom"/>
            <w:gridSpan w:val="2"/>
            <w:vMerge w:val="restart"/>
          </w:tcPr>
          <w:p>
            <w:pPr>
              <w:jc w:val="center"/>
              <w:ind w:left="143"/>
              <w:spacing w:after="0"/>
              <w:rPr>
                <w:sz w:val="20"/>
                <w:szCs w:val="20"/>
                <w:color w:val="auto"/>
              </w:rPr>
            </w:pPr>
            <w:r>
              <w:rPr>
                <w:rFonts w:ascii="Arial" w:cs="Arial" w:eastAsia="Arial" w:hAnsi="Arial"/>
                <w:sz w:val="11"/>
                <w:szCs w:val="11"/>
                <w:b w:val="1"/>
                <w:bCs w:val="1"/>
                <w:color w:val="auto"/>
                <w:w w:val="98"/>
              </w:rPr>
              <w:t>Thermal</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 xml:space="preserve">Corporate </w:t>
            </w:r>
            <w:r>
              <w:rPr>
                <w:rFonts w:ascii="Arial" w:cs="Arial" w:eastAsia="Arial" w:hAnsi="Arial"/>
                <w:sz w:val="14"/>
                <w:szCs w:val="14"/>
                <w:b w:val="1"/>
                <w:bCs w:val="1"/>
                <w:color w:val="auto"/>
                <w:vertAlign w:val="superscript"/>
              </w:rPr>
              <w:t>(a)</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vMerge w:val="restart"/>
          </w:tcPr>
          <w:p>
            <w:pPr>
              <w:jc w:val="right"/>
              <w:ind w:right="35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9"/>
        </w:trPr>
        <w:tc>
          <w:tcPr>
            <w:tcW w:w="3420" w:type="dxa"/>
            <w:vAlign w:val="bottom"/>
            <w:tcBorders>
              <w:bottom w:val="single" w:sz="8" w:color="CCEEFF"/>
            </w:tcBorders>
            <w:vMerge w:val="continue"/>
          </w:tcPr>
          <w:p>
            <w:pPr>
              <w:spacing w:after="0"/>
              <w:rPr>
                <w:sz w:val="13"/>
                <w:szCs w:val="13"/>
                <w:color w:val="auto"/>
              </w:rPr>
            </w:pPr>
          </w:p>
        </w:tc>
        <w:tc>
          <w:tcPr>
            <w:tcW w:w="12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1"/>
                <w:szCs w:val="11"/>
                <w:b w:val="1"/>
                <w:bCs w:val="1"/>
                <w:color w:val="auto"/>
                <w:w w:val="99"/>
              </w:rPr>
              <w:t>Generation</w:t>
            </w: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gridSpan w:val="4"/>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revenues</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600" w:type="dxa"/>
            <w:vAlign w:val="bottom"/>
            <w:gridSpan w:val="2"/>
            <w:shd w:val="clear" w:color="auto" w:fill="CCEEFF"/>
          </w:tcPr>
          <w:p>
            <w:pPr>
              <w:jc w:val="right"/>
              <w:ind w:right="363"/>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920" w:type="dxa"/>
            <w:vAlign w:val="bottom"/>
            <w:gridSpan w:val="2"/>
            <w:shd w:val="clear" w:color="auto" w:fill="CCEEFF"/>
          </w:tcPr>
          <w:p>
            <w:pPr>
              <w:jc w:val="right"/>
              <w:ind w:right="683"/>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77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w:t>
            </w:r>
          </w:p>
        </w:tc>
        <w:tc>
          <w:tcPr>
            <w:tcW w:w="0" w:type="dxa"/>
            <w:vAlign w:val="bottom"/>
          </w:tcPr>
          <w:p>
            <w:pPr>
              <w:spacing w:after="0"/>
              <w:rPr>
                <w:sz w:val="1"/>
                <w:szCs w:val="1"/>
                <w:color w:val="auto"/>
              </w:rPr>
            </w:pPr>
          </w:p>
        </w:tc>
      </w:tr>
      <w:tr>
        <w:trPr>
          <w:trHeight w:val="168"/>
        </w:trPr>
        <w:tc>
          <w:tcPr>
            <w:tcW w:w="5080" w:type="dxa"/>
            <w:vAlign w:val="bottom"/>
            <w:gridSpan w:val="4"/>
          </w:tcPr>
          <w:p>
            <w:pPr>
              <w:ind w:left="120"/>
              <w:spacing w:after="0"/>
              <w:rPr>
                <w:sz w:val="20"/>
                <w:szCs w:val="20"/>
                <w:color w:val="auto"/>
              </w:rPr>
            </w:pPr>
            <w:r>
              <w:rPr>
                <w:rFonts w:ascii="Arial" w:cs="Arial" w:eastAsia="Arial" w:hAnsi="Arial"/>
                <w:sz w:val="13"/>
                <w:szCs w:val="13"/>
                <w:color w:val="auto"/>
                <w:w w:val="88"/>
              </w:rPr>
              <w:t>Cost of operations, exclusive of depreciation, amortization and accretion shown separately below</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298</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82"/>
              </w:rPr>
              <w:t>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435</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Depreciation, amortization and accretion</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0" w:type="dxa"/>
            <w:vAlign w:val="bottom"/>
          </w:tcPr>
          <w:p>
            <w:pPr>
              <w:spacing w:after="0"/>
              <w:rPr>
                <w:sz w:val="1"/>
                <w:szCs w:val="1"/>
                <w:color w:val="auto"/>
              </w:rPr>
            </w:pPr>
          </w:p>
        </w:tc>
      </w:tr>
      <w:tr>
        <w:trPr>
          <w:trHeight w:val="168"/>
        </w:trPr>
        <w:tc>
          <w:tcPr>
            <w:tcW w:w="3420" w:type="dxa"/>
            <w:vAlign w:val="bottom"/>
          </w:tcPr>
          <w:p>
            <w:pPr>
              <w:ind w:left="120"/>
              <w:spacing w:after="0"/>
              <w:rPr>
                <w:sz w:val="20"/>
                <w:szCs w:val="20"/>
                <w:color w:val="auto"/>
              </w:rPr>
            </w:pPr>
            <w:r>
              <w:rPr>
                <w:rFonts w:ascii="Arial" w:cs="Arial" w:eastAsia="Arial" w:hAnsi="Arial"/>
                <w:sz w:val="13"/>
                <w:szCs w:val="13"/>
                <w:color w:val="auto"/>
              </w:rPr>
              <w:t>Impairment losses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General and administrative</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8"/>
        </w:trPr>
        <w:tc>
          <w:tcPr>
            <w:tcW w:w="3420" w:type="dxa"/>
            <w:vAlign w:val="bottom"/>
          </w:tcPr>
          <w:p>
            <w:pPr>
              <w:ind w:left="120"/>
              <w:spacing w:after="0"/>
              <w:rPr>
                <w:sz w:val="20"/>
                <w:szCs w:val="20"/>
                <w:color w:val="auto"/>
              </w:rPr>
            </w:pPr>
            <w:r>
              <w:rPr>
                <w:rFonts w:ascii="Arial" w:cs="Arial" w:eastAsia="Arial" w:hAnsi="Arial"/>
                <w:sz w:val="13"/>
                <w:szCs w:val="13"/>
                <w:color w:val="auto"/>
              </w:rPr>
              <w:t>Transaction and integration costs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Development costs</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8"/>
        </w:trPr>
        <w:tc>
          <w:tcPr>
            <w:tcW w:w="3420" w:type="dxa"/>
            <w:vAlign w:val="bottom"/>
          </w:tcPr>
          <w:p>
            <w:pPr>
              <w:ind w:left="20"/>
              <w:spacing w:after="0"/>
              <w:rPr>
                <w:sz w:val="20"/>
                <w:szCs w:val="20"/>
                <w:color w:val="auto"/>
              </w:rPr>
            </w:pPr>
            <w:r>
              <w:rPr>
                <w:rFonts w:ascii="Arial" w:cs="Arial" w:eastAsia="Arial" w:hAnsi="Arial"/>
                <w:sz w:val="13"/>
                <w:szCs w:val="13"/>
                <w:color w:val="auto"/>
              </w:rPr>
              <w:t>Total operating costs and expenses</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220</w:t>
            </w: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695</w:t>
            </w: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54</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1,010</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sale of business</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1,292</w:t>
            </w:r>
          </w:p>
        </w:tc>
        <w:tc>
          <w:tcPr>
            <w:tcW w:w="0" w:type="dxa"/>
            <w:vAlign w:val="bottom"/>
          </w:tcPr>
          <w:p>
            <w:pPr>
              <w:spacing w:after="0"/>
              <w:rPr>
                <w:sz w:val="1"/>
                <w:szCs w:val="1"/>
                <w:color w:val="auto"/>
              </w:rPr>
            </w:pPr>
          </w:p>
        </w:tc>
      </w:tr>
      <w:tr>
        <w:trPr>
          <w:trHeight w:val="158"/>
        </w:trPr>
        <w:tc>
          <w:tcPr>
            <w:tcW w:w="342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82"/>
              </w:rPr>
              <w:t>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1,251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1,472</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Equity in earnings of unconsolidated affiliates</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68"/>
        </w:trPr>
        <w:tc>
          <w:tcPr>
            <w:tcW w:w="3420" w:type="dxa"/>
            <w:vAlign w:val="bottom"/>
          </w:tcPr>
          <w:p>
            <w:pPr>
              <w:ind w:left="120"/>
              <w:spacing w:after="0"/>
              <w:rPr>
                <w:sz w:val="20"/>
                <w:szCs w:val="20"/>
                <w:color w:val="auto"/>
              </w:rPr>
            </w:pPr>
            <w:r>
              <w:rPr>
                <w:rFonts w:ascii="Arial" w:cs="Arial" w:eastAsia="Arial" w:hAnsi="Arial"/>
                <w:sz w:val="13"/>
                <w:szCs w:val="13"/>
                <w:color w:val="auto"/>
              </w:rPr>
              <w:t>Other income, net</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Loss on debt extinguishment</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8"/>
        </w:trPr>
        <w:tc>
          <w:tcPr>
            <w:tcW w:w="34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Interest expense</w:t>
            </w:r>
          </w:p>
        </w:tc>
        <w:tc>
          <w:tcPr>
            <w:tcW w:w="1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(40)</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7"/>
              </w:rPr>
              <w:t>(6)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(99)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63"/>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w:t>
            </w:r>
          </w:p>
        </w:tc>
        <w:tc>
          <w:tcPr>
            <w:tcW w:w="0" w:type="dxa"/>
            <w:vAlign w:val="bottom"/>
          </w:tcPr>
          <w:p>
            <w:pPr>
              <w:spacing w:after="0"/>
              <w:rPr>
                <w:sz w:val="1"/>
                <w:szCs w:val="1"/>
                <w:color w:val="auto"/>
              </w:rPr>
            </w:pPr>
          </w:p>
        </w:tc>
      </w:tr>
      <w:tr>
        <w:trPr>
          <w:trHeight w:val="168"/>
        </w:trPr>
        <w:tc>
          <w:tcPr>
            <w:tcW w:w="3420" w:type="dxa"/>
            <w:vAlign w:val="bottom"/>
          </w:tcPr>
          <w:p>
            <w:pPr>
              <w:ind w:left="120"/>
              <w:spacing w:after="0"/>
              <w:rPr>
                <w:sz w:val="20"/>
                <w:szCs w:val="20"/>
                <w:color w:val="auto"/>
              </w:rPr>
            </w:pPr>
            <w:r>
              <w:rPr>
                <w:rFonts w:ascii="Arial" w:cs="Arial" w:eastAsia="Arial" w:hAnsi="Arial"/>
                <w:sz w:val="13"/>
                <w:szCs w:val="13"/>
                <w:color w:val="auto"/>
              </w:rPr>
              <w:t>Income tax expense</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0"/>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1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17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1,162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1,282</w:t>
            </w:r>
          </w:p>
        </w:tc>
        <w:tc>
          <w:tcPr>
            <w:tcW w:w="0" w:type="dxa"/>
            <w:vAlign w:val="bottom"/>
          </w:tcPr>
          <w:p>
            <w:pPr>
              <w:spacing w:after="0"/>
              <w:rPr>
                <w:sz w:val="1"/>
                <w:szCs w:val="1"/>
                <w:color w:val="auto"/>
              </w:rPr>
            </w:pPr>
          </w:p>
        </w:tc>
      </w:tr>
      <w:tr>
        <w:trPr>
          <w:trHeight w:val="163"/>
        </w:trPr>
        <w:tc>
          <w:tcPr>
            <w:tcW w:w="3420" w:type="dxa"/>
            <w:vAlign w:val="bottom"/>
          </w:tcPr>
          <w:p>
            <w:pPr>
              <w:ind w:left="20"/>
              <w:spacing w:after="0"/>
              <w:rPr>
                <w:sz w:val="20"/>
                <w:szCs w:val="20"/>
                <w:color w:val="auto"/>
              </w:rPr>
            </w:pPr>
            <w:r>
              <w:rPr>
                <w:rFonts w:ascii="Arial" w:cs="Arial" w:eastAsia="Arial" w:hAnsi="Arial"/>
                <w:sz w:val="13"/>
                <w:szCs w:val="13"/>
                <w:b w:val="1"/>
                <w:bCs w:val="1"/>
                <w:color w:val="auto"/>
              </w:rPr>
              <w:t>Net Income Attributable to Clearway Energy LLC</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161</w:t>
            </w:r>
          </w:p>
        </w:tc>
        <w:tc>
          <w:tcPr>
            <w:tcW w:w="600" w:type="dxa"/>
            <w:vAlign w:val="bottom"/>
            <w:gridSpan w:val="2"/>
          </w:tcPr>
          <w:p>
            <w:pPr>
              <w:jc w:val="right"/>
              <w:ind w:right="363"/>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49</w:t>
            </w:r>
          </w:p>
        </w:tc>
        <w:tc>
          <w:tcPr>
            <w:tcW w:w="920" w:type="dxa"/>
            <w:vAlign w:val="bottom"/>
            <w:gridSpan w:val="2"/>
          </w:tcPr>
          <w:p>
            <w:pPr>
              <w:jc w:val="right"/>
              <w:ind w:right="68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82"/>
              </w:rPr>
              <w:t>17</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1,161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1,388</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42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Balance Sheet</w:t>
            </w: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20"/>
              <w:spacing w:after="0"/>
              <w:rPr>
                <w:sz w:val="20"/>
                <w:szCs w:val="20"/>
                <w:color w:val="auto"/>
              </w:rPr>
            </w:pPr>
            <w:r>
              <w:rPr>
                <w:rFonts w:ascii="Arial" w:cs="Arial" w:eastAsia="Arial" w:hAnsi="Arial"/>
                <w:sz w:val="13"/>
                <w:szCs w:val="13"/>
                <w:color w:val="auto"/>
              </w:rPr>
              <w:t>Equity investments in affiliates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82</w:t>
            </w:r>
          </w:p>
        </w:tc>
        <w:tc>
          <w:tcPr>
            <w:tcW w:w="600" w:type="dxa"/>
            <w:vAlign w:val="bottom"/>
            <w:gridSpan w:val="2"/>
          </w:tcPr>
          <w:p>
            <w:pPr>
              <w:jc w:val="right"/>
              <w:ind w:right="363"/>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282</w:t>
            </w:r>
          </w:p>
        </w:tc>
        <w:tc>
          <w:tcPr>
            <w:tcW w:w="920" w:type="dxa"/>
            <w:vAlign w:val="bottom"/>
            <w:gridSpan w:val="2"/>
          </w:tcPr>
          <w:p>
            <w:pPr>
              <w:jc w:val="right"/>
              <w:ind w:right="68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 xml:space="preserve">Capital expenditures </w:t>
            </w:r>
            <w:r>
              <w:rPr>
                <w:rFonts w:ascii="Arial" w:cs="Arial" w:eastAsia="Arial" w:hAnsi="Arial"/>
                <w:sz w:val="16"/>
                <w:szCs w:val="16"/>
                <w:color w:val="auto"/>
                <w:vertAlign w:val="superscript"/>
              </w:rPr>
              <w:t>(b)(c)</w:t>
            </w: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65"/>
        </w:trPr>
        <w:tc>
          <w:tcPr>
            <w:tcW w:w="342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2,251</w:t>
            </w:r>
          </w:p>
        </w:tc>
        <w:tc>
          <w:tcPr>
            <w:tcW w:w="600" w:type="dxa"/>
            <w:vAlign w:val="bottom"/>
            <w:gridSpan w:val="2"/>
          </w:tcPr>
          <w:p>
            <w:pPr>
              <w:jc w:val="right"/>
              <w:ind w:right="363"/>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9,515</w:t>
            </w:r>
          </w:p>
        </w:tc>
        <w:tc>
          <w:tcPr>
            <w:tcW w:w="920" w:type="dxa"/>
            <w:vAlign w:val="bottom"/>
            <w:gridSpan w:val="2"/>
          </w:tcPr>
          <w:p>
            <w:pPr>
              <w:jc w:val="right"/>
              <w:ind w:right="68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546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12,312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138811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2" w:lineRule="exact"/>
        <w:rPr>
          <w:sz w:val="20"/>
          <w:szCs w:val="20"/>
          <w:color w:val="auto"/>
        </w:rPr>
      </w:pPr>
    </w:p>
    <w:p>
      <w:pPr>
        <w:ind w:left="200" w:hanging="131"/>
        <w:spacing w:after="0"/>
        <w:tabs>
          <w:tab w:leader="none" w:pos="200" w:val="left"/>
        </w:tabs>
        <w:numPr>
          <w:ilvl w:val="0"/>
          <w:numId w:val="76"/>
        </w:numPr>
        <w:rPr>
          <w:rFonts w:ascii="Arial" w:cs="Arial" w:eastAsia="Arial" w:hAnsi="Arial"/>
          <w:sz w:val="16"/>
          <w:szCs w:val="16"/>
          <w:color w:val="auto"/>
          <w:vertAlign w:val="superscript"/>
        </w:rPr>
      </w:pPr>
      <w:r>
        <w:rPr>
          <w:rFonts w:ascii="Arial" w:cs="Arial" w:eastAsia="Arial" w:hAnsi="Arial"/>
          <w:sz w:val="10"/>
          <w:szCs w:val="10"/>
          <w:color w:val="auto"/>
        </w:rPr>
        <w:t>Includes eliminations</w:t>
      </w:r>
    </w:p>
    <w:p>
      <w:pPr>
        <w:spacing w:after="0" w:line="24" w:lineRule="exact"/>
        <w:rPr>
          <w:rFonts w:ascii="Arial" w:cs="Arial" w:eastAsia="Arial" w:hAnsi="Arial"/>
          <w:sz w:val="16"/>
          <w:szCs w:val="16"/>
          <w:color w:val="auto"/>
          <w:vertAlign w:val="superscript"/>
        </w:rPr>
      </w:pPr>
    </w:p>
    <w:p>
      <w:pPr>
        <w:ind w:left="200" w:hanging="131"/>
        <w:spacing w:after="0" w:line="187" w:lineRule="auto"/>
        <w:tabs>
          <w:tab w:leader="none" w:pos="200" w:val="left"/>
        </w:tabs>
        <w:numPr>
          <w:ilvl w:val="0"/>
          <w:numId w:val="76"/>
        </w:numPr>
        <w:rPr>
          <w:rFonts w:ascii="Arial" w:cs="Arial" w:eastAsia="Arial" w:hAnsi="Arial"/>
          <w:sz w:val="15"/>
          <w:szCs w:val="15"/>
          <w:color w:val="auto"/>
          <w:vertAlign w:val="superscript"/>
        </w:rPr>
      </w:pPr>
      <w:r>
        <w:rPr>
          <w:rFonts w:ascii="Arial" w:cs="Arial" w:eastAsia="Arial" w:hAnsi="Arial"/>
          <w:sz w:val="10"/>
          <w:szCs w:val="10"/>
          <w:color w:val="auto"/>
        </w:rPr>
        <w:t>Includes accruals</w:t>
      </w:r>
    </w:p>
    <w:p>
      <w:pPr>
        <w:spacing w:after="0" w:line="35" w:lineRule="exact"/>
        <w:rPr>
          <w:rFonts w:ascii="Arial" w:cs="Arial" w:eastAsia="Arial" w:hAnsi="Arial"/>
          <w:sz w:val="15"/>
          <w:szCs w:val="15"/>
          <w:color w:val="auto"/>
          <w:vertAlign w:val="superscript"/>
        </w:rPr>
      </w:pPr>
    </w:p>
    <w:p>
      <w:pPr>
        <w:ind w:left="200" w:hanging="131"/>
        <w:spacing w:after="0" w:line="187" w:lineRule="auto"/>
        <w:tabs>
          <w:tab w:leader="none" w:pos="200" w:val="left"/>
        </w:tabs>
        <w:numPr>
          <w:ilvl w:val="0"/>
          <w:numId w:val="76"/>
        </w:numPr>
        <w:rPr>
          <w:rFonts w:ascii="Arial" w:cs="Arial" w:eastAsia="Arial" w:hAnsi="Arial"/>
          <w:sz w:val="15"/>
          <w:szCs w:val="15"/>
          <w:color w:val="auto"/>
          <w:vertAlign w:val="superscript"/>
        </w:rPr>
      </w:pPr>
      <w:r>
        <w:rPr>
          <w:rFonts w:ascii="Arial" w:cs="Arial" w:eastAsia="Arial" w:hAnsi="Arial"/>
          <w:sz w:val="10"/>
          <w:szCs w:val="10"/>
          <w:color w:val="auto"/>
        </w:rPr>
        <w:t>Thermal capital expenditures, including accruals, prior to the sale of the Thermal Business on May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56"/>
        </w:trPr>
        <w:tc>
          <w:tcPr>
            <w:tcW w:w="22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center"/>
              <w:ind w:left="737"/>
              <w:spacing w:after="0"/>
              <w:rPr>
                <w:sz w:val="20"/>
                <w:szCs w:val="20"/>
                <w:color w:val="auto"/>
              </w:rPr>
            </w:pPr>
            <w:r>
              <w:rPr>
                <w:rFonts w:ascii="Arial" w:cs="Arial" w:eastAsia="Arial" w:hAnsi="Arial"/>
                <w:sz w:val="11"/>
                <w:szCs w:val="11"/>
                <w:b w:val="1"/>
                <w:bCs w:val="1"/>
                <w:color w:val="auto"/>
                <w:w w:val="91"/>
              </w:rPr>
              <w:t>Year ended December 31, 2021</w:t>
            </w: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0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80" w:type="dxa"/>
            <w:vAlign w:val="bottom"/>
          </w:tcPr>
          <w:p>
            <w:pPr>
              <w:spacing w:after="0"/>
              <w:rPr>
                <w:sz w:val="9"/>
                <w:szCs w:val="9"/>
                <w:color w:val="auto"/>
              </w:rPr>
            </w:pPr>
          </w:p>
        </w:tc>
        <w:tc>
          <w:tcPr>
            <w:tcW w:w="1080" w:type="dxa"/>
            <w:vAlign w:val="bottom"/>
            <w:gridSpan w:val="2"/>
          </w:tcPr>
          <w:p>
            <w:pPr>
              <w:jc w:val="center"/>
              <w:ind w:right="260"/>
              <w:spacing w:after="0" w:line="110" w:lineRule="exact"/>
              <w:rPr>
                <w:sz w:val="20"/>
                <w:szCs w:val="20"/>
                <w:color w:val="auto"/>
              </w:rPr>
            </w:pPr>
            <w:r>
              <w:rPr>
                <w:rFonts w:ascii="Arial" w:cs="Arial" w:eastAsia="Arial" w:hAnsi="Arial"/>
                <w:sz w:val="11"/>
                <w:szCs w:val="11"/>
                <w:b w:val="1"/>
                <w:bCs w:val="1"/>
                <w:color w:val="auto"/>
                <w:w w:val="94"/>
              </w:rPr>
              <w:t>Conventional</w:t>
            </w:r>
          </w:p>
        </w:tc>
        <w:tc>
          <w:tcPr>
            <w:tcW w:w="200" w:type="dxa"/>
            <w:vAlign w:val="bottom"/>
          </w:tcPr>
          <w:p>
            <w:pPr>
              <w:spacing w:after="0"/>
              <w:rPr>
                <w:sz w:val="9"/>
                <w:szCs w:val="9"/>
                <w:color w:val="auto"/>
              </w:rPr>
            </w:pPr>
          </w:p>
        </w:tc>
        <w:tc>
          <w:tcPr>
            <w:tcW w:w="980" w:type="dxa"/>
            <w:vAlign w:val="bottom"/>
            <w:vMerge w:val="restart"/>
          </w:tcPr>
          <w:p>
            <w:pPr>
              <w:jc w:val="right"/>
              <w:ind w:right="237"/>
              <w:spacing w:after="0"/>
              <w:rPr>
                <w:sz w:val="20"/>
                <w:szCs w:val="20"/>
                <w:color w:val="auto"/>
              </w:rPr>
            </w:pPr>
            <w:r>
              <w:rPr>
                <w:rFonts w:ascii="Arial" w:cs="Arial" w:eastAsia="Arial" w:hAnsi="Arial"/>
                <w:sz w:val="11"/>
                <w:szCs w:val="11"/>
                <w:b w:val="1"/>
                <w:bCs w:val="1"/>
                <w:color w:val="auto"/>
              </w:rPr>
              <w:t>Renewables</w:t>
            </w:r>
          </w:p>
        </w:tc>
        <w:tc>
          <w:tcPr>
            <w:tcW w:w="10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jc w:val="center"/>
              <w:ind w:right="177"/>
              <w:spacing w:after="0"/>
              <w:rPr>
                <w:sz w:val="20"/>
                <w:szCs w:val="20"/>
                <w:color w:val="auto"/>
              </w:rPr>
            </w:pPr>
            <w:r>
              <w:rPr>
                <w:rFonts w:ascii="Arial" w:cs="Arial" w:eastAsia="Arial" w:hAnsi="Arial"/>
                <w:sz w:val="11"/>
                <w:szCs w:val="11"/>
                <w:b w:val="1"/>
                <w:bCs w:val="1"/>
                <w:color w:val="auto"/>
                <w:w w:val="98"/>
              </w:rPr>
              <w:t>Thermal</w:t>
            </w:r>
          </w:p>
        </w:tc>
        <w:tc>
          <w:tcPr>
            <w:tcW w:w="10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vMerge w:val="restart"/>
          </w:tcPr>
          <w:p>
            <w:pPr>
              <w:jc w:val="right"/>
              <w:ind w:right="217"/>
              <w:spacing w:after="0"/>
              <w:rPr>
                <w:sz w:val="20"/>
                <w:szCs w:val="20"/>
                <w:color w:val="auto"/>
              </w:rPr>
            </w:pPr>
            <w:r>
              <w:rPr>
                <w:rFonts w:ascii="Arial" w:cs="Arial" w:eastAsia="Arial" w:hAnsi="Arial"/>
                <w:sz w:val="11"/>
                <w:szCs w:val="11"/>
                <w:b w:val="1"/>
                <w:bCs w:val="1"/>
                <w:color w:val="auto"/>
              </w:rPr>
              <w:t xml:space="preserve">Corporate </w:t>
            </w:r>
            <w:r>
              <w:rPr>
                <w:rFonts w:ascii="Arial" w:cs="Arial" w:eastAsia="Arial" w:hAnsi="Arial"/>
                <w:sz w:val="14"/>
                <w:szCs w:val="14"/>
                <w:b w:val="1"/>
                <w:bCs w:val="1"/>
                <w:color w:val="auto"/>
                <w:vertAlign w:val="superscript"/>
              </w:rPr>
              <w:t>(a)</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restart"/>
          </w:tcPr>
          <w:p>
            <w:pPr>
              <w:jc w:val="right"/>
              <w:ind w:right="39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5060" w:type="dxa"/>
            <w:vAlign w:val="bottom"/>
            <w:tcBorders>
              <w:bottom w:val="single" w:sz="8" w:color="CCEEFF"/>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17"/>
              <w:spacing w:after="0"/>
              <w:rPr>
                <w:sz w:val="20"/>
                <w:szCs w:val="20"/>
                <w:color w:val="auto"/>
              </w:rPr>
            </w:pPr>
            <w:r>
              <w:rPr>
                <w:rFonts w:ascii="Arial" w:cs="Arial" w:eastAsia="Arial" w:hAnsi="Arial"/>
                <w:sz w:val="11"/>
                <w:szCs w:val="11"/>
                <w:b w:val="1"/>
                <w:bCs w:val="1"/>
                <w:color w:val="auto"/>
                <w:w w:val="92"/>
              </w:rPr>
              <w:t>Generation</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revenues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1,286</w:t>
            </w:r>
          </w:p>
        </w:tc>
        <w:tc>
          <w:tcPr>
            <w:tcW w:w="0" w:type="dxa"/>
            <w:vAlign w:val="bottom"/>
          </w:tcPr>
          <w:p>
            <w:pPr>
              <w:spacing w:after="0"/>
              <w:rPr>
                <w:sz w:val="1"/>
                <w:szCs w:val="1"/>
                <w:color w:val="auto"/>
              </w:rPr>
            </w:pPr>
          </w:p>
        </w:tc>
      </w:tr>
      <w:tr>
        <w:trPr>
          <w:trHeight w:val="131"/>
        </w:trPr>
        <w:tc>
          <w:tcPr>
            <w:tcW w:w="5060" w:type="dxa"/>
            <w:vAlign w:val="bottom"/>
            <w:gridSpan w:val="2"/>
          </w:tcPr>
          <w:p>
            <w:pPr>
              <w:ind w:left="120"/>
              <w:spacing w:after="0" w:line="131" w:lineRule="exact"/>
              <w:rPr>
                <w:sz w:val="20"/>
                <w:szCs w:val="20"/>
                <w:color w:val="auto"/>
              </w:rPr>
            </w:pPr>
            <w:r>
              <w:rPr>
                <w:rFonts w:ascii="Arial" w:cs="Arial" w:eastAsia="Arial" w:hAnsi="Arial"/>
                <w:sz w:val="13"/>
                <w:szCs w:val="13"/>
                <w:color w:val="auto"/>
                <w:w w:val="94"/>
              </w:rPr>
              <w:t>Cost of operations, exclusive of depreciation, amortization and accretion shown separately</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451</w:t>
            </w:r>
          </w:p>
        </w:tc>
        <w:tc>
          <w:tcPr>
            <w:tcW w:w="0" w:type="dxa"/>
            <w:vAlign w:val="bottom"/>
          </w:tcPr>
          <w:p>
            <w:pPr>
              <w:spacing w:after="0"/>
              <w:rPr>
                <w:sz w:val="1"/>
                <w:szCs w:val="1"/>
                <w:color w:val="auto"/>
              </w:rPr>
            </w:pPr>
          </w:p>
        </w:tc>
      </w:tr>
      <w:tr>
        <w:trPr>
          <w:trHeight w:val="164"/>
        </w:trPr>
        <w:tc>
          <w:tcPr>
            <w:tcW w:w="506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Depreciation, amortization and accretion</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w:t>
            </w:r>
          </w:p>
        </w:tc>
        <w:tc>
          <w:tcPr>
            <w:tcW w:w="0" w:type="dxa"/>
            <w:vAlign w:val="bottom"/>
          </w:tcPr>
          <w:p>
            <w:pPr>
              <w:spacing w:after="0"/>
              <w:rPr>
                <w:sz w:val="1"/>
                <w:szCs w:val="1"/>
                <w:color w:val="auto"/>
              </w:rPr>
            </w:pPr>
          </w:p>
        </w:tc>
      </w:tr>
      <w:tr>
        <w:trPr>
          <w:trHeight w:val="168"/>
        </w:trPr>
        <w:tc>
          <w:tcPr>
            <w:tcW w:w="5060" w:type="dxa"/>
            <w:vAlign w:val="bottom"/>
            <w:gridSpan w:val="2"/>
          </w:tcPr>
          <w:p>
            <w:pPr>
              <w:ind w:left="120"/>
              <w:spacing w:after="0"/>
              <w:rPr>
                <w:sz w:val="20"/>
                <w:szCs w:val="20"/>
                <w:color w:val="auto"/>
              </w:rPr>
            </w:pPr>
            <w:r>
              <w:rPr>
                <w:rFonts w:ascii="Arial" w:cs="Arial" w:eastAsia="Arial" w:hAnsi="Arial"/>
                <w:sz w:val="13"/>
                <w:szCs w:val="13"/>
                <w:color w:val="auto"/>
              </w:rPr>
              <w:t>Impairment losses</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General and administrative</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8"/>
        </w:trPr>
        <w:tc>
          <w:tcPr>
            <w:tcW w:w="5060" w:type="dxa"/>
            <w:vAlign w:val="bottom"/>
            <w:gridSpan w:val="2"/>
          </w:tcPr>
          <w:p>
            <w:pPr>
              <w:ind w:left="120"/>
              <w:spacing w:after="0"/>
              <w:rPr>
                <w:sz w:val="20"/>
                <w:szCs w:val="20"/>
                <w:color w:val="auto"/>
              </w:rPr>
            </w:pPr>
            <w:r>
              <w:rPr>
                <w:rFonts w:ascii="Arial" w:cs="Arial" w:eastAsia="Arial" w:hAnsi="Arial"/>
                <w:sz w:val="13"/>
                <w:szCs w:val="13"/>
                <w:color w:val="auto"/>
              </w:rPr>
              <w:t>Transaction and integration costs</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Development costs</w:t>
            </w: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8"/>
        </w:trPr>
        <w:tc>
          <w:tcPr>
            <w:tcW w:w="5060" w:type="dxa"/>
            <w:vAlign w:val="bottom"/>
            <w:gridSpan w:val="2"/>
          </w:tcPr>
          <w:p>
            <w:pPr>
              <w:ind w:left="20"/>
              <w:spacing w:after="0"/>
              <w:rPr>
                <w:sz w:val="20"/>
                <w:szCs w:val="20"/>
                <w:color w:val="auto"/>
              </w:rPr>
            </w:pPr>
            <w:r>
              <w:rPr>
                <w:rFonts w:ascii="Arial" w:cs="Arial" w:eastAsia="Arial" w:hAnsi="Arial"/>
                <w:sz w:val="13"/>
                <w:szCs w:val="13"/>
                <w:color w:val="auto"/>
              </w:rPr>
              <w:t>Operating income (loss)</w:t>
            </w: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Equity in earnings of unconsolidated affiliates</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8"/>
        </w:trPr>
        <w:tc>
          <w:tcPr>
            <w:tcW w:w="5060" w:type="dxa"/>
            <w:vAlign w:val="bottom"/>
            <w:gridSpan w:val="2"/>
          </w:tcPr>
          <w:p>
            <w:pPr>
              <w:ind w:left="120"/>
              <w:spacing w:after="0"/>
              <w:rPr>
                <w:sz w:val="20"/>
                <w:szCs w:val="20"/>
                <w:color w:val="auto"/>
              </w:rPr>
            </w:pPr>
            <w:r>
              <w:rPr>
                <w:rFonts w:ascii="Arial" w:cs="Arial" w:eastAsia="Arial" w:hAnsi="Arial"/>
                <w:sz w:val="13"/>
                <w:szCs w:val="13"/>
                <w:color w:val="auto"/>
              </w:rPr>
              <w:t>Other income, net</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Loss on debt extinguishment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8"/>
        </w:trPr>
        <w:tc>
          <w:tcPr>
            <w:tcW w:w="5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Interest expense</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6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68"/>
        </w:trPr>
        <w:tc>
          <w:tcPr>
            <w:tcW w:w="5060" w:type="dxa"/>
            <w:vAlign w:val="bottom"/>
            <w:gridSpan w:val="2"/>
          </w:tcPr>
          <w:p>
            <w:pPr>
              <w:ind w:left="120"/>
              <w:spacing w:after="0"/>
              <w:rPr>
                <w:sz w:val="20"/>
                <w:szCs w:val="20"/>
                <w:color w:val="auto"/>
              </w:rPr>
            </w:pPr>
            <w:r>
              <w:rPr>
                <w:rFonts w:ascii="Arial" w:cs="Arial" w:eastAsia="Arial" w:hAnsi="Arial"/>
                <w:sz w:val="13"/>
                <w:szCs w:val="13"/>
                <w:color w:val="auto"/>
              </w:rPr>
              <w:t>Income tax expense</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0"/>
        </w:trPr>
        <w:tc>
          <w:tcPr>
            <w:tcW w:w="5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63"/>
        </w:trPr>
        <w:tc>
          <w:tcPr>
            <w:tcW w:w="506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Income (Loss) Attributable to Clearway Energy LLC</w:t>
            </w: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06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Balance Sheet</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060" w:type="dxa"/>
            <w:vAlign w:val="bottom"/>
            <w:gridSpan w:val="2"/>
          </w:tcPr>
          <w:p>
            <w:pPr>
              <w:ind w:left="20"/>
              <w:spacing w:after="0"/>
              <w:rPr>
                <w:sz w:val="20"/>
                <w:szCs w:val="20"/>
                <w:color w:val="auto"/>
              </w:rPr>
            </w:pPr>
            <w:r>
              <w:rPr>
                <w:rFonts w:ascii="Arial" w:cs="Arial" w:eastAsia="Arial" w:hAnsi="Arial"/>
                <w:sz w:val="13"/>
                <w:szCs w:val="13"/>
                <w:color w:val="auto"/>
              </w:rPr>
              <w:t>Equity investments in affiliates</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295</w:t>
            </w:r>
          </w:p>
        </w:tc>
        <w:tc>
          <w:tcPr>
            <w:tcW w:w="10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3"/>
                <w:szCs w:val="13"/>
                <w:color w:val="auto"/>
              </w:rPr>
              <w:t xml:space="preserve">Capital expenditures </w:t>
            </w:r>
            <w:r>
              <w:rPr>
                <w:rFonts w:ascii="Arial" w:cs="Arial" w:eastAsia="Arial" w:hAnsi="Arial"/>
                <w:sz w:val="16"/>
                <w:szCs w:val="16"/>
                <w:color w:val="auto"/>
                <w:vertAlign w:val="superscript"/>
              </w:rPr>
              <w:t>(b)</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65"/>
        </w:trPr>
        <w:tc>
          <w:tcPr>
            <w:tcW w:w="506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Assets</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2,442</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9,603</w:t>
            </w:r>
          </w:p>
        </w:tc>
        <w:tc>
          <w:tcPr>
            <w:tcW w:w="10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631</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12,718</w:t>
            </w:r>
          </w:p>
        </w:tc>
        <w:tc>
          <w:tcPr>
            <w:tcW w:w="0" w:type="dxa"/>
            <w:vAlign w:val="bottom"/>
          </w:tcPr>
          <w:p>
            <w:pPr>
              <w:spacing w:after="0"/>
              <w:rPr>
                <w:sz w:val="1"/>
                <w:szCs w:val="1"/>
                <w:color w:val="auto"/>
              </w:rPr>
            </w:pPr>
          </w:p>
        </w:tc>
      </w:tr>
      <w:tr>
        <w:trPr>
          <w:trHeight w:val="142"/>
        </w:trPr>
        <w:tc>
          <w:tcPr>
            <w:tcW w:w="2200" w:type="dxa"/>
            <w:vAlign w:val="bottom"/>
            <w:tcBorders>
              <w:bottom w:val="single" w:sz="8" w:color="auto"/>
            </w:tcBorders>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060" w:type="dxa"/>
            <w:vAlign w:val="bottom"/>
            <w:gridSpan w:val="2"/>
          </w:tcPr>
          <w:p>
            <w:pPr>
              <w:ind w:left="60"/>
              <w:spacing w:after="0" w:line="176" w:lineRule="exact"/>
              <w:rPr>
                <w:sz w:val="20"/>
                <w:szCs w:val="20"/>
                <w:color w:val="auto"/>
              </w:rPr>
            </w:pPr>
            <w:r>
              <w:rPr>
                <w:rFonts w:ascii="Arial" w:cs="Arial" w:eastAsia="Arial" w:hAnsi="Arial"/>
                <w:sz w:val="18"/>
                <w:szCs w:val="18"/>
                <w:color w:val="auto"/>
                <w:vertAlign w:val="superscript"/>
              </w:rPr>
              <w:t>(a)</w:t>
            </w:r>
            <w:r>
              <w:rPr>
                <w:rFonts w:ascii="Arial" w:cs="Arial" w:eastAsia="Arial" w:hAnsi="Arial"/>
                <w:sz w:val="11"/>
                <w:szCs w:val="11"/>
                <w:color w:val="auto"/>
              </w:rPr>
              <w:t xml:space="preserve"> Includes eliminations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060" w:type="dxa"/>
            <w:vAlign w:val="bottom"/>
            <w:gridSpan w:val="2"/>
          </w:tcPr>
          <w:p>
            <w:pPr>
              <w:ind w:left="60"/>
              <w:spacing w:after="0"/>
              <w:rPr>
                <w:sz w:val="20"/>
                <w:szCs w:val="20"/>
                <w:color w:val="auto"/>
              </w:rPr>
            </w:pPr>
            <w:r>
              <w:rPr>
                <w:rFonts w:ascii="Arial" w:cs="Arial" w:eastAsia="Arial" w:hAnsi="Arial"/>
                <w:sz w:val="18"/>
                <w:szCs w:val="18"/>
                <w:color w:val="auto"/>
                <w:vertAlign w:val="superscript"/>
              </w:rPr>
              <w:t>(b)</w:t>
            </w:r>
            <w:r>
              <w:rPr>
                <w:rFonts w:ascii="Arial" w:cs="Arial" w:eastAsia="Arial" w:hAnsi="Arial"/>
                <w:sz w:val="11"/>
                <w:szCs w:val="11"/>
                <w:color w:val="auto"/>
              </w:rPr>
              <w:t xml:space="preserve"> Includes accruals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2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6"/>
          </w:tcPr>
          <w:p>
            <w:pPr>
              <w:jc w:val="center"/>
              <w:ind w:left="737"/>
              <w:spacing w:after="0"/>
              <w:rPr>
                <w:sz w:val="20"/>
                <w:szCs w:val="20"/>
                <w:color w:val="auto"/>
              </w:rPr>
            </w:pPr>
            <w:r>
              <w:rPr>
                <w:rFonts w:ascii="Arial" w:cs="Arial" w:eastAsia="Arial" w:hAnsi="Arial"/>
                <w:sz w:val="11"/>
                <w:szCs w:val="11"/>
                <w:b w:val="1"/>
                <w:bCs w:val="1"/>
                <w:color w:val="auto"/>
                <w:w w:val="91"/>
              </w:rPr>
              <w:t>Year ended December 31, 2020</w:t>
            </w: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50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 millions)</w:t>
            </w:r>
          </w:p>
        </w:tc>
        <w:tc>
          <w:tcPr>
            <w:tcW w:w="180" w:type="dxa"/>
            <w:vAlign w:val="bottom"/>
          </w:tcPr>
          <w:p>
            <w:pPr>
              <w:spacing w:after="0"/>
              <w:rPr>
                <w:sz w:val="9"/>
                <w:szCs w:val="9"/>
                <w:color w:val="auto"/>
              </w:rPr>
            </w:pPr>
          </w:p>
        </w:tc>
        <w:tc>
          <w:tcPr>
            <w:tcW w:w="1080" w:type="dxa"/>
            <w:vAlign w:val="bottom"/>
            <w:gridSpan w:val="2"/>
          </w:tcPr>
          <w:p>
            <w:pPr>
              <w:jc w:val="center"/>
              <w:ind w:right="260"/>
              <w:spacing w:after="0" w:line="106" w:lineRule="exact"/>
              <w:rPr>
                <w:sz w:val="20"/>
                <w:szCs w:val="20"/>
                <w:color w:val="auto"/>
              </w:rPr>
            </w:pPr>
            <w:r>
              <w:rPr>
                <w:rFonts w:ascii="Arial" w:cs="Arial" w:eastAsia="Arial" w:hAnsi="Arial"/>
                <w:sz w:val="11"/>
                <w:szCs w:val="11"/>
                <w:b w:val="1"/>
                <w:bCs w:val="1"/>
                <w:color w:val="auto"/>
                <w:w w:val="94"/>
              </w:rPr>
              <w:t>Conventional</w:t>
            </w:r>
          </w:p>
        </w:tc>
        <w:tc>
          <w:tcPr>
            <w:tcW w:w="200" w:type="dxa"/>
            <w:vAlign w:val="bottom"/>
          </w:tcPr>
          <w:p>
            <w:pPr>
              <w:spacing w:after="0"/>
              <w:rPr>
                <w:sz w:val="9"/>
                <w:szCs w:val="9"/>
                <w:color w:val="auto"/>
              </w:rPr>
            </w:pPr>
          </w:p>
        </w:tc>
        <w:tc>
          <w:tcPr>
            <w:tcW w:w="980" w:type="dxa"/>
            <w:vAlign w:val="bottom"/>
            <w:vMerge w:val="restart"/>
          </w:tcPr>
          <w:p>
            <w:pPr>
              <w:jc w:val="right"/>
              <w:ind w:right="237"/>
              <w:spacing w:after="0"/>
              <w:rPr>
                <w:sz w:val="20"/>
                <w:szCs w:val="20"/>
                <w:color w:val="auto"/>
              </w:rPr>
            </w:pPr>
            <w:r>
              <w:rPr>
                <w:rFonts w:ascii="Arial" w:cs="Arial" w:eastAsia="Arial" w:hAnsi="Arial"/>
                <w:sz w:val="11"/>
                <w:szCs w:val="11"/>
                <w:b w:val="1"/>
                <w:bCs w:val="1"/>
                <w:color w:val="auto"/>
              </w:rPr>
              <w:t>Renewables</w:t>
            </w:r>
          </w:p>
        </w:tc>
        <w:tc>
          <w:tcPr>
            <w:tcW w:w="10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jc w:val="center"/>
              <w:ind w:right="177"/>
              <w:spacing w:after="0"/>
              <w:rPr>
                <w:sz w:val="20"/>
                <w:szCs w:val="20"/>
                <w:color w:val="auto"/>
              </w:rPr>
            </w:pPr>
            <w:r>
              <w:rPr>
                <w:rFonts w:ascii="Arial" w:cs="Arial" w:eastAsia="Arial" w:hAnsi="Arial"/>
                <w:sz w:val="11"/>
                <w:szCs w:val="11"/>
                <w:b w:val="1"/>
                <w:bCs w:val="1"/>
                <w:color w:val="auto"/>
                <w:w w:val="98"/>
              </w:rPr>
              <w:t>Thermal</w:t>
            </w:r>
          </w:p>
        </w:tc>
        <w:tc>
          <w:tcPr>
            <w:tcW w:w="10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vMerge w:val="restart"/>
          </w:tcPr>
          <w:p>
            <w:pPr>
              <w:jc w:val="right"/>
              <w:ind w:right="217"/>
              <w:spacing w:after="0"/>
              <w:rPr>
                <w:sz w:val="20"/>
                <w:szCs w:val="20"/>
                <w:color w:val="auto"/>
              </w:rPr>
            </w:pPr>
            <w:r>
              <w:rPr>
                <w:rFonts w:ascii="Arial" w:cs="Arial" w:eastAsia="Arial" w:hAnsi="Arial"/>
                <w:sz w:val="11"/>
                <w:szCs w:val="11"/>
                <w:b w:val="1"/>
                <w:bCs w:val="1"/>
                <w:color w:val="auto"/>
              </w:rPr>
              <w:t xml:space="preserve">Corporate </w:t>
            </w:r>
            <w:r>
              <w:rPr>
                <w:rFonts w:ascii="Arial" w:cs="Arial" w:eastAsia="Arial" w:hAnsi="Arial"/>
                <w:sz w:val="14"/>
                <w:szCs w:val="14"/>
                <w:b w:val="1"/>
                <w:bCs w:val="1"/>
                <w:color w:val="auto"/>
                <w:vertAlign w:val="superscript"/>
              </w:rPr>
              <w:t>(a)</w:t>
            </w:r>
          </w:p>
        </w:tc>
        <w:tc>
          <w:tcPr>
            <w:tcW w:w="10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restart"/>
          </w:tcPr>
          <w:p>
            <w:pPr>
              <w:jc w:val="right"/>
              <w:ind w:right="39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9"/>
        </w:trPr>
        <w:tc>
          <w:tcPr>
            <w:tcW w:w="5060" w:type="dxa"/>
            <w:vAlign w:val="bottom"/>
            <w:tcBorders>
              <w:bottom w:val="single" w:sz="8" w:color="CCEEFF"/>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17"/>
              <w:spacing w:after="0"/>
              <w:rPr>
                <w:sz w:val="20"/>
                <w:szCs w:val="20"/>
                <w:color w:val="auto"/>
              </w:rPr>
            </w:pPr>
            <w:r>
              <w:rPr>
                <w:rFonts w:ascii="Arial" w:cs="Arial" w:eastAsia="Arial" w:hAnsi="Arial"/>
                <w:sz w:val="11"/>
                <w:szCs w:val="11"/>
                <w:b w:val="1"/>
                <w:bCs w:val="1"/>
                <w:color w:val="auto"/>
                <w:w w:val="92"/>
              </w:rPr>
              <w:t>Generation</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revenues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w:t>
            </w:r>
          </w:p>
        </w:tc>
        <w:tc>
          <w:tcPr>
            <w:tcW w:w="0" w:type="dxa"/>
            <w:vAlign w:val="bottom"/>
          </w:tcPr>
          <w:p>
            <w:pPr>
              <w:spacing w:after="0"/>
              <w:rPr>
                <w:sz w:val="1"/>
                <w:szCs w:val="1"/>
                <w:color w:val="auto"/>
              </w:rPr>
            </w:pPr>
          </w:p>
        </w:tc>
      </w:tr>
      <w:tr>
        <w:trPr>
          <w:trHeight w:val="131"/>
        </w:trPr>
        <w:tc>
          <w:tcPr>
            <w:tcW w:w="5060" w:type="dxa"/>
            <w:vAlign w:val="bottom"/>
            <w:gridSpan w:val="2"/>
          </w:tcPr>
          <w:p>
            <w:pPr>
              <w:ind w:left="120"/>
              <w:spacing w:after="0" w:line="131" w:lineRule="exact"/>
              <w:rPr>
                <w:sz w:val="20"/>
                <w:szCs w:val="20"/>
                <w:color w:val="auto"/>
              </w:rPr>
            </w:pPr>
            <w:r>
              <w:rPr>
                <w:rFonts w:ascii="Arial" w:cs="Arial" w:eastAsia="Arial" w:hAnsi="Arial"/>
                <w:sz w:val="13"/>
                <w:szCs w:val="13"/>
                <w:color w:val="auto"/>
                <w:w w:val="94"/>
              </w:rPr>
              <w:t>Cost of operations, exclusive of depreciation, amortization and accretion shown separately</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164"/>
        </w:trPr>
        <w:tc>
          <w:tcPr>
            <w:tcW w:w="506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Depreciation, amortization and accretion</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168"/>
        </w:trPr>
        <w:tc>
          <w:tcPr>
            <w:tcW w:w="5060" w:type="dxa"/>
            <w:vAlign w:val="bottom"/>
            <w:gridSpan w:val="2"/>
          </w:tcPr>
          <w:p>
            <w:pPr>
              <w:ind w:left="120"/>
              <w:spacing w:after="0"/>
              <w:rPr>
                <w:sz w:val="20"/>
                <w:szCs w:val="20"/>
                <w:color w:val="auto"/>
              </w:rPr>
            </w:pPr>
            <w:r>
              <w:rPr>
                <w:rFonts w:ascii="Arial" w:cs="Arial" w:eastAsia="Arial" w:hAnsi="Arial"/>
                <w:sz w:val="13"/>
                <w:szCs w:val="13"/>
                <w:color w:val="auto"/>
              </w:rPr>
              <w:t>Impairment losses</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General and administrative</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8"/>
        </w:trPr>
        <w:tc>
          <w:tcPr>
            <w:tcW w:w="5060" w:type="dxa"/>
            <w:vAlign w:val="bottom"/>
            <w:gridSpan w:val="2"/>
          </w:tcPr>
          <w:p>
            <w:pPr>
              <w:ind w:left="120"/>
              <w:spacing w:after="0"/>
              <w:rPr>
                <w:sz w:val="20"/>
                <w:szCs w:val="20"/>
                <w:color w:val="auto"/>
              </w:rPr>
            </w:pPr>
            <w:r>
              <w:rPr>
                <w:rFonts w:ascii="Arial" w:cs="Arial" w:eastAsia="Arial" w:hAnsi="Arial"/>
                <w:sz w:val="13"/>
                <w:szCs w:val="13"/>
                <w:color w:val="auto"/>
              </w:rPr>
              <w:t>Transaction and integration costs</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Development costs</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8"/>
        </w:trPr>
        <w:tc>
          <w:tcPr>
            <w:tcW w:w="5060" w:type="dxa"/>
            <w:vAlign w:val="bottom"/>
            <w:gridSpan w:val="2"/>
          </w:tcPr>
          <w:p>
            <w:pPr>
              <w:ind w:left="20"/>
              <w:spacing w:after="0"/>
              <w:rPr>
                <w:sz w:val="20"/>
                <w:szCs w:val="20"/>
                <w:color w:val="auto"/>
              </w:rPr>
            </w:pPr>
            <w:r>
              <w:rPr>
                <w:rFonts w:ascii="Arial" w:cs="Arial" w:eastAsia="Arial" w:hAnsi="Arial"/>
                <w:sz w:val="13"/>
                <w:szCs w:val="13"/>
                <w:color w:val="auto"/>
              </w:rPr>
              <w:t>Operating income (loss)</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215</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334</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Equity in earnings (losses) of unconsolidated affiliates</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8"/>
        </w:trPr>
        <w:tc>
          <w:tcPr>
            <w:tcW w:w="5060" w:type="dxa"/>
            <w:vAlign w:val="bottom"/>
            <w:gridSpan w:val="2"/>
          </w:tcPr>
          <w:p>
            <w:pPr>
              <w:ind w:left="140"/>
              <w:spacing w:after="0"/>
              <w:rPr>
                <w:sz w:val="20"/>
                <w:szCs w:val="20"/>
                <w:color w:val="auto"/>
              </w:rPr>
            </w:pPr>
            <w:r>
              <w:rPr>
                <w:rFonts w:ascii="Arial" w:cs="Arial" w:eastAsia="Arial" w:hAnsi="Arial"/>
                <w:sz w:val="13"/>
                <w:szCs w:val="13"/>
                <w:color w:val="auto"/>
              </w:rPr>
              <w:t>Impairment loss on investment</w:t>
            </w:r>
          </w:p>
        </w:tc>
        <w:tc>
          <w:tcPr>
            <w:tcW w:w="1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Gain on sale of unconsolidated affiliates</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68"/>
        </w:trPr>
        <w:tc>
          <w:tcPr>
            <w:tcW w:w="5060" w:type="dxa"/>
            <w:vAlign w:val="bottom"/>
            <w:gridSpan w:val="2"/>
          </w:tcPr>
          <w:p>
            <w:pPr>
              <w:ind w:left="140"/>
              <w:spacing w:after="0"/>
              <w:rPr>
                <w:sz w:val="20"/>
                <w:szCs w:val="20"/>
                <w:color w:val="auto"/>
              </w:rPr>
            </w:pPr>
            <w:r>
              <w:rPr>
                <w:rFonts w:ascii="Arial" w:cs="Arial" w:eastAsia="Arial" w:hAnsi="Arial"/>
                <w:sz w:val="13"/>
                <w:szCs w:val="13"/>
                <w:color w:val="auto"/>
              </w:rPr>
              <w:t>Other income, net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2"/>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Loss on debt extinguishment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8"/>
        </w:trPr>
        <w:tc>
          <w:tcPr>
            <w:tcW w:w="5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Interest expense</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w:t>
            </w:r>
          </w:p>
        </w:tc>
        <w:tc>
          <w:tcPr>
            <w:tcW w:w="0" w:type="dxa"/>
            <w:vAlign w:val="bottom"/>
          </w:tcPr>
          <w:p>
            <w:pPr>
              <w:spacing w:after="0"/>
              <w:rPr>
                <w:sz w:val="1"/>
                <w:szCs w:val="1"/>
                <w:color w:val="auto"/>
              </w:rPr>
            </w:pPr>
          </w:p>
        </w:tc>
      </w:tr>
      <w:tr>
        <w:trPr>
          <w:trHeight w:val="16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63"/>
        </w:trPr>
        <w:tc>
          <w:tcPr>
            <w:tcW w:w="506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Income (Loss) Attributable to Clearway Energy LLC</w:t>
            </w: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color w:val="auto"/>
          <w:vertAlign w:val="superscript"/>
        </w:rPr>
        <w:t>(a)</w:t>
      </w:r>
      <w:r>
        <w:rPr>
          <w:rFonts w:ascii="Arial" w:cs="Arial" w:eastAsia="Arial" w:hAnsi="Arial"/>
          <w:sz w:val="11"/>
          <w:szCs w:val="11"/>
          <w:color w:val="auto"/>
        </w:rPr>
        <w:t xml:space="preserve"> Includes eliminations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b w:val="1"/>
          <w:bCs w:val="1"/>
          <w:color w:val="auto"/>
        </w:rPr>
        <w:t>Note 13 — Related Party Transactions</w:t>
      </w:r>
    </w:p>
    <w:p>
      <w:pPr>
        <w:spacing w:after="0" w:line="14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O&amp;M Services Agreements by and between the Company and Clearway Renewable Operation &amp; Maintenance LLC</w:t>
      </w:r>
    </w:p>
    <w:p>
      <w:pPr>
        <w:spacing w:after="0" w:line="13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Various wholly-owned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$71 million, $56 million and $37 million for the years ended December 31, 2022, 2021 and 2020, respectively. There was a balance of $14 million and $9 million due to RENOM as of December 31, 2022 and 2021,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Administrative Services Agreements by and between the Company and CEG</w:t>
      </w:r>
    </w:p>
    <w:p>
      <w:pPr>
        <w:spacing w:after="0" w:line="136"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Various wholly-owned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$16 million, $14 million and $10 million for the years ended December 31, 2022, 2021 and 2020, respectively. There was a balance of $3 million and $2 million due to CEG as of December 31, 2022 and 2021,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CEG Master Services Agreements</w:t>
      </w:r>
    </w:p>
    <w:p>
      <w:pPr>
        <w:spacing w:after="0" w:line="13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3"/>
          <w:szCs w:val="13"/>
          <w:color w:val="auto"/>
        </w:rPr>
        <w:t>The Company is a party to Master Services Agreements with CEG, or MSAs, pursuant to which CEG and certain of its affiliates or third-party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of $5 million, $4 million and $2 million under these agreements for the years ended December 31, 2022, 2021 and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Commitments and Contingencies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Gas and Transportation Commitments</w:t>
      </w:r>
    </w:p>
    <w:p>
      <w:pPr>
        <w:spacing w:after="0" w:line="136"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Company has entered into contractual arrangements to procure power, fuel and associated transportation services for the Thermal Business. For the years ended December 31, 2022, 2021 and 2020, the Company purchased $20 million, $40 million, and $32 million, respectively, under such arrangements.</w:t>
      </w:r>
    </w:p>
    <w:p>
      <w:pPr>
        <w:spacing w:after="0" w:line="9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 xml:space="preserve">On May 1, 2022, the Company completed the sale of 100% of its interests in the Thermal Business to KKR. For further details of the Thermal Disposition, refer to Note 3, </w:t>
      </w:r>
      <w:r>
        <w:rPr>
          <w:rFonts w:ascii="Arial" w:cs="Arial" w:eastAsia="Arial" w:hAnsi="Arial"/>
          <w:sz w:val="14"/>
          <w:szCs w:val="14"/>
          <w:i w:val="1"/>
          <w:iCs w:val="1"/>
          <w:color w:val="auto"/>
        </w:rPr>
        <w:t>Acquisitions and</w:t>
      </w:r>
      <w:r>
        <w:rPr>
          <w:rFonts w:ascii="Arial" w:cs="Arial" w:eastAsia="Arial" w:hAnsi="Arial"/>
          <w:sz w:val="14"/>
          <w:szCs w:val="14"/>
          <w:color w:val="auto"/>
        </w:rPr>
        <w:t xml:space="preserve"> </w:t>
      </w:r>
      <w:r>
        <w:rPr>
          <w:rFonts w:ascii="Arial" w:cs="Arial" w:eastAsia="Arial" w:hAnsi="Arial"/>
          <w:sz w:val="14"/>
          <w:szCs w:val="14"/>
          <w:i w:val="1"/>
          <w:iCs w:val="1"/>
          <w:color w:val="auto"/>
        </w:rPr>
        <w:t>Dispositions.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Contingencies</w:t>
      </w:r>
    </w:p>
    <w:p>
      <w:pPr>
        <w:spacing w:after="0" w:line="140"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2"/>
          <w:szCs w:val="12"/>
          <w:color w:val="auto"/>
        </w:rPr>
        <w:t>The Company’s material legal proceeding is described below. The Company believes that it has a valid defense to this legal proceeding and intends to defend it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 below or reasonably estimate the scope or amount of any associated costs and potential liabilities. As additional information becomes available, management adjusts its assessment and estimate of the contingency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80"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auto"/>
        </w:rPr>
        <w:t>In addition to the legal proceeding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4" w:name="page125"/>
    <w:bookmarkEnd w:id="124"/>
    <w:p>
      <w:pPr>
        <w:ind w:left="320"/>
        <w:spacing w:after="0"/>
        <w:rPr>
          <w:sz w:val="20"/>
          <w:szCs w:val="20"/>
          <w:color w:val="auto"/>
        </w:rPr>
      </w:pPr>
      <w:r>
        <w:rPr>
          <w:rFonts w:ascii="Arial" w:cs="Arial" w:eastAsia="Arial" w:hAnsi="Arial"/>
          <w:sz w:val="14"/>
          <w:szCs w:val="14"/>
          <w:i w:val="1"/>
          <w:iCs w:val="1"/>
          <w:color w:val="auto"/>
        </w:rPr>
        <w:t>Buckthorn Solar Litigation</w:t>
      </w:r>
    </w:p>
    <w:p>
      <w:pPr>
        <w:spacing w:after="0" w:line="136"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2"/>
          <w:szCs w:val="12"/>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w:t>
      </w:r>
    </w:p>
    <w:p>
      <w:pPr>
        <w:spacing w:after="0" w:line="1" w:lineRule="exact"/>
        <w:rPr>
          <w:sz w:val="20"/>
          <w:szCs w:val="20"/>
          <w:color w:val="auto"/>
        </w:rPr>
      </w:pPr>
    </w:p>
    <w:p>
      <w:pPr>
        <w:ind w:firstLine="5"/>
        <w:spacing w:after="0" w:line="266" w:lineRule="auto"/>
        <w:tabs>
          <w:tab w:leader="none" w:pos="209" w:val="left"/>
        </w:tabs>
        <w:numPr>
          <w:ilvl w:val="0"/>
          <w:numId w:val="77"/>
        </w:numPr>
        <w:rPr>
          <w:rFonts w:ascii="Arial" w:cs="Arial" w:eastAsia="Arial" w:hAnsi="Arial"/>
          <w:sz w:val="14"/>
          <w:szCs w:val="14"/>
          <w:color w:val="auto"/>
        </w:rPr>
      </w:pPr>
      <w:r>
        <w:rPr>
          <w:rFonts w:ascii="Arial" w:cs="Arial" w:eastAsia="Arial" w:hAnsi="Arial"/>
          <w:sz w:val="14"/>
          <w:szCs w:val="14"/>
          <w:color w:val="auto"/>
        </w:rPr>
        <w:t>such other relief to which it is entitled at law or in equity. The case is currently in discovery and is expected to proceed to trial in June 2023. Buckthorn Westex believes the allegations of Georgetown are meritless, and Buckthorn Westex is vigorously defending its rights under the PPA.</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Note 15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Leases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Accounting for Leases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evaluates each arrangement at inception to determine if it contains a lease. Substantially all of the Company’s leases are operating leases.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Lessee</w:t>
      </w:r>
    </w:p>
    <w:p>
      <w:pPr>
        <w:spacing w:after="0" w:line="13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The Company records its operating lease liabilities at the present value of the lease payments over the lease term at lease commencement date. Lease payments include fixed payment amounts as well as variable rate payments based on an index initially measured at lease commencement date. Variable payments, including payments based on future performance and based on index changes, are recorded when the expense is probable.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89"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Company’s leases consist of land leases for numerous operating asset locations, real estate leases and equipment leases. The terms and conditions for these leases vary by the type of underlying asset.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60" w:type="dxa"/>
            <w:vAlign w:val="bottom"/>
            <w:gridSpan w:val="2"/>
          </w:tcPr>
          <w:p>
            <w:pPr>
              <w:jc w:val="right"/>
              <w:ind w:right="609"/>
              <w:spacing w:after="0"/>
              <w:rPr>
                <w:sz w:val="20"/>
                <w:szCs w:val="20"/>
                <w:color w:val="auto"/>
              </w:rPr>
            </w:pPr>
            <w:r>
              <w:rPr>
                <w:rFonts w:ascii="Arial" w:cs="Arial" w:eastAsia="Arial" w:hAnsi="Arial"/>
                <w:sz w:val="14"/>
                <w:szCs w:val="14"/>
                <w:color w:val="auto"/>
                <w:w w:val="95"/>
              </w:rPr>
              <w:t>Lease expense for the years ended December 31, 2022, 2021 and 2020 was comprised of the following:</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44"/>
        </w:trPr>
        <w:tc>
          <w:tcPr>
            <w:tcW w:w="52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660" w:type="dxa"/>
            <w:vAlign w:val="bottom"/>
          </w:tcPr>
          <w:p>
            <w:pPr>
              <w:jc w:val="right"/>
              <w:ind w:right="29"/>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2021</w:t>
            </w:r>
          </w:p>
        </w:tc>
        <w:tc>
          <w:tcPr>
            <w:tcW w:w="5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December 31, 2020</w:t>
            </w:r>
          </w:p>
        </w:tc>
      </w:tr>
      <w:tr>
        <w:trPr>
          <w:trHeight w:val="171"/>
        </w:trPr>
        <w:tc>
          <w:tcPr>
            <w:tcW w:w="5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Operating lease cost - Fixed</w:t>
            </w:r>
          </w:p>
        </w:tc>
        <w:tc>
          <w:tcPr>
            <w:tcW w:w="1660" w:type="dxa"/>
            <w:vAlign w:val="bottom"/>
            <w:tcBorders>
              <w:top w:val="single" w:sz="8" w:color="auto"/>
            </w:tcBorders>
            <w:shd w:val="clear" w:color="auto" w:fill="CCEEFF"/>
          </w:tcPr>
          <w:p>
            <w:pPr>
              <w:jc w:val="right"/>
              <w:ind w:right="1509"/>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80"/>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Operating lease cost - Variable</w:t>
            </w:r>
          </w:p>
        </w:tc>
        <w:tc>
          <w:tcPr>
            <w:tcW w:w="1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5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b w:val="1"/>
                <w:bCs w:val="1"/>
                <w:color w:val="auto"/>
              </w:rPr>
              <w:t>Total lease cost</w:t>
            </w:r>
          </w:p>
        </w:tc>
        <w:tc>
          <w:tcPr>
            <w:tcW w:w="1660" w:type="dxa"/>
            <w:vAlign w:val="bottom"/>
            <w:tcBorders>
              <w:bottom w:val="single" w:sz="8" w:color="auto"/>
            </w:tcBorders>
            <w:shd w:val="clear" w:color="auto" w:fill="CCEEFF"/>
          </w:tcPr>
          <w:p>
            <w:pPr>
              <w:jc w:val="right"/>
              <w:ind w:right="1509"/>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Operating lease information as of December 31, 2022 and 2021 was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ind w:left="20"/>
              <w:spacing w:after="0"/>
              <w:rPr>
                <w:sz w:val="20"/>
                <w:szCs w:val="20"/>
                <w:color w:val="auto"/>
              </w:rPr>
            </w:pPr>
            <w:r>
              <w:rPr>
                <w:rFonts w:ascii="Arial" w:cs="Arial" w:eastAsia="Arial" w:hAnsi="Arial"/>
                <w:sz w:val="11"/>
                <w:szCs w:val="11"/>
                <w:b w:val="1"/>
                <w:bCs w:val="1"/>
                <w:color w:val="auto"/>
              </w:rPr>
              <w:t>(In millions, except term and rate)</w:t>
            </w:r>
          </w:p>
        </w:tc>
        <w:tc>
          <w:tcPr>
            <w:tcW w:w="320" w:type="dxa"/>
            <w:vAlign w:val="bottom"/>
          </w:tcPr>
          <w:p>
            <w:pPr>
              <w:spacing w:after="0"/>
              <w:rPr>
                <w:sz w:val="16"/>
                <w:szCs w:val="16"/>
                <w:color w:val="auto"/>
              </w:rPr>
            </w:pPr>
          </w:p>
        </w:tc>
        <w:tc>
          <w:tcPr>
            <w:tcW w:w="20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2022</w:t>
            </w:r>
          </w:p>
        </w:tc>
        <w:tc>
          <w:tcPr>
            <w:tcW w:w="320" w:type="dxa"/>
            <w:vAlign w:val="bottom"/>
          </w:tcPr>
          <w:p>
            <w:pPr>
              <w:spacing w:after="0"/>
              <w:rPr>
                <w:sz w:val="16"/>
                <w:szCs w:val="16"/>
                <w:color w:val="auto"/>
              </w:rPr>
            </w:pPr>
          </w:p>
        </w:tc>
        <w:tc>
          <w:tcPr>
            <w:tcW w:w="1940" w:type="dxa"/>
            <w:vAlign w:val="bottom"/>
          </w:tcPr>
          <w:p>
            <w:pPr>
              <w:jc w:val="right"/>
              <w:ind w:right="489"/>
              <w:spacing w:after="0"/>
              <w:rPr>
                <w:sz w:val="20"/>
                <w:szCs w:val="20"/>
                <w:color w:val="auto"/>
              </w:rPr>
            </w:pPr>
            <w:r>
              <w:rPr>
                <w:rFonts w:ascii="Arial" w:cs="Arial" w:eastAsia="Arial" w:hAnsi="Arial"/>
                <w:sz w:val="14"/>
                <w:szCs w:val="14"/>
                <w:b w:val="1"/>
                <w:bCs w:val="1"/>
                <w:color w:val="auto"/>
              </w:rPr>
              <w:t>December 31, 2021</w:t>
            </w:r>
          </w:p>
        </w:tc>
      </w:tr>
      <w:tr>
        <w:trPr>
          <w:trHeight w:val="171"/>
        </w:trPr>
        <w:tc>
          <w:tcPr>
            <w:tcW w:w="6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Right-of-use assets - operating leases, net</w:t>
            </w: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9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527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9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550</w:t>
            </w:r>
          </w:p>
        </w:tc>
      </w:tr>
      <w:tr>
        <w:trPr>
          <w:trHeight w:val="107"/>
        </w:trPr>
        <w:tc>
          <w:tcPr>
            <w:tcW w:w="6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40" w:type="dxa"/>
            <w:vAlign w:val="bottom"/>
          </w:tcPr>
          <w:p>
            <w:pPr>
              <w:spacing w:after="0"/>
              <w:rPr>
                <w:sz w:val="9"/>
                <w:szCs w:val="9"/>
                <w:color w:val="auto"/>
              </w:rPr>
            </w:pPr>
          </w:p>
        </w:tc>
      </w:tr>
      <w:tr>
        <w:trPr>
          <w:trHeight w:val="180"/>
        </w:trPr>
        <w:tc>
          <w:tcPr>
            <w:tcW w:w="666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Short-term lease liability - operating leases </w:t>
            </w:r>
            <w:r>
              <w:rPr>
                <w:rFonts w:ascii="Arial" w:cs="Arial" w:eastAsia="Arial" w:hAnsi="Arial"/>
                <w:sz w:val="18"/>
                <w:szCs w:val="18"/>
                <w:color w:val="auto"/>
                <w:vertAlign w:val="superscript"/>
              </w:rPr>
              <w:t>(a)</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9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w:t>
            </w:r>
          </w:p>
        </w:tc>
      </w:tr>
      <w:tr>
        <w:trPr>
          <w:trHeight w:val="180"/>
        </w:trPr>
        <w:tc>
          <w:tcPr>
            <w:tcW w:w="6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Long-term lease liability - operating leases</w:t>
            </w: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548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561</w:t>
            </w:r>
          </w:p>
        </w:tc>
      </w:tr>
      <w:tr>
        <w:trPr>
          <w:trHeight w:val="196"/>
        </w:trPr>
        <w:tc>
          <w:tcPr>
            <w:tcW w:w="66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b w:val="1"/>
                <w:bCs w:val="1"/>
                <w:color w:val="auto"/>
              </w:rPr>
              <w:t>Total lease liabilities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554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9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569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6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40" w:type="dxa"/>
            <w:vAlign w:val="bottom"/>
          </w:tcPr>
          <w:p>
            <w:pPr>
              <w:spacing w:after="0"/>
              <w:rPr>
                <w:sz w:val="5"/>
                <w:szCs w:val="5"/>
                <w:color w:val="auto"/>
              </w:rPr>
            </w:pPr>
          </w:p>
        </w:tc>
      </w:tr>
      <w:tr>
        <w:trPr>
          <w:trHeight w:val="180"/>
        </w:trPr>
        <w:tc>
          <w:tcPr>
            <w:tcW w:w="6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 average remaining lease term (in years)</w:t>
            </w:r>
          </w:p>
        </w:tc>
        <w:tc>
          <w:tcPr>
            <w:tcW w:w="32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0"/>
        </w:trPr>
        <w:tc>
          <w:tcPr>
            <w:tcW w:w="6660" w:type="dxa"/>
            <w:vAlign w:val="bottom"/>
          </w:tcPr>
          <w:p>
            <w:pPr>
              <w:ind w:left="180"/>
              <w:spacing w:after="0"/>
              <w:rPr>
                <w:sz w:val="20"/>
                <w:szCs w:val="20"/>
                <w:color w:val="auto"/>
              </w:rPr>
            </w:pPr>
            <w:r>
              <w:rPr>
                <w:rFonts w:ascii="Arial" w:cs="Arial" w:eastAsia="Arial" w:hAnsi="Arial"/>
                <w:sz w:val="14"/>
                <w:szCs w:val="14"/>
                <w:color w:val="auto"/>
              </w:rPr>
              <w:t>Weighted average discount rate</w:t>
            </w:r>
          </w:p>
        </w:tc>
        <w:tc>
          <w:tcPr>
            <w:tcW w:w="32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3.5 %</w:t>
            </w:r>
          </w:p>
        </w:tc>
      </w:tr>
      <w:tr>
        <w:trPr>
          <w:trHeight w:val="127"/>
        </w:trPr>
        <w:tc>
          <w:tcPr>
            <w:tcW w:w="6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r>
      <w:tr>
        <w:trPr>
          <w:trHeight w:val="180"/>
        </w:trPr>
        <w:tc>
          <w:tcPr>
            <w:tcW w:w="6660" w:type="dxa"/>
            <w:vAlign w:val="bottom"/>
          </w:tcPr>
          <w:p>
            <w:pPr>
              <w:ind w:left="180"/>
              <w:spacing w:after="0"/>
              <w:rPr>
                <w:sz w:val="20"/>
                <w:szCs w:val="20"/>
                <w:color w:val="auto"/>
              </w:rPr>
            </w:pPr>
            <w:r>
              <w:rPr>
                <w:rFonts w:ascii="Arial" w:cs="Arial" w:eastAsia="Arial" w:hAnsi="Arial"/>
                <w:sz w:val="14"/>
                <w:szCs w:val="14"/>
                <w:color w:val="auto"/>
              </w:rPr>
              <w:t>Cash paid for operating leases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89"/>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940" w:type="dxa"/>
            <w:vAlign w:val="bottom"/>
          </w:tcPr>
          <w:p>
            <w:pPr>
              <w:jc w:val="right"/>
              <w:ind w:right="109"/>
              <w:spacing w:after="0"/>
              <w:rPr>
                <w:sz w:val="20"/>
                <w:szCs w:val="20"/>
                <w:color w:val="auto"/>
              </w:rPr>
            </w:pPr>
            <w:r>
              <w:rPr>
                <w:rFonts w:ascii="Arial" w:cs="Arial" w:eastAsia="Arial" w:hAnsi="Arial"/>
                <w:sz w:val="14"/>
                <w:szCs w:val="14"/>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81280</wp:posOffset>
            </wp:positionV>
            <wp:extent cx="138811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3" w:lineRule="exact"/>
        <w:rPr>
          <w:sz w:val="20"/>
          <w:szCs w:val="20"/>
          <w:color w:val="auto"/>
        </w:rPr>
      </w:pPr>
    </w:p>
    <w:p>
      <w:pPr>
        <w:ind w:left="180" w:hanging="111"/>
        <w:spacing w:after="0"/>
        <w:tabs>
          <w:tab w:leader="none" w:pos="180" w:val="left"/>
        </w:tabs>
        <w:numPr>
          <w:ilvl w:val="0"/>
          <w:numId w:val="78"/>
        </w:numPr>
        <w:rPr>
          <w:rFonts w:ascii="Arial" w:cs="Arial" w:eastAsia="Arial" w:hAnsi="Arial"/>
          <w:sz w:val="13"/>
          <w:szCs w:val="13"/>
          <w:color w:val="auto"/>
          <w:vertAlign w:val="superscript"/>
        </w:rPr>
      </w:pPr>
      <w:r>
        <w:rPr>
          <w:rFonts w:ascii="Arial" w:cs="Arial" w:eastAsia="Arial" w:hAnsi="Arial"/>
          <w:sz w:val="9"/>
          <w:szCs w:val="9"/>
          <w:color w:val="auto"/>
        </w:rPr>
        <w:t>Short-term lease liability balances are included within the accrued expenses and other current liabilities line item of the consolidated balance sheets as of December 31, 2022 and 2021.</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80"/>
        </w:trPr>
        <w:tc>
          <w:tcPr>
            <w:tcW w:w="9080" w:type="dxa"/>
            <w:vAlign w:val="bottom"/>
          </w:tcPr>
          <w:p>
            <w:pPr>
              <w:ind w:left="460"/>
              <w:spacing w:after="0"/>
              <w:rPr>
                <w:sz w:val="20"/>
                <w:szCs w:val="20"/>
                <w:color w:val="auto"/>
              </w:rPr>
            </w:pPr>
            <w:r>
              <w:rPr>
                <w:rFonts w:ascii="Arial" w:cs="Arial" w:eastAsia="Arial" w:hAnsi="Arial"/>
                <w:sz w:val="14"/>
                <w:szCs w:val="14"/>
                <w:color w:val="auto"/>
              </w:rPr>
              <w:t>Minimum future rental payments of operating lease liabilities as of December 31, 2022 are as follows:</w:t>
            </w:r>
          </w:p>
        </w:tc>
        <w:tc>
          <w:tcPr>
            <w:tcW w:w="4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4"/>
        </w:trPr>
        <w:tc>
          <w:tcPr>
            <w:tcW w:w="90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(In millions)</w:t>
            </w:r>
          </w:p>
        </w:tc>
      </w:tr>
      <w:tr>
        <w:trPr>
          <w:trHeight w:val="171"/>
        </w:trPr>
        <w:tc>
          <w:tcPr>
            <w:tcW w:w="9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2023</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0"/>
        </w:trPr>
        <w:tc>
          <w:tcPr>
            <w:tcW w:w="9080" w:type="dxa"/>
            <w:vAlign w:val="bottom"/>
          </w:tcPr>
          <w:p>
            <w:pPr>
              <w:ind w:left="180"/>
              <w:spacing w:after="0"/>
              <w:rPr>
                <w:sz w:val="20"/>
                <w:szCs w:val="20"/>
                <w:color w:val="auto"/>
              </w:rPr>
            </w:pPr>
            <w:r>
              <w:rPr>
                <w:rFonts w:ascii="Arial" w:cs="Arial" w:eastAsia="Arial" w:hAnsi="Arial"/>
                <w:sz w:val="14"/>
                <w:szCs w:val="14"/>
                <w:color w:val="auto"/>
              </w:rPr>
              <w:t>2024</w:t>
            </w:r>
          </w:p>
        </w:tc>
        <w:tc>
          <w:tcPr>
            <w:tcW w:w="4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1"/>
        </w:trPr>
        <w:tc>
          <w:tcPr>
            <w:tcW w:w="9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2025</w:t>
            </w:r>
          </w:p>
        </w:tc>
        <w:tc>
          <w:tcPr>
            <w:tcW w:w="42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80"/>
        </w:trPr>
        <w:tc>
          <w:tcPr>
            <w:tcW w:w="9080" w:type="dxa"/>
            <w:vAlign w:val="bottom"/>
          </w:tcPr>
          <w:p>
            <w:pPr>
              <w:ind w:left="180"/>
              <w:spacing w:after="0"/>
              <w:rPr>
                <w:sz w:val="20"/>
                <w:szCs w:val="20"/>
                <w:color w:val="auto"/>
              </w:rPr>
            </w:pPr>
            <w:r>
              <w:rPr>
                <w:rFonts w:ascii="Arial" w:cs="Arial" w:eastAsia="Arial" w:hAnsi="Arial"/>
                <w:sz w:val="14"/>
                <w:szCs w:val="14"/>
                <w:color w:val="auto"/>
              </w:rPr>
              <w:t>2026</w:t>
            </w:r>
          </w:p>
        </w:tc>
        <w:tc>
          <w:tcPr>
            <w:tcW w:w="4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81"/>
        </w:trPr>
        <w:tc>
          <w:tcPr>
            <w:tcW w:w="9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2027</w:t>
            </w:r>
          </w:p>
        </w:tc>
        <w:tc>
          <w:tcPr>
            <w:tcW w:w="42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0"/>
        </w:trPr>
        <w:tc>
          <w:tcPr>
            <w:tcW w:w="9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Thereafter</w:t>
            </w: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w:t>
            </w:r>
          </w:p>
        </w:tc>
      </w:tr>
      <w:tr>
        <w:trPr>
          <w:trHeight w:val="171"/>
        </w:trPr>
        <w:tc>
          <w:tcPr>
            <w:tcW w:w="9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lease payments</w:t>
            </w:r>
          </w:p>
        </w:tc>
        <w:tc>
          <w:tcPr>
            <w:tcW w:w="42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r>
      <w:tr>
        <w:trPr>
          <w:trHeight w:val="180"/>
        </w:trPr>
        <w:tc>
          <w:tcPr>
            <w:tcW w:w="90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Less imputed interest</w:t>
            </w: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w:t>
            </w:r>
          </w:p>
        </w:tc>
      </w:tr>
      <w:tr>
        <w:trPr>
          <w:trHeight w:val="196"/>
        </w:trPr>
        <w:tc>
          <w:tcPr>
            <w:tcW w:w="9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Total lease liability - operating leases</w:t>
            </w: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Mililani I Lease Agreement</w:t>
      </w:r>
    </w:p>
    <w:p>
      <w:pPr>
        <w:spacing w:after="0" w:line="115"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The Mililani I project is party to a land lease agreement with a wholly-owned subsidiary of CEG. The project is leasing the land for a period of 36 years. The Company has a lease liability of $20 million as of December 31, 2022 and a corresponding right-of-use asset of $19 million related to the lease as of December 31, 2022.</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Oahu Solar Lease Agreements</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Oahu Solar projects are party to various land lease agreements with a wholly-owned subsidiary of CEG. The projects are leasing the land for a period of 35 years, with the ability to renew the lease for two additional five-year periods. The Company has a lease liability of $20 million as of both December 31, 2022 and 2021 and a corresponding right-of-use asset related to the lease of $17 million and $18 million as of December 31, 2022 and 2021, respectively.</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Rosamond Central Lease Agreement</w:t>
      </w:r>
    </w:p>
    <w:p>
      <w:pPr>
        <w:spacing w:after="0" w:line="13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The Rosamond Central project is party to a land lease agreement with a wholly-owned subsidiary of CEG. The project is leasing the land for a period of 35 years, with the ability to renew the lease for two additional five-year periods. The Company has a lease liability of $12 million as of both December 31, 2022 and 2021 and a corresponding right-of-use asset of $11 million related to the lease as of both December 31, 2022 and 2021.</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Lessor</w:t>
      </w:r>
    </w:p>
    <w:p>
      <w:pPr>
        <w:spacing w:after="0" w:line="13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w:t>
      </w:r>
      <w:r>
        <w:rPr>
          <w:rFonts w:ascii="Arial" w:cs="Arial" w:eastAsia="Arial" w:hAnsi="Arial"/>
          <w:sz w:val="13"/>
          <w:szCs w:val="13"/>
          <w:i w:val="1"/>
          <w:iCs w:val="1"/>
          <w:color w:val="auto"/>
        </w:rPr>
        <w:t>Properties</w:t>
      </w:r>
      <w:r>
        <w:rPr>
          <w:rFonts w:ascii="Arial" w:cs="Arial" w:eastAsia="Arial" w:hAnsi="Arial"/>
          <w:sz w:val="13"/>
          <w:szCs w:val="13"/>
          <w:color w:val="auto"/>
        </w:rPr>
        <w:t xml:space="preserve"> of this Form 10-K. Many of the leases have renewal options at the end of the lease term. Termination may be allowed under specific circumstances in the lease arrangements, such as under an event of default. All of the Company’s active leases are operating leases. Certain of these leases have both lease and non-lease components, and the Company allocates the transaction price to the components based on standalone selling prices.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amounts of energy and capacity revenue are related to the Company’s operating leases: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3"/>
                <w:szCs w:val="13"/>
                <w:b w:val="1"/>
                <w:bCs w:val="1"/>
                <w:color w:val="auto"/>
                <w:w w:val="93"/>
              </w:rPr>
              <w:t>Conventional Generation</w:t>
            </w: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3"/>
                <w:szCs w:val="13"/>
                <w:b w:val="1"/>
                <w:bCs w:val="1"/>
                <w:color w:val="auto"/>
              </w:rPr>
              <w:t>Renewables</w:t>
            </w:r>
          </w:p>
        </w:tc>
        <w:tc>
          <w:tcPr>
            <w:tcW w:w="8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Thermal</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Total</w:t>
            </w:r>
          </w:p>
        </w:tc>
      </w:tr>
      <w:tr>
        <w:trPr>
          <w:trHeight w:val="16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December 31, 2022</w:t>
            </w: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w w:val="90"/>
              </w:rPr>
              <w:t>(In millions)</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73"/>
        </w:trPr>
        <w:tc>
          <w:tcPr>
            <w:tcW w:w="4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Energy revenue</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w:t>
            </w:r>
          </w:p>
        </w:tc>
      </w:tr>
      <w:tr>
        <w:trPr>
          <w:trHeight w:val="180"/>
        </w:trPr>
        <w:tc>
          <w:tcPr>
            <w:tcW w:w="4580" w:type="dxa"/>
            <w:vAlign w:val="bottom"/>
          </w:tcPr>
          <w:p>
            <w:pPr>
              <w:ind w:left="180"/>
              <w:spacing w:after="0"/>
              <w:rPr>
                <w:sz w:val="20"/>
                <w:szCs w:val="20"/>
                <w:color w:val="auto"/>
              </w:rPr>
            </w:pPr>
            <w:r>
              <w:rPr>
                <w:rFonts w:ascii="Arial" w:cs="Arial" w:eastAsia="Arial" w:hAnsi="Arial"/>
                <w:sz w:val="13"/>
                <w:szCs w:val="13"/>
                <w:color w:val="auto"/>
              </w:rPr>
              <w:t>Capacity revenue</w:t>
            </w:r>
          </w:p>
        </w:tc>
        <w:tc>
          <w:tcPr>
            <w:tcW w:w="1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435</w:t>
            </w:r>
          </w:p>
        </w:tc>
      </w:tr>
      <w:tr>
        <w:trPr>
          <w:trHeight w:val="186"/>
        </w:trPr>
        <w:tc>
          <w:tcPr>
            <w:tcW w:w="4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Operating revenue</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768"/>
        </w:trPr>
        <w:tc>
          <w:tcPr>
            <w:tcW w:w="4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right"/>
              <w:ind w:right="652"/>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7"/>
        </w:trPr>
        <w:tc>
          <w:tcPr>
            <w:tcW w:w="4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76" w:right="31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Conventional Generation</w:t>
            </w:r>
          </w:p>
        </w:tc>
        <w:tc>
          <w:tcPr>
            <w:tcW w:w="2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Renewables</w:t>
            </w:r>
          </w:p>
        </w:tc>
        <w:tc>
          <w:tcPr>
            <w:tcW w:w="8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Thermal</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Total</w:t>
            </w:r>
          </w:p>
        </w:tc>
      </w:tr>
      <w:tr>
        <w:trPr>
          <w:trHeight w:val="16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December 31, 2021</w:t>
            </w:r>
          </w:p>
        </w:tc>
        <w:tc>
          <w:tcPr>
            <w:tcW w:w="1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w w:val="90"/>
              </w:rPr>
              <w:t>(In millions)</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3"/>
        </w:trPr>
        <w:tc>
          <w:tcPr>
            <w:tcW w:w="4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Energy revenue</w:t>
            </w:r>
          </w:p>
        </w:tc>
        <w:tc>
          <w:tcPr>
            <w:tcW w:w="1640" w:type="dxa"/>
            <w:vAlign w:val="bottom"/>
            <w:shd w:val="clear" w:color="auto" w:fill="CCEEFF"/>
          </w:tcPr>
          <w:p>
            <w:pPr>
              <w:jc w:val="right"/>
              <w:ind w:right="1496"/>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w:t>
            </w:r>
          </w:p>
        </w:tc>
      </w:tr>
      <w:tr>
        <w:trPr>
          <w:trHeight w:val="168"/>
        </w:trPr>
        <w:tc>
          <w:tcPr>
            <w:tcW w:w="4580" w:type="dxa"/>
            <w:vAlign w:val="bottom"/>
          </w:tcPr>
          <w:p>
            <w:pPr>
              <w:ind w:left="180"/>
              <w:spacing w:after="0"/>
              <w:rPr>
                <w:sz w:val="20"/>
                <w:szCs w:val="20"/>
                <w:color w:val="auto"/>
              </w:rPr>
            </w:pPr>
            <w:r>
              <w:rPr>
                <w:rFonts w:ascii="Arial" w:cs="Arial" w:eastAsia="Arial" w:hAnsi="Arial"/>
                <w:sz w:val="13"/>
                <w:szCs w:val="13"/>
                <w:color w:val="auto"/>
              </w:rPr>
              <w:t>Capacity revenue</w:t>
            </w:r>
          </w:p>
        </w:tc>
        <w:tc>
          <w:tcPr>
            <w:tcW w:w="16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82"/>
              </w:rPr>
              <w:t>455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455</w:t>
            </w:r>
          </w:p>
        </w:tc>
      </w:tr>
      <w:tr>
        <w:trPr>
          <w:trHeight w:val="188"/>
        </w:trPr>
        <w:tc>
          <w:tcPr>
            <w:tcW w:w="4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Operating revenue</w:t>
            </w:r>
          </w:p>
        </w:tc>
        <w:tc>
          <w:tcPr>
            <w:tcW w:w="1640" w:type="dxa"/>
            <w:vAlign w:val="bottom"/>
            <w:tcBorders>
              <w:top w:val="single" w:sz="8" w:color="auto"/>
              <w:bottom w:val="single" w:sz="8" w:color="auto"/>
            </w:tcBorders>
            <w:shd w:val="clear" w:color="auto" w:fill="CCEEFF"/>
          </w:tcPr>
          <w:p>
            <w:pPr>
              <w:jc w:val="right"/>
              <w:ind w:right="1496"/>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464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Conventional Generation</w:t>
            </w:r>
          </w:p>
        </w:tc>
        <w:tc>
          <w:tcPr>
            <w:tcW w:w="2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Renewables</w:t>
            </w:r>
          </w:p>
        </w:tc>
        <w:tc>
          <w:tcPr>
            <w:tcW w:w="8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Thermal</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Total</w:t>
            </w:r>
          </w:p>
        </w:tc>
      </w:tr>
      <w:tr>
        <w:trPr>
          <w:trHeight w:val="16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December 31, 2020</w:t>
            </w:r>
          </w:p>
        </w:tc>
        <w:tc>
          <w:tcPr>
            <w:tcW w:w="1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w w:val="90"/>
              </w:rPr>
              <w:t>(In millions)</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3"/>
        </w:trPr>
        <w:tc>
          <w:tcPr>
            <w:tcW w:w="4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Energy revenue</w:t>
            </w:r>
          </w:p>
        </w:tc>
        <w:tc>
          <w:tcPr>
            <w:tcW w:w="1640" w:type="dxa"/>
            <w:vAlign w:val="bottom"/>
            <w:shd w:val="clear" w:color="auto" w:fill="CCEEFF"/>
          </w:tcPr>
          <w:p>
            <w:pPr>
              <w:jc w:val="right"/>
              <w:ind w:right="1496"/>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w:t>
            </w:r>
          </w:p>
        </w:tc>
      </w:tr>
      <w:tr>
        <w:trPr>
          <w:trHeight w:val="168"/>
        </w:trPr>
        <w:tc>
          <w:tcPr>
            <w:tcW w:w="4580" w:type="dxa"/>
            <w:vAlign w:val="bottom"/>
          </w:tcPr>
          <w:p>
            <w:pPr>
              <w:ind w:left="180"/>
              <w:spacing w:after="0"/>
              <w:rPr>
                <w:sz w:val="20"/>
                <w:szCs w:val="20"/>
                <w:color w:val="auto"/>
              </w:rPr>
            </w:pPr>
            <w:r>
              <w:rPr>
                <w:rFonts w:ascii="Arial" w:cs="Arial" w:eastAsia="Arial" w:hAnsi="Arial"/>
                <w:sz w:val="13"/>
                <w:szCs w:val="13"/>
                <w:color w:val="auto"/>
              </w:rPr>
              <w:t>Capacity revenue</w:t>
            </w:r>
          </w:p>
        </w:tc>
        <w:tc>
          <w:tcPr>
            <w:tcW w:w="16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82"/>
              </w:rPr>
              <w:t>451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451</w:t>
            </w:r>
          </w:p>
        </w:tc>
      </w:tr>
      <w:tr>
        <w:trPr>
          <w:trHeight w:val="188"/>
        </w:trPr>
        <w:tc>
          <w:tcPr>
            <w:tcW w:w="4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Operating revenue</w:t>
            </w:r>
          </w:p>
        </w:tc>
        <w:tc>
          <w:tcPr>
            <w:tcW w:w="1640" w:type="dxa"/>
            <w:vAlign w:val="bottom"/>
            <w:tcBorders>
              <w:top w:val="single" w:sz="8" w:color="auto"/>
              <w:bottom w:val="single" w:sz="8" w:color="auto"/>
            </w:tcBorders>
            <w:shd w:val="clear" w:color="auto" w:fill="CCEEFF"/>
          </w:tcPr>
          <w:p>
            <w:pPr>
              <w:jc w:val="right"/>
              <w:ind w:right="1496"/>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461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Minimum future rent payments for the remaining periods related to the Conventional segment operating leases as of December 31, 2022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71"/>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80" w:type="dxa"/>
            <w:vAlign w:val="bottom"/>
          </w:tcPr>
          <w:p>
            <w:pPr>
              <w:ind w:left="20"/>
              <w:spacing w:after="0"/>
              <w:rPr>
                <w:sz w:val="20"/>
                <w:szCs w:val="20"/>
                <w:color w:val="auto"/>
              </w:rPr>
            </w:pPr>
            <w:r>
              <w:rPr>
                <w:rFonts w:ascii="Arial" w:cs="Arial" w:eastAsia="Arial" w:hAnsi="Arial"/>
                <w:sz w:val="14"/>
                <w:szCs w:val="14"/>
                <w:color w:val="auto"/>
              </w:rPr>
              <w:t>2024</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Pr>
          <w:p>
            <w:pPr>
              <w:ind w:left="20"/>
              <w:spacing w:after="0"/>
              <w:rPr>
                <w:sz w:val="20"/>
                <w:szCs w:val="20"/>
                <w:color w:val="auto"/>
              </w:rPr>
            </w:pPr>
            <w:r>
              <w:rPr>
                <w:rFonts w:ascii="Arial" w:cs="Arial" w:eastAsia="Arial" w:hAnsi="Arial"/>
                <w:sz w:val="14"/>
                <w:szCs w:val="14"/>
                <w:color w:val="auto"/>
              </w:rPr>
              <w:t>2026</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lease payments</w:t>
            </w:r>
          </w:p>
        </w:tc>
        <w:tc>
          <w:tcPr>
            <w:tcW w:w="2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4"/>
                <w:szCs w:val="14"/>
                <w:color w:val="auto"/>
              </w:rPr>
              <w:t>Property, plant and equipment, net related to the Company’s operating leases were as follows:</w:t>
            </w: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680" w:type="dxa"/>
            <w:vAlign w:val="bottom"/>
          </w:tcPr>
          <w:p>
            <w:pPr>
              <w:ind w:left="20"/>
              <w:spacing w:after="0"/>
              <w:rPr>
                <w:sz w:val="20"/>
                <w:szCs w:val="20"/>
                <w:color w:val="auto"/>
              </w:rPr>
            </w:pPr>
            <w:r>
              <w:rPr>
                <w:rFonts w:ascii="Arial" w:cs="Arial" w:eastAsia="Arial" w:hAnsi="Arial"/>
                <w:sz w:val="11"/>
                <w:szCs w:val="11"/>
                <w:b w:val="1"/>
                <w:bCs w:val="1"/>
                <w:color w:val="auto"/>
              </w:rPr>
              <w:t>(In millions)</w:t>
            </w:r>
          </w:p>
        </w:tc>
        <w:tc>
          <w:tcPr>
            <w:tcW w:w="220" w:type="dxa"/>
            <w:vAlign w:val="bottom"/>
          </w:tcPr>
          <w:p>
            <w:pPr>
              <w:spacing w:after="0"/>
              <w:rPr>
                <w:sz w:val="20"/>
                <w:szCs w:val="20"/>
                <w:color w:val="auto"/>
              </w:rPr>
            </w:pPr>
          </w:p>
        </w:tc>
        <w:tc>
          <w:tcPr>
            <w:tcW w:w="162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w w:val="99"/>
              </w:rPr>
              <w:t>December 31, 2022</w:t>
            </w:r>
          </w:p>
        </w:tc>
        <w:tc>
          <w:tcPr>
            <w:tcW w:w="22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 2021</w:t>
            </w:r>
          </w:p>
        </w:tc>
        <w:tc>
          <w:tcPr>
            <w:tcW w:w="0" w:type="dxa"/>
            <w:vAlign w:val="bottom"/>
          </w:tcPr>
          <w:p>
            <w:pPr>
              <w:spacing w:after="0"/>
              <w:rPr>
                <w:sz w:val="1"/>
                <w:szCs w:val="1"/>
                <w:color w:val="auto"/>
              </w:rPr>
            </w:pPr>
          </w:p>
        </w:tc>
      </w:tr>
      <w:tr>
        <w:trPr>
          <w:trHeight w:val="173"/>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center"/>
              <w:ind w:left="1091"/>
              <w:spacing w:after="0"/>
              <w:rPr>
                <w:sz w:val="20"/>
                <w:szCs w:val="20"/>
                <w:color w:val="auto"/>
              </w:rPr>
            </w:pPr>
            <w:r>
              <w:rPr>
                <w:rFonts w:ascii="Arial" w:cs="Arial" w:eastAsia="Arial" w:hAnsi="Arial"/>
                <w:sz w:val="14"/>
                <w:szCs w:val="14"/>
                <w:color w:val="auto"/>
                <w:w w:val="91"/>
              </w:rPr>
              <w:t>8,630</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center"/>
              <w:ind w:left="1010"/>
              <w:spacing w:after="0"/>
              <w:rPr>
                <w:sz w:val="20"/>
                <w:szCs w:val="20"/>
                <w:color w:val="auto"/>
              </w:rPr>
            </w:pPr>
            <w:r>
              <w:rPr>
                <w:rFonts w:ascii="Arial" w:cs="Arial" w:eastAsia="Arial" w:hAnsi="Arial"/>
                <w:sz w:val="14"/>
                <w:szCs w:val="14"/>
                <w:color w:val="auto"/>
                <w:w w:val="91"/>
              </w:rPr>
              <w:t>8,981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depreciation</w:t>
            </w: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left="1011"/>
              <w:spacing w:after="0"/>
              <w:rPr>
                <w:sz w:val="20"/>
                <w:szCs w:val="20"/>
                <w:color w:val="auto"/>
              </w:rPr>
            </w:pPr>
            <w:r>
              <w:rPr>
                <w:rFonts w:ascii="Arial" w:cs="Arial" w:eastAsia="Arial" w:hAnsi="Arial"/>
                <w:sz w:val="14"/>
                <w:szCs w:val="14"/>
                <w:color w:val="auto"/>
                <w:w w:val="90"/>
              </w:rPr>
              <w:t>(2,855)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left="990"/>
              <w:spacing w:after="0"/>
              <w:rPr>
                <w:sz w:val="20"/>
                <w:szCs w:val="20"/>
                <w:color w:val="auto"/>
              </w:rPr>
            </w:pPr>
            <w:r>
              <w:rPr>
                <w:rFonts w:ascii="Arial" w:cs="Arial" w:eastAsia="Arial" w:hAnsi="Arial"/>
                <w:sz w:val="14"/>
                <w:szCs w:val="14"/>
                <w:color w:val="auto"/>
                <w:w w:val="94"/>
              </w:rPr>
              <w:t>(2,827)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property, plant and equipment</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center"/>
              <w:ind w:left="1091"/>
              <w:spacing w:after="0"/>
              <w:rPr>
                <w:sz w:val="20"/>
                <w:szCs w:val="20"/>
                <w:color w:val="auto"/>
              </w:rPr>
            </w:pPr>
            <w:r>
              <w:rPr>
                <w:rFonts w:ascii="Arial" w:cs="Arial" w:eastAsia="Arial" w:hAnsi="Arial"/>
                <w:sz w:val="14"/>
                <w:szCs w:val="14"/>
                <w:b w:val="1"/>
                <w:bCs w:val="1"/>
                <w:color w:val="auto"/>
                <w:w w:val="91"/>
              </w:rPr>
              <w:t>5,775</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center"/>
              <w:ind w:left="1010"/>
              <w:spacing w:after="0"/>
              <w:rPr>
                <w:sz w:val="20"/>
                <w:szCs w:val="20"/>
                <w:color w:val="auto"/>
              </w:rPr>
            </w:pPr>
            <w:r>
              <w:rPr>
                <w:rFonts w:ascii="Arial" w:cs="Arial" w:eastAsia="Arial" w:hAnsi="Arial"/>
                <w:sz w:val="14"/>
                <w:szCs w:val="14"/>
                <w:color w:val="auto"/>
                <w:w w:val="91"/>
              </w:rPr>
              <w:t>6,154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3820" w:type="dxa"/>
            <w:vAlign w:val="bottom"/>
            <w:gridSpan w:val="2"/>
            <w:vMerge w:val="restart"/>
          </w:tcPr>
          <w:p>
            <w:pPr>
              <w:jc w:val="center"/>
              <w:ind w:left="109"/>
              <w:spacing w:after="0"/>
              <w:rPr>
                <w:sz w:val="20"/>
                <w:szCs w:val="20"/>
                <w:color w:val="auto"/>
              </w:rPr>
            </w:pPr>
            <w:r>
              <w:rPr>
                <w:rFonts w:ascii="Arial" w:cs="Arial" w:eastAsia="Arial" w:hAnsi="Arial"/>
                <w:sz w:val="14"/>
                <w:szCs w:val="14"/>
                <w:b w:val="1"/>
                <w:bCs w:val="1"/>
                <w:color w:val="auto"/>
                <w:w w:val="95"/>
              </w:rPr>
              <w:t>Clearway Energy LLC (Parent)</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ind w:left="360"/>
              <w:spacing w:after="0"/>
              <w:rPr>
                <w:sz w:val="20"/>
                <w:szCs w:val="20"/>
                <w:color w:val="auto"/>
              </w:rPr>
            </w:pPr>
            <w:r>
              <w:rPr>
                <w:rFonts w:ascii="Arial" w:cs="Arial" w:eastAsia="Arial" w:hAnsi="Arial"/>
                <w:sz w:val="14"/>
                <w:szCs w:val="14"/>
                <w:b w:val="1"/>
                <w:bCs w:val="1"/>
                <w:color w:val="auto"/>
                <w:w w:val="85"/>
              </w:rPr>
              <w:t>Schedule I</w:t>
            </w: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382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640" w:type="dxa"/>
            <w:vAlign w:val="bottom"/>
          </w:tcPr>
          <w:p>
            <w:pPr>
              <w:spacing w:after="0"/>
              <w:rPr>
                <w:sz w:val="14"/>
                <w:szCs w:val="14"/>
                <w:color w:val="auto"/>
              </w:rPr>
            </w:pPr>
          </w:p>
        </w:tc>
        <w:tc>
          <w:tcPr>
            <w:tcW w:w="3820" w:type="dxa"/>
            <w:vAlign w:val="bottom"/>
            <w:gridSpan w:val="2"/>
          </w:tcPr>
          <w:p>
            <w:pPr>
              <w:jc w:val="center"/>
              <w:ind w:left="129"/>
              <w:spacing w:after="0"/>
              <w:rPr>
                <w:sz w:val="20"/>
                <w:szCs w:val="20"/>
                <w:color w:val="auto"/>
              </w:rPr>
            </w:pPr>
            <w:r>
              <w:rPr>
                <w:rFonts w:ascii="Arial" w:cs="Arial" w:eastAsia="Arial" w:hAnsi="Arial"/>
                <w:sz w:val="14"/>
                <w:szCs w:val="14"/>
                <w:b w:val="1"/>
                <w:bCs w:val="1"/>
                <w:color w:val="auto"/>
                <w:w w:val="91"/>
              </w:rPr>
              <w:t>Condensed Financial Information of Registrant</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6"/>
                <w:szCs w:val="16"/>
                <w:color w:val="auto"/>
              </w:rPr>
            </w:pPr>
          </w:p>
        </w:tc>
        <w:tc>
          <w:tcPr>
            <w:tcW w:w="3820" w:type="dxa"/>
            <w:vAlign w:val="bottom"/>
            <w:gridSpan w:val="2"/>
          </w:tcPr>
          <w:p>
            <w:pPr>
              <w:jc w:val="center"/>
              <w:ind w:left="109"/>
              <w:spacing w:after="0"/>
              <w:rPr>
                <w:sz w:val="20"/>
                <w:szCs w:val="20"/>
                <w:color w:val="auto"/>
              </w:rPr>
            </w:pPr>
            <w:r>
              <w:rPr>
                <w:rFonts w:ascii="Arial" w:cs="Arial" w:eastAsia="Arial" w:hAnsi="Arial"/>
                <w:sz w:val="14"/>
                <w:szCs w:val="14"/>
                <w:b w:val="1"/>
                <w:bCs w:val="1"/>
                <w:color w:val="auto"/>
                <w:w w:val="88"/>
              </w:rPr>
              <w:t>Condensed Statements of Income</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3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5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2022</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77"/>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operating costs and expenses</w:t>
            </w:r>
          </w:p>
        </w:tc>
        <w:tc>
          <w:tcPr>
            <w:tcW w:w="35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640" w:type="dxa"/>
            <w:vAlign w:val="bottom"/>
          </w:tcPr>
          <w:p>
            <w:pPr>
              <w:ind w:left="120"/>
              <w:spacing w:after="0"/>
              <w:rPr>
                <w:sz w:val="20"/>
                <w:szCs w:val="20"/>
                <w:color w:val="auto"/>
              </w:rPr>
            </w:pPr>
            <w:r>
              <w:rPr>
                <w:rFonts w:ascii="Arial" w:cs="Arial" w:eastAsia="Arial" w:hAnsi="Arial"/>
                <w:sz w:val="14"/>
                <w:szCs w:val="14"/>
                <w:color w:val="auto"/>
              </w:rPr>
              <w:t>Equity in earnings of consolidated affiliates</w:t>
            </w:r>
          </w:p>
        </w:tc>
        <w:tc>
          <w:tcPr>
            <w:tcW w:w="3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1,379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78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1"/>
        </w:trPr>
        <w:tc>
          <w:tcPr>
            <w:tcW w:w="3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income</w:t>
            </w:r>
          </w:p>
        </w:tc>
        <w:tc>
          <w:tcPr>
            <w:tcW w:w="3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other income</w:t>
            </w:r>
          </w:p>
        </w:tc>
        <w:tc>
          <w:tcPr>
            <w:tcW w:w="35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1,389</w:t>
            </w:r>
          </w:p>
        </w:tc>
        <w:tc>
          <w:tcPr>
            <w:tcW w:w="12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Clearway Energy LLC</w:t>
            </w:r>
          </w:p>
        </w:tc>
        <w:tc>
          <w:tcPr>
            <w:tcW w:w="35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84"/>
        </w:trPr>
        <w:tc>
          <w:tcPr>
            <w:tcW w:w="8400" w:type="dxa"/>
            <w:vAlign w:val="bottom"/>
            <w:vMerge w:val="restart"/>
          </w:tcPr>
          <w:p>
            <w:pPr>
              <w:ind w:left="4660"/>
              <w:spacing w:after="0"/>
              <w:rPr>
                <w:sz w:val="20"/>
                <w:szCs w:val="20"/>
                <w:color w:val="auto"/>
              </w:rPr>
            </w:pPr>
            <w:r>
              <w:rPr>
                <w:rFonts w:ascii="Arial" w:cs="Arial" w:eastAsia="Arial" w:hAnsi="Arial"/>
                <w:sz w:val="14"/>
                <w:szCs w:val="14"/>
                <w:b w:val="1"/>
                <w:bCs w:val="1"/>
                <w:color w:val="auto"/>
              </w:rPr>
              <w:t>Clearway Energy LLC (Parent)</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Schedule I</w:t>
            </w:r>
          </w:p>
        </w:tc>
        <w:tc>
          <w:tcPr>
            <w:tcW w:w="0" w:type="dxa"/>
            <w:vAlign w:val="bottom"/>
          </w:tcPr>
          <w:p>
            <w:pPr>
              <w:spacing w:after="0"/>
              <w:rPr>
                <w:sz w:val="1"/>
                <w:szCs w:val="1"/>
                <w:color w:val="auto"/>
              </w:rPr>
            </w:pPr>
          </w:p>
        </w:tc>
      </w:tr>
      <w:tr>
        <w:trPr>
          <w:trHeight w:val="156"/>
        </w:trPr>
        <w:tc>
          <w:tcPr>
            <w:tcW w:w="84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400" w:type="dxa"/>
            <w:vAlign w:val="bottom"/>
          </w:tcPr>
          <w:p>
            <w:pPr>
              <w:ind w:left="4820"/>
              <w:spacing w:after="0"/>
              <w:rPr>
                <w:sz w:val="20"/>
                <w:szCs w:val="20"/>
                <w:color w:val="auto"/>
              </w:rPr>
            </w:pPr>
            <w:r>
              <w:rPr>
                <w:rFonts w:ascii="Arial" w:cs="Arial" w:eastAsia="Arial" w:hAnsi="Arial"/>
                <w:sz w:val="14"/>
                <w:szCs w:val="14"/>
                <w:b w:val="1"/>
                <w:bCs w:val="1"/>
                <w:color w:val="auto"/>
              </w:rPr>
              <w:t>Condensed Balance Sheets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8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December 31,</w:t>
            </w:r>
          </w:p>
        </w:tc>
        <w:tc>
          <w:tcPr>
            <w:tcW w:w="300" w:type="dxa"/>
            <w:vAlign w:val="bottom"/>
          </w:tcPr>
          <w:p>
            <w:pPr>
              <w:spacing w:after="0"/>
              <w:rPr>
                <w:sz w:val="24"/>
                <w:szCs w:val="24"/>
                <w:color w:val="auto"/>
              </w:rPr>
            </w:pPr>
          </w:p>
        </w:tc>
        <w:tc>
          <w:tcPr>
            <w:tcW w:w="1080" w:type="dxa"/>
            <w:vAlign w:val="bottom"/>
          </w:tcPr>
          <w:p>
            <w:pPr>
              <w:jc w:val="right"/>
              <w:ind w:right="291"/>
              <w:spacing w:after="0"/>
              <w:rPr>
                <w:sz w:val="20"/>
                <w:szCs w:val="20"/>
                <w:color w:val="auto"/>
              </w:rPr>
            </w:pPr>
            <w:r>
              <w:rPr>
                <w:rFonts w:ascii="Arial" w:cs="Arial" w:eastAsia="Arial" w:hAnsi="Arial"/>
                <w:sz w:val="11"/>
                <w:szCs w:val="11"/>
                <w:b w:val="1"/>
                <w:bCs w:val="1"/>
                <w:color w:val="auto"/>
                <w:w w:val="97"/>
              </w:rPr>
              <w:t>December 31,</w:t>
            </w:r>
          </w:p>
        </w:tc>
        <w:tc>
          <w:tcPr>
            <w:tcW w:w="0" w:type="dxa"/>
            <w:vAlign w:val="bottom"/>
          </w:tcPr>
          <w:p>
            <w:pPr>
              <w:spacing w:after="0"/>
              <w:rPr>
                <w:sz w:val="1"/>
                <w:szCs w:val="1"/>
                <w:color w:val="auto"/>
              </w:rPr>
            </w:pPr>
          </w:p>
        </w:tc>
      </w:tr>
      <w:tr>
        <w:trPr>
          <w:trHeight w:val="169"/>
        </w:trPr>
        <w:tc>
          <w:tcPr>
            <w:tcW w:w="8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66"/>
        </w:trPr>
        <w:tc>
          <w:tcPr>
            <w:tcW w:w="8400" w:type="dxa"/>
            <w:vAlign w:val="bottom"/>
          </w:tcPr>
          <w:p>
            <w:pPr>
              <w:ind w:left="394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1"/>
                <w:szCs w:val="11"/>
                <w:b w:val="1"/>
                <w:bCs w:val="1"/>
                <w:color w:val="auto"/>
              </w:rPr>
              <w:t>(In millions)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40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0"/>
        </w:trPr>
        <w:tc>
          <w:tcPr>
            <w:tcW w:w="8400" w:type="dxa"/>
            <w:vAlign w:val="bottom"/>
          </w:tcPr>
          <w:p>
            <w:pPr>
              <w:ind w:left="16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Assets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Investment in consolidated subsidiaries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1,497</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900"/>
              <w:spacing w:after="0"/>
              <w:rPr>
                <w:sz w:val="20"/>
                <w:szCs w:val="20"/>
                <w:color w:val="auto"/>
              </w:rPr>
            </w:pPr>
            <w:r>
              <w:rPr>
                <w:rFonts w:ascii="Arial" w:cs="Arial" w:eastAsia="Arial" w:hAnsi="Arial"/>
                <w:sz w:val="14"/>
                <w:szCs w:val="14"/>
                <w:b w:val="1"/>
                <w:bCs w:val="1"/>
                <w:color w:val="auto"/>
              </w:rPr>
              <w:t>LIABILITIES AND MEMBERS’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4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Current Liabilities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60"/>
              <w:spacing w:after="0"/>
              <w:rPr>
                <w:sz w:val="20"/>
                <w:szCs w:val="20"/>
                <w:color w:val="auto"/>
              </w:rPr>
            </w:pPr>
            <w:r>
              <w:rPr>
                <w:rFonts w:ascii="Arial" w:cs="Arial" w:eastAsia="Arial" w:hAnsi="Arial"/>
                <w:sz w:val="14"/>
                <w:szCs w:val="14"/>
                <w:color w:val="auto"/>
              </w:rPr>
              <w:t>Accounts payable — affiliates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Liabilities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non-current liabilities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0"/>
        </w:trPr>
        <w:tc>
          <w:tcPr>
            <w:tcW w:w="8400" w:type="dxa"/>
            <w:vAlign w:val="bottom"/>
          </w:tcPr>
          <w:p>
            <w:pPr>
              <w:spacing w:after="0"/>
              <w:rPr>
                <w:sz w:val="20"/>
                <w:szCs w:val="20"/>
                <w:color w:val="auto"/>
              </w:rPr>
            </w:pPr>
            <w:r>
              <w:rPr>
                <w:rFonts w:ascii="Arial" w:cs="Arial" w:eastAsia="Arial" w:hAnsi="Arial"/>
                <w:sz w:val="14"/>
                <w:szCs w:val="14"/>
                <w:b w:val="1"/>
                <w:bCs w:val="1"/>
                <w:color w:val="auto"/>
              </w:rPr>
              <w:t>Commitments and Contingencies</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Members’ Equity</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Arial" w:cs="Arial" w:eastAsia="Arial" w:hAnsi="Arial"/>
                <w:sz w:val="14"/>
                <w:szCs w:val="14"/>
                <w:color w:val="auto"/>
              </w:rPr>
              <w:t>Contributed capital</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Retained earnings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Accumulated other comprehensive income (loss)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Members’ Equity</w:t>
            </w: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1,525</w:t>
            </w:r>
          </w:p>
        </w:tc>
        <w:tc>
          <w:tcPr>
            <w:tcW w:w="0" w:type="dxa"/>
            <w:vAlign w:val="bottom"/>
          </w:tcPr>
          <w:p>
            <w:pPr>
              <w:spacing w:after="0"/>
              <w:rPr>
                <w:sz w:val="1"/>
                <w:szCs w:val="1"/>
                <w:color w:val="auto"/>
              </w:rPr>
            </w:pPr>
          </w:p>
        </w:tc>
      </w:tr>
      <w:tr>
        <w:trPr>
          <w:trHeight w:val="171"/>
        </w:trPr>
        <w:tc>
          <w:tcPr>
            <w:tcW w:w="8400" w:type="dxa"/>
            <w:vAlign w:val="bottom"/>
          </w:tcPr>
          <w:p>
            <w:pPr>
              <w:spacing w:after="0"/>
              <w:rPr>
                <w:sz w:val="20"/>
                <w:szCs w:val="20"/>
                <w:color w:val="auto"/>
              </w:rPr>
            </w:pPr>
            <w:r>
              <w:rPr>
                <w:rFonts w:ascii="Arial" w:cs="Arial" w:eastAsia="Arial" w:hAnsi="Arial"/>
                <w:sz w:val="14"/>
                <w:szCs w:val="14"/>
                <w:b w:val="1"/>
                <w:bCs w:val="1"/>
                <w:color w:val="auto"/>
              </w:rPr>
              <w:t>Total Liabilities and Members’ Equity</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2,571</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condensed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30" w:right="3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ind w:left="400"/>
              <w:spacing w:after="0"/>
              <w:rPr>
                <w:sz w:val="20"/>
                <w:szCs w:val="20"/>
                <w:color w:val="auto"/>
              </w:rPr>
            </w:pPr>
            <w:r>
              <w:rPr>
                <w:rFonts w:ascii="Arial" w:cs="Arial" w:eastAsia="Arial" w:hAnsi="Arial"/>
                <w:sz w:val="14"/>
                <w:szCs w:val="14"/>
                <w:b w:val="1"/>
                <w:bCs w:val="1"/>
                <w:color w:val="auto"/>
                <w:w w:val="85"/>
              </w:rPr>
              <w:t>Schedule I</w:t>
            </w:r>
          </w:p>
        </w:tc>
      </w:tr>
      <w:tr>
        <w:trPr>
          <w:trHeight w:val="219"/>
        </w:trPr>
        <w:tc>
          <w:tcPr>
            <w:tcW w:w="4300" w:type="dxa"/>
            <w:vAlign w:val="bottom"/>
          </w:tcPr>
          <w:p>
            <w:pPr>
              <w:spacing w:after="0"/>
              <w:rPr>
                <w:sz w:val="19"/>
                <w:szCs w:val="19"/>
                <w:color w:val="auto"/>
              </w:rPr>
            </w:pPr>
          </w:p>
        </w:tc>
        <w:tc>
          <w:tcPr>
            <w:tcW w:w="3700" w:type="dxa"/>
            <w:vAlign w:val="bottom"/>
            <w:gridSpan w:val="2"/>
          </w:tcPr>
          <w:p>
            <w:pPr>
              <w:jc w:val="right"/>
              <w:ind w:right="1356"/>
              <w:spacing w:after="0"/>
              <w:rPr>
                <w:sz w:val="20"/>
                <w:szCs w:val="20"/>
                <w:color w:val="auto"/>
              </w:rPr>
            </w:pPr>
            <w:r>
              <w:rPr>
                <w:rFonts w:ascii="Arial" w:cs="Arial" w:eastAsia="Arial" w:hAnsi="Arial"/>
                <w:sz w:val="14"/>
                <w:szCs w:val="14"/>
                <w:b w:val="1"/>
                <w:bCs w:val="1"/>
                <w:color w:val="auto"/>
              </w:rPr>
              <w:t>Clearway Energy LLC (Parent)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4"/>
        </w:trPr>
        <w:tc>
          <w:tcPr>
            <w:tcW w:w="4300" w:type="dxa"/>
            <w:vAlign w:val="bottom"/>
          </w:tcPr>
          <w:p>
            <w:pPr>
              <w:spacing w:after="0"/>
              <w:rPr>
                <w:sz w:val="16"/>
                <w:szCs w:val="16"/>
                <w:color w:val="auto"/>
              </w:rPr>
            </w:pPr>
          </w:p>
        </w:tc>
        <w:tc>
          <w:tcPr>
            <w:tcW w:w="3700" w:type="dxa"/>
            <w:vAlign w:val="bottom"/>
            <w:gridSpan w:val="2"/>
          </w:tcPr>
          <w:p>
            <w:pPr>
              <w:jc w:val="right"/>
              <w:ind w:right="1176"/>
              <w:spacing w:after="0"/>
              <w:rPr>
                <w:sz w:val="20"/>
                <w:szCs w:val="20"/>
                <w:color w:val="auto"/>
              </w:rPr>
            </w:pPr>
            <w:r>
              <w:rPr>
                <w:rFonts w:ascii="Arial" w:cs="Arial" w:eastAsia="Arial" w:hAnsi="Arial"/>
                <w:sz w:val="14"/>
                <w:szCs w:val="14"/>
                <w:b w:val="1"/>
                <w:bCs w:val="1"/>
                <w:color w:val="auto"/>
                <w:w w:val="95"/>
              </w:rPr>
              <w:t>Condensed Statements of Cash Flows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6"/>
        </w:trPr>
        <w:tc>
          <w:tcPr>
            <w:tcW w:w="43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7"/>
              </w:rPr>
              <w:t>Years ended December 31,</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53"/>
        </w:trPr>
        <w:tc>
          <w:tcPr>
            <w:tcW w:w="43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2022</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2020</w:t>
            </w:r>
          </w:p>
        </w:tc>
        <w:tc>
          <w:tcPr>
            <w:tcW w:w="20" w:type="dxa"/>
            <w:vAlign w:val="bottom"/>
          </w:tcPr>
          <w:p>
            <w:pPr>
              <w:spacing w:after="0"/>
              <w:rPr>
                <w:sz w:val="13"/>
                <w:szCs w:val="13"/>
                <w:color w:val="auto"/>
              </w:rPr>
            </w:pPr>
          </w:p>
        </w:tc>
      </w:tr>
      <w:tr>
        <w:trPr>
          <w:trHeight w:val="150"/>
        </w:trPr>
        <w:tc>
          <w:tcPr>
            <w:tcW w:w="43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Arial" w:cs="Arial" w:eastAsia="Arial" w:hAnsi="Arial"/>
                <w:sz w:val="11"/>
                <w:szCs w:val="11"/>
                <w:b w:val="1"/>
                <w:bCs w:val="1"/>
                <w:color w:val="auto"/>
              </w:rPr>
              <w:t>(In millions)</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3700" w:type="dxa"/>
            <w:vAlign w:val="bottom"/>
            <w:gridSpan w:val="2"/>
          </w:tcPr>
          <w:p>
            <w:pPr>
              <w:jc w:val="right"/>
              <w:ind w:right="716"/>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3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Investments in consolidated affiliates</w:t>
            </w:r>
          </w:p>
        </w:tc>
        <w:tc>
          <w:tcPr>
            <w:tcW w:w="28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20" w:type="dxa"/>
            <w:vAlign w:val="bottom"/>
          </w:tcPr>
          <w:p>
            <w:pPr>
              <w:spacing w:after="0"/>
              <w:rPr>
                <w:sz w:val="15"/>
                <w:szCs w:val="15"/>
                <w:color w:val="auto"/>
              </w:rPr>
            </w:pPr>
          </w:p>
        </w:tc>
      </w:tr>
      <w:tr>
        <w:trPr>
          <w:trHeight w:val="171"/>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Investing Activities</w:t>
            </w:r>
          </w:p>
        </w:tc>
        <w:tc>
          <w:tcPr>
            <w:tcW w:w="2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20" w:type="dxa"/>
            <w:vAlign w:val="bottom"/>
          </w:tcPr>
          <w:p>
            <w:pPr>
              <w:spacing w:after="0"/>
              <w:rPr>
                <w:sz w:val="14"/>
                <w:szCs w:val="14"/>
                <w:color w:val="auto"/>
              </w:rPr>
            </w:pP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Transfer of funds under intercompany cash management arrangement</w:t>
            </w:r>
          </w:p>
        </w:tc>
        <w:tc>
          <w:tcPr>
            <w:tcW w:w="28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5"/>
                <w:szCs w:val="15"/>
                <w:color w:val="auto"/>
              </w:rPr>
            </w:pPr>
          </w:p>
        </w:tc>
      </w:tr>
      <w:tr>
        <w:trPr>
          <w:trHeight w:val="180"/>
        </w:trPr>
        <w:tc>
          <w:tcPr>
            <w:tcW w:w="4300" w:type="dxa"/>
            <w:vAlign w:val="bottom"/>
          </w:tcPr>
          <w:p>
            <w:pPr>
              <w:ind w:left="180"/>
              <w:spacing w:after="0"/>
              <w:rPr>
                <w:sz w:val="20"/>
                <w:szCs w:val="20"/>
                <w:color w:val="auto"/>
              </w:rPr>
            </w:pPr>
            <w:r>
              <w:rPr>
                <w:rFonts w:ascii="Arial" w:cs="Arial" w:eastAsia="Arial" w:hAnsi="Arial"/>
                <w:sz w:val="14"/>
                <w:szCs w:val="14"/>
                <w:color w:val="auto"/>
              </w:rPr>
              <w:t>Proceeds from issuance of Class C units</w:t>
            </w:r>
          </w:p>
        </w:tc>
        <w:tc>
          <w:tcPr>
            <w:tcW w:w="2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5"/>
                <w:szCs w:val="15"/>
                <w:color w:val="auto"/>
              </w:rPr>
            </w:pPr>
          </w:p>
        </w:tc>
      </w:tr>
      <w:tr>
        <w:trPr>
          <w:trHeight w:val="181"/>
        </w:trPr>
        <w:tc>
          <w:tcPr>
            <w:tcW w:w="4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Tax-related distributions</w:t>
            </w:r>
          </w:p>
        </w:tc>
        <w:tc>
          <w:tcPr>
            <w:tcW w:w="28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0"/>
        </w:trPr>
        <w:tc>
          <w:tcPr>
            <w:tcW w:w="43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Payments of distributions</w:t>
            </w:r>
          </w:p>
        </w:tc>
        <w:tc>
          <w:tcPr>
            <w:tcW w:w="28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20" w:type="dxa"/>
            <w:vAlign w:val="bottom"/>
          </w:tcPr>
          <w:p>
            <w:pPr>
              <w:spacing w:after="0"/>
              <w:rPr>
                <w:sz w:val="15"/>
                <w:szCs w:val="15"/>
                <w:color w:val="auto"/>
              </w:rPr>
            </w:pPr>
          </w:p>
        </w:tc>
      </w:tr>
      <w:tr>
        <w:trPr>
          <w:trHeight w:val="171"/>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28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20" w:type="dxa"/>
            <w:vAlign w:val="bottom"/>
          </w:tcPr>
          <w:p>
            <w:pPr>
              <w:spacing w:after="0"/>
              <w:rPr>
                <w:sz w:val="14"/>
                <w:szCs w:val="14"/>
                <w:color w:val="auto"/>
              </w:rPr>
            </w:pP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2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w:t>
            </w:r>
          </w:p>
        </w:tc>
        <w:tc>
          <w:tcPr>
            <w:tcW w:w="20" w:type="dxa"/>
            <w:vAlign w:val="bottom"/>
          </w:tcPr>
          <w:p>
            <w:pPr>
              <w:spacing w:after="0"/>
              <w:rPr>
                <w:sz w:val="15"/>
                <w:szCs w:val="15"/>
                <w:color w:val="auto"/>
              </w:rPr>
            </w:pPr>
          </w:p>
        </w:tc>
      </w:tr>
      <w:tr>
        <w:trPr>
          <w:trHeight w:val="18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284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5"/>
                <w:szCs w:val="15"/>
                <w:color w:val="auto"/>
              </w:rPr>
            </w:pPr>
          </w:p>
        </w:tc>
      </w:tr>
      <w:tr>
        <w:trPr>
          <w:trHeight w:val="171"/>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2840" w:type="dxa"/>
            <w:vAlign w:val="bottom"/>
          </w:tcPr>
          <w:p>
            <w:pPr>
              <w:spacing w:after="0"/>
              <w:rPr>
                <w:sz w:val="14"/>
                <w:szCs w:val="14"/>
                <w:color w:val="auto"/>
              </w:rPr>
            </w:pP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4"/>
                <w:szCs w:val="1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20" w:type="dxa"/>
            <w:vAlign w:val="bottom"/>
          </w:tcPr>
          <w:p>
            <w:pPr>
              <w:spacing w:after="0"/>
              <w:rPr>
                <w:sz w:val="14"/>
                <w:szCs w:val="14"/>
                <w:color w:val="auto"/>
              </w:rPr>
            </w:pPr>
          </w:p>
        </w:tc>
      </w:tr>
      <w:tr>
        <w:trPr>
          <w:trHeight w:val="20"/>
        </w:trPr>
        <w:tc>
          <w:tcPr>
            <w:tcW w:w="4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4"/>
          <w:szCs w:val="14"/>
          <w:b w:val="1"/>
          <w:bCs w:val="1"/>
          <w:color w:val="auto"/>
        </w:rPr>
        <w:t>Schedule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Clearway Energy LLC (Parent)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Background and Basis of Presentation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Background</w:t>
      </w:r>
    </w:p>
    <w:p>
      <w:pPr>
        <w:spacing w:after="0" w:line="136"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Clearway Energy LLC, together with its consolidated subsidiaries, or the Company, is an energy infrastructure investor with a focus on investments in clean energy and owner of modern, sustainable and long-term contracted assets across North America. The Company is sponsored by GIP and TotalEnergies through the portfolio company, Clearway Energy Group LLC, or CEG, which became equally owned by GIP and TotalEnergies as of September 12, 2022, when TotalEnergies acquired, through its investment in an intermediate holding company, 50% of GIP’s interest in CEG. GIP is an independent infrastructure fund manager that makes equity and debt investments in infrastructure assets and businesses. TotalEnergies is a global multi-energy company.</w:t>
      </w:r>
    </w:p>
    <w:p>
      <w:pPr>
        <w:spacing w:after="0" w:line="8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 xml:space="preserve">The Company is one of the largest renewable energy owners in the U.S. with over 5,500 net MW of installed wind and solar generation projects. The Company’s over 8,000 net MW of assets includes approximately 2,500 net MW of environmentally-sound, highly efficient natural gas-fired generation facilities. Through this environmentally-sound, diversified and primarily contracted portfolio, the Company endeavors to increase distributions to its unit holders. </w:t>
      </w:r>
      <w:r>
        <w:rPr>
          <w:rFonts w:ascii="Arial" w:cs="Arial" w:eastAsia="Arial" w:hAnsi="Arial"/>
          <w:sz w:val="14"/>
          <w:szCs w:val="14"/>
          <w:color w:val="231F20"/>
        </w:rPr>
        <w:t>The majority</w:t>
      </w:r>
      <w:r>
        <w:rPr>
          <w:rFonts w:ascii="Arial" w:cs="Arial" w:eastAsia="Arial" w:hAnsi="Arial"/>
          <w:sz w:val="14"/>
          <w:szCs w:val="14"/>
          <w:color w:val="auto"/>
        </w:rPr>
        <w:t xml:space="preserve"> of the Company’s revenues are derived from long-term contractual arrangements for the output or capacity from these assets.</w:t>
      </w:r>
    </w:p>
    <w:p>
      <w:pPr>
        <w:spacing w:after="0" w:line="10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 xml:space="preserve">On May 1, 2022, the Company completed the sale of 100% of its interests in the Thermal Business to KKR. For further details of the Thermal Disposition, refer to Note 3, </w:t>
      </w:r>
      <w:r>
        <w:rPr>
          <w:rFonts w:ascii="Arial" w:cs="Arial" w:eastAsia="Arial" w:hAnsi="Arial"/>
          <w:sz w:val="14"/>
          <w:szCs w:val="14"/>
          <w:i w:val="1"/>
          <w:iCs w:val="1"/>
          <w:color w:val="auto"/>
        </w:rPr>
        <w:t>Acquisitions and</w:t>
      </w:r>
      <w:r>
        <w:rPr>
          <w:rFonts w:ascii="Arial" w:cs="Arial" w:eastAsia="Arial" w:hAnsi="Arial"/>
          <w:sz w:val="14"/>
          <w:szCs w:val="14"/>
          <w:color w:val="auto"/>
        </w:rPr>
        <w:t xml:space="preserve"> </w:t>
      </w:r>
      <w:r>
        <w:rPr>
          <w:rFonts w:ascii="Arial" w:cs="Arial" w:eastAsia="Arial" w:hAnsi="Arial"/>
          <w:sz w:val="14"/>
          <w:szCs w:val="14"/>
          <w:i w:val="1"/>
          <w:iCs w:val="1"/>
          <w:color w:val="auto"/>
        </w:rPr>
        <w:t>Dispositions</w:t>
      </w:r>
      <w:r>
        <w:rPr>
          <w:rFonts w:ascii="Arial" w:cs="Arial" w:eastAsia="Arial" w:hAnsi="Arial"/>
          <w:sz w:val="14"/>
          <w:szCs w:val="14"/>
          <w:color w:val="auto"/>
        </w:rPr>
        <w:t>.</w:t>
      </w:r>
    </w:p>
    <w:p>
      <w:pPr>
        <w:spacing w:after="0" w:line="90"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Clearway Energy, Inc., or Clearway, Inc., consolidates the results of Clearway Energy LLC through its controlling interest, with CEG’s interest shown as noncontrolling interest in the financial statements. The holders of Clearway, Inc.’s outstanding shares of Class A and Class C common stock are entitled to dividends as declared. CEG receives its distributions from Clearway Energy LLC through its ownership of Clearway Energy LLC Class B and Class D units. From time to time, CEG may also hold shares of Clearway Inc’s Class A and/or Class C common stock.</w:t>
      </w:r>
    </w:p>
    <w:p>
      <w:pPr>
        <w:spacing w:after="0" w:line="82"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 xml:space="preserve">As of December 31, 2022, Clearway, Inc. owned 57.88% of the economic interests of the Company, with CEG owning 42.12% of the economic interests of the Company. For further discussion, see Note 11, </w:t>
      </w:r>
      <w:r>
        <w:rPr>
          <w:rFonts w:ascii="Arial" w:cs="Arial" w:eastAsia="Arial" w:hAnsi="Arial"/>
          <w:sz w:val="14"/>
          <w:szCs w:val="14"/>
          <w:i w:val="1"/>
          <w:iCs w:val="1"/>
          <w:color w:val="auto"/>
        </w:rPr>
        <w:t>Members’ Equity.</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36"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The condensed parent-only company financial statements have been prepared in accordance with Rule 12-04 of Regulation S-X, as the restricted net assets of Clearway Energy LLC’s subsidiaries exceed 25% of the consolidated net assets of Clearway Energy LLC.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LLC.</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Long-Term Debt</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For a discussion of Clearway Energy LLC’s financing arrangements, see Note 10, </w:t>
      </w:r>
      <w:r>
        <w:rPr>
          <w:rFonts w:ascii="Arial" w:cs="Arial" w:eastAsia="Arial" w:hAnsi="Arial"/>
          <w:sz w:val="14"/>
          <w:szCs w:val="14"/>
          <w:i w:val="1"/>
          <w:iCs w:val="1"/>
          <w:color w:val="auto"/>
        </w:rPr>
        <w:t>Long-term Debt,</w:t>
      </w:r>
      <w:r>
        <w:rPr>
          <w:rFonts w:ascii="Arial" w:cs="Arial" w:eastAsia="Arial" w:hAnsi="Arial"/>
          <w:sz w:val="14"/>
          <w:szCs w:val="14"/>
          <w:color w:val="auto"/>
        </w:rPr>
        <w:t xml:space="preserve"> to the Company’s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Commitments, Contingencies and Guarantees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See Note 14,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xml:space="preserve"> to the Company’s consolidated financial statements for a detailed discussion of Clearway Energy LLC’s commitments and contingencies.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Distributions</w:t>
      </w:r>
    </w:p>
    <w:p>
      <w:pPr>
        <w:spacing w:after="0" w:line="14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Cash distributions paid on the Company’s Class A, Class B, Class C and Class D units, were $289 million, $268 million, and $211 million for the years ended December 31, 2022, 2021, and 2020,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60" w:type="dxa"/>
            <w:vAlign w:val="bottom"/>
            <w:gridSpan w:val="17"/>
          </w:tcPr>
          <w:p>
            <w:pPr>
              <w:ind w:left="32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87"/>
        </w:trPr>
        <w:tc>
          <w:tcPr>
            <w:tcW w:w="100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5800" w:type="dxa"/>
            <w:vAlign w:val="bottom"/>
            <w:gridSpan w:val="27"/>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42"/>
        </w:trPr>
        <w:tc>
          <w:tcPr>
            <w:tcW w:w="1000" w:type="dxa"/>
            <w:vAlign w:val="bottom"/>
          </w:tcPr>
          <w:p>
            <w:pPr>
              <w:spacing w:after="0" w:line="143" w:lineRule="exact"/>
              <w:rPr>
                <w:sz w:val="20"/>
                <w:szCs w:val="20"/>
                <w:color w:val="auto"/>
              </w:rPr>
            </w:pPr>
            <w:r>
              <w:rPr>
                <w:rFonts w:ascii="Arial" w:cs="Arial" w:eastAsia="Arial" w:hAnsi="Arial"/>
                <w:sz w:val="13"/>
                <w:szCs w:val="13"/>
                <w:color w:val="auto"/>
              </w:rPr>
              <w:t>2.3</w:t>
            </w:r>
          </w:p>
        </w:tc>
        <w:tc>
          <w:tcPr>
            <w:tcW w:w="5800" w:type="dxa"/>
            <w:vAlign w:val="bottom"/>
            <w:gridSpan w:val="27"/>
          </w:tcPr>
          <w:p>
            <w:pPr>
              <w:spacing w:after="0" w:line="143" w:lineRule="exact"/>
              <w:rPr>
                <w:rFonts w:ascii="Arial" w:cs="Arial" w:eastAsia="Arial" w:hAnsi="Arial"/>
                <w:sz w:val="13"/>
                <w:szCs w:val="13"/>
                <w:color w:val="0000FF"/>
                <w:w w:val="91"/>
              </w:rPr>
            </w:pPr>
            <w:hyperlink r:id="rId182">
              <w:r>
                <w:rPr>
                  <w:rFonts w:ascii="Arial" w:cs="Arial" w:eastAsia="Arial" w:hAnsi="Arial"/>
                  <w:sz w:val="13"/>
                  <w:szCs w:val="13"/>
                  <w:color w:val="0000FF"/>
                  <w:w w:val="91"/>
                </w:rPr>
                <w:t>Purchase and Sale Agreement, dated as of November 19, 2020, by and between NRG Solar Sunrise LLC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560" w:type="dxa"/>
            <w:vAlign w:val="bottom"/>
            <w:tcBorders>
              <w:top w:val="single" w:sz="8" w:color="0000FF"/>
            </w:tcBorders>
            <w:gridSpan w:val="21"/>
          </w:tcPr>
          <w:p>
            <w:pPr>
              <w:spacing w:after="0" w:line="107" w:lineRule="exact"/>
              <w:rPr>
                <w:rFonts w:ascii="Arial" w:cs="Arial" w:eastAsia="Arial" w:hAnsi="Arial"/>
                <w:sz w:val="12"/>
                <w:szCs w:val="12"/>
                <w:color w:val="0000FF"/>
              </w:rPr>
            </w:pPr>
            <w:hyperlink r:id="rId182">
              <w:r>
                <w:rPr>
                  <w:rFonts w:ascii="Arial" w:cs="Arial" w:eastAsia="Arial" w:hAnsi="Arial"/>
                  <w:sz w:val="12"/>
                  <w:szCs w:val="12"/>
                  <w:color w:val="0000FF"/>
                </w:rPr>
                <w:t>Clearway AC Solar Holdings LLC.</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3.1</w:t>
            </w:r>
          </w:p>
        </w:tc>
        <w:tc>
          <w:tcPr>
            <w:tcW w:w="2840" w:type="dxa"/>
            <w:vAlign w:val="bottom"/>
            <w:tcBorders>
              <w:bottom w:val="single" w:sz="8" w:color="0000FF"/>
            </w:tcBorders>
            <w:gridSpan w:val="7"/>
          </w:tcPr>
          <w:p>
            <w:pPr>
              <w:spacing w:after="0"/>
              <w:rPr>
                <w:rFonts w:ascii="Arial" w:cs="Arial" w:eastAsia="Arial" w:hAnsi="Arial"/>
                <w:sz w:val="13"/>
                <w:szCs w:val="13"/>
                <w:color w:val="0000FF"/>
                <w:w w:val="92"/>
              </w:rPr>
            </w:pPr>
            <w:hyperlink r:id="rId183">
              <w:r>
                <w:rPr>
                  <w:rFonts w:ascii="Arial" w:cs="Arial" w:eastAsia="Arial" w:hAnsi="Arial"/>
                  <w:sz w:val="13"/>
                  <w:szCs w:val="13"/>
                  <w:color w:val="0000FF"/>
                  <w:w w:val="92"/>
                </w:rPr>
                <w:t>Certificate of Formation of NRG Yield Operating LLC.</w:t>
              </w:r>
            </w:hyperlink>
          </w:p>
        </w:tc>
        <w:tc>
          <w:tcPr>
            <w:tcW w:w="296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3"/>
                <w:szCs w:val="13"/>
                <w:color w:val="auto"/>
              </w:rPr>
              <w:t>3.2</w:t>
            </w:r>
          </w:p>
        </w:tc>
        <w:tc>
          <w:tcPr>
            <w:tcW w:w="5800" w:type="dxa"/>
            <w:vAlign w:val="bottom"/>
            <w:gridSpan w:val="27"/>
            <w:vMerge w:val="restart"/>
          </w:tcPr>
          <w:p>
            <w:pPr>
              <w:spacing w:after="0"/>
              <w:rPr>
                <w:rFonts w:ascii="Arial" w:cs="Arial" w:eastAsia="Arial" w:hAnsi="Arial"/>
                <w:sz w:val="13"/>
                <w:szCs w:val="13"/>
                <w:color w:val="0000FF"/>
              </w:rPr>
            </w:pPr>
            <w:hyperlink r:id="rId184">
              <w:r>
                <w:rPr>
                  <w:rFonts w:ascii="Arial" w:cs="Arial" w:eastAsia="Arial" w:hAnsi="Arial"/>
                  <w:sz w:val="13"/>
                  <w:szCs w:val="13"/>
                  <w:color w:val="0000FF"/>
                </w:rPr>
                <w:t>Certificate of Amendment of Certificate of Formation of NRG Yield Operating LLC.</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800" w:type="dxa"/>
            <w:vAlign w:val="bottom"/>
            <w:gridSpan w:val="2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000" w:type="dxa"/>
            <w:vAlign w:val="bottom"/>
          </w:tcPr>
          <w:p>
            <w:pPr>
              <w:spacing w:after="0"/>
              <w:rPr>
                <w:sz w:val="20"/>
                <w:szCs w:val="20"/>
                <w:color w:val="auto"/>
              </w:rPr>
            </w:pPr>
            <w:r>
              <w:rPr>
                <w:rFonts w:ascii="Arial" w:cs="Arial" w:eastAsia="Arial" w:hAnsi="Arial"/>
                <w:sz w:val="13"/>
                <w:szCs w:val="13"/>
                <w:color w:val="auto"/>
              </w:rPr>
              <w:t>3.3</w:t>
            </w:r>
          </w:p>
        </w:tc>
        <w:tc>
          <w:tcPr>
            <w:tcW w:w="5440" w:type="dxa"/>
            <w:vAlign w:val="bottom"/>
            <w:tcBorders>
              <w:bottom w:val="single" w:sz="8" w:color="0000FF"/>
            </w:tcBorders>
            <w:gridSpan w:val="15"/>
          </w:tcPr>
          <w:p>
            <w:pPr>
              <w:spacing w:after="0"/>
              <w:rPr>
                <w:rFonts w:ascii="Arial" w:cs="Arial" w:eastAsia="Arial" w:hAnsi="Arial"/>
                <w:sz w:val="13"/>
                <w:szCs w:val="13"/>
                <w:color w:val="0000FF"/>
                <w:w w:val="90"/>
              </w:rPr>
            </w:pPr>
            <w:hyperlink r:id="rId185">
              <w:r>
                <w:rPr>
                  <w:rFonts w:ascii="Arial" w:cs="Arial" w:eastAsia="Arial" w:hAnsi="Arial"/>
                  <w:sz w:val="13"/>
                  <w:szCs w:val="13"/>
                  <w:color w:val="0000FF"/>
                  <w:w w:val="90"/>
                </w:rPr>
                <w:t>Third Amended and Restated Limited Liability Company Agreement of Clearway Energy Operating LLC.</w:t>
              </w:r>
            </w:hyperlink>
          </w:p>
        </w:tc>
        <w:tc>
          <w:tcPr>
            <w:tcW w:w="3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000" w:type="dxa"/>
            <w:vAlign w:val="bottom"/>
          </w:tcPr>
          <w:p>
            <w:pPr>
              <w:spacing w:after="0"/>
              <w:rPr>
                <w:sz w:val="20"/>
                <w:szCs w:val="20"/>
                <w:color w:val="auto"/>
              </w:rPr>
            </w:pPr>
            <w:r>
              <w:rPr>
                <w:rFonts w:ascii="Arial" w:cs="Arial" w:eastAsia="Arial" w:hAnsi="Arial"/>
                <w:sz w:val="13"/>
                <w:szCs w:val="13"/>
                <w:color w:val="auto"/>
              </w:rPr>
              <w:t>3.4</w:t>
            </w:r>
          </w:p>
        </w:tc>
        <w:tc>
          <w:tcPr>
            <w:tcW w:w="2300" w:type="dxa"/>
            <w:vAlign w:val="bottom"/>
            <w:tcBorders>
              <w:bottom w:val="single" w:sz="8" w:color="0000FF"/>
            </w:tcBorders>
            <w:gridSpan w:val="5"/>
          </w:tcPr>
          <w:p>
            <w:pPr>
              <w:spacing w:after="0"/>
              <w:rPr>
                <w:rFonts w:ascii="Arial" w:cs="Arial" w:eastAsia="Arial" w:hAnsi="Arial"/>
                <w:sz w:val="13"/>
                <w:szCs w:val="13"/>
                <w:color w:val="0000FF"/>
                <w:w w:val="92"/>
              </w:rPr>
            </w:pPr>
            <w:hyperlink r:id="rId186">
              <w:r>
                <w:rPr>
                  <w:rFonts w:ascii="Arial" w:cs="Arial" w:eastAsia="Arial" w:hAnsi="Arial"/>
                  <w:sz w:val="13"/>
                  <w:szCs w:val="13"/>
                  <w:color w:val="0000FF"/>
                  <w:w w:val="92"/>
                </w:rPr>
                <w:t>Certificate of Formation of NRG Yield LLC.</w:t>
              </w:r>
            </w:hyperlink>
          </w:p>
        </w:tc>
        <w:tc>
          <w:tcPr>
            <w:tcW w:w="350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1000" w:type="dxa"/>
            <w:vAlign w:val="bottom"/>
          </w:tcPr>
          <w:p>
            <w:pPr>
              <w:spacing w:after="0"/>
              <w:rPr>
                <w:sz w:val="20"/>
                <w:szCs w:val="20"/>
                <w:color w:val="auto"/>
              </w:rPr>
            </w:pPr>
            <w:r>
              <w:rPr>
                <w:rFonts w:ascii="Arial" w:cs="Arial" w:eastAsia="Arial" w:hAnsi="Arial"/>
                <w:sz w:val="13"/>
                <w:szCs w:val="13"/>
                <w:color w:val="auto"/>
              </w:rPr>
              <w:t>3.5</w:t>
            </w:r>
          </w:p>
        </w:tc>
        <w:tc>
          <w:tcPr>
            <w:tcW w:w="5800" w:type="dxa"/>
            <w:vAlign w:val="bottom"/>
            <w:gridSpan w:val="27"/>
          </w:tcPr>
          <w:p>
            <w:pPr>
              <w:spacing w:after="0"/>
              <w:rPr>
                <w:rFonts w:ascii="Arial" w:cs="Arial" w:eastAsia="Arial" w:hAnsi="Arial"/>
                <w:sz w:val="13"/>
                <w:szCs w:val="13"/>
                <w:color w:val="0000FF"/>
              </w:rPr>
            </w:pPr>
            <w:hyperlink r:id="rId187">
              <w:r>
                <w:rPr>
                  <w:rFonts w:ascii="Arial" w:cs="Arial" w:eastAsia="Arial" w:hAnsi="Arial"/>
                  <w:sz w:val="13"/>
                  <w:szCs w:val="13"/>
                  <w:color w:val="0000FF"/>
                </w:rPr>
                <w:t>Certificate of Amendment of Certificate of Formation of NRG Yield LLC.</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3"/>
                <w:szCs w:val="13"/>
                <w:color w:val="auto"/>
              </w:rPr>
              <w:t>3.6</w:t>
            </w:r>
          </w:p>
        </w:tc>
        <w:tc>
          <w:tcPr>
            <w:tcW w:w="1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1000" w:type="dxa"/>
            <w:vAlign w:val="bottom"/>
            <w:vMerge w:val="continue"/>
          </w:tcPr>
          <w:p>
            <w:pPr>
              <w:spacing w:after="0"/>
              <w:rPr>
                <w:sz w:val="24"/>
                <w:szCs w:val="24"/>
                <w:color w:val="auto"/>
              </w:rPr>
            </w:pPr>
          </w:p>
        </w:tc>
        <w:tc>
          <w:tcPr>
            <w:tcW w:w="5800" w:type="dxa"/>
            <w:vAlign w:val="bottom"/>
            <w:gridSpan w:val="27"/>
            <w:vMerge w:val="restart"/>
          </w:tcPr>
          <w:p>
            <w:pPr>
              <w:spacing w:after="0"/>
              <w:rPr>
                <w:rFonts w:ascii="Arial" w:cs="Arial" w:eastAsia="Arial" w:hAnsi="Arial"/>
                <w:sz w:val="13"/>
                <w:szCs w:val="13"/>
                <w:color w:val="0000FF"/>
                <w:w w:val="93"/>
              </w:rPr>
            </w:pPr>
            <w:hyperlink r:id="rId188">
              <w:r>
                <w:rPr>
                  <w:rFonts w:ascii="Arial" w:cs="Arial" w:eastAsia="Arial" w:hAnsi="Arial"/>
                  <w:sz w:val="13"/>
                  <w:szCs w:val="13"/>
                  <w:color w:val="0000FF"/>
                  <w:w w:val="93"/>
                </w:rPr>
                <w:t>Fourth Amended and Restated Limited Liability Company Agreement of NRG Yield LLC, dated as of August</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800" w:type="dxa"/>
            <w:vAlign w:val="bottom"/>
            <w:gridSpan w:val="2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620" w:type="dxa"/>
            <w:vAlign w:val="bottom"/>
            <w:tcBorders>
              <w:top w:val="single" w:sz="8" w:color="0000FF"/>
            </w:tcBorders>
            <w:gridSpan w:val="23"/>
          </w:tcPr>
          <w:p>
            <w:pPr>
              <w:spacing w:after="0" w:line="107" w:lineRule="exact"/>
              <w:rPr>
                <w:rFonts w:ascii="Arial" w:cs="Arial" w:eastAsia="Arial" w:hAnsi="Arial"/>
                <w:sz w:val="12"/>
                <w:szCs w:val="12"/>
                <w:color w:val="0000FF"/>
              </w:rPr>
            </w:pPr>
            <w:hyperlink r:id="rId188">
              <w:r>
                <w:rPr>
                  <w:rFonts w:ascii="Arial" w:cs="Arial" w:eastAsia="Arial" w:hAnsi="Arial"/>
                  <w:sz w:val="12"/>
                  <w:szCs w:val="12"/>
                  <w:color w:val="0000FF"/>
                </w:rPr>
                <w:t>31, 2018, by and between NRG Yield, Inc. and Zephyr Renewables LLC.</w:t>
              </w:r>
            </w:hyperlink>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3"/>
                <w:szCs w:val="13"/>
                <w:color w:val="auto"/>
              </w:rPr>
              <w:t>4.1</w:t>
            </w:r>
          </w:p>
        </w:tc>
        <w:tc>
          <w:tcPr>
            <w:tcW w:w="1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vMerge w:val="continue"/>
          </w:tcPr>
          <w:p>
            <w:pPr>
              <w:spacing w:after="0"/>
              <w:rPr>
                <w:sz w:val="20"/>
                <w:szCs w:val="20"/>
                <w:color w:val="auto"/>
              </w:rPr>
            </w:pPr>
          </w:p>
        </w:tc>
        <w:tc>
          <w:tcPr>
            <w:tcW w:w="5800" w:type="dxa"/>
            <w:vAlign w:val="bottom"/>
            <w:gridSpan w:val="27"/>
            <w:vMerge w:val="restart"/>
          </w:tcPr>
          <w:p>
            <w:pPr>
              <w:spacing w:after="0"/>
              <w:rPr>
                <w:rFonts w:ascii="Arial" w:cs="Arial" w:eastAsia="Arial" w:hAnsi="Arial"/>
                <w:sz w:val="13"/>
                <w:szCs w:val="13"/>
                <w:color w:val="0000FF"/>
                <w:w w:val="88"/>
              </w:rPr>
            </w:pPr>
            <w:hyperlink r:id="rId189">
              <w:r>
                <w:rPr>
                  <w:rFonts w:ascii="Arial" w:cs="Arial" w:eastAsia="Arial" w:hAnsi="Arial"/>
                  <w:sz w:val="13"/>
                  <w:szCs w:val="13"/>
                  <w:color w:val="0000FF"/>
                  <w:w w:val="88"/>
                </w:rPr>
                <w:t>Indenture, dated December 11, 2019, among Clearway Energy Operating LLC, the guarantors named therein and</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800" w:type="dxa"/>
            <w:vAlign w:val="bottom"/>
            <w:gridSpan w:val="2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60" w:type="dxa"/>
            <w:vAlign w:val="bottom"/>
            <w:tcBorders>
              <w:top w:val="single" w:sz="8" w:color="0000FF"/>
            </w:tcBorders>
            <w:gridSpan w:val="25"/>
          </w:tcPr>
          <w:p>
            <w:pPr>
              <w:spacing w:after="0" w:line="107" w:lineRule="exact"/>
              <w:rPr>
                <w:rFonts w:ascii="Arial" w:cs="Arial" w:eastAsia="Arial" w:hAnsi="Arial"/>
                <w:sz w:val="12"/>
                <w:szCs w:val="12"/>
                <w:color w:val="0000FF"/>
              </w:rPr>
            </w:pPr>
            <w:hyperlink r:id="rId189">
              <w:r>
                <w:rPr>
                  <w:rFonts w:ascii="Arial" w:cs="Arial" w:eastAsia="Arial" w:hAnsi="Arial"/>
                  <w:sz w:val="12"/>
                  <w:szCs w:val="12"/>
                  <w:color w:val="0000FF"/>
                </w:rPr>
                <w:t>Delaware Trust Company, as trustee.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3"/>
                <w:szCs w:val="13"/>
                <w:color w:val="auto"/>
              </w:rPr>
              <w:t>4.2</w:t>
            </w:r>
          </w:p>
        </w:tc>
        <w:tc>
          <w:tcPr>
            <w:tcW w:w="1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vMerge w:val="continue"/>
          </w:tcPr>
          <w:p>
            <w:pPr>
              <w:spacing w:after="0"/>
              <w:rPr>
                <w:sz w:val="20"/>
                <w:szCs w:val="20"/>
                <w:color w:val="auto"/>
              </w:rPr>
            </w:pPr>
          </w:p>
        </w:tc>
        <w:tc>
          <w:tcPr>
            <w:tcW w:w="5800" w:type="dxa"/>
            <w:vAlign w:val="bottom"/>
            <w:gridSpan w:val="27"/>
            <w:vMerge w:val="restart"/>
          </w:tcPr>
          <w:p>
            <w:pPr>
              <w:spacing w:after="0"/>
              <w:rPr>
                <w:rFonts w:ascii="Arial" w:cs="Arial" w:eastAsia="Arial" w:hAnsi="Arial"/>
                <w:sz w:val="13"/>
                <w:szCs w:val="13"/>
                <w:color w:val="0000FF"/>
              </w:rPr>
            </w:pPr>
            <w:hyperlink r:id="rId189">
              <w:r>
                <w:rPr>
                  <w:rFonts w:ascii="Arial" w:cs="Arial" w:eastAsia="Arial" w:hAnsi="Arial"/>
                  <w:sz w:val="13"/>
                  <w:szCs w:val="13"/>
                  <w:color w:val="0000FF"/>
                </w:rPr>
                <w:t>Form of 4.750% Senior Note due 2028.</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800" w:type="dxa"/>
            <w:vAlign w:val="bottom"/>
            <w:gridSpan w:val="2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000" w:type="dxa"/>
            <w:vAlign w:val="bottom"/>
          </w:tcPr>
          <w:p>
            <w:pPr>
              <w:spacing w:after="0"/>
              <w:rPr>
                <w:sz w:val="20"/>
                <w:szCs w:val="20"/>
                <w:color w:val="auto"/>
              </w:rPr>
            </w:pPr>
            <w:r>
              <w:rPr>
                <w:rFonts w:ascii="Arial" w:cs="Arial" w:eastAsia="Arial" w:hAnsi="Arial"/>
                <w:sz w:val="13"/>
                <w:szCs w:val="13"/>
                <w:color w:val="auto"/>
              </w:rPr>
              <w:t>4.3</w:t>
            </w:r>
          </w:p>
        </w:tc>
        <w:tc>
          <w:tcPr>
            <w:tcW w:w="5800" w:type="dxa"/>
            <w:vAlign w:val="bottom"/>
            <w:gridSpan w:val="27"/>
          </w:tcPr>
          <w:p>
            <w:pPr>
              <w:spacing w:after="0"/>
              <w:rPr>
                <w:rFonts w:ascii="Arial" w:cs="Arial" w:eastAsia="Arial" w:hAnsi="Arial"/>
                <w:sz w:val="13"/>
                <w:szCs w:val="13"/>
                <w:color w:val="0000FF"/>
                <w:w w:val="96"/>
              </w:rPr>
            </w:pPr>
            <w:hyperlink r:id="rId190">
              <w:r>
                <w:rPr>
                  <w:rFonts w:ascii="Arial" w:cs="Arial" w:eastAsia="Arial" w:hAnsi="Arial"/>
                  <w:sz w:val="13"/>
                  <w:szCs w:val="13"/>
                  <w:color w:val="0000FF"/>
                  <w:w w:val="96"/>
                </w:rPr>
                <w:t>First Supplemental Indenture, dated as of January 6,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9"/>
          </w:tcPr>
          <w:p>
            <w:pPr>
              <w:spacing w:after="0" w:line="107" w:lineRule="exact"/>
              <w:rPr>
                <w:rFonts w:ascii="Arial" w:cs="Arial" w:eastAsia="Arial" w:hAnsi="Arial"/>
                <w:sz w:val="12"/>
                <w:szCs w:val="12"/>
                <w:color w:val="0000FF"/>
                <w:w w:val="94"/>
              </w:rPr>
            </w:pPr>
            <w:hyperlink r:id="rId190">
              <w:r>
                <w:rPr>
                  <w:rFonts w:ascii="Arial" w:cs="Arial" w:eastAsia="Arial" w:hAnsi="Arial"/>
                  <w:sz w:val="12"/>
                  <w:szCs w:val="12"/>
                  <w:color w:val="0000FF"/>
                  <w:w w:val="94"/>
                </w:rPr>
                <w:t>guarantors named therein and Delaware Trust Company.</w:t>
              </w:r>
            </w:hyperlink>
          </w:p>
        </w:tc>
        <w:tc>
          <w:tcPr>
            <w:tcW w:w="2400" w:type="dxa"/>
            <w:vAlign w:val="bottom"/>
            <w:tcBorders>
              <w:top w:val="single" w:sz="8" w:color="0000FF"/>
            </w:tcBorders>
            <w:gridSpan w:val="5"/>
          </w:tcPr>
          <w:p>
            <w:pPr>
              <w:spacing w:after="0"/>
              <w:rPr>
                <w:sz w:val="9"/>
                <w:szCs w:val="9"/>
                <w:color w:val="auto"/>
              </w:rPr>
            </w:pPr>
          </w:p>
        </w:tc>
        <w:tc>
          <w:tcPr>
            <w:tcW w:w="1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4.4</w:t>
            </w:r>
          </w:p>
        </w:tc>
        <w:tc>
          <w:tcPr>
            <w:tcW w:w="5800" w:type="dxa"/>
            <w:vAlign w:val="bottom"/>
            <w:gridSpan w:val="27"/>
          </w:tcPr>
          <w:p>
            <w:pPr>
              <w:spacing w:after="0"/>
              <w:rPr>
                <w:rFonts w:ascii="Arial" w:cs="Arial" w:eastAsia="Arial" w:hAnsi="Arial"/>
                <w:sz w:val="13"/>
                <w:szCs w:val="13"/>
                <w:color w:val="0000FF"/>
                <w:w w:val="91"/>
              </w:rPr>
            </w:pPr>
            <w:hyperlink r:id="rId191">
              <w:r>
                <w:rPr>
                  <w:rFonts w:ascii="Arial" w:cs="Arial" w:eastAsia="Arial" w:hAnsi="Arial"/>
                  <w:sz w:val="13"/>
                  <w:szCs w:val="13"/>
                  <w:color w:val="0000FF"/>
                  <w:w w:val="91"/>
                </w:rPr>
                <w:t>Second Supplemental Indenture, dated as of February 26,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9"/>
          </w:tcPr>
          <w:p>
            <w:pPr>
              <w:spacing w:after="0" w:line="107" w:lineRule="exact"/>
              <w:rPr>
                <w:rFonts w:ascii="Arial" w:cs="Arial" w:eastAsia="Arial" w:hAnsi="Arial"/>
                <w:sz w:val="12"/>
                <w:szCs w:val="12"/>
                <w:color w:val="0000FF"/>
                <w:w w:val="94"/>
              </w:rPr>
            </w:pPr>
            <w:hyperlink r:id="rId191">
              <w:r>
                <w:rPr>
                  <w:rFonts w:ascii="Arial" w:cs="Arial" w:eastAsia="Arial" w:hAnsi="Arial"/>
                  <w:sz w:val="12"/>
                  <w:szCs w:val="12"/>
                  <w:color w:val="0000FF"/>
                  <w:w w:val="94"/>
                </w:rPr>
                <w:t>guarantors named therein and Delaware Trust Company.</w:t>
              </w:r>
            </w:hyperlink>
          </w:p>
        </w:tc>
        <w:tc>
          <w:tcPr>
            <w:tcW w:w="2680" w:type="dxa"/>
            <w:vAlign w:val="bottom"/>
            <w:tcBorders>
              <w:top w:val="single" w:sz="8" w:color="0000FF"/>
            </w:tcBorders>
            <w:gridSpan w:val="13"/>
          </w:tcPr>
          <w:p>
            <w:pPr>
              <w:spacing w:after="0"/>
              <w:rPr>
                <w:sz w:val="9"/>
                <w:szCs w:val="9"/>
                <w:color w:val="auto"/>
              </w:rPr>
            </w:pPr>
          </w:p>
        </w:tc>
        <w:tc>
          <w:tcPr>
            <w:tcW w:w="10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4.5</w:t>
            </w:r>
          </w:p>
        </w:tc>
        <w:tc>
          <w:tcPr>
            <w:tcW w:w="5800" w:type="dxa"/>
            <w:vAlign w:val="bottom"/>
            <w:gridSpan w:val="27"/>
          </w:tcPr>
          <w:p>
            <w:pPr>
              <w:spacing w:after="0"/>
              <w:rPr>
                <w:rFonts w:ascii="Arial" w:cs="Arial" w:eastAsia="Arial" w:hAnsi="Arial"/>
                <w:sz w:val="13"/>
                <w:szCs w:val="13"/>
                <w:color w:val="0000FF"/>
                <w:w w:val="98"/>
              </w:rPr>
            </w:pPr>
            <w:hyperlink r:id="rId192">
              <w:r>
                <w:rPr>
                  <w:rFonts w:ascii="Arial" w:cs="Arial" w:eastAsia="Arial" w:hAnsi="Arial"/>
                  <w:sz w:val="13"/>
                  <w:szCs w:val="13"/>
                  <w:color w:val="0000FF"/>
                  <w:w w:val="98"/>
                </w:rPr>
                <w:t>Third Supplemental Indenture, dated as of July 17,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9"/>
          </w:tcPr>
          <w:p>
            <w:pPr>
              <w:spacing w:after="0" w:line="107" w:lineRule="exact"/>
              <w:rPr>
                <w:rFonts w:ascii="Arial" w:cs="Arial" w:eastAsia="Arial" w:hAnsi="Arial"/>
                <w:sz w:val="12"/>
                <w:szCs w:val="12"/>
                <w:color w:val="0000FF"/>
                <w:w w:val="94"/>
              </w:rPr>
            </w:pPr>
            <w:hyperlink r:id="rId192">
              <w:r>
                <w:rPr>
                  <w:rFonts w:ascii="Arial" w:cs="Arial" w:eastAsia="Arial" w:hAnsi="Arial"/>
                  <w:sz w:val="12"/>
                  <w:szCs w:val="12"/>
                  <w:color w:val="0000FF"/>
                  <w:w w:val="94"/>
                </w:rPr>
                <w:t>guarantors named therein and Delaware Trust Company.</w:t>
              </w:r>
            </w:hyperlink>
          </w:p>
        </w:tc>
        <w:tc>
          <w:tcPr>
            <w:tcW w:w="2340" w:type="dxa"/>
            <w:vAlign w:val="bottom"/>
            <w:tcBorders>
              <w:top w:val="single" w:sz="8" w:color="0000FF"/>
            </w:tcBorders>
            <w:gridSpan w:val="3"/>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4.6</w:t>
            </w:r>
          </w:p>
        </w:tc>
        <w:tc>
          <w:tcPr>
            <w:tcW w:w="5800" w:type="dxa"/>
            <w:vAlign w:val="bottom"/>
            <w:gridSpan w:val="27"/>
          </w:tcPr>
          <w:p>
            <w:pPr>
              <w:spacing w:after="0"/>
              <w:rPr>
                <w:rFonts w:ascii="Arial" w:cs="Arial" w:eastAsia="Arial" w:hAnsi="Arial"/>
                <w:sz w:val="13"/>
                <w:szCs w:val="13"/>
                <w:color w:val="0000FF"/>
                <w:w w:val="94"/>
              </w:rPr>
            </w:pPr>
            <w:hyperlink r:id="rId193">
              <w:r>
                <w:rPr>
                  <w:rFonts w:ascii="Arial" w:cs="Arial" w:eastAsia="Arial" w:hAnsi="Arial"/>
                  <w:sz w:val="13"/>
                  <w:szCs w:val="13"/>
                  <w:color w:val="0000FF"/>
                  <w:w w:val="94"/>
                </w:rPr>
                <w:t>Fourth Supplemental Indenture, dated as of August 17,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460" w:type="dxa"/>
            <w:vAlign w:val="bottom"/>
            <w:tcBorders>
              <w:top w:val="single" w:sz="8" w:color="0000FF"/>
            </w:tcBorders>
            <w:gridSpan w:val="16"/>
          </w:tcPr>
          <w:p>
            <w:pPr>
              <w:spacing w:after="0" w:line="107" w:lineRule="exact"/>
              <w:rPr>
                <w:rFonts w:ascii="Arial" w:cs="Arial" w:eastAsia="Arial" w:hAnsi="Arial"/>
                <w:sz w:val="12"/>
                <w:szCs w:val="12"/>
                <w:color w:val="0000FF"/>
              </w:rPr>
            </w:pPr>
            <w:hyperlink r:id="rId193">
              <w:r>
                <w:rPr>
                  <w:rFonts w:ascii="Arial" w:cs="Arial" w:eastAsia="Arial" w:hAnsi="Arial"/>
                  <w:sz w:val="12"/>
                  <w:szCs w:val="12"/>
                  <w:color w:val="0000FF"/>
                </w:rPr>
                <w:t>guarantors named therein and Delaware Trust Company.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4.7</w:t>
            </w:r>
          </w:p>
        </w:tc>
        <w:tc>
          <w:tcPr>
            <w:tcW w:w="5800" w:type="dxa"/>
            <w:vAlign w:val="bottom"/>
            <w:gridSpan w:val="27"/>
          </w:tcPr>
          <w:p>
            <w:pPr>
              <w:spacing w:after="0"/>
              <w:rPr>
                <w:rFonts w:ascii="Arial" w:cs="Arial" w:eastAsia="Arial" w:hAnsi="Arial"/>
                <w:sz w:val="13"/>
                <w:szCs w:val="13"/>
                <w:color w:val="0000FF"/>
                <w:w w:val="93"/>
              </w:rPr>
            </w:pPr>
            <w:hyperlink r:id="rId194">
              <w:r>
                <w:rPr>
                  <w:rFonts w:ascii="Arial" w:cs="Arial" w:eastAsia="Arial" w:hAnsi="Arial"/>
                  <w:sz w:val="13"/>
                  <w:szCs w:val="13"/>
                  <w:color w:val="0000FF"/>
                  <w:w w:val="93"/>
                </w:rPr>
                <w:t>Fifth Supplemental Indenture, dated as of November 18,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9"/>
          </w:tcPr>
          <w:p>
            <w:pPr>
              <w:spacing w:after="0" w:line="107" w:lineRule="exact"/>
              <w:rPr>
                <w:rFonts w:ascii="Arial" w:cs="Arial" w:eastAsia="Arial" w:hAnsi="Arial"/>
                <w:sz w:val="12"/>
                <w:szCs w:val="12"/>
                <w:color w:val="0000FF"/>
                <w:w w:val="94"/>
              </w:rPr>
            </w:pPr>
            <w:hyperlink r:id="rId194">
              <w:r>
                <w:rPr>
                  <w:rFonts w:ascii="Arial" w:cs="Arial" w:eastAsia="Arial" w:hAnsi="Arial"/>
                  <w:sz w:val="12"/>
                  <w:szCs w:val="12"/>
                  <w:color w:val="0000FF"/>
                  <w:w w:val="94"/>
                </w:rPr>
                <w:t>guarantors named therein and Delaware Trust Company.</w:t>
              </w:r>
            </w:hyperlink>
          </w:p>
        </w:tc>
        <w:tc>
          <w:tcPr>
            <w:tcW w:w="2640" w:type="dxa"/>
            <w:vAlign w:val="bottom"/>
            <w:tcBorders>
              <w:top w:val="single" w:sz="8" w:color="0000FF"/>
            </w:tcBorders>
            <w:gridSpan w:val="11"/>
          </w:tcPr>
          <w:p>
            <w:pPr>
              <w:spacing w:after="0"/>
              <w:rPr>
                <w:sz w:val="9"/>
                <w:szCs w:val="9"/>
                <w:color w:val="auto"/>
              </w:rPr>
            </w:pPr>
          </w:p>
        </w:tc>
        <w:tc>
          <w:tcPr>
            <w:tcW w:w="140" w:type="dxa"/>
            <w:vAlign w:val="bottom"/>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4.8</w:t>
            </w:r>
          </w:p>
        </w:tc>
        <w:tc>
          <w:tcPr>
            <w:tcW w:w="5800" w:type="dxa"/>
            <w:vAlign w:val="bottom"/>
            <w:gridSpan w:val="27"/>
          </w:tcPr>
          <w:p>
            <w:pPr>
              <w:spacing w:after="0"/>
              <w:rPr>
                <w:rFonts w:ascii="Arial" w:cs="Arial" w:eastAsia="Arial" w:hAnsi="Arial"/>
                <w:sz w:val="13"/>
                <w:szCs w:val="13"/>
                <w:color w:val="0000FF"/>
                <w:w w:val="93"/>
              </w:rPr>
            </w:pPr>
            <w:hyperlink r:id="rId195">
              <w:r>
                <w:rPr>
                  <w:rFonts w:ascii="Arial" w:cs="Arial" w:eastAsia="Arial" w:hAnsi="Arial"/>
                  <w:sz w:val="13"/>
                  <w:szCs w:val="13"/>
                  <w:color w:val="0000FF"/>
                  <w:w w:val="93"/>
                </w:rPr>
                <w:t>Sixth Supplemental Indenture, dated as of December 1,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9"/>
          </w:tcPr>
          <w:p>
            <w:pPr>
              <w:spacing w:after="0" w:line="107" w:lineRule="exact"/>
              <w:rPr>
                <w:rFonts w:ascii="Arial" w:cs="Arial" w:eastAsia="Arial" w:hAnsi="Arial"/>
                <w:sz w:val="12"/>
                <w:szCs w:val="12"/>
                <w:color w:val="0000FF"/>
                <w:w w:val="94"/>
              </w:rPr>
            </w:pPr>
            <w:hyperlink r:id="rId195">
              <w:r>
                <w:rPr>
                  <w:rFonts w:ascii="Arial" w:cs="Arial" w:eastAsia="Arial" w:hAnsi="Arial"/>
                  <w:sz w:val="12"/>
                  <w:szCs w:val="12"/>
                  <w:color w:val="0000FF"/>
                  <w:w w:val="94"/>
                </w:rPr>
                <w:t>guarantors named therein and Delaware Trust Company.</w:t>
              </w:r>
            </w:hyperlink>
          </w:p>
        </w:tc>
        <w:tc>
          <w:tcPr>
            <w:tcW w:w="2580" w:type="dxa"/>
            <w:vAlign w:val="bottom"/>
            <w:tcBorders>
              <w:top w:val="single" w:sz="8" w:color="0000FF"/>
            </w:tcBorders>
            <w:gridSpan w:val="8"/>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5"/>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4.9</w:t>
            </w:r>
          </w:p>
        </w:tc>
        <w:tc>
          <w:tcPr>
            <w:tcW w:w="5800" w:type="dxa"/>
            <w:vAlign w:val="bottom"/>
            <w:gridSpan w:val="27"/>
          </w:tcPr>
          <w:p>
            <w:pPr>
              <w:spacing w:after="0"/>
              <w:rPr>
                <w:rFonts w:ascii="Arial" w:cs="Arial" w:eastAsia="Arial" w:hAnsi="Arial"/>
                <w:sz w:val="13"/>
                <w:szCs w:val="13"/>
                <w:color w:val="0000FF"/>
                <w:w w:val="90"/>
              </w:rPr>
            </w:pPr>
            <w:hyperlink r:id="rId196">
              <w:r>
                <w:rPr>
                  <w:rFonts w:ascii="Arial" w:cs="Arial" w:eastAsia="Arial" w:hAnsi="Arial"/>
                  <w:sz w:val="13"/>
                  <w:szCs w:val="13"/>
                  <w:color w:val="0000FF"/>
                  <w:w w:val="90"/>
                </w:rPr>
                <w:t>Seventh Supplemental Indenture, dated as of December 23, 2020,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9"/>
          </w:tcPr>
          <w:p>
            <w:pPr>
              <w:spacing w:after="0" w:line="107" w:lineRule="exact"/>
              <w:rPr>
                <w:rFonts w:ascii="Arial" w:cs="Arial" w:eastAsia="Arial" w:hAnsi="Arial"/>
                <w:sz w:val="12"/>
                <w:szCs w:val="12"/>
                <w:color w:val="0000FF"/>
                <w:w w:val="94"/>
              </w:rPr>
            </w:pPr>
            <w:hyperlink r:id="rId196">
              <w:r>
                <w:rPr>
                  <w:rFonts w:ascii="Arial" w:cs="Arial" w:eastAsia="Arial" w:hAnsi="Arial"/>
                  <w:sz w:val="12"/>
                  <w:szCs w:val="12"/>
                  <w:color w:val="0000FF"/>
                  <w:w w:val="94"/>
                </w:rPr>
                <w:t>guarantors named therein and Delaware Trust Company.</w:t>
              </w:r>
            </w:hyperlink>
          </w:p>
        </w:tc>
        <w:tc>
          <w:tcPr>
            <w:tcW w:w="2780" w:type="dxa"/>
            <w:vAlign w:val="bottom"/>
            <w:tcBorders>
              <w:top w:val="single" w:sz="8" w:color="0000FF"/>
            </w:tcBorders>
            <w:gridSpan w:val="15"/>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4.10</w:t>
            </w:r>
          </w:p>
        </w:tc>
        <w:tc>
          <w:tcPr>
            <w:tcW w:w="5800" w:type="dxa"/>
            <w:vAlign w:val="bottom"/>
            <w:gridSpan w:val="27"/>
          </w:tcPr>
          <w:p>
            <w:pPr>
              <w:spacing w:after="0"/>
              <w:rPr>
                <w:rFonts w:ascii="Arial" w:cs="Arial" w:eastAsia="Arial" w:hAnsi="Arial"/>
                <w:sz w:val="13"/>
                <w:szCs w:val="13"/>
                <w:color w:val="0000FF"/>
                <w:w w:val="93"/>
              </w:rPr>
            </w:pPr>
            <w:hyperlink r:id="rId197">
              <w:r>
                <w:rPr>
                  <w:rFonts w:ascii="Arial" w:cs="Arial" w:eastAsia="Arial" w:hAnsi="Arial"/>
                  <w:sz w:val="13"/>
                  <w:szCs w:val="13"/>
                  <w:color w:val="0000FF"/>
                  <w:w w:val="93"/>
                </w:rPr>
                <w:t>Eighth Supplemental Indenture, dated as of February 3,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9"/>
          </w:tcPr>
          <w:p>
            <w:pPr>
              <w:spacing w:after="0" w:line="107" w:lineRule="exact"/>
              <w:rPr>
                <w:rFonts w:ascii="Arial" w:cs="Arial" w:eastAsia="Arial" w:hAnsi="Arial"/>
                <w:sz w:val="12"/>
                <w:szCs w:val="12"/>
                <w:color w:val="0000FF"/>
                <w:w w:val="94"/>
              </w:rPr>
            </w:pPr>
            <w:hyperlink r:id="rId197">
              <w:r>
                <w:rPr>
                  <w:rFonts w:ascii="Arial" w:cs="Arial" w:eastAsia="Arial" w:hAnsi="Arial"/>
                  <w:sz w:val="12"/>
                  <w:szCs w:val="12"/>
                  <w:color w:val="0000FF"/>
                  <w:w w:val="94"/>
                </w:rPr>
                <w:t>guarantors named therein and Delaware Trust Company.</w:t>
              </w:r>
            </w:hyperlink>
          </w:p>
        </w:tc>
        <w:tc>
          <w:tcPr>
            <w:tcW w:w="260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gridSpan w:val="7"/>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4.11</w:t>
            </w:r>
          </w:p>
        </w:tc>
        <w:tc>
          <w:tcPr>
            <w:tcW w:w="5800" w:type="dxa"/>
            <w:vAlign w:val="bottom"/>
            <w:gridSpan w:val="27"/>
          </w:tcPr>
          <w:p>
            <w:pPr>
              <w:spacing w:after="0"/>
              <w:rPr>
                <w:rFonts w:ascii="Arial" w:cs="Arial" w:eastAsia="Arial" w:hAnsi="Arial"/>
                <w:sz w:val="13"/>
                <w:szCs w:val="13"/>
                <w:color w:val="0000FF"/>
                <w:w w:val="92"/>
              </w:rPr>
            </w:pPr>
            <w:hyperlink r:id="rId198">
              <w:r>
                <w:rPr>
                  <w:rFonts w:ascii="Arial" w:cs="Arial" w:eastAsia="Arial" w:hAnsi="Arial"/>
                  <w:sz w:val="13"/>
                  <w:szCs w:val="13"/>
                  <w:color w:val="0000FF"/>
                  <w:w w:val="92"/>
                </w:rPr>
                <w:t>Indenture, dated March 9, 2021, among Clearway Energy Operating LLC, the guarantors named therein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520" w:type="dxa"/>
            <w:vAlign w:val="bottom"/>
            <w:tcBorders>
              <w:top w:val="single" w:sz="8" w:color="0000FF"/>
            </w:tcBorders>
            <w:gridSpan w:val="19"/>
          </w:tcPr>
          <w:p>
            <w:pPr>
              <w:spacing w:after="0" w:line="107" w:lineRule="exact"/>
              <w:rPr>
                <w:rFonts w:ascii="Arial" w:cs="Arial" w:eastAsia="Arial" w:hAnsi="Arial"/>
                <w:sz w:val="12"/>
                <w:szCs w:val="12"/>
                <w:color w:val="0000FF"/>
              </w:rPr>
            </w:pPr>
            <w:hyperlink r:id="rId198">
              <w:r>
                <w:rPr>
                  <w:rFonts w:ascii="Arial" w:cs="Arial" w:eastAsia="Arial" w:hAnsi="Arial"/>
                  <w:sz w:val="12"/>
                  <w:szCs w:val="12"/>
                  <w:color w:val="0000FF"/>
                </w:rPr>
                <w:t>Delaware Trust Company, as trustee.</w:t>
              </w:r>
            </w:hyperlink>
          </w:p>
        </w:tc>
        <w:tc>
          <w:tcPr>
            <w:tcW w:w="260" w:type="dxa"/>
            <w:vAlign w:val="bottom"/>
            <w:gridSpan w:val="7"/>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4.12</w:t>
            </w:r>
          </w:p>
        </w:tc>
        <w:tc>
          <w:tcPr>
            <w:tcW w:w="2080" w:type="dxa"/>
            <w:vAlign w:val="bottom"/>
            <w:tcBorders>
              <w:bottom w:val="single" w:sz="8" w:color="0000FF"/>
            </w:tcBorders>
            <w:gridSpan w:val="4"/>
          </w:tcPr>
          <w:p>
            <w:pPr>
              <w:spacing w:after="0"/>
              <w:rPr>
                <w:rFonts w:ascii="Arial" w:cs="Arial" w:eastAsia="Arial" w:hAnsi="Arial"/>
                <w:sz w:val="13"/>
                <w:szCs w:val="13"/>
                <w:color w:val="0000FF"/>
                <w:w w:val="88"/>
              </w:rPr>
            </w:pPr>
            <w:hyperlink r:id="rId198">
              <w:r>
                <w:rPr>
                  <w:rFonts w:ascii="Arial" w:cs="Arial" w:eastAsia="Arial" w:hAnsi="Arial"/>
                  <w:sz w:val="13"/>
                  <w:szCs w:val="13"/>
                  <w:color w:val="0000FF"/>
                  <w:w w:val="88"/>
                </w:rPr>
                <w:t>Form of 3.750% Senior Notes due 2031.</w:t>
              </w:r>
            </w:hyperlink>
          </w:p>
        </w:tc>
        <w:tc>
          <w:tcPr>
            <w:tcW w:w="3720" w:type="dxa"/>
            <w:vAlign w:val="bottom"/>
            <w:gridSpan w:val="2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3"/>
                <w:szCs w:val="13"/>
                <w:color w:val="auto"/>
              </w:rPr>
              <w:t>4.13</w:t>
            </w:r>
          </w:p>
        </w:tc>
        <w:tc>
          <w:tcPr>
            <w:tcW w:w="5800" w:type="dxa"/>
            <w:vAlign w:val="bottom"/>
            <w:gridSpan w:val="27"/>
          </w:tcPr>
          <w:p>
            <w:pPr>
              <w:spacing w:after="0"/>
              <w:rPr>
                <w:rFonts w:ascii="Arial" w:cs="Arial" w:eastAsia="Arial" w:hAnsi="Arial"/>
                <w:sz w:val="13"/>
                <w:szCs w:val="13"/>
                <w:color w:val="0000FF"/>
                <w:w w:val="98"/>
              </w:rPr>
            </w:pPr>
            <w:hyperlink r:id="rId199">
              <w:r>
                <w:rPr>
                  <w:rFonts w:ascii="Arial" w:cs="Arial" w:eastAsia="Arial" w:hAnsi="Arial"/>
                  <w:sz w:val="13"/>
                  <w:szCs w:val="13"/>
                  <w:color w:val="0000FF"/>
                  <w:w w:val="98"/>
                </w:rPr>
                <w:t>Ninth Supplemental Indenture, dated as of May 14,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260" w:type="dxa"/>
            <w:vAlign w:val="bottom"/>
            <w:tcBorders>
              <w:top w:val="single" w:sz="8" w:color="0000FF"/>
            </w:tcBorders>
            <w:gridSpan w:val="13"/>
          </w:tcPr>
          <w:p>
            <w:pPr>
              <w:spacing w:after="0" w:line="107" w:lineRule="exact"/>
              <w:rPr>
                <w:rFonts w:ascii="Arial" w:cs="Arial" w:eastAsia="Arial" w:hAnsi="Arial"/>
                <w:sz w:val="12"/>
                <w:szCs w:val="12"/>
                <w:color w:val="0000FF"/>
              </w:rPr>
            </w:pPr>
            <w:hyperlink r:id="rId199">
              <w:r>
                <w:rPr>
                  <w:rFonts w:ascii="Arial" w:cs="Arial" w:eastAsia="Arial" w:hAnsi="Arial"/>
                  <w:sz w:val="12"/>
                  <w:szCs w:val="12"/>
                  <w:color w:val="0000FF"/>
                </w:rPr>
                <w:t>guarantors named therein and Delaware Trust Company.</w:t>
              </w:r>
            </w:hyperlink>
          </w:p>
        </w:tc>
        <w:tc>
          <w:tcPr>
            <w:tcW w:w="520" w:type="dxa"/>
            <w:vAlign w:val="bottom"/>
            <w:gridSpan w:val="1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320" w:type="dxa"/>
            <w:vAlign w:val="bottom"/>
            <w:gridSpan w:val="6"/>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90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4.14</w:t>
            </w:r>
          </w:p>
        </w:tc>
        <w:tc>
          <w:tcPr>
            <w:tcW w:w="5800" w:type="dxa"/>
            <w:vAlign w:val="bottom"/>
            <w:gridSpan w:val="27"/>
          </w:tcPr>
          <w:p>
            <w:pPr>
              <w:spacing w:after="0"/>
              <w:rPr>
                <w:rFonts w:ascii="Arial" w:cs="Arial" w:eastAsia="Arial" w:hAnsi="Arial"/>
                <w:sz w:val="13"/>
                <w:szCs w:val="13"/>
                <w:color w:val="0000FF"/>
                <w:w w:val="88"/>
              </w:rPr>
            </w:pPr>
            <w:hyperlink r:id="rId200">
              <w:r>
                <w:rPr>
                  <w:rFonts w:ascii="Arial" w:cs="Arial" w:eastAsia="Arial" w:hAnsi="Arial"/>
                  <w:sz w:val="13"/>
                  <w:szCs w:val="13"/>
                  <w:color w:val="0000FF"/>
                  <w:w w:val="88"/>
                </w:rPr>
                <w:t>First Supplemental Indenture, dated as of May 14, 2021, among Clearway Energy Operating LLC, the guarantors</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320" w:type="dxa"/>
            <w:vAlign w:val="bottom"/>
            <w:tcBorders>
              <w:top w:val="single" w:sz="8" w:color="0000FF"/>
              <w:bottom w:val="single" w:sz="8" w:color="0000FF"/>
            </w:tcBorders>
            <w:gridSpan w:val="6"/>
          </w:tcPr>
          <w:p>
            <w:pPr>
              <w:spacing w:after="0" w:line="107" w:lineRule="exact"/>
              <w:rPr>
                <w:rFonts w:ascii="Arial" w:cs="Arial" w:eastAsia="Arial" w:hAnsi="Arial"/>
                <w:sz w:val="12"/>
                <w:szCs w:val="12"/>
                <w:color w:val="0000FF"/>
                <w:w w:val="94"/>
              </w:rPr>
            </w:pPr>
            <w:hyperlink r:id="rId200">
              <w:r>
                <w:rPr>
                  <w:rFonts w:ascii="Arial" w:cs="Arial" w:eastAsia="Arial" w:hAnsi="Arial"/>
                  <w:sz w:val="12"/>
                  <w:szCs w:val="12"/>
                  <w:color w:val="0000FF"/>
                  <w:w w:val="94"/>
                </w:rPr>
                <w:t>named therein and Delaware Trust Company.</w:t>
              </w:r>
            </w:hyperlink>
          </w:p>
        </w:tc>
        <w:tc>
          <w:tcPr>
            <w:tcW w:w="3460" w:type="dxa"/>
            <w:vAlign w:val="bottom"/>
            <w:tcBorders>
              <w:top w:val="single" w:sz="8" w:color="0000FF"/>
            </w:tcBorders>
            <w:gridSpan w:val="20"/>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Method of Filing</w:t>
      </w:r>
    </w:p>
    <w:p>
      <w:pPr>
        <w:spacing w:after="0" w:line="24"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2.1 to the Company’s Current Report on Form 8-K filed on November 20, 2020.</w:t>
      </w:r>
    </w:p>
    <w:p>
      <w:pPr>
        <w:spacing w:after="0" w:line="9" w:lineRule="exact"/>
        <w:rPr>
          <w:sz w:val="20"/>
          <w:szCs w:val="20"/>
          <w:color w:val="auto"/>
        </w:rPr>
      </w:pPr>
    </w:p>
    <w:p>
      <w:pPr>
        <w:ind w:right="120"/>
        <w:spacing w:after="0" w:line="231" w:lineRule="auto"/>
        <w:rPr>
          <w:sz w:val="20"/>
          <w:szCs w:val="20"/>
          <w:color w:val="auto"/>
        </w:rPr>
      </w:pPr>
      <w:r>
        <w:rPr>
          <w:rFonts w:ascii="Arial" w:cs="Arial" w:eastAsia="Arial" w:hAnsi="Arial"/>
          <w:sz w:val="13"/>
          <w:szCs w:val="13"/>
          <w:color w:val="auto"/>
        </w:rPr>
        <w:t>Incorporated herein by reference to Exhibit 3.01(a) to the Company’s Registration Statement on Form S-4 filed on April 13, 2015.</w:t>
      </w:r>
    </w:p>
    <w:p>
      <w:pPr>
        <w:spacing w:after="0" w:line="84" w:lineRule="exact"/>
        <w:rPr>
          <w:sz w:val="20"/>
          <w:szCs w:val="20"/>
          <w:color w:val="auto"/>
        </w:rPr>
      </w:pPr>
    </w:p>
    <w:p>
      <w:pPr>
        <w:ind w:right="100"/>
        <w:spacing w:after="0" w:line="231" w:lineRule="auto"/>
        <w:rPr>
          <w:sz w:val="20"/>
          <w:szCs w:val="20"/>
          <w:color w:val="auto"/>
        </w:rPr>
      </w:pPr>
      <w:r>
        <w:rPr>
          <w:rFonts w:ascii="Arial" w:cs="Arial" w:eastAsia="Arial" w:hAnsi="Arial"/>
          <w:sz w:val="13"/>
          <w:szCs w:val="13"/>
          <w:color w:val="auto"/>
        </w:rPr>
        <w:t>Incorporated herein by reference to Exhibit 3.01(b) to the Company’s Registration Statement on Form S-4 filed on April 13, 2015.</w:t>
      </w:r>
    </w:p>
    <w:p>
      <w:pPr>
        <w:spacing w:after="0" w:line="147" w:lineRule="exact"/>
        <w:rPr>
          <w:sz w:val="20"/>
          <w:szCs w:val="20"/>
          <w:color w:val="auto"/>
        </w:rPr>
      </w:pPr>
    </w:p>
    <w:p>
      <w:pPr>
        <w:spacing w:after="0" w:line="231" w:lineRule="auto"/>
        <w:rPr>
          <w:sz w:val="20"/>
          <w:szCs w:val="20"/>
          <w:color w:val="auto"/>
        </w:rPr>
      </w:pPr>
      <w:r>
        <w:rPr>
          <w:rFonts w:ascii="Arial" w:cs="Arial" w:eastAsia="Arial" w:hAnsi="Arial"/>
          <w:sz w:val="13"/>
          <w:szCs w:val="13"/>
          <w:color w:val="auto"/>
        </w:rPr>
        <w:t>Incorporated herein by reference to Exhibit 3.3. to the Company’s Annual Report on Form 10-K filed on February 28, 2019.</w:t>
      </w:r>
    </w:p>
    <w:p>
      <w:pPr>
        <w:spacing w:after="0" w:line="147" w:lineRule="exact"/>
        <w:rPr>
          <w:sz w:val="20"/>
          <w:szCs w:val="20"/>
          <w:color w:val="auto"/>
        </w:rPr>
      </w:pPr>
    </w:p>
    <w:p>
      <w:pPr>
        <w:ind w:right="120"/>
        <w:spacing w:after="0" w:line="231" w:lineRule="auto"/>
        <w:rPr>
          <w:sz w:val="20"/>
          <w:szCs w:val="20"/>
          <w:color w:val="auto"/>
        </w:rPr>
      </w:pPr>
      <w:r>
        <w:rPr>
          <w:rFonts w:ascii="Arial" w:cs="Arial" w:eastAsia="Arial" w:hAnsi="Arial"/>
          <w:sz w:val="13"/>
          <w:szCs w:val="13"/>
          <w:color w:val="auto"/>
        </w:rPr>
        <w:t>Incorporated herein by reference to Exhibit 3.03(a) to the Company’s Registration Statement on Form S-4 filed on April 13, 2015.</w:t>
      </w:r>
    </w:p>
    <w:p>
      <w:pPr>
        <w:spacing w:after="0" w:line="147" w:lineRule="exact"/>
        <w:rPr>
          <w:sz w:val="20"/>
          <w:szCs w:val="20"/>
          <w:color w:val="auto"/>
        </w:rPr>
      </w:pPr>
    </w:p>
    <w:p>
      <w:pPr>
        <w:ind w:right="100"/>
        <w:spacing w:after="0" w:line="231" w:lineRule="auto"/>
        <w:rPr>
          <w:sz w:val="20"/>
          <w:szCs w:val="20"/>
          <w:color w:val="auto"/>
        </w:rPr>
      </w:pPr>
      <w:r>
        <w:rPr>
          <w:rFonts w:ascii="Arial" w:cs="Arial" w:eastAsia="Arial" w:hAnsi="Arial"/>
          <w:sz w:val="13"/>
          <w:szCs w:val="13"/>
          <w:color w:val="auto"/>
        </w:rPr>
        <w:t>Incorporated herein by reference to Exhibit 3.03(b) to the Company’s Registration Statement on Form S-4 filed on April 13, 2015.</w:t>
      </w:r>
    </w:p>
    <w:p>
      <w:pPr>
        <w:spacing w:after="0" w:line="147" w:lineRule="exact"/>
        <w:rPr>
          <w:sz w:val="20"/>
          <w:szCs w:val="20"/>
          <w:color w:val="auto"/>
        </w:rPr>
      </w:pPr>
    </w:p>
    <w:p>
      <w:pPr>
        <w:ind w:right="40"/>
        <w:spacing w:after="0" w:line="231" w:lineRule="auto"/>
        <w:rPr>
          <w:sz w:val="20"/>
          <w:szCs w:val="20"/>
          <w:color w:val="auto"/>
        </w:rPr>
      </w:pPr>
      <w:r>
        <w:rPr>
          <w:rFonts w:ascii="Arial" w:cs="Arial" w:eastAsia="Arial" w:hAnsi="Arial"/>
          <w:sz w:val="13"/>
          <w:szCs w:val="13"/>
          <w:color w:val="auto"/>
        </w:rPr>
        <w:t>Incorporated herein by reference to Exhibit 10.6 to Clearway Energy, Inc.’s Current Report on Form 8-K filed on September 5, 2018.</w:t>
      </w:r>
    </w:p>
    <w:p>
      <w:pPr>
        <w:spacing w:after="0" w:line="147"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4.1 to the Company’s Current Report on Form 8-K filed on December 12, 2019.</w:t>
      </w:r>
    </w:p>
    <w:p>
      <w:pPr>
        <w:spacing w:after="0" w:line="147"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4.1 to the Company’s Current Report on Form 8-K filed on December 12, 2019.</w:t>
      </w:r>
    </w:p>
    <w:p>
      <w:pPr>
        <w:spacing w:after="0" w:line="73"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4.3 to the Company’s Current Report on Form 8-K filed on January 8, 2020.</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4.3 to the Company’s Current Report on Form 8-K filed on March 3, 2020.</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4.3 to the Company’s Current Report on Form 8-K filed on July 21, 2020.</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4.3 to the Company’s Current Report on Form 8-K filed on August 20, 2020.</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4.3 to the Company’s Current Report on Form 8-K filed on November 19, 2020.</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4.3 to the Company’s Current Report on Form 8-K filed on December 4, 2020.</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4.3 to the Company’s Current Report on Form 8-K filed on December 29, 2020.</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4.3 to the Company’s Current Report on Form 8-K filed on February 5, 2021.</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4.1 to the Company’s Current Report on Form 8-K filed on March 9, 2021.</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4.2 to the Company’s Current Report on Form 8-K filed on March 9, 2021.</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4.2 to the Company’s Current Report on Form 8-K filed on May 19, 2021.</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4.3 to the Company’s Current Report on Form 8-K filed on May 19, 2021.</w:t>
      </w:r>
    </w:p>
    <w:p>
      <w:pPr>
        <w:spacing w:after="0" w:line="200" w:lineRule="exact"/>
        <w:rPr>
          <w:sz w:val="20"/>
          <w:szCs w:val="20"/>
          <w:color w:val="auto"/>
        </w:rPr>
      </w:pPr>
    </w:p>
    <w:p>
      <w:pPr>
        <w:sectPr>
          <w:pgSz w:w="11900" w:h="16838" w:orient="portrait"/>
          <w:cols w:equalWidth="0" w:num="2">
            <w:col w:w="6780" w:space="120"/>
            <w:col w:w="4300"/>
          </w:cols>
          <w:pgMar w:left="340" w:top="729" w:right="35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60960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29" w:right="359"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20"/>
                <w:szCs w:val="20"/>
                <w:color w:val="auto"/>
              </w:rPr>
            </w:pPr>
            <w:r>
              <w:rPr>
                <w:rFonts w:ascii="Arial" w:cs="Arial" w:eastAsia="Arial" w:hAnsi="Arial"/>
                <w:sz w:val="13"/>
                <w:szCs w:val="13"/>
                <w:color w:val="auto"/>
              </w:rPr>
              <w:t>4.15</w:t>
            </w:r>
          </w:p>
        </w:tc>
        <w:tc>
          <w:tcPr>
            <w:tcW w:w="5800" w:type="dxa"/>
            <w:vAlign w:val="bottom"/>
            <w:gridSpan w:val="29"/>
          </w:tcPr>
          <w:p>
            <w:pPr>
              <w:spacing w:after="0"/>
              <w:rPr>
                <w:rFonts w:ascii="Arial" w:cs="Arial" w:eastAsia="Arial" w:hAnsi="Arial"/>
                <w:sz w:val="13"/>
                <w:szCs w:val="13"/>
                <w:color w:val="0000FF"/>
                <w:w w:val="91"/>
              </w:rPr>
            </w:pPr>
            <w:hyperlink r:id="rId202">
              <w:r>
                <w:rPr>
                  <w:rFonts w:ascii="Arial" w:cs="Arial" w:eastAsia="Arial" w:hAnsi="Arial"/>
                  <w:sz w:val="13"/>
                  <w:szCs w:val="13"/>
                  <w:color w:val="0000FF"/>
                  <w:w w:val="91"/>
                </w:rPr>
                <w:t>Indenture, dated October 1, 2021, among Clearway Energy Operating LLC, the guarantors named therein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600" w:type="dxa"/>
            <w:vAlign w:val="bottom"/>
            <w:tcBorders>
              <w:top w:val="single" w:sz="8" w:color="0000FF"/>
            </w:tcBorders>
            <w:gridSpan w:val="21"/>
          </w:tcPr>
          <w:p>
            <w:pPr>
              <w:spacing w:after="0" w:line="107" w:lineRule="exact"/>
              <w:rPr>
                <w:rFonts w:ascii="Arial" w:cs="Arial" w:eastAsia="Arial" w:hAnsi="Arial"/>
                <w:sz w:val="12"/>
                <w:szCs w:val="12"/>
                <w:color w:val="0000FF"/>
              </w:rPr>
            </w:pPr>
            <w:hyperlink r:id="rId202">
              <w:r>
                <w:rPr>
                  <w:rFonts w:ascii="Arial" w:cs="Arial" w:eastAsia="Arial" w:hAnsi="Arial"/>
                  <w:sz w:val="12"/>
                  <w:szCs w:val="12"/>
                  <w:color w:val="0000FF"/>
                </w:rPr>
                <w:t>Delaware Trust Company, as trustee.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4.16</w:t>
            </w:r>
          </w:p>
        </w:tc>
        <w:tc>
          <w:tcPr>
            <w:tcW w:w="2080" w:type="dxa"/>
            <w:vAlign w:val="bottom"/>
            <w:tcBorders>
              <w:bottom w:val="single" w:sz="8" w:color="0000FF"/>
            </w:tcBorders>
            <w:gridSpan w:val="4"/>
          </w:tcPr>
          <w:p>
            <w:pPr>
              <w:spacing w:after="0"/>
              <w:rPr>
                <w:rFonts w:ascii="Arial" w:cs="Arial" w:eastAsia="Arial" w:hAnsi="Arial"/>
                <w:sz w:val="13"/>
                <w:szCs w:val="13"/>
                <w:color w:val="0000FF"/>
                <w:w w:val="88"/>
              </w:rPr>
            </w:pPr>
            <w:hyperlink r:id="rId202">
              <w:r>
                <w:rPr>
                  <w:rFonts w:ascii="Arial" w:cs="Arial" w:eastAsia="Arial" w:hAnsi="Arial"/>
                  <w:sz w:val="13"/>
                  <w:szCs w:val="13"/>
                  <w:color w:val="0000FF"/>
                  <w:w w:val="88"/>
                </w:rPr>
                <w:t>Form of 3.750% Senior Notes due 2032.</w:t>
              </w:r>
            </w:hyperlink>
          </w:p>
        </w:tc>
        <w:tc>
          <w:tcPr>
            <w:tcW w:w="3720" w:type="dxa"/>
            <w:vAlign w:val="bottom"/>
            <w:gridSpan w:val="25"/>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3"/>
                <w:szCs w:val="13"/>
                <w:color w:val="auto"/>
              </w:rPr>
              <w:t>4.17</w:t>
            </w:r>
          </w:p>
        </w:tc>
        <w:tc>
          <w:tcPr>
            <w:tcW w:w="5800" w:type="dxa"/>
            <w:vAlign w:val="bottom"/>
            <w:gridSpan w:val="29"/>
          </w:tcPr>
          <w:p>
            <w:pPr>
              <w:spacing w:after="0"/>
              <w:rPr>
                <w:rFonts w:ascii="Arial" w:cs="Arial" w:eastAsia="Arial" w:hAnsi="Arial"/>
                <w:sz w:val="13"/>
                <w:szCs w:val="13"/>
                <w:color w:val="0000FF"/>
                <w:w w:val="95"/>
              </w:rPr>
            </w:pPr>
            <w:hyperlink r:id="rId203">
              <w:r>
                <w:rPr>
                  <w:rFonts w:ascii="Arial" w:cs="Arial" w:eastAsia="Arial" w:hAnsi="Arial"/>
                  <w:sz w:val="13"/>
                  <w:szCs w:val="13"/>
                  <w:color w:val="0000FF"/>
                  <w:w w:val="95"/>
                </w:rPr>
                <w:t>Tenth Supplemental Indenture, dated as of October 7,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380" w:type="dxa"/>
            <w:vAlign w:val="bottom"/>
            <w:tcBorders>
              <w:top w:val="single" w:sz="8" w:color="0000FF"/>
            </w:tcBorders>
            <w:gridSpan w:val="14"/>
          </w:tcPr>
          <w:p>
            <w:pPr>
              <w:spacing w:after="0" w:line="107" w:lineRule="exact"/>
              <w:rPr>
                <w:rFonts w:ascii="Arial" w:cs="Arial" w:eastAsia="Arial" w:hAnsi="Arial"/>
                <w:sz w:val="12"/>
                <w:szCs w:val="12"/>
                <w:color w:val="0000FF"/>
              </w:rPr>
            </w:pPr>
            <w:hyperlink r:id="rId203">
              <w:r>
                <w:rPr>
                  <w:rFonts w:ascii="Arial" w:cs="Arial" w:eastAsia="Arial" w:hAnsi="Arial"/>
                  <w:sz w:val="12"/>
                  <w:szCs w:val="12"/>
                  <w:color w:val="0000FF"/>
                </w:rPr>
                <w:t>guarantors named therein and Delaware Trust Company.</w:t>
              </w:r>
            </w:hyperlink>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4.18</w:t>
            </w:r>
          </w:p>
        </w:tc>
        <w:tc>
          <w:tcPr>
            <w:tcW w:w="5800" w:type="dxa"/>
            <w:vAlign w:val="bottom"/>
            <w:gridSpan w:val="29"/>
          </w:tcPr>
          <w:p>
            <w:pPr>
              <w:spacing w:after="0"/>
              <w:rPr>
                <w:rFonts w:ascii="Arial" w:cs="Arial" w:eastAsia="Arial" w:hAnsi="Arial"/>
                <w:sz w:val="13"/>
                <w:szCs w:val="13"/>
                <w:color w:val="0000FF"/>
                <w:w w:val="93"/>
              </w:rPr>
            </w:pPr>
            <w:hyperlink r:id="rId204">
              <w:r>
                <w:rPr>
                  <w:rFonts w:ascii="Arial" w:cs="Arial" w:eastAsia="Arial" w:hAnsi="Arial"/>
                  <w:sz w:val="13"/>
                  <w:szCs w:val="13"/>
                  <w:color w:val="0000FF"/>
                  <w:w w:val="93"/>
                </w:rPr>
                <w:t>Second Supplemental Indenture, dated as of October 7,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460" w:type="dxa"/>
            <w:vAlign w:val="bottom"/>
            <w:tcBorders>
              <w:top w:val="single" w:sz="8" w:color="0000FF"/>
            </w:tcBorders>
            <w:gridSpan w:val="16"/>
          </w:tcPr>
          <w:p>
            <w:pPr>
              <w:spacing w:after="0" w:line="107" w:lineRule="exact"/>
              <w:rPr>
                <w:rFonts w:ascii="Arial" w:cs="Arial" w:eastAsia="Arial" w:hAnsi="Arial"/>
                <w:sz w:val="12"/>
                <w:szCs w:val="12"/>
                <w:color w:val="0000FF"/>
              </w:rPr>
            </w:pPr>
            <w:hyperlink r:id="rId204">
              <w:r>
                <w:rPr>
                  <w:rFonts w:ascii="Arial" w:cs="Arial" w:eastAsia="Arial" w:hAnsi="Arial"/>
                  <w:sz w:val="12"/>
                  <w:szCs w:val="12"/>
                  <w:color w:val="0000FF"/>
                </w:rPr>
                <w:t>guarantors named therein and Delaware Trust Company.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4.19</w:t>
            </w:r>
          </w:p>
        </w:tc>
        <w:tc>
          <w:tcPr>
            <w:tcW w:w="5800" w:type="dxa"/>
            <w:vAlign w:val="bottom"/>
            <w:gridSpan w:val="29"/>
          </w:tcPr>
          <w:p>
            <w:pPr>
              <w:spacing w:after="0"/>
              <w:rPr>
                <w:rFonts w:ascii="Arial" w:cs="Arial" w:eastAsia="Arial" w:hAnsi="Arial"/>
                <w:sz w:val="13"/>
                <w:szCs w:val="13"/>
                <w:color w:val="0000FF"/>
                <w:w w:val="96"/>
              </w:rPr>
            </w:pPr>
            <w:hyperlink r:id="rId205">
              <w:r>
                <w:rPr>
                  <w:rFonts w:ascii="Arial" w:cs="Arial" w:eastAsia="Arial" w:hAnsi="Arial"/>
                  <w:sz w:val="13"/>
                  <w:szCs w:val="13"/>
                  <w:color w:val="0000FF"/>
                  <w:w w:val="96"/>
                </w:rPr>
                <w:t>First Supplemental Indenture, dated as of October 7,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320" w:type="dxa"/>
            <w:vAlign w:val="bottom"/>
            <w:tcBorders>
              <w:top w:val="single" w:sz="8" w:color="0000FF"/>
            </w:tcBorders>
            <w:gridSpan w:val="12"/>
          </w:tcPr>
          <w:p>
            <w:pPr>
              <w:spacing w:after="0" w:line="107" w:lineRule="exact"/>
              <w:rPr>
                <w:rFonts w:ascii="Arial" w:cs="Arial" w:eastAsia="Arial" w:hAnsi="Arial"/>
                <w:sz w:val="12"/>
                <w:szCs w:val="12"/>
                <w:color w:val="0000FF"/>
              </w:rPr>
            </w:pPr>
            <w:hyperlink r:id="rId205">
              <w:r>
                <w:rPr>
                  <w:rFonts w:ascii="Arial" w:cs="Arial" w:eastAsia="Arial" w:hAnsi="Arial"/>
                  <w:sz w:val="12"/>
                  <w:szCs w:val="12"/>
                  <w:color w:val="0000FF"/>
                </w:rPr>
                <w:t>guarantors named therein and Delaware Trust Company.</w:t>
              </w:r>
            </w:hyperlink>
          </w:p>
        </w:tc>
        <w:tc>
          <w:tcPr>
            <w:tcW w:w="4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4.20</w:t>
            </w:r>
          </w:p>
        </w:tc>
        <w:tc>
          <w:tcPr>
            <w:tcW w:w="5800" w:type="dxa"/>
            <w:vAlign w:val="bottom"/>
            <w:gridSpan w:val="29"/>
          </w:tcPr>
          <w:p>
            <w:pPr>
              <w:spacing w:after="0"/>
              <w:rPr>
                <w:rFonts w:ascii="Arial" w:cs="Arial" w:eastAsia="Arial" w:hAnsi="Arial"/>
                <w:sz w:val="13"/>
                <w:szCs w:val="13"/>
                <w:color w:val="0000FF"/>
                <w:w w:val="94"/>
              </w:rPr>
            </w:pPr>
            <w:hyperlink r:id="rId206">
              <w:r>
                <w:rPr>
                  <w:rFonts w:ascii="Arial" w:cs="Arial" w:eastAsia="Arial" w:hAnsi="Arial"/>
                  <w:sz w:val="13"/>
                  <w:szCs w:val="13"/>
                  <w:color w:val="0000FF"/>
                  <w:w w:val="94"/>
                </w:rPr>
                <w:t>Eleventh Supplemental Indenture, dated as of May 25, 2022,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420" w:type="dxa"/>
            <w:vAlign w:val="bottom"/>
            <w:tcBorders>
              <w:top w:val="single" w:sz="8" w:color="0000FF"/>
            </w:tcBorders>
            <w:gridSpan w:val="15"/>
          </w:tcPr>
          <w:p>
            <w:pPr>
              <w:spacing w:after="0" w:line="107" w:lineRule="exact"/>
              <w:rPr>
                <w:rFonts w:ascii="Arial" w:cs="Arial" w:eastAsia="Arial" w:hAnsi="Arial"/>
                <w:sz w:val="12"/>
                <w:szCs w:val="12"/>
                <w:color w:val="0000FF"/>
              </w:rPr>
            </w:pPr>
            <w:hyperlink r:id="rId206">
              <w:r>
                <w:rPr>
                  <w:rFonts w:ascii="Arial" w:cs="Arial" w:eastAsia="Arial" w:hAnsi="Arial"/>
                  <w:sz w:val="12"/>
                  <w:szCs w:val="12"/>
                  <w:color w:val="0000FF"/>
                </w:rPr>
                <w:t>guarantors named therein and Delaware Trust Company.</w:t>
              </w:r>
            </w:hyperlink>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4.21</w:t>
            </w:r>
          </w:p>
        </w:tc>
        <w:tc>
          <w:tcPr>
            <w:tcW w:w="5800" w:type="dxa"/>
            <w:vAlign w:val="bottom"/>
            <w:gridSpan w:val="29"/>
          </w:tcPr>
          <w:p>
            <w:pPr>
              <w:spacing w:after="0"/>
              <w:rPr>
                <w:rFonts w:ascii="Arial" w:cs="Arial" w:eastAsia="Arial" w:hAnsi="Arial"/>
                <w:sz w:val="13"/>
                <w:szCs w:val="13"/>
                <w:color w:val="0000FF"/>
                <w:w w:val="98"/>
              </w:rPr>
            </w:pPr>
            <w:hyperlink r:id="rId207">
              <w:r>
                <w:rPr>
                  <w:rFonts w:ascii="Arial" w:cs="Arial" w:eastAsia="Arial" w:hAnsi="Arial"/>
                  <w:sz w:val="13"/>
                  <w:szCs w:val="13"/>
                  <w:color w:val="0000FF"/>
                  <w:w w:val="98"/>
                </w:rPr>
                <w:t>Third Supplemental Indenture, dated as of May 25, 2022,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260" w:type="dxa"/>
            <w:vAlign w:val="bottom"/>
            <w:tcBorders>
              <w:top w:val="single" w:sz="8" w:color="0000FF"/>
            </w:tcBorders>
            <w:gridSpan w:val="11"/>
          </w:tcPr>
          <w:p>
            <w:pPr>
              <w:spacing w:after="0" w:line="107" w:lineRule="exact"/>
              <w:rPr>
                <w:rFonts w:ascii="Arial" w:cs="Arial" w:eastAsia="Arial" w:hAnsi="Arial"/>
                <w:sz w:val="12"/>
                <w:szCs w:val="12"/>
                <w:color w:val="0000FF"/>
              </w:rPr>
            </w:pPr>
            <w:hyperlink r:id="rId207">
              <w:r>
                <w:rPr>
                  <w:rFonts w:ascii="Arial" w:cs="Arial" w:eastAsia="Arial" w:hAnsi="Arial"/>
                  <w:sz w:val="12"/>
                  <w:szCs w:val="12"/>
                  <w:color w:val="0000FF"/>
                </w:rPr>
                <w:t>guarantors named therein and Delaware Trust Company.</w:t>
              </w:r>
            </w:hyperlink>
          </w:p>
        </w:tc>
        <w:tc>
          <w:tcPr>
            <w:tcW w:w="100" w:type="dxa"/>
            <w:vAlign w:val="bottom"/>
            <w:gridSpan w:val="2"/>
          </w:tcPr>
          <w:p>
            <w:pPr>
              <w:spacing w:after="0"/>
              <w:rPr>
                <w:sz w:val="9"/>
                <w:szCs w:val="9"/>
                <w:color w:val="auto"/>
              </w:rPr>
            </w:pPr>
          </w:p>
        </w:tc>
        <w:tc>
          <w:tcPr>
            <w:tcW w:w="12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4.22</w:t>
            </w:r>
          </w:p>
        </w:tc>
        <w:tc>
          <w:tcPr>
            <w:tcW w:w="5800" w:type="dxa"/>
            <w:vAlign w:val="bottom"/>
            <w:gridSpan w:val="29"/>
          </w:tcPr>
          <w:p>
            <w:pPr>
              <w:spacing w:after="0"/>
              <w:rPr>
                <w:rFonts w:ascii="Arial" w:cs="Arial" w:eastAsia="Arial" w:hAnsi="Arial"/>
                <w:sz w:val="13"/>
                <w:szCs w:val="13"/>
                <w:color w:val="0000FF"/>
                <w:w w:val="95"/>
              </w:rPr>
            </w:pPr>
            <w:hyperlink r:id="rId208">
              <w:r>
                <w:rPr>
                  <w:rFonts w:ascii="Arial" w:cs="Arial" w:eastAsia="Arial" w:hAnsi="Arial"/>
                  <w:sz w:val="13"/>
                  <w:szCs w:val="13"/>
                  <w:color w:val="0000FF"/>
                  <w:w w:val="95"/>
                </w:rPr>
                <w:t>Second Supplemental Indenture, dated as of May 25, 2022,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360" w:type="dxa"/>
            <w:vAlign w:val="bottom"/>
            <w:tcBorders>
              <w:top w:val="single" w:sz="8" w:color="0000FF"/>
            </w:tcBorders>
            <w:gridSpan w:val="13"/>
          </w:tcPr>
          <w:p>
            <w:pPr>
              <w:spacing w:after="0" w:line="107" w:lineRule="exact"/>
              <w:rPr>
                <w:rFonts w:ascii="Arial" w:cs="Arial" w:eastAsia="Arial" w:hAnsi="Arial"/>
                <w:sz w:val="12"/>
                <w:szCs w:val="12"/>
                <w:color w:val="0000FF"/>
              </w:rPr>
            </w:pPr>
            <w:hyperlink r:id="rId208">
              <w:r>
                <w:rPr>
                  <w:rFonts w:ascii="Arial" w:cs="Arial" w:eastAsia="Arial" w:hAnsi="Arial"/>
                  <w:sz w:val="12"/>
                  <w:szCs w:val="12"/>
                  <w:color w:val="0000FF"/>
                </w:rPr>
                <w:t>guarantors named therein and Delaware Trust Company.</w:t>
              </w:r>
            </w:hyperlink>
          </w:p>
        </w:tc>
        <w:tc>
          <w:tcPr>
            <w:tcW w:w="12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4.23</w:t>
            </w:r>
          </w:p>
        </w:tc>
        <w:tc>
          <w:tcPr>
            <w:tcW w:w="5800" w:type="dxa"/>
            <w:vAlign w:val="bottom"/>
            <w:gridSpan w:val="29"/>
          </w:tcPr>
          <w:p>
            <w:pPr>
              <w:spacing w:after="0"/>
              <w:rPr>
                <w:rFonts w:ascii="Arial" w:cs="Arial" w:eastAsia="Arial" w:hAnsi="Arial"/>
                <w:sz w:val="13"/>
                <w:szCs w:val="13"/>
                <w:color w:val="0000FF"/>
                <w:w w:val="92"/>
              </w:rPr>
            </w:pPr>
            <w:hyperlink r:id="rId209">
              <w:r>
                <w:rPr>
                  <w:rFonts w:ascii="Arial" w:cs="Arial" w:eastAsia="Arial" w:hAnsi="Arial"/>
                  <w:sz w:val="13"/>
                  <w:szCs w:val="13"/>
                  <w:color w:val="0000FF"/>
                  <w:w w:val="92"/>
                </w:rPr>
                <w:t>Twelfth Supplemental Indenture, dated as of February 14, 2023,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620" w:type="dxa"/>
            <w:vAlign w:val="bottom"/>
            <w:tcBorders>
              <w:top w:val="single" w:sz="8" w:color="0000FF"/>
            </w:tcBorders>
            <w:gridSpan w:val="22"/>
          </w:tcPr>
          <w:p>
            <w:pPr>
              <w:spacing w:after="0" w:line="107" w:lineRule="exact"/>
              <w:rPr>
                <w:rFonts w:ascii="Arial" w:cs="Arial" w:eastAsia="Arial" w:hAnsi="Arial"/>
                <w:sz w:val="12"/>
                <w:szCs w:val="12"/>
                <w:color w:val="0000FF"/>
              </w:rPr>
            </w:pPr>
            <w:hyperlink r:id="rId209">
              <w:r>
                <w:rPr>
                  <w:rFonts w:ascii="Arial" w:cs="Arial" w:eastAsia="Arial" w:hAnsi="Arial"/>
                  <w:sz w:val="12"/>
                  <w:szCs w:val="12"/>
                  <w:color w:val="0000FF"/>
                </w:rPr>
                <w:t>guarantors named therein and Delaware Trust Company.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4.24</w:t>
            </w:r>
          </w:p>
        </w:tc>
        <w:tc>
          <w:tcPr>
            <w:tcW w:w="5800" w:type="dxa"/>
            <w:vAlign w:val="bottom"/>
            <w:gridSpan w:val="29"/>
          </w:tcPr>
          <w:p>
            <w:pPr>
              <w:spacing w:after="0"/>
              <w:rPr>
                <w:rFonts w:ascii="Arial" w:cs="Arial" w:eastAsia="Arial" w:hAnsi="Arial"/>
                <w:sz w:val="13"/>
                <w:szCs w:val="13"/>
                <w:color w:val="0000FF"/>
                <w:w w:val="92"/>
              </w:rPr>
            </w:pPr>
            <w:hyperlink r:id="rId210">
              <w:r>
                <w:rPr>
                  <w:rFonts w:ascii="Arial" w:cs="Arial" w:eastAsia="Arial" w:hAnsi="Arial"/>
                  <w:sz w:val="13"/>
                  <w:szCs w:val="13"/>
                  <w:color w:val="0000FF"/>
                  <w:w w:val="92"/>
                </w:rPr>
                <w:t>Fourth Supplemental Indenture, dated as of February 14, 2023,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540" w:type="dxa"/>
            <w:vAlign w:val="bottom"/>
            <w:tcBorders>
              <w:top w:val="single" w:sz="8" w:color="0000FF"/>
            </w:tcBorders>
            <w:gridSpan w:val="20"/>
          </w:tcPr>
          <w:p>
            <w:pPr>
              <w:spacing w:after="0" w:line="107" w:lineRule="exact"/>
              <w:rPr>
                <w:rFonts w:ascii="Arial" w:cs="Arial" w:eastAsia="Arial" w:hAnsi="Arial"/>
                <w:sz w:val="12"/>
                <w:szCs w:val="12"/>
                <w:color w:val="0000FF"/>
              </w:rPr>
            </w:pPr>
            <w:hyperlink r:id="rId210">
              <w:r>
                <w:rPr>
                  <w:rFonts w:ascii="Arial" w:cs="Arial" w:eastAsia="Arial" w:hAnsi="Arial"/>
                  <w:sz w:val="12"/>
                  <w:szCs w:val="12"/>
                  <w:color w:val="0000FF"/>
                </w:rPr>
                <w:t>guarantors named therein and Delaware Trust Company.</w:t>
              </w:r>
            </w:hyperlink>
          </w:p>
        </w:tc>
        <w:tc>
          <w:tcPr>
            <w:tcW w:w="10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4.25</w:t>
            </w:r>
          </w:p>
        </w:tc>
        <w:tc>
          <w:tcPr>
            <w:tcW w:w="5800" w:type="dxa"/>
            <w:vAlign w:val="bottom"/>
            <w:gridSpan w:val="29"/>
          </w:tcPr>
          <w:p>
            <w:pPr>
              <w:spacing w:after="0"/>
              <w:rPr>
                <w:rFonts w:ascii="Arial" w:cs="Arial" w:eastAsia="Arial" w:hAnsi="Arial"/>
                <w:sz w:val="13"/>
                <w:szCs w:val="13"/>
                <w:color w:val="0000FF"/>
                <w:w w:val="93"/>
              </w:rPr>
            </w:pPr>
            <w:hyperlink r:id="rId211">
              <w:r>
                <w:rPr>
                  <w:rFonts w:ascii="Arial" w:cs="Arial" w:eastAsia="Arial" w:hAnsi="Arial"/>
                  <w:sz w:val="13"/>
                  <w:szCs w:val="13"/>
                  <w:color w:val="0000FF"/>
                  <w:w w:val="93"/>
                </w:rPr>
                <w:t>Third Supplemental Indenture, dated as of February 14, 2023,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480" w:type="dxa"/>
            <w:vAlign w:val="bottom"/>
            <w:tcBorders>
              <w:top w:val="single" w:sz="8" w:color="0000FF"/>
            </w:tcBorders>
            <w:gridSpan w:val="17"/>
          </w:tcPr>
          <w:p>
            <w:pPr>
              <w:spacing w:after="0" w:line="107" w:lineRule="exact"/>
              <w:rPr>
                <w:rFonts w:ascii="Arial" w:cs="Arial" w:eastAsia="Arial" w:hAnsi="Arial"/>
                <w:sz w:val="12"/>
                <w:szCs w:val="12"/>
                <w:color w:val="0000FF"/>
              </w:rPr>
            </w:pPr>
            <w:hyperlink r:id="rId211">
              <w:r>
                <w:rPr>
                  <w:rFonts w:ascii="Arial" w:cs="Arial" w:eastAsia="Arial" w:hAnsi="Arial"/>
                  <w:sz w:val="12"/>
                  <w:szCs w:val="12"/>
                  <w:color w:val="0000FF"/>
                </w:rPr>
                <w:t>guarantors named therein and Delaware Trust Company.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3"/>
                <w:szCs w:val="13"/>
                <w:color w:val="auto"/>
              </w:rPr>
              <w:t>10.1</w:t>
            </w:r>
          </w:p>
        </w:tc>
        <w:tc>
          <w:tcPr>
            <w:tcW w:w="1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00" w:type="dxa"/>
            <w:vAlign w:val="bottom"/>
            <w:vMerge w:val="continue"/>
          </w:tcPr>
          <w:p>
            <w:pPr>
              <w:spacing w:after="0"/>
              <w:rPr>
                <w:sz w:val="15"/>
                <w:szCs w:val="15"/>
                <w:color w:val="auto"/>
              </w:rPr>
            </w:pPr>
          </w:p>
        </w:tc>
        <w:tc>
          <w:tcPr>
            <w:tcW w:w="5800" w:type="dxa"/>
            <w:vAlign w:val="bottom"/>
            <w:gridSpan w:val="29"/>
            <w:vMerge w:val="restart"/>
          </w:tcPr>
          <w:p>
            <w:pPr>
              <w:spacing w:after="0"/>
              <w:rPr>
                <w:rFonts w:ascii="Arial" w:cs="Arial" w:eastAsia="Arial" w:hAnsi="Arial"/>
                <w:sz w:val="13"/>
                <w:szCs w:val="13"/>
                <w:color w:val="0000FF"/>
                <w:w w:val="89"/>
              </w:rPr>
            </w:pPr>
            <w:hyperlink r:id="rId212">
              <w:r>
                <w:rPr>
                  <w:rFonts w:ascii="Arial" w:cs="Arial" w:eastAsia="Arial" w:hAnsi="Arial"/>
                  <w:sz w:val="13"/>
                  <w:szCs w:val="13"/>
                  <w:color w:val="0000FF"/>
                  <w:w w:val="89"/>
                </w:rPr>
                <w:t>Third Amended and Restated Right of First Offer Agreement, dated as of August 31, 2018, by and between NRG</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800" w:type="dxa"/>
            <w:vAlign w:val="bottom"/>
            <w:gridSpan w:val="2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tcBorders>
            <w:gridSpan w:val="28"/>
          </w:tcPr>
          <w:p>
            <w:pPr>
              <w:spacing w:after="0" w:line="107" w:lineRule="exact"/>
              <w:rPr>
                <w:rFonts w:ascii="Arial" w:cs="Arial" w:eastAsia="Arial" w:hAnsi="Arial"/>
                <w:sz w:val="12"/>
                <w:szCs w:val="12"/>
                <w:color w:val="0000FF"/>
              </w:rPr>
            </w:pPr>
            <w:hyperlink r:id="rId212">
              <w:r>
                <w:rPr>
                  <w:rFonts w:ascii="Arial" w:cs="Arial" w:eastAsia="Arial" w:hAnsi="Arial"/>
                  <w:sz w:val="12"/>
                  <w:szCs w:val="12"/>
                  <w:color w:val="0000FF"/>
                </w:rPr>
                <w:t>Yield, Inc. and NRG Energy, Inc.</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3"/>
                <w:szCs w:val="13"/>
                <w:color w:val="auto"/>
              </w:rPr>
              <w:t>10.2.1</w:t>
            </w:r>
          </w:p>
        </w:tc>
        <w:tc>
          <w:tcPr>
            <w:tcW w:w="17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vMerge w:val="continue"/>
          </w:tcPr>
          <w:p>
            <w:pPr>
              <w:spacing w:after="0"/>
              <w:rPr>
                <w:sz w:val="20"/>
                <w:szCs w:val="20"/>
                <w:color w:val="auto"/>
              </w:rPr>
            </w:pPr>
          </w:p>
        </w:tc>
        <w:tc>
          <w:tcPr>
            <w:tcW w:w="5800" w:type="dxa"/>
            <w:vAlign w:val="bottom"/>
            <w:gridSpan w:val="29"/>
            <w:vMerge w:val="restart"/>
          </w:tcPr>
          <w:p>
            <w:pPr>
              <w:spacing w:after="0"/>
              <w:rPr>
                <w:rFonts w:ascii="Arial" w:cs="Arial" w:eastAsia="Arial" w:hAnsi="Arial"/>
                <w:sz w:val="13"/>
                <w:szCs w:val="13"/>
                <w:color w:val="0000FF"/>
              </w:rPr>
            </w:pPr>
            <w:hyperlink r:id="rId213">
              <w:r>
                <w:rPr>
                  <w:rFonts w:ascii="Arial" w:cs="Arial" w:eastAsia="Arial" w:hAnsi="Arial"/>
                  <w:sz w:val="13"/>
                  <w:szCs w:val="13"/>
                  <w:color w:val="0000FF"/>
                </w:rPr>
                <w:t>Right of First Offer Agreement, dated as of August 31, 2018, by and among NRG Yield, Inc., Zephyr</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800" w:type="dxa"/>
            <w:vAlign w:val="bottom"/>
            <w:gridSpan w:val="2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020" w:type="dxa"/>
            <w:vAlign w:val="bottom"/>
            <w:tcBorders>
              <w:top w:val="single" w:sz="8" w:color="0000FF"/>
              <w:bottom w:val="single" w:sz="8" w:color="0000FF"/>
            </w:tcBorders>
            <w:gridSpan w:val="9"/>
          </w:tcPr>
          <w:p>
            <w:pPr>
              <w:spacing w:after="0" w:line="107" w:lineRule="exact"/>
              <w:rPr>
                <w:rFonts w:ascii="Arial" w:cs="Arial" w:eastAsia="Arial" w:hAnsi="Arial"/>
                <w:sz w:val="12"/>
                <w:szCs w:val="12"/>
                <w:color w:val="0000FF"/>
                <w:w w:val="97"/>
              </w:rPr>
            </w:pPr>
            <w:hyperlink r:id="rId213">
              <w:r>
                <w:rPr>
                  <w:rFonts w:ascii="Arial" w:cs="Arial" w:eastAsia="Arial" w:hAnsi="Arial"/>
                  <w:sz w:val="12"/>
                  <w:szCs w:val="12"/>
                  <w:color w:val="0000FF"/>
                  <w:w w:val="97"/>
                </w:rPr>
                <w:t>Renewables LLC and solely for purposes of Section 2.4, GIP III Zephyr Acquisition Partners, L.P.</w:t>
              </w:r>
            </w:hyperlink>
          </w:p>
        </w:tc>
        <w:tc>
          <w:tcPr>
            <w:tcW w:w="160" w:type="dxa"/>
            <w:vAlign w:val="bottom"/>
            <w:tcBorders>
              <w:top w:val="single" w:sz="8" w:color="0000FF"/>
            </w:tcBorders>
          </w:tcPr>
          <w:p>
            <w:pPr>
              <w:spacing w:after="0"/>
              <w:rPr>
                <w:sz w:val="9"/>
                <w:szCs w:val="9"/>
                <w:color w:val="auto"/>
              </w:rPr>
            </w:pPr>
          </w:p>
        </w:tc>
        <w:tc>
          <w:tcPr>
            <w:tcW w:w="320" w:type="dxa"/>
            <w:vAlign w:val="bottom"/>
            <w:gridSpan w:val="8"/>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000" w:type="dxa"/>
            <w:vAlign w:val="bottom"/>
          </w:tcPr>
          <w:p>
            <w:pPr>
              <w:spacing w:after="0"/>
              <w:rPr>
                <w:sz w:val="20"/>
                <w:szCs w:val="20"/>
                <w:color w:val="auto"/>
              </w:rPr>
            </w:pPr>
            <w:r>
              <w:rPr>
                <w:rFonts w:ascii="Arial" w:cs="Arial" w:eastAsia="Arial" w:hAnsi="Arial"/>
                <w:sz w:val="13"/>
                <w:szCs w:val="13"/>
                <w:color w:val="auto"/>
              </w:rPr>
              <w:t>10.2.2</w:t>
            </w:r>
          </w:p>
        </w:tc>
        <w:tc>
          <w:tcPr>
            <w:tcW w:w="5800" w:type="dxa"/>
            <w:vAlign w:val="bottom"/>
            <w:gridSpan w:val="29"/>
          </w:tcPr>
          <w:p>
            <w:pPr>
              <w:spacing w:after="0"/>
              <w:rPr>
                <w:rFonts w:ascii="Arial" w:cs="Arial" w:eastAsia="Arial" w:hAnsi="Arial"/>
                <w:sz w:val="13"/>
                <w:szCs w:val="13"/>
                <w:color w:val="0000FF"/>
                <w:w w:val="90"/>
              </w:rPr>
            </w:pPr>
            <w:hyperlink r:id="rId214">
              <w:r>
                <w:rPr>
                  <w:rFonts w:ascii="Arial" w:cs="Arial" w:eastAsia="Arial" w:hAnsi="Arial"/>
                  <w:sz w:val="13"/>
                  <w:szCs w:val="13"/>
                  <w:color w:val="0000FF"/>
                  <w:w w:val="90"/>
                </w:rPr>
                <w:t>First Amendment to Right of First Offer Agreement, dated February 14, 2019, by and between Clearway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40" w:type="dxa"/>
            <w:vAlign w:val="bottom"/>
            <w:tcBorders>
              <w:top w:val="single" w:sz="8" w:color="0000FF"/>
            </w:tcBorders>
            <w:gridSpan w:val="27"/>
          </w:tcPr>
          <w:p>
            <w:pPr>
              <w:spacing w:after="0" w:line="107" w:lineRule="exact"/>
              <w:rPr>
                <w:rFonts w:ascii="Arial" w:cs="Arial" w:eastAsia="Arial" w:hAnsi="Arial"/>
                <w:sz w:val="12"/>
                <w:szCs w:val="12"/>
                <w:color w:val="0000FF"/>
              </w:rPr>
            </w:pPr>
            <w:hyperlink r:id="rId214">
              <w:r>
                <w:rPr>
                  <w:rFonts w:ascii="Arial" w:cs="Arial" w:eastAsia="Arial" w:hAnsi="Arial"/>
                  <w:sz w:val="12"/>
                  <w:szCs w:val="12"/>
                  <w:color w:val="0000FF"/>
                </w:rPr>
                <w:t>Group LLC and Clearway Energy, Inc.</w:t>
              </w:r>
            </w:hyperlink>
          </w:p>
        </w:tc>
        <w:tc>
          <w:tcPr>
            <w:tcW w:w="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spacing w:after="0"/>
              <w:rPr>
                <w:sz w:val="20"/>
                <w:szCs w:val="20"/>
                <w:color w:val="auto"/>
              </w:rPr>
            </w:pPr>
            <w:r>
              <w:rPr>
                <w:rFonts w:ascii="Arial" w:cs="Arial" w:eastAsia="Arial" w:hAnsi="Arial"/>
                <w:sz w:val="13"/>
                <w:szCs w:val="13"/>
                <w:color w:val="auto"/>
              </w:rPr>
              <w:t>10.2.3</w:t>
            </w:r>
          </w:p>
        </w:tc>
        <w:tc>
          <w:tcPr>
            <w:tcW w:w="5800" w:type="dxa"/>
            <w:vAlign w:val="bottom"/>
            <w:gridSpan w:val="29"/>
          </w:tcPr>
          <w:p>
            <w:pPr>
              <w:spacing w:after="0"/>
              <w:rPr>
                <w:rFonts w:ascii="Arial" w:cs="Arial" w:eastAsia="Arial" w:hAnsi="Arial"/>
                <w:sz w:val="13"/>
                <w:szCs w:val="13"/>
                <w:color w:val="0000FF"/>
                <w:w w:val="90"/>
              </w:rPr>
            </w:pPr>
            <w:hyperlink r:id="rId215">
              <w:r>
                <w:rPr>
                  <w:rFonts w:ascii="Arial" w:cs="Arial" w:eastAsia="Arial" w:hAnsi="Arial"/>
                  <w:sz w:val="13"/>
                  <w:szCs w:val="13"/>
                  <w:color w:val="0000FF"/>
                  <w:w w:val="90"/>
                </w:rPr>
                <w:t>Second Amendment to Right of First Offer Agreement, dated August 1, 2019, by and between Clearway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20" w:type="dxa"/>
            <w:vAlign w:val="bottom"/>
            <w:tcBorders>
              <w:top w:val="single" w:sz="8" w:color="0000FF"/>
            </w:tcBorders>
            <w:gridSpan w:val="26"/>
          </w:tcPr>
          <w:p>
            <w:pPr>
              <w:spacing w:after="0" w:line="107" w:lineRule="exact"/>
              <w:rPr>
                <w:rFonts w:ascii="Arial" w:cs="Arial" w:eastAsia="Arial" w:hAnsi="Arial"/>
                <w:sz w:val="12"/>
                <w:szCs w:val="12"/>
                <w:color w:val="0000FF"/>
              </w:rPr>
            </w:pPr>
            <w:hyperlink r:id="rId215">
              <w:r>
                <w:rPr>
                  <w:rFonts w:ascii="Arial" w:cs="Arial" w:eastAsia="Arial" w:hAnsi="Arial"/>
                  <w:sz w:val="12"/>
                  <w:szCs w:val="12"/>
                  <w:color w:val="0000FF"/>
                </w:rPr>
                <w:t>Group LLC and Clearway Energy, Inc.</w:t>
              </w:r>
            </w:hyperlink>
          </w:p>
        </w:tc>
        <w:tc>
          <w:tcPr>
            <w:tcW w:w="8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10.2.4</w:t>
            </w:r>
          </w:p>
        </w:tc>
        <w:tc>
          <w:tcPr>
            <w:tcW w:w="5800" w:type="dxa"/>
            <w:vAlign w:val="bottom"/>
            <w:gridSpan w:val="29"/>
          </w:tcPr>
          <w:p>
            <w:pPr>
              <w:spacing w:after="0"/>
              <w:rPr>
                <w:rFonts w:ascii="Arial" w:cs="Arial" w:eastAsia="Arial" w:hAnsi="Arial"/>
                <w:sz w:val="13"/>
                <w:szCs w:val="13"/>
                <w:color w:val="0000FF"/>
                <w:w w:val="91"/>
              </w:rPr>
            </w:pPr>
            <w:hyperlink r:id="rId216">
              <w:r>
                <w:rPr>
                  <w:rFonts w:ascii="Arial" w:cs="Arial" w:eastAsia="Arial" w:hAnsi="Arial"/>
                  <w:sz w:val="13"/>
                  <w:szCs w:val="13"/>
                  <w:color w:val="0000FF"/>
                  <w:w w:val="91"/>
                </w:rPr>
                <w:t>Third Amendment to Right of First Offer Agreement, dated as of December 6, 2019, by and between Clearway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660" w:type="dxa"/>
            <w:vAlign w:val="bottom"/>
            <w:tcBorders>
              <w:top w:val="single" w:sz="8" w:color="0000FF"/>
            </w:tcBorders>
            <w:gridSpan w:val="24"/>
          </w:tcPr>
          <w:p>
            <w:pPr>
              <w:spacing w:after="0" w:line="107" w:lineRule="exact"/>
              <w:rPr>
                <w:rFonts w:ascii="Arial" w:cs="Arial" w:eastAsia="Arial" w:hAnsi="Arial"/>
                <w:sz w:val="12"/>
                <w:szCs w:val="12"/>
                <w:color w:val="0000FF"/>
              </w:rPr>
            </w:pPr>
            <w:hyperlink r:id="rId216">
              <w:r>
                <w:rPr>
                  <w:rFonts w:ascii="Arial" w:cs="Arial" w:eastAsia="Arial" w:hAnsi="Arial"/>
                  <w:sz w:val="12"/>
                  <w:szCs w:val="12"/>
                  <w:color w:val="0000FF"/>
                </w:rPr>
                <w:t>Energy Group LLC, Clearway Energy, Inc. and GIP III Zephyr Acquisition Partners, L.P.</w:t>
              </w:r>
            </w:hyperlink>
          </w:p>
        </w:tc>
        <w:tc>
          <w:tcPr>
            <w:tcW w:w="40" w:type="dxa"/>
            <w:vAlign w:val="bottom"/>
          </w:tcPr>
          <w:p>
            <w:pPr>
              <w:spacing w:after="0"/>
              <w:rPr>
                <w:sz w:val="9"/>
                <w:szCs w:val="9"/>
                <w:color w:val="auto"/>
              </w:rPr>
            </w:pPr>
          </w:p>
        </w:tc>
        <w:tc>
          <w:tcPr>
            <w:tcW w:w="10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3"/>
                <w:szCs w:val="13"/>
                <w:color w:val="auto"/>
              </w:rPr>
              <w:t>10.3</w:t>
            </w:r>
          </w:p>
        </w:tc>
        <w:tc>
          <w:tcPr>
            <w:tcW w:w="1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00" w:type="dxa"/>
            <w:vAlign w:val="bottom"/>
            <w:vMerge w:val="continue"/>
          </w:tcPr>
          <w:p>
            <w:pPr>
              <w:spacing w:after="0"/>
              <w:rPr>
                <w:sz w:val="15"/>
                <w:szCs w:val="15"/>
                <w:color w:val="auto"/>
              </w:rPr>
            </w:pPr>
          </w:p>
        </w:tc>
        <w:tc>
          <w:tcPr>
            <w:tcW w:w="5800" w:type="dxa"/>
            <w:vAlign w:val="bottom"/>
            <w:gridSpan w:val="29"/>
            <w:vMerge w:val="restart"/>
          </w:tcPr>
          <w:p>
            <w:pPr>
              <w:spacing w:after="0"/>
              <w:rPr>
                <w:rFonts w:ascii="Arial" w:cs="Arial" w:eastAsia="Arial" w:hAnsi="Arial"/>
                <w:sz w:val="13"/>
                <w:szCs w:val="13"/>
                <w:color w:val="0000FF"/>
                <w:w w:val="94"/>
              </w:rPr>
            </w:pPr>
            <w:hyperlink r:id="rId217">
              <w:r>
                <w:rPr>
                  <w:rFonts w:ascii="Arial" w:cs="Arial" w:eastAsia="Arial" w:hAnsi="Arial"/>
                  <w:sz w:val="13"/>
                  <w:szCs w:val="13"/>
                  <w:color w:val="0000FF"/>
                  <w:w w:val="94"/>
                </w:rPr>
                <w:t>Master Services Agreement, dated as of August 31, 2018, by and among NRG Yield, Inc., NRG Yield LLC,</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800" w:type="dxa"/>
            <w:vAlign w:val="bottom"/>
            <w:gridSpan w:val="2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520" w:type="dxa"/>
            <w:vAlign w:val="bottom"/>
            <w:tcBorders>
              <w:top w:val="single" w:sz="8" w:color="0000FF"/>
            </w:tcBorders>
            <w:gridSpan w:val="19"/>
          </w:tcPr>
          <w:p>
            <w:pPr>
              <w:spacing w:after="0" w:line="107" w:lineRule="exact"/>
              <w:rPr>
                <w:rFonts w:ascii="Arial" w:cs="Arial" w:eastAsia="Arial" w:hAnsi="Arial"/>
                <w:sz w:val="12"/>
                <w:szCs w:val="12"/>
                <w:color w:val="0000FF"/>
              </w:rPr>
            </w:pPr>
            <w:hyperlink r:id="rId217">
              <w:r>
                <w:rPr>
                  <w:rFonts w:ascii="Arial" w:cs="Arial" w:eastAsia="Arial" w:hAnsi="Arial"/>
                  <w:sz w:val="12"/>
                  <w:szCs w:val="12"/>
                  <w:color w:val="0000FF"/>
                </w:rPr>
                <w:t>NRG Yield Operating LLC and Zephyr Renewables LLC.</w:t>
              </w:r>
            </w:hyperlink>
          </w:p>
        </w:tc>
        <w:tc>
          <w:tcPr>
            <w:tcW w:w="120" w:type="dxa"/>
            <w:vAlign w:val="bottom"/>
            <w:gridSpan w:val="4"/>
          </w:tcPr>
          <w:p>
            <w:pPr>
              <w:spacing w:after="0"/>
              <w:rPr>
                <w:sz w:val="9"/>
                <w:szCs w:val="9"/>
                <w:color w:val="auto"/>
              </w:rPr>
            </w:pPr>
          </w:p>
        </w:tc>
        <w:tc>
          <w:tcPr>
            <w:tcW w:w="60" w:type="dxa"/>
            <w:vAlign w:val="bottom"/>
            <w:gridSpan w:val="2"/>
          </w:tcPr>
          <w:p>
            <w:pPr>
              <w:spacing w:after="0"/>
              <w:rPr>
                <w:sz w:val="9"/>
                <w:szCs w:val="9"/>
                <w:color w:val="auto"/>
              </w:rPr>
            </w:pPr>
          </w:p>
        </w:tc>
        <w:tc>
          <w:tcPr>
            <w:tcW w:w="10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Arial" w:cs="Arial" w:eastAsia="Arial" w:hAnsi="Arial"/>
                <w:sz w:val="13"/>
                <w:szCs w:val="13"/>
                <w:color w:val="auto"/>
              </w:rPr>
              <w:t>10.4</w:t>
            </w:r>
          </w:p>
        </w:tc>
        <w:tc>
          <w:tcPr>
            <w:tcW w:w="1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vMerge w:val="continue"/>
          </w:tcPr>
          <w:p>
            <w:pPr>
              <w:spacing w:after="0"/>
              <w:rPr>
                <w:sz w:val="20"/>
                <w:szCs w:val="20"/>
                <w:color w:val="auto"/>
              </w:rPr>
            </w:pPr>
          </w:p>
        </w:tc>
        <w:tc>
          <w:tcPr>
            <w:tcW w:w="5800" w:type="dxa"/>
            <w:vAlign w:val="bottom"/>
            <w:gridSpan w:val="29"/>
            <w:vMerge w:val="restart"/>
          </w:tcPr>
          <w:p>
            <w:pPr>
              <w:spacing w:after="0"/>
              <w:rPr>
                <w:rFonts w:ascii="Arial" w:cs="Arial" w:eastAsia="Arial" w:hAnsi="Arial"/>
                <w:sz w:val="13"/>
                <w:szCs w:val="13"/>
                <w:color w:val="0000FF"/>
                <w:w w:val="90"/>
              </w:rPr>
            </w:pPr>
            <w:hyperlink r:id="rId218">
              <w:r>
                <w:rPr>
                  <w:rFonts w:ascii="Arial" w:cs="Arial" w:eastAsia="Arial" w:hAnsi="Arial"/>
                  <w:sz w:val="13"/>
                  <w:szCs w:val="13"/>
                  <w:color w:val="0000FF"/>
                  <w:w w:val="90"/>
                </w:rPr>
                <w:t>Master Services Agreement, dated as of August 31, 2018, by and among Zephyr Renewables LLC, NRG Yield,</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800" w:type="dxa"/>
            <w:vAlign w:val="bottom"/>
            <w:gridSpan w:val="2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880" w:type="dxa"/>
            <w:vAlign w:val="bottom"/>
            <w:tcBorders>
              <w:top w:val="single" w:sz="8" w:color="0000FF"/>
              <w:bottom w:val="single" w:sz="8" w:color="0000FF"/>
            </w:tcBorders>
            <w:gridSpan w:val="6"/>
          </w:tcPr>
          <w:p>
            <w:pPr>
              <w:spacing w:after="0" w:line="107" w:lineRule="exact"/>
              <w:rPr>
                <w:rFonts w:ascii="Arial" w:cs="Arial" w:eastAsia="Arial" w:hAnsi="Arial"/>
                <w:sz w:val="12"/>
                <w:szCs w:val="12"/>
                <w:color w:val="0000FF"/>
              </w:rPr>
            </w:pPr>
            <w:hyperlink r:id="rId218">
              <w:r>
                <w:rPr>
                  <w:rFonts w:ascii="Arial" w:cs="Arial" w:eastAsia="Arial" w:hAnsi="Arial"/>
                  <w:sz w:val="12"/>
                  <w:szCs w:val="12"/>
                  <w:color w:val="0000FF"/>
                </w:rPr>
                <w:t>Inc., NRG Yield LLC, and NRG Yield Operating LLC.</w:t>
              </w:r>
            </w:hyperlink>
          </w:p>
        </w:tc>
        <w:tc>
          <w:tcPr>
            <w:tcW w:w="2820" w:type="dxa"/>
            <w:vAlign w:val="bottom"/>
            <w:tcBorders>
              <w:top w:val="single" w:sz="8" w:color="0000FF"/>
            </w:tcBorders>
            <w:gridSpan w:val="19"/>
          </w:tcPr>
          <w:p>
            <w:pPr>
              <w:spacing w:after="0"/>
              <w:rPr>
                <w:sz w:val="9"/>
                <w:szCs w:val="9"/>
                <w:color w:val="auto"/>
              </w:rPr>
            </w:pPr>
          </w:p>
        </w:tc>
        <w:tc>
          <w:tcPr>
            <w:tcW w:w="10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Arial" w:cs="Arial" w:eastAsia="Arial" w:hAnsi="Arial"/>
                <w:sz w:val="13"/>
                <w:szCs w:val="13"/>
                <w:color w:val="auto"/>
              </w:rPr>
              <w:t>10.5</w:t>
            </w:r>
          </w:p>
        </w:tc>
        <w:tc>
          <w:tcPr>
            <w:tcW w:w="5800" w:type="dxa"/>
            <w:vAlign w:val="bottom"/>
            <w:gridSpan w:val="29"/>
            <w:vMerge w:val="restart"/>
          </w:tcPr>
          <w:p>
            <w:pPr>
              <w:spacing w:after="0"/>
              <w:rPr>
                <w:rFonts w:ascii="Arial" w:cs="Arial" w:eastAsia="Arial" w:hAnsi="Arial"/>
                <w:sz w:val="13"/>
                <w:szCs w:val="13"/>
                <w:color w:val="0000FF"/>
                <w:w w:val="93"/>
              </w:rPr>
            </w:pPr>
            <w:hyperlink r:id="rId219">
              <w:r>
                <w:rPr>
                  <w:rFonts w:ascii="Arial" w:cs="Arial" w:eastAsia="Arial" w:hAnsi="Arial"/>
                  <w:sz w:val="13"/>
                  <w:szCs w:val="13"/>
                  <w:color w:val="0000FF"/>
                  <w:w w:val="93"/>
                </w:rPr>
                <w:t>Termination Agreement, dated as of August 31, 2018, by and among NRG Yield, Inc., NRG Yield LLC, NRG</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800" w:type="dxa"/>
            <w:vAlign w:val="bottom"/>
            <w:gridSpan w:val="2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640" w:type="dxa"/>
            <w:vAlign w:val="bottom"/>
            <w:tcBorders>
              <w:top w:val="single" w:sz="8" w:color="0000FF"/>
            </w:tcBorders>
            <w:gridSpan w:val="23"/>
          </w:tcPr>
          <w:p>
            <w:pPr>
              <w:spacing w:after="0" w:line="107" w:lineRule="exact"/>
              <w:rPr>
                <w:rFonts w:ascii="Arial" w:cs="Arial" w:eastAsia="Arial" w:hAnsi="Arial"/>
                <w:sz w:val="12"/>
                <w:szCs w:val="12"/>
                <w:color w:val="0000FF"/>
              </w:rPr>
            </w:pPr>
            <w:hyperlink r:id="rId219">
              <w:r>
                <w:rPr>
                  <w:rFonts w:ascii="Arial" w:cs="Arial" w:eastAsia="Arial" w:hAnsi="Arial"/>
                  <w:sz w:val="12"/>
                  <w:szCs w:val="12"/>
                  <w:color w:val="0000FF"/>
                </w:rPr>
                <w:t>Yield Operating LLC and NRG Energy, Inc.</w:t>
              </w:r>
            </w:hyperlink>
          </w:p>
        </w:tc>
        <w:tc>
          <w:tcPr>
            <w:tcW w:w="16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0" w:type="dxa"/>
            <w:vAlign w:val="bottom"/>
          </w:tcPr>
          <w:p>
            <w:pPr>
              <w:spacing w:after="0"/>
              <w:rPr>
                <w:sz w:val="20"/>
                <w:szCs w:val="20"/>
                <w:color w:val="auto"/>
              </w:rPr>
            </w:pPr>
            <w:r>
              <w:rPr>
                <w:rFonts w:ascii="Arial" w:cs="Arial" w:eastAsia="Arial" w:hAnsi="Arial"/>
                <w:sz w:val="13"/>
                <w:szCs w:val="13"/>
                <w:color w:val="auto"/>
              </w:rPr>
              <w:t>10.6.1</w:t>
            </w:r>
          </w:p>
        </w:tc>
        <w:tc>
          <w:tcPr>
            <w:tcW w:w="5800" w:type="dxa"/>
            <w:vAlign w:val="bottom"/>
            <w:gridSpan w:val="29"/>
          </w:tcPr>
          <w:p>
            <w:pPr>
              <w:spacing w:after="0"/>
              <w:rPr>
                <w:rFonts w:ascii="Arial" w:cs="Arial" w:eastAsia="Arial" w:hAnsi="Arial"/>
                <w:sz w:val="13"/>
                <w:szCs w:val="13"/>
                <w:color w:val="0000FF"/>
                <w:w w:val="94"/>
              </w:rPr>
            </w:pPr>
            <w:hyperlink r:id="rId220">
              <w:r>
                <w:rPr>
                  <w:rFonts w:ascii="Arial" w:cs="Arial" w:eastAsia="Arial" w:hAnsi="Arial"/>
                  <w:sz w:val="13"/>
                  <w:szCs w:val="13"/>
                  <w:color w:val="0000FF"/>
                  <w:w w:val="94"/>
                </w:rPr>
                <w:t>Amended and Restated Credit Agreement, dated April 25, 2014, by and among NRG Yield Operating LLC,</w:t>
              </w:r>
            </w:hyperlink>
          </w:p>
        </w:tc>
        <w:tc>
          <w:tcPr>
            <w:tcW w:w="0" w:type="dxa"/>
            <w:vAlign w:val="bottom"/>
          </w:tcPr>
          <w:p>
            <w:pPr>
              <w:spacing w:after="0"/>
              <w:rPr>
                <w:sz w:val="1"/>
                <w:szCs w:val="1"/>
                <w:color w:val="auto"/>
              </w:rPr>
            </w:pPr>
          </w:p>
        </w:tc>
      </w:tr>
      <w:tr>
        <w:trPr>
          <w:trHeight w:val="111"/>
        </w:trPr>
        <w:tc>
          <w:tcPr>
            <w:tcW w:w="1000" w:type="dxa"/>
            <w:vAlign w:val="bottom"/>
          </w:tcPr>
          <w:p>
            <w:pPr>
              <w:spacing w:after="0"/>
              <w:rPr>
                <w:sz w:val="9"/>
                <w:szCs w:val="9"/>
                <w:color w:val="auto"/>
              </w:rPr>
            </w:pPr>
          </w:p>
        </w:tc>
        <w:tc>
          <w:tcPr>
            <w:tcW w:w="5500" w:type="dxa"/>
            <w:vAlign w:val="bottom"/>
            <w:tcBorders>
              <w:top w:val="single" w:sz="8" w:color="0000FF"/>
            </w:tcBorders>
            <w:gridSpan w:val="18"/>
          </w:tcPr>
          <w:p>
            <w:pPr>
              <w:spacing w:after="0" w:line="111" w:lineRule="exact"/>
              <w:rPr>
                <w:rFonts w:ascii="Arial" w:cs="Arial" w:eastAsia="Arial" w:hAnsi="Arial"/>
                <w:sz w:val="12"/>
                <w:szCs w:val="12"/>
                <w:u w:val="single" w:color="auto"/>
                <w:color w:val="0000FF"/>
                <w:w w:val="97"/>
              </w:rPr>
            </w:pPr>
            <w:hyperlink r:id="rId220">
              <w:r>
                <w:rPr>
                  <w:rFonts w:ascii="Arial" w:cs="Arial" w:eastAsia="Arial" w:hAnsi="Arial"/>
                  <w:sz w:val="12"/>
                  <w:szCs w:val="12"/>
                  <w:u w:val="single" w:color="auto"/>
                  <w:color w:val="0000FF"/>
                  <w:w w:val="97"/>
                </w:rPr>
                <w:t>NRG Yield LLC, Royal Bank of Canada, as Administrative Agent, the lenders party thereto, Royal Bank of</w:t>
              </w:r>
            </w:hyperlink>
          </w:p>
        </w:tc>
        <w:tc>
          <w:tcPr>
            <w:tcW w:w="300" w:type="dxa"/>
            <w:vAlign w:val="bottom"/>
            <w:gridSpan w:val="11"/>
          </w:tcPr>
          <w:p>
            <w:pPr>
              <w:spacing w:after="0"/>
              <w:rPr>
                <w:sz w:val="9"/>
                <w:szCs w:val="9"/>
                <w:color w:val="auto"/>
              </w:rPr>
            </w:pPr>
          </w:p>
        </w:tc>
        <w:tc>
          <w:tcPr>
            <w:tcW w:w="0" w:type="dxa"/>
            <w:vAlign w:val="bottom"/>
          </w:tcPr>
          <w:p>
            <w:pPr>
              <w:spacing w:after="0"/>
              <w:rPr>
                <w:sz w:val="1"/>
                <w:szCs w:val="1"/>
                <w:color w:val="auto"/>
              </w:rPr>
            </w:pPr>
          </w:p>
        </w:tc>
      </w:tr>
    </w:tbl>
    <w:p>
      <w:pPr>
        <w:ind w:left="1000" w:right="220"/>
        <w:spacing w:after="0" w:line="223" w:lineRule="auto"/>
        <w:rPr>
          <w:rFonts w:ascii="Arial" w:cs="Arial" w:eastAsia="Arial" w:hAnsi="Arial"/>
          <w:sz w:val="13"/>
          <w:szCs w:val="13"/>
          <w:u w:val="single" w:color="auto"/>
          <w:color w:val="0000FF"/>
        </w:rPr>
      </w:pPr>
      <w:hyperlink r:id="rId220">
        <w:r>
          <w:rPr>
            <w:rFonts w:ascii="Arial" w:cs="Arial" w:eastAsia="Arial" w:hAnsi="Arial"/>
            <w:sz w:val="13"/>
            <w:szCs w:val="13"/>
            <w:u w:val="single" w:color="auto"/>
            <w:color w:val="0000FF"/>
          </w:rPr>
          <w:t>Canada, Goldman Sachs Bank USA and Bank of America, N.A., as L/C Issuers and RBC Capital Markets as</w:t>
        </w:r>
      </w:hyperlink>
      <w:r>
        <w:rPr>
          <w:rFonts w:ascii="Arial" w:cs="Arial" w:eastAsia="Arial" w:hAnsi="Arial"/>
          <w:sz w:val="13"/>
          <w:szCs w:val="13"/>
          <w:u w:val="single" w:color="auto"/>
          <w:color w:val="0000FF"/>
        </w:rPr>
        <w:t xml:space="preserve"> </w:t>
      </w:r>
      <w:hyperlink r:id="rId220">
        <w:r>
          <w:rPr>
            <w:rFonts w:ascii="Arial" w:cs="Arial" w:eastAsia="Arial" w:hAnsi="Arial"/>
            <w:sz w:val="13"/>
            <w:szCs w:val="13"/>
            <w:u w:val="single" w:color="auto"/>
            <w:color w:val="0000FF"/>
          </w:rPr>
          <w:t>Sole Left Lead Arranger and Sole Left Lead Book Runner.</w:t>
        </w:r>
      </w:hyperlink>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jc w:val="right"/>
              <w:ind w:right="276"/>
              <w:spacing w:after="0"/>
              <w:rPr>
                <w:sz w:val="20"/>
                <w:szCs w:val="20"/>
                <w:color w:val="auto"/>
              </w:rPr>
            </w:pPr>
            <w:r>
              <w:rPr>
                <w:rFonts w:ascii="Arial" w:cs="Arial" w:eastAsia="Arial" w:hAnsi="Arial"/>
                <w:sz w:val="13"/>
                <w:szCs w:val="13"/>
                <w:color w:val="auto"/>
                <w:w w:val="82"/>
              </w:rPr>
              <w:t>10.6.2</w:t>
            </w:r>
          </w:p>
        </w:tc>
        <w:tc>
          <w:tcPr>
            <w:tcW w:w="5920" w:type="dxa"/>
            <w:vAlign w:val="bottom"/>
            <w:vMerge w:val="restart"/>
          </w:tcPr>
          <w:p>
            <w:pPr>
              <w:ind w:left="340"/>
              <w:spacing w:after="0"/>
              <w:rPr>
                <w:rFonts w:ascii="Arial" w:cs="Arial" w:eastAsia="Arial" w:hAnsi="Arial"/>
                <w:sz w:val="13"/>
                <w:szCs w:val="13"/>
                <w:u w:val="single" w:color="auto"/>
                <w:color w:val="0000FF"/>
                <w:w w:val="88"/>
              </w:rPr>
            </w:pPr>
            <w:hyperlink r:id="rId221">
              <w:r>
                <w:rPr>
                  <w:rFonts w:ascii="Arial" w:cs="Arial" w:eastAsia="Arial" w:hAnsi="Arial"/>
                  <w:sz w:val="13"/>
                  <w:szCs w:val="13"/>
                  <w:u w:val="single" w:color="auto"/>
                  <w:color w:val="0000FF"/>
                  <w:w w:val="88"/>
                </w:rPr>
                <w:t>First Amendment to Amended &amp; Restated Credit Agreement, dated June 26, 2015, by and among NRG Yield</w:t>
              </w:r>
            </w:hyperlink>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5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660" w:type="dxa"/>
            <w:vAlign w:val="bottom"/>
          </w:tcPr>
          <w:p>
            <w:pPr>
              <w:spacing w:after="0"/>
              <w:rPr>
                <w:sz w:val="14"/>
                <w:szCs w:val="14"/>
                <w:color w:val="auto"/>
              </w:rPr>
            </w:pPr>
          </w:p>
        </w:tc>
        <w:tc>
          <w:tcPr>
            <w:tcW w:w="5920" w:type="dxa"/>
            <w:vAlign w:val="bottom"/>
          </w:tcPr>
          <w:p>
            <w:pPr>
              <w:ind w:left="340"/>
              <w:spacing w:after="0"/>
              <w:rPr>
                <w:rFonts w:ascii="Arial" w:cs="Arial" w:eastAsia="Arial" w:hAnsi="Arial"/>
                <w:sz w:val="13"/>
                <w:szCs w:val="13"/>
                <w:u w:val="single" w:color="auto"/>
                <w:color w:val="0000FF"/>
              </w:rPr>
            </w:pPr>
            <w:hyperlink r:id="rId221">
              <w:r>
                <w:rPr>
                  <w:rFonts w:ascii="Arial" w:cs="Arial" w:eastAsia="Arial" w:hAnsi="Arial"/>
                  <w:sz w:val="13"/>
                  <w:szCs w:val="13"/>
                  <w:u w:val="single" w:color="auto"/>
                  <w:color w:val="0000FF"/>
                </w:rPr>
                <w:t>Operating LLC, NRG Yield LLC, Royal Bank of Canada and the Lenders party thereto.</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20"/>
        <w:spacing w:after="0" w:line="231" w:lineRule="auto"/>
        <w:rPr>
          <w:sz w:val="20"/>
          <w:szCs w:val="20"/>
          <w:color w:val="auto"/>
        </w:rPr>
      </w:pPr>
      <w:r>
        <w:rPr>
          <w:rFonts w:ascii="Arial" w:cs="Arial" w:eastAsia="Arial" w:hAnsi="Arial"/>
          <w:sz w:val="13"/>
          <w:szCs w:val="13"/>
          <w:color w:val="auto"/>
        </w:rPr>
        <w:t>Incorporated herein by reference to Exhibit 4.1 to the Company’s Current Report on Form 8-K filed on October 1, 2021.</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4.2 to the Company’s Current Report on Form 8-K filed on October 1, 2021.</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4.2 to the Company’s Current Report on Form 8-K filed on October 8, 2021.</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4.3 to the Company’s Current Report on Form 8-K filed on October 8, 2021.</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4.4 to the Company’s Current Report on Form 8-K filed on October 8, 2021.</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4.1 to the Company’s Current Report on Form 8-K filed on June 1, 2022.</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4.2 to the Company’s Current Report on Form 8-K filed on June 1, 2022.</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4.3 to the Company’s Current Report on Form 8-K filed on June 1, 2022.</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4.1 to the Company’s Current Report on Form 8-K filed on February 21, 2023.</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4.2 to the Company’s Current Report on Form 8-K filed on February 21, 2023.</w:t>
      </w:r>
    </w:p>
    <w:p>
      <w:pPr>
        <w:spacing w:after="0" w:line="9" w:lineRule="exact"/>
        <w:rPr>
          <w:sz w:val="20"/>
          <w:szCs w:val="20"/>
          <w:color w:val="auto"/>
        </w:rPr>
      </w:pPr>
    </w:p>
    <w:p>
      <w:pPr>
        <w:ind w:right="20"/>
        <w:spacing w:after="0" w:line="231" w:lineRule="auto"/>
        <w:rPr>
          <w:sz w:val="20"/>
          <w:szCs w:val="20"/>
          <w:color w:val="auto"/>
        </w:rPr>
      </w:pPr>
      <w:r>
        <w:rPr>
          <w:rFonts w:ascii="Arial" w:cs="Arial" w:eastAsia="Arial" w:hAnsi="Arial"/>
          <w:sz w:val="13"/>
          <w:szCs w:val="13"/>
          <w:color w:val="auto"/>
        </w:rPr>
        <w:t>Incorporated herein by reference to Exhibit 4.3 to the Company’s Current Report on Form 8-K filed on February 21, 2023.</w:t>
      </w:r>
    </w:p>
    <w:p>
      <w:pPr>
        <w:spacing w:after="0" w:line="84" w:lineRule="exact"/>
        <w:rPr>
          <w:sz w:val="20"/>
          <w:szCs w:val="20"/>
          <w:color w:val="auto"/>
        </w:rPr>
      </w:pPr>
    </w:p>
    <w:p>
      <w:pPr>
        <w:ind w:right="40"/>
        <w:spacing w:after="0" w:line="231" w:lineRule="auto"/>
        <w:rPr>
          <w:sz w:val="20"/>
          <w:szCs w:val="20"/>
          <w:color w:val="auto"/>
        </w:rPr>
      </w:pPr>
      <w:r>
        <w:rPr>
          <w:rFonts w:ascii="Arial" w:cs="Arial" w:eastAsia="Arial" w:hAnsi="Arial"/>
          <w:sz w:val="13"/>
          <w:szCs w:val="13"/>
          <w:color w:val="auto"/>
        </w:rPr>
        <w:t>Incorporated herein by reference to Exhibit 10.5 to Clearway Energy, Inc.’s Current Report on Form 8-K filed on September 5, 2018.</w:t>
      </w:r>
    </w:p>
    <w:p>
      <w:pPr>
        <w:spacing w:after="0" w:line="147" w:lineRule="exact"/>
        <w:rPr>
          <w:sz w:val="20"/>
          <w:szCs w:val="20"/>
          <w:color w:val="auto"/>
        </w:rPr>
      </w:pPr>
    </w:p>
    <w:p>
      <w:pPr>
        <w:ind w:right="40"/>
        <w:spacing w:after="0" w:line="231" w:lineRule="auto"/>
        <w:rPr>
          <w:sz w:val="20"/>
          <w:szCs w:val="20"/>
          <w:color w:val="auto"/>
        </w:rPr>
      </w:pPr>
      <w:r>
        <w:rPr>
          <w:rFonts w:ascii="Arial" w:cs="Arial" w:eastAsia="Arial" w:hAnsi="Arial"/>
          <w:sz w:val="13"/>
          <w:szCs w:val="13"/>
          <w:color w:val="auto"/>
        </w:rPr>
        <w:t>Incorporated herein by reference to Exhibit 10.3 to Clearway Energy, Inc.’s Current Report on Form 8-K filed on September 5, 2018.</w:t>
      </w:r>
    </w:p>
    <w:p>
      <w:pPr>
        <w:spacing w:after="0" w:line="147" w:lineRule="exact"/>
        <w:rPr>
          <w:sz w:val="20"/>
          <w:szCs w:val="20"/>
          <w:color w:val="auto"/>
        </w:rPr>
      </w:pPr>
    </w:p>
    <w:p>
      <w:pPr>
        <w:ind w:right="40"/>
        <w:spacing w:after="0" w:line="231" w:lineRule="auto"/>
        <w:rPr>
          <w:sz w:val="20"/>
          <w:szCs w:val="20"/>
          <w:color w:val="auto"/>
        </w:rPr>
      </w:pPr>
      <w:r>
        <w:rPr>
          <w:rFonts w:ascii="Arial" w:cs="Arial" w:eastAsia="Arial" w:hAnsi="Arial"/>
          <w:sz w:val="13"/>
          <w:szCs w:val="13"/>
          <w:color w:val="auto"/>
        </w:rPr>
        <w:t>Incorporated herein by reference to Exhibit 10.1 to Clearway Energy, Inc.’s Current Report on Form 8-K filed on February 14, 2019.</w:t>
      </w:r>
    </w:p>
    <w:p>
      <w:pPr>
        <w:spacing w:after="0" w:line="73" w:lineRule="exact"/>
        <w:rPr>
          <w:sz w:val="20"/>
          <w:szCs w:val="20"/>
          <w:color w:val="auto"/>
        </w:rPr>
      </w:pPr>
    </w:p>
    <w:p>
      <w:pPr>
        <w:spacing w:after="0" w:line="231" w:lineRule="auto"/>
        <w:rPr>
          <w:sz w:val="20"/>
          <w:szCs w:val="20"/>
          <w:color w:val="auto"/>
        </w:rPr>
      </w:pPr>
      <w:r>
        <w:rPr>
          <w:rFonts w:ascii="Arial" w:cs="Arial" w:eastAsia="Arial" w:hAnsi="Arial"/>
          <w:sz w:val="13"/>
          <w:szCs w:val="13"/>
          <w:color w:val="auto"/>
        </w:rPr>
        <w:t>Incorporated herein by reference to Exhibit 10.1 to the Company’s Quarterly Report on Form 10-Q filed on August 6, 2019.</w:t>
      </w:r>
    </w:p>
    <w:p>
      <w:pPr>
        <w:spacing w:after="0" w:line="9" w:lineRule="exact"/>
        <w:rPr>
          <w:sz w:val="20"/>
          <w:szCs w:val="20"/>
          <w:color w:val="auto"/>
        </w:rPr>
      </w:pPr>
    </w:p>
    <w:p>
      <w:pPr>
        <w:ind w:right="100"/>
        <w:spacing w:after="0" w:line="231" w:lineRule="auto"/>
        <w:rPr>
          <w:sz w:val="20"/>
          <w:szCs w:val="20"/>
          <w:color w:val="auto"/>
        </w:rPr>
      </w:pPr>
      <w:r>
        <w:rPr>
          <w:rFonts w:ascii="Arial" w:cs="Arial" w:eastAsia="Arial" w:hAnsi="Arial"/>
          <w:sz w:val="13"/>
          <w:szCs w:val="13"/>
          <w:color w:val="auto"/>
        </w:rPr>
        <w:t>Incorporated herein by reference to Exhibit 10.1 to the Company’s Current Report on Form 8-K filed on December 9, 2019.</w:t>
      </w:r>
    </w:p>
    <w:p>
      <w:pPr>
        <w:spacing w:after="0" w:line="84" w:lineRule="exact"/>
        <w:rPr>
          <w:sz w:val="20"/>
          <w:szCs w:val="20"/>
          <w:color w:val="auto"/>
        </w:rPr>
      </w:pPr>
    </w:p>
    <w:p>
      <w:pPr>
        <w:ind w:right="40"/>
        <w:spacing w:after="0" w:line="231" w:lineRule="auto"/>
        <w:rPr>
          <w:sz w:val="20"/>
          <w:szCs w:val="20"/>
          <w:color w:val="auto"/>
        </w:rPr>
      </w:pPr>
      <w:r>
        <w:rPr>
          <w:rFonts w:ascii="Arial" w:cs="Arial" w:eastAsia="Arial" w:hAnsi="Arial"/>
          <w:sz w:val="13"/>
          <w:szCs w:val="13"/>
          <w:color w:val="auto"/>
        </w:rPr>
        <w:t>Incorporated herein by reference to Exhibit 10.1 to Clearway Energy, Inc.’s Current Report on Form 8-K filed on September 5, 2018.</w:t>
      </w:r>
    </w:p>
    <w:p>
      <w:pPr>
        <w:spacing w:after="0" w:line="147" w:lineRule="exact"/>
        <w:rPr>
          <w:sz w:val="20"/>
          <w:szCs w:val="20"/>
          <w:color w:val="auto"/>
        </w:rPr>
      </w:pPr>
    </w:p>
    <w:p>
      <w:pPr>
        <w:ind w:right="40"/>
        <w:spacing w:after="0" w:line="231" w:lineRule="auto"/>
        <w:rPr>
          <w:sz w:val="20"/>
          <w:szCs w:val="20"/>
          <w:color w:val="auto"/>
        </w:rPr>
      </w:pPr>
      <w:r>
        <w:rPr>
          <w:rFonts w:ascii="Arial" w:cs="Arial" w:eastAsia="Arial" w:hAnsi="Arial"/>
          <w:sz w:val="13"/>
          <w:szCs w:val="13"/>
          <w:color w:val="auto"/>
        </w:rPr>
        <w:t>Incorporated herein by reference to Exhibit 10.2 to Clearway Energy, Inc.’s Current Report on Form 8-K filed on September 5, 2018.</w:t>
      </w:r>
    </w:p>
    <w:p>
      <w:pPr>
        <w:spacing w:after="0" w:line="147" w:lineRule="exact"/>
        <w:rPr>
          <w:sz w:val="20"/>
          <w:szCs w:val="20"/>
          <w:color w:val="auto"/>
        </w:rPr>
      </w:pPr>
    </w:p>
    <w:p>
      <w:pPr>
        <w:ind w:right="40"/>
        <w:spacing w:after="0" w:line="231" w:lineRule="auto"/>
        <w:rPr>
          <w:sz w:val="20"/>
          <w:szCs w:val="20"/>
          <w:color w:val="auto"/>
        </w:rPr>
      </w:pPr>
      <w:r>
        <w:rPr>
          <w:rFonts w:ascii="Arial" w:cs="Arial" w:eastAsia="Arial" w:hAnsi="Arial"/>
          <w:sz w:val="13"/>
          <w:szCs w:val="13"/>
          <w:color w:val="auto"/>
        </w:rPr>
        <w:t>Incorporated herein by reference to Exhibit 10.9 to Clearway Energy, Inc.’s Current Report on Form 8-K filed on September 5, 2018.</w:t>
      </w:r>
    </w:p>
    <w:p>
      <w:pPr>
        <w:spacing w:after="0" w:line="73" w:lineRule="exact"/>
        <w:rPr>
          <w:sz w:val="20"/>
          <w:szCs w:val="20"/>
          <w:color w:val="auto"/>
        </w:rPr>
      </w:pPr>
    </w:p>
    <w:p>
      <w:pPr>
        <w:spacing w:after="0" w:line="231" w:lineRule="auto"/>
        <w:rPr>
          <w:sz w:val="20"/>
          <w:szCs w:val="20"/>
          <w:color w:val="auto"/>
        </w:rPr>
      </w:pPr>
      <w:r>
        <w:rPr>
          <w:rFonts w:ascii="Arial" w:cs="Arial" w:eastAsia="Arial" w:hAnsi="Arial"/>
          <w:sz w:val="13"/>
          <w:szCs w:val="13"/>
          <w:color w:val="auto"/>
        </w:rPr>
        <w:t>Incorporated by reference to Exhibit 10.1 to Clearway Energy, Inc.’s Current Report on Form 8-K filed on April 28, 2014.</w:t>
      </w:r>
    </w:p>
    <w:p>
      <w:pPr>
        <w:spacing w:after="0" w:line="264" w:lineRule="exact"/>
        <w:rPr>
          <w:sz w:val="20"/>
          <w:szCs w:val="20"/>
          <w:color w:val="auto"/>
        </w:rPr>
      </w:pPr>
    </w:p>
    <w:p>
      <w:pPr>
        <w:ind w:right="460"/>
        <w:spacing w:after="0" w:line="262" w:lineRule="auto"/>
        <w:rPr>
          <w:sz w:val="20"/>
          <w:szCs w:val="20"/>
          <w:color w:val="auto"/>
        </w:rPr>
      </w:pPr>
      <w:r>
        <w:rPr>
          <w:rFonts w:ascii="Arial" w:cs="Arial" w:eastAsia="Arial" w:hAnsi="Arial"/>
          <w:sz w:val="12"/>
          <w:szCs w:val="12"/>
          <w:color w:val="auto"/>
        </w:rPr>
        <w:t>Incorporated herein by reference to Exhibit 10.9 to Clearway Energy, Inc.’s Quarterly Report on Form 10-Q filed on August 4, 2015.</w:t>
      </w:r>
    </w:p>
    <w:p>
      <w:pPr>
        <w:spacing w:after="0" w:line="261" w:lineRule="exact"/>
        <w:rPr>
          <w:sz w:val="20"/>
          <w:szCs w:val="20"/>
          <w:color w:val="auto"/>
        </w:rPr>
      </w:pPr>
    </w:p>
    <w:p>
      <w:pPr>
        <w:sectPr>
          <w:pgSz w:w="11900" w:h="16838" w:orient="portrait"/>
          <w:cols w:equalWidth="0" w:num="2">
            <w:col w:w="6780" w:space="120"/>
            <w:col w:w="4300"/>
          </w:cols>
          <w:pgMar w:left="340" w:top="754" w:right="3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60960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54" w:right="35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2"/>
          <w:szCs w:val="12"/>
          <w:color w:val="auto"/>
        </w:rPr>
        <w:t>10.6.3</w:t>
      </w: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10.6.4</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2"/>
          <w:szCs w:val="12"/>
          <w:color w:val="auto"/>
        </w:rPr>
        <w:t>10.6.5</w:t>
      </w: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10.6.6</w:t>
      </w: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10.6.7</w:t>
      </w: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10.6.8</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color w:val="auto"/>
        </w:rPr>
        <w:t>10.7^</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color w:val="auto"/>
        </w:rPr>
        <w:t>10.8^</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color w:val="auto"/>
        </w:rPr>
        <w:t>10.9^</w:t>
      </w:r>
    </w:p>
    <w:p>
      <w:pPr>
        <w:spacing w:after="0" w:line="275" w:lineRule="exact"/>
        <w:rPr>
          <w:sz w:val="20"/>
          <w:szCs w:val="20"/>
          <w:color w:val="auto"/>
        </w:rPr>
      </w:pPr>
    </w:p>
    <w:p>
      <w:pPr>
        <w:spacing w:after="0"/>
        <w:rPr>
          <w:sz w:val="20"/>
          <w:szCs w:val="20"/>
          <w:color w:val="auto"/>
        </w:rPr>
      </w:pPr>
      <w:r>
        <w:rPr>
          <w:rFonts w:ascii="Arial" w:cs="Arial" w:eastAsia="Arial" w:hAnsi="Arial"/>
          <w:sz w:val="11"/>
          <w:szCs w:val="11"/>
          <w:color w:val="auto"/>
        </w:rPr>
        <w:t>10.10^</w:t>
      </w:r>
    </w:p>
    <w:p>
      <w:pPr>
        <w:spacing w:after="0" w:line="20" w:lineRule="exact"/>
        <w:rPr>
          <w:sz w:val="20"/>
          <w:szCs w:val="20"/>
          <w:color w:val="auto"/>
        </w:rPr>
      </w:pPr>
      <w:r>
        <w:rPr>
          <w:sz w:val="20"/>
          <w:szCs w:val="20"/>
          <w:color w:val="auto"/>
        </w:rPr>
        <w:br w:type="column"/>
      </w:r>
    </w:p>
    <w:p>
      <w:pPr>
        <w:ind w:right="100"/>
        <w:spacing w:after="0" w:line="222" w:lineRule="auto"/>
        <w:rPr>
          <w:rFonts w:ascii="Arial" w:cs="Arial" w:eastAsia="Arial" w:hAnsi="Arial"/>
          <w:sz w:val="13"/>
          <w:szCs w:val="13"/>
          <w:u w:val="single" w:color="auto"/>
          <w:color w:val="0000FF"/>
        </w:rPr>
      </w:pPr>
      <w:hyperlink r:id="rId223">
        <w:r>
          <w:rPr>
            <w:rFonts w:ascii="Arial" w:cs="Arial" w:eastAsia="Arial" w:hAnsi="Arial"/>
            <w:sz w:val="13"/>
            <w:szCs w:val="13"/>
            <w:u w:val="single" w:color="auto"/>
            <w:color w:val="0000FF"/>
          </w:rPr>
          <w:t>Second Amendment to Amended &amp; Restated Credit Agreement, dated February 6, 2018, by and among NRG</w:t>
        </w:r>
      </w:hyperlink>
      <w:r>
        <w:rPr>
          <w:rFonts w:ascii="Arial" w:cs="Arial" w:eastAsia="Arial" w:hAnsi="Arial"/>
          <w:sz w:val="13"/>
          <w:szCs w:val="13"/>
          <w:u w:val="single" w:color="auto"/>
          <w:color w:val="0000FF"/>
        </w:rPr>
        <w:t xml:space="preserve"> </w:t>
      </w:r>
      <w:hyperlink r:id="rId223">
        <w:r>
          <w:rPr>
            <w:rFonts w:ascii="Arial" w:cs="Arial" w:eastAsia="Arial" w:hAnsi="Arial"/>
            <w:sz w:val="13"/>
            <w:szCs w:val="13"/>
            <w:u w:val="single" w:color="auto"/>
            <w:color w:val="0000FF"/>
          </w:rPr>
          <w:t>Yield Operating LLC, NRG Yield LLC, the guarantors party thereto, Royal Bank of Canada, as Administrative</w:t>
        </w:r>
      </w:hyperlink>
      <w:r>
        <w:rPr>
          <w:rFonts w:ascii="Arial" w:cs="Arial" w:eastAsia="Arial" w:hAnsi="Arial"/>
          <w:sz w:val="13"/>
          <w:szCs w:val="13"/>
          <w:u w:val="single" w:color="auto"/>
          <w:color w:val="0000FF"/>
        </w:rPr>
        <w:t xml:space="preserve"> </w:t>
      </w:r>
      <w:hyperlink r:id="rId223">
        <w:r>
          <w:rPr>
            <w:rFonts w:ascii="Arial" w:cs="Arial" w:eastAsia="Arial" w:hAnsi="Arial"/>
            <w:sz w:val="13"/>
            <w:szCs w:val="13"/>
            <w:u w:val="single" w:color="auto"/>
            <w:color w:val="0000FF"/>
          </w:rPr>
          <w:t>Agent, and the lenders party thereto.</w:t>
        </w:r>
      </w:hyperlink>
    </w:p>
    <w:p>
      <w:pPr>
        <w:spacing w:after="0" w:line="84" w:lineRule="exact"/>
        <w:rPr>
          <w:rFonts w:ascii="Arial" w:cs="Arial" w:eastAsia="Arial" w:hAnsi="Arial"/>
          <w:sz w:val="13"/>
          <w:szCs w:val="13"/>
          <w:u w:val="single" w:color="auto"/>
          <w:color w:val="0000FF"/>
        </w:rPr>
      </w:pPr>
    </w:p>
    <w:p>
      <w:pPr>
        <w:ind w:right="40"/>
        <w:spacing w:after="0" w:line="236" w:lineRule="auto"/>
        <w:rPr>
          <w:rFonts w:ascii="Arial" w:cs="Arial" w:eastAsia="Arial" w:hAnsi="Arial"/>
          <w:sz w:val="12"/>
          <w:szCs w:val="12"/>
          <w:u w:val="single" w:color="auto"/>
          <w:color w:val="0000FF"/>
        </w:rPr>
      </w:pPr>
      <w:hyperlink r:id="rId224">
        <w:r>
          <w:rPr>
            <w:rFonts w:ascii="Arial" w:cs="Arial" w:eastAsia="Arial" w:hAnsi="Arial"/>
            <w:sz w:val="12"/>
            <w:szCs w:val="12"/>
            <w:u w:val="single" w:color="auto"/>
            <w:color w:val="0000FF"/>
          </w:rPr>
          <w:t>Third Amendment to Amended and Restated Credit Agreement and Administrative Agent Resignation and</w:t>
        </w:r>
      </w:hyperlink>
      <w:r>
        <w:rPr>
          <w:rFonts w:ascii="Arial" w:cs="Arial" w:eastAsia="Arial" w:hAnsi="Arial"/>
          <w:sz w:val="12"/>
          <w:szCs w:val="12"/>
          <w:u w:val="single" w:color="auto"/>
          <w:color w:val="0000FF"/>
        </w:rPr>
        <w:t xml:space="preserve"> </w:t>
      </w:r>
      <w:hyperlink r:id="rId224">
        <w:r>
          <w:rPr>
            <w:rFonts w:ascii="Arial" w:cs="Arial" w:eastAsia="Arial" w:hAnsi="Arial"/>
            <w:sz w:val="12"/>
            <w:szCs w:val="12"/>
            <w:u w:val="single" w:color="auto"/>
            <w:color w:val="0000FF"/>
          </w:rPr>
          <w:t>Appointment Agreement, dated as of April 30, 2018, by and among NRG Yield Operating LLC, NRG Yield</w:t>
        </w:r>
      </w:hyperlink>
      <w:r>
        <w:rPr>
          <w:rFonts w:ascii="Arial" w:cs="Arial" w:eastAsia="Arial" w:hAnsi="Arial"/>
          <w:sz w:val="12"/>
          <w:szCs w:val="12"/>
          <w:u w:val="single" w:color="auto"/>
          <w:color w:val="0000FF"/>
        </w:rPr>
        <w:t xml:space="preserve"> </w:t>
      </w:r>
      <w:hyperlink r:id="rId224">
        <w:r>
          <w:rPr>
            <w:rFonts w:ascii="Arial" w:cs="Arial" w:eastAsia="Arial" w:hAnsi="Arial"/>
            <w:sz w:val="12"/>
            <w:szCs w:val="12"/>
            <w:u w:val="single" w:color="auto"/>
            <w:color w:val="0000FF"/>
          </w:rPr>
          <w:t>LLC, the guarantors party thereto, Royal Bank of Canada, as Resigning Administrative Agent, JPMorgan Chase</w:t>
        </w:r>
      </w:hyperlink>
      <w:r>
        <w:rPr>
          <w:rFonts w:ascii="Arial" w:cs="Arial" w:eastAsia="Arial" w:hAnsi="Arial"/>
          <w:sz w:val="12"/>
          <w:szCs w:val="12"/>
          <w:u w:val="single" w:color="auto"/>
          <w:color w:val="0000FF"/>
        </w:rPr>
        <w:t xml:space="preserve"> </w:t>
      </w:r>
      <w:hyperlink r:id="rId224">
        <w:r>
          <w:rPr>
            <w:rFonts w:ascii="Arial" w:cs="Arial" w:eastAsia="Arial" w:hAnsi="Arial"/>
            <w:sz w:val="12"/>
            <w:szCs w:val="12"/>
            <w:u w:val="single" w:color="auto"/>
            <w:color w:val="0000FF"/>
          </w:rPr>
          <w:t>Bank, N.A., as Successor Administrative Agent, and the lenders party thereto.</w:t>
        </w:r>
      </w:hyperlink>
    </w:p>
    <w:p>
      <w:pPr>
        <w:spacing w:after="0" w:line="73" w:lineRule="exact"/>
        <w:rPr>
          <w:rFonts w:ascii="Arial" w:cs="Arial" w:eastAsia="Arial" w:hAnsi="Arial"/>
          <w:sz w:val="12"/>
          <w:szCs w:val="12"/>
          <w:u w:val="single" w:color="auto"/>
          <w:color w:val="0000FF"/>
        </w:rPr>
      </w:pPr>
    </w:p>
    <w:p>
      <w:pPr>
        <w:ind w:right="20"/>
        <w:spacing w:after="0" w:line="222" w:lineRule="auto"/>
        <w:rPr>
          <w:rFonts w:ascii="Arial" w:cs="Arial" w:eastAsia="Arial" w:hAnsi="Arial"/>
          <w:sz w:val="13"/>
          <w:szCs w:val="13"/>
          <w:u w:val="single" w:color="auto"/>
          <w:color w:val="0000FF"/>
        </w:rPr>
      </w:pPr>
      <w:hyperlink r:id="rId225">
        <w:r>
          <w:rPr>
            <w:rFonts w:ascii="Arial" w:cs="Arial" w:eastAsia="Arial" w:hAnsi="Arial"/>
            <w:sz w:val="13"/>
            <w:szCs w:val="13"/>
            <w:u w:val="single" w:color="auto"/>
            <w:color w:val="0000FF"/>
          </w:rPr>
          <w:t>Fourth Amendment to Amended and Restated Credit Agreement, dated as of November 30, 2018, by and among</w:t>
        </w:r>
      </w:hyperlink>
      <w:r>
        <w:rPr>
          <w:rFonts w:ascii="Arial" w:cs="Arial" w:eastAsia="Arial" w:hAnsi="Arial"/>
          <w:sz w:val="13"/>
          <w:szCs w:val="13"/>
          <w:u w:val="single" w:color="auto"/>
          <w:color w:val="0000FF"/>
        </w:rPr>
        <w:t xml:space="preserve"> </w:t>
      </w:r>
      <w:hyperlink r:id="rId225">
        <w:r>
          <w:rPr>
            <w:rFonts w:ascii="Arial" w:cs="Arial" w:eastAsia="Arial" w:hAnsi="Arial"/>
            <w:sz w:val="13"/>
            <w:szCs w:val="13"/>
            <w:u w:val="single" w:color="auto"/>
            <w:color w:val="0000FF"/>
          </w:rPr>
          <w:t>Clearway Energy Operating LLC, Clearway Energy LLC, the guarantors party thereto, JPMorgan Chase Bank,</w:t>
        </w:r>
      </w:hyperlink>
      <w:r>
        <w:rPr>
          <w:rFonts w:ascii="Arial" w:cs="Arial" w:eastAsia="Arial" w:hAnsi="Arial"/>
          <w:sz w:val="13"/>
          <w:szCs w:val="13"/>
          <w:u w:val="single" w:color="auto"/>
          <w:color w:val="0000FF"/>
        </w:rPr>
        <w:t xml:space="preserve"> </w:t>
      </w:r>
      <w:hyperlink r:id="rId225">
        <w:r>
          <w:rPr>
            <w:rFonts w:ascii="Arial" w:cs="Arial" w:eastAsia="Arial" w:hAnsi="Arial"/>
            <w:sz w:val="13"/>
            <w:szCs w:val="13"/>
            <w:u w:val="single" w:color="auto"/>
            <w:color w:val="0000FF"/>
          </w:rPr>
          <w:t>N.A., as administrative agent, and the lenders party thereto.</w:t>
        </w:r>
      </w:hyperlink>
    </w:p>
    <w:p>
      <w:pPr>
        <w:spacing w:after="0" w:line="10" w:lineRule="exact"/>
        <w:rPr>
          <w:rFonts w:ascii="Arial" w:cs="Arial" w:eastAsia="Arial" w:hAnsi="Arial"/>
          <w:sz w:val="13"/>
          <w:szCs w:val="13"/>
          <w:u w:val="single" w:color="auto"/>
          <w:color w:val="0000FF"/>
        </w:rPr>
      </w:pPr>
    </w:p>
    <w:p>
      <w:pPr>
        <w:jc w:val="both"/>
        <w:ind w:right="100"/>
        <w:spacing w:after="0" w:line="222" w:lineRule="auto"/>
        <w:rPr>
          <w:rFonts w:ascii="Arial" w:cs="Arial" w:eastAsia="Arial" w:hAnsi="Arial"/>
          <w:sz w:val="13"/>
          <w:szCs w:val="13"/>
          <w:u w:val="single" w:color="auto"/>
          <w:color w:val="0000FF"/>
        </w:rPr>
      </w:pPr>
      <w:hyperlink r:id="rId226">
        <w:r>
          <w:rPr>
            <w:rFonts w:ascii="Arial" w:cs="Arial" w:eastAsia="Arial" w:hAnsi="Arial"/>
            <w:sz w:val="13"/>
            <w:szCs w:val="13"/>
            <w:u w:val="single" w:color="auto"/>
            <w:color w:val="0000FF"/>
          </w:rPr>
          <w:t>Fifth Amendment to Amended and Restated Credit Agreement, dated as of December 20, 2019, by and among</w:t>
        </w:r>
      </w:hyperlink>
      <w:r>
        <w:rPr>
          <w:rFonts w:ascii="Arial" w:cs="Arial" w:eastAsia="Arial" w:hAnsi="Arial"/>
          <w:sz w:val="13"/>
          <w:szCs w:val="13"/>
          <w:u w:val="single" w:color="auto"/>
          <w:color w:val="0000FF"/>
        </w:rPr>
        <w:t xml:space="preserve"> </w:t>
      </w:r>
      <w:hyperlink r:id="rId226">
        <w:r>
          <w:rPr>
            <w:rFonts w:ascii="Arial" w:cs="Arial" w:eastAsia="Arial" w:hAnsi="Arial"/>
            <w:sz w:val="13"/>
            <w:szCs w:val="13"/>
            <w:u w:val="single" w:color="auto"/>
            <w:color w:val="0000FF"/>
          </w:rPr>
          <w:t>Clearway Energy Operating LLC, Clearway Energy LLC, the guarantors party thereto, JPMorgan Chase Bank,</w:t>
        </w:r>
      </w:hyperlink>
      <w:r>
        <w:rPr>
          <w:rFonts w:ascii="Arial" w:cs="Arial" w:eastAsia="Arial" w:hAnsi="Arial"/>
          <w:sz w:val="13"/>
          <w:szCs w:val="13"/>
          <w:u w:val="single" w:color="auto"/>
          <w:color w:val="0000FF"/>
        </w:rPr>
        <w:t xml:space="preserve"> </w:t>
      </w:r>
      <w:hyperlink r:id="rId226">
        <w:r>
          <w:rPr>
            <w:rFonts w:ascii="Arial" w:cs="Arial" w:eastAsia="Arial" w:hAnsi="Arial"/>
            <w:sz w:val="13"/>
            <w:szCs w:val="13"/>
            <w:u w:val="single" w:color="auto"/>
            <w:color w:val="0000FF"/>
          </w:rPr>
          <w:t>N.A., as administrative agent, and the lenders party thereto.</w:t>
        </w:r>
      </w:hyperlink>
    </w:p>
    <w:p>
      <w:pPr>
        <w:spacing w:after="0" w:line="10" w:lineRule="exact"/>
        <w:rPr>
          <w:rFonts w:ascii="Arial" w:cs="Arial" w:eastAsia="Arial" w:hAnsi="Arial"/>
          <w:sz w:val="13"/>
          <w:szCs w:val="13"/>
          <w:u w:val="single" w:color="auto"/>
          <w:color w:val="0000FF"/>
        </w:rPr>
      </w:pPr>
    </w:p>
    <w:p>
      <w:pPr>
        <w:ind w:right="60"/>
        <w:spacing w:after="0" w:line="222" w:lineRule="auto"/>
        <w:rPr>
          <w:rFonts w:ascii="Arial" w:cs="Arial" w:eastAsia="Arial" w:hAnsi="Arial"/>
          <w:sz w:val="13"/>
          <w:szCs w:val="13"/>
          <w:u w:val="single" w:color="auto"/>
          <w:color w:val="0000FF"/>
        </w:rPr>
      </w:pPr>
      <w:hyperlink r:id="rId227">
        <w:r>
          <w:rPr>
            <w:rFonts w:ascii="Arial" w:cs="Arial" w:eastAsia="Arial" w:hAnsi="Arial"/>
            <w:sz w:val="13"/>
            <w:szCs w:val="13"/>
            <w:u w:val="single" w:color="auto"/>
            <w:color w:val="0000FF"/>
          </w:rPr>
          <w:t>Sixth Amendment to Amended and Restated Credit Agreement, effective as of November 30, 2021, by and</w:t>
        </w:r>
      </w:hyperlink>
      <w:r>
        <w:rPr>
          <w:rFonts w:ascii="Arial" w:cs="Arial" w:eastAsia="Arial" w:hAnsi="Arial"/>
          <w:sz w:val="13"/>
          <w:szCs w:val="13"/>
          <w:u w:val="single" w:color="auto"/>
          <w:color w:val="0000FF"/>
        </w:rPr>
        <w:t xml:space="preserve"> </w:t>
      </w:r>
      <w:hyperlink r:id="rId227">
        <w:r>
          <w:rPr>
            <w:rFonts w:ascii="Arial" w:cs="Arial" w:eastAsia="Arial" w:hAnsi="Arial"/>
            <w:sz w:val="13"/>
            <w:szCs w:val="13"/>
            <w:u w:val="single" w:color="auto"/>
            <w:color w:val="0000FF"/>
          </w:rPr>
          <w:t>among Clearway Energy Operating LLC, Clearway Energy LLC, the guarantors party thereto, JPMorgan Chase</w:t>
        </w:r>
      </w:hyperlink>
      <w:r>
        <w:rPr>
          <w:rFonts w:ascii="Arial" w:cs="Arial" w:eastAsia="Arial" w:hAnsi="Arial"/>
          <w:sz w:val="13"/>
          <w:szCs w:val="13"/>
          <w:u w:val="single" w:color="auto"/>
          <w:color w:val="0000FF"/>
        </w:rPr>
        <w:t xml:space="preserve"> </w:t>
      </w:r>
      <w:hyperlink r:id="rId227">
        <w:r>
          <w:rPr>
            <w:rFonts w:ascii="Arial" w:cs="Arial" w:eastAsia="Arial" w:hAnsi="Arial"/>
            <w:sz w:val="13"/>
            <w:szCs w:val="13"/>
            <w:u w:val="single" w:color="auto"/>
            <w:color w:val="0000FF"/>
          </w:rPr>
          <w:t>Bank, N.A., as administrative agent, and the lenders party thereto.</w:t>
        </w:r>
      </w:hyperlink>
    </w:p>
    <w:p>
      <w:pPr>
        <w:spacing w:after="0" w:line="10" w:lineRule="exact"/>
        <w:rPr>
          <w:rFonts w:ascii="Arial" w:cs="Arial" w:eastAsia="Arial" w:hAnsi="Arial"/>
          <w:sz w:val="13"/>
          <w:szCs w:val="13"/>
          <w:u w:val="single" w:color="auto"/>
          <w:color w:val="0000FF"/>
        </w:rPr>
      </w:pPr>
    </w:p>
    <w:p>
      <w:pPr>
        <w:ind w:right="60"/>
        <w:spacing w:after="0" w:line="222" w:lineRule="auto"/>
        <w:rPr>
          <w:rFonts w:ascii="Arial" w:cs="Arial" w:eastAsia="Arial" w:hAnsi="Arial"/>
          <w:sz w:val="13"/>
          <w:szCs w:val="13"/>
          <w:u w:val="single" w:color="auto"/>
          <w:color w:val="0000FF"/>
        </w:rPr>
      </w:pPr>
      <w:hyperlink r:id="rId228">
        <w:r>
          <w:rPr>
            <w:rFonts w:ascii="Arial" w:cs="Arial" w:eastAsia="Arial" w:hAnsi="Arial"/>
            <w:sz w:val="13"/>
            <w:szCs w:val="13"/>
            <w:u w:val="single" w:color="auto"/>
            <w:color w:val="0000FF"/>
          </w:rPr>
          <w:t>Seventh Amendment to Amended and Restated Credit Agreement, entered into as of August 15, 2022, by and</w:t>
        </w:r>
      </w:hyperlink>
      <w:r>
        <w:rPr>
          <w:rFonts w:ascii="Arial" w:cs="Arial" w:eastAsia="Arial" w:hAnsi="Arial"/>
          <w:sz w:val="13"/>
          <w:szCs w:val="13"/>
          <w:u w:val="single" w:color="auto"/>
          <w:color w:val="0000FF"/>
        </w:rPr>
        <w:t xml:space="preserve"> </w:t>
      </w:r>
      <w:hyperlink r:id="rId228">
        <w:r>
          <w:rPr>
            <w:rFonts w:ascii="Arial" w:cs="Arial" w:eastAsia="Arial" w:hAnsi="Arial"/>
            <w:sz w:val="13"/>
            <w:szCs w:val="13"/>
            <w:u w:val="single" w:color="auto"/>
            <w:color w:val="0000FF"/>
          </w:rPr>
          <w:t>among Clearway Energy Operating LLC, Clearway Energy LLC, the guarantors party thereto, JPMorgan Chase</w:t>
        </w:r>
      </w:hyperlink>
      <w:r>
        <w:rPr>
          <w:rFonts w:ascii="Arial" w:cs="Arial" w:eastAsia="Arial" w:hAnsi="Arial"/>
          <w:sz w:val="13"/>
          <w:szCs w:val="13"/>
          <w:u w:val="single" w:color="auto"/>
          <w:color w:val="0000FF"/>
        </w:rPr>
        <w:t xml:space="preserve"> </w:t>
      </w:r>
      <w:hyperlink r:id="rId228">
        <w:r>
          <w:rPr>
            <w:rFonts w:ascii="Arial" w:cs="Arial" w:eastAsia="Arial" w:hAnsi="Arial"/>
            <w:sz w:val="13"/>
            <w:szCs w:val="13"/>
            <w:u w:val="single" w:color="auto"/>
            <w:color w:val="0000FF"/>
          </w:rPr>
          <w:t>Bank, N.A., as administrative agent, and the lenders party thereto.</w:t>
        </w:r>
      </w:hyperlink>
    </w:p>
    <w:p>
      <w:pPr>
        <w:spacing w:after="0" w:line="84" w:lineRule="exact"/>
        <w:rPr>
          <w:rFonts w:ascii="Arial" w:cs="Arial" w:eastAsia="Arial" w:hAnsi="Arial"/>
          <w:sz w:val="13"/>
          <w:szCs w:val="13"/>
          <w:u w:val="single" w:color="auto"/>
          <w:color w:val="0000FF"/>
        </w:rPr>
      </w:pPr>
    </w:p>
    <w:p>
      <w:pPr>
        <w:spacing w:after="0" w:line="231" w:lineRule="auto"/>
        <w:rPr>
          <w:rFonts w:ascii="Arial" w:cs="Arial" w:eastAsia="Arial" w:hAnsi="Arial"/>
          <w:sz w:val="13"/>
          <w:szCs w:val="13"/>
          <w:u w:val="single" w:color="auto"/>
          <w:color w:val="0000FF"/>
        </w:rPr>
      </w:pPr>
      <w:hyperlink r:id="rId229">
        <w:r>
          <w:rPr>
            <w:rFonts w:ascii="Arial" w:cs="Arial" w:eastAsia="Arial" w:hAnsi="Arial"/>
            <w:sz w:val="13"/>
            <w:szCs w:val="13"/>
            <w:u w:val="single" w:color="auto"/>
            <w:color w:val="0000FF"/>
          </w:rPr>
          <w:t>Amended and Restated Limited Liability Company Agreement of NRG RPV Holdco 1 LLC, dated as of April 9,</w:t>
        </w:r>
      </w:hyperlink>
      <w:r>
        <w:rPr>
          <w:rFonts w:ascii="Arial" w:cs="Arial" w:eastAsia="Arial" w:hAnsi="Arial"/>
          <w:sz w:val="13"/>
          <w:szCs w:val="13"/>
          <w:u w:val="single" w:color="auto"/>
          <w:color w:val="0000FF"/>
        </w:rPr>
        <w:t xml:space="preserve"> </w:t>
      </w:r>
      <w:hyperlink r:id="rId229">
        <w:r>
          <w:rPr>
            <w:rFonts w:ascii="Arial" w:cs="Arial" w:eastAsia="Arial" w:hAnsi="Arial"/>
            <w:sz w:val="13"/>
            <w:szCs w:val="13"/>
            <w:u w:val="single" w:color="auto"/>
            <w:color w:val="0000FF"/>
          </w:rPr>
          <w:t>2015.</w:t>
        </w:r>
      </w:hyperlink>
    </w:p>
    <w:p>
      <w:pPr>
        <w:spacing w:after="0" w:line="147" w:lineRule="exact"/>
        <w:rPr>
          <w:sz w:val="20"/>
          <w:szCs w:val="20"/>
          <w:color w:val="auto"/>
        </w:rPr>
      </w:pPr>
    </w:p>
    <w:p>
      <w:pPr>
        <w:ind w:right="60"/>
        <w:spacing w:after="0" w:line="231" w:lineRule="auto"/>
        <w:rPr>
          <w:rFonts w:ascii="Arial" w:cs="Arial" w:eastAsia="Arial" w:hAnsi="Arial"/>
          <w:sz w:val="13"/>
          <w:szCs w:val="13"/>
          <w:u w:val="single" w:color="auto"/>
          <w:color w:val="0000FF"/>
        </w:rPr>
      </w:pPr>
      <w:hyperlink r:id="rId230">
        <w:r>
          <w:rPr>
            <w:rFonts w:ascii="Arial" w:cs="Arial" w:eastAsia="Arial" w:hAnsi="Arial"/>
            <w:sz w:val="13"/>
            <w:szCs w:val="13"/>
            <w:u w:val="single" w:color="auto"/>
            <w:color w:val="0000FF"/>
          </w:rPr>
          <w:t>Amended and Restated Limited Liability Company Agreement of NRG DGPV Holdco 1 LLC, dated as of May</w:t>
        </w:r>
      </w:hyperlink>
      <w:r>
        <w:rPr>
          <w:rFonts w:ascii="Arial" w:cs="Arial" w:eastAsia="Arial" w:hAnsi="Arial"/>
          <w:sz w:val="13"/>
          <w:szCs w:val="13"/>
          <w:u w:val="single" w:color="auto"/>
          <w:color w:val="0000FF"/>
        </w:rPr>
        <w:t xml:space="preserve"> </w:t>
      </w:r>
      <w:hyperlink r:id="rId230">
        <w:r>
          <w:rPr>
            <w:rFonts w:ascii="Arial" w:cs="Arial" w:eastAsia="Arial" w:hAnsi="Arial"/>
            <w:sz w:val="13"/>
            <w:szCs w:val="13"/>
            <w:u w:val="single" w:color="auto"/>
            <w:color w:val="0000FF"/>
          </w:rPr>
          <w:t>8, 2015.</w:t>
        </w:r>
      </w:hyperlink>
    </w:p>
    <w:p>
      <w:pPr>
        <w:spacing w:after="0" w:line="73" w:lineRule="exact"/>
        <w:rPr>
          <w:sz w:val="20"/>
          <w:szCs w:val="20"/>
          <w:color w:val="auto"/>
        </w:rPr>
      </w:pPr>
    </w:p>
    <w:p>
      <w:pPr>
        <w:jc w:val="both"/>
        <w:ind w:right="220"/>
        <w:spacing w:after="0" w:line="222" w:lineRule="auto"/>
        <w:rPr>
          <w:rFonts w:ascii="Arial" w:cs="Arial" w:eastAsia="Arial" w:hAnsi="Arial"/>
          <w:sz w:val="13"/>
          <w:szCs w:val="13"/>
          <w:u w:val="single" w:color="auto"/>
          <w:color w:val="0000FF"/>
        </w:rPr>
      </w:pPr>
      <w:hyperlink r:id="rId231">
        <w:r>
          <w:rPr>
            <w:rFonts w:ascii="Arial" w:cs="Arial" w:eastAsia="Arial" w:hAnsi="Arial"/>
            <w:sz w:val="13"/>
            <w:szCs w:val="13"/>
            <w:u w:val="single" w:color="auto"/>
            <w:color w:val="0000FF"/>
          </w:rPr>
          <w:t>Amendment No. 1 to Amended and Restated Limited Liability Company Agreement of NRG RPV Holdco 1</w:t>
        </w:r>
      </w:hyperlink>
      <w:r>
        <w:rPr>
          <w:rFonts w:ascii="Arial" w:cs="Arial" w:eastAsia="Arial" w:hAnsi="Arial"/>
          <w:sz w:val="13"/>
          <w:szCs w:val="13"/>
          <w:u w:val="single" w:color="auto"/>
          <w:color w:val="0000FF"/>
        </w:rPr>
        <w:t xml:space="preserve"> </w:t>
      </w:r>
      <w:hyperlink r:id="rId231">
        <w:r>
          <w:rPr>
            <w:rFonts w:ascii="Arial" w:cs="Arial" w:eastAsia="Arial" w:hAnsi="Arial"/>
            <w:sz w:val="13"/>
            <w:szCs w:val="13"/>
            <w:u w:val="single" w:color="auto"/>
            <w:color w:val="0000FF"/>
          </w:rPr>
          <w:t>LLC, dated as of March 1, 2016, by and between NRG Yield RPV Holding LLC and NRG Residential Solar</w:t>
        </w:r>
      </w:hyperlink>
      <w:r>
        <w:rPr>
          <w:rFonts w:ascii="Arial" w:cs="Arial" w:eastAsia="Arial" w:hAnsi="Arial"/>
          <w:sz w:val="13"/>
          <w:szCs w:val="13"/>
          <w:u w:val="single" w:color="auto"/>
          <w:color w:val="0000FF"/>
        </w:rPr>
        <w:t xml:space="preserve"> </w:t>
      </w:r>
      <w:hyperlink r:id="rId231">
        <w:r>
          <w:rPr>
            <w:rFonts w:ascii="Arial" w:cs="Arial" w:eastAsia="Arial" w:hAnsi="Arial"/>
            <w:sz w:val="13"/>
            <w:szCs w:val="13"/>
            <w:u w:val="single" w:color="auto"/>
            <w:color w:val="0000FF"/>
          </w:rPr>
          <w:t>Solutions LLC.</w:t>
        </w:r>
      </w:hyperlink>
    </w:p>
    <w:p>
      <w:pPr>
        <w:spacing w:after="0" w:line="84" w:lineRule="exact"/>
        <w:rPr>
          <w:rFonts w:ascii="Arial" w:cs="Arial" w:eastAsia="Arial" w:hAnsi="Arial"/>
          <w:sz w:val="13"/>
          <w:szCs w:val="13"/>
          <w:u w:val="single" w:color="auto"/>
          <w:color w:val="0000FF"/>
        </w:rPr>
      </w:pPr>
    </w:p>
    <w:p>
      <w:pPr>
        <w:ind w:right="120"/>
        <w:spacing w:after="0" w:line="222" w:lineRule="auto"/>
        <w:rPr>
          <w:rFonts w:ascii="Arial" w:cs="Arial" w:eastAsia="Arial" w:hAnsi="Arial"/>
          <w:sz w:val="13"/>
          <w:szCs w:val="13"/>
          <w:u w:val="single" w:color="auto"/>
          <w:color w:val="0000FF"/>
        </w:rPr>
      </w:pPr>
      <w:hyperlink r:id="rId232">
        <w:r>
          <w:rPr>
            <w:rFonts w:ascii="Arial" w:cs="Arial" w:eastAsia="Arial" w:hAnsi="Arial"/>
            <w:sz w:val="13"/>
            <w:szCs w:val="13"/>
            <w:u w:val="single" w:color="auto"/>
            <w:color w:val="0000FF"/>
          </w:rPr>
          <w:t>Amendment No. 2 to Amended and Restated Limited Liability Company Agreement of NRG DGPV Holdco 1</w:t>
        </w:r>
      </w:hyperlink>
      <w:r>
        <w:rPr>
          <w:rFonts w:ascii="Arial" w:cs="Arial" w:eastAsia="Arial" w:hAnsi="Arial"/>
          <w:sz w:val="13"/>
          <w:szCs w:val="13"/>
          <w:u w:val="single" w:color="auto"/>
          <w:color w:val="0000FF"/>
        </w:rPr>
        <w:t xml:space="preserve"> </w:t>
      </w:r>
      <w:hyperlink r:id="rId232">
        <w:r>
          <w:rPr>
            <w:rFonts w:ascii="Arial" w:cs="Arial" w:eastAsia="Arial" w:hAnsi="Arial"/>
            <w:sz w:val="13"/>
            <w:szCs w:val="13"/>
            <w:u w:val="single" w:color="auto"/>
            <w:color w:val="0000FF"/>
          </w:rPr>
          <w:t>LLC, dated as of March 1, 2016, by and among NRG Yield DGPV Holding LLC, NRG Renew DG Holdings</w:t>
        </w:r>
      </w:hyperlink>
      <w:r>
        <w:rPr>
          <w:rFonts w:ascii="Arial" w:cs="Arial" w:eastAsia="Arial" w:hAnsi="Arial"/>
          <w:sz w:val="13"/>
          <w:szCs w:val="13"/>
          <w:u w:val="single" w:color="auto"/>
          <w:color w:val="0000FF"/>
        </w:rPr>
        <w:t xml:space="preserve"> </w:t>
      </w:r>
      <w:hyperlink r:id="rId232">
        <w:r>
          <w:rPr>
            <w:rFonts w:ascii="Arial" w:cs="Arial" w:eastAsia="Arial" w:hAnsi="Arial"/>
            <w:sz w:val="13"/>
            <w:szCs w:val="13"/>
            <w:u w:val="single" w:color="auto"/>
            <w:color w:val="0000FF"/>
          </w:rPr>
          <w:t>LLC and NRG Renew LLC.</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br w:type="column"/>
      </w:r>
    </w:p>
    <w:p>
      <w:pPr>
        <w:ind w:right="100"/>
        <w:spacing w:after="0" w:line="231" w:lineRule="auto"/>
        <w:rPr>
          <w:sz w:val="20"/>
          <w:szCs w:val="20"/>
          <w:color w:val="auto"/>
        </w:rPr>
      </w:pPr>
      <w:r>
        <w:rPr>
          <w:rFonts w:ascii="Arial" w:cs="Arial" w:eastAsia="Arial" w:hAnsi="Arial"/>
          <w:sz w:val="13"/>
          <w:szCs w:val="13"/>
          <w:color w:val="auto"/>
        </w:rPr>
        <w:t>Incorporated herein by reference to Exhibit 10.1 to the Company’s Current Report on Form 8-K filed on February 12, 2018.</w:t>
      </w:r>
    </w:p>
    <w:p>
      <w:pPr>
        <w:spacing w:after="0" w:line="137" w:lineRule="exact"/>
        <w:rPr>
          <w:rFonts w:ascii="Arial" w:cs="Arial" w:eastAsia="Arial" w:hAnsi="Arial"/>
          <w:sz w:val="13"/>
          <w:szCs w:val="13"/>
          <w:u w:val="single" w:color="auto"/>
          <w:color w:val="0000FF"/>
        </w:rPr>
      </w:pPr>
    </w:p>
    <w:p>
      <w:pPr>
        <w:spacing w:after="0" w:line="231" w:lineRule="auto"/>
        <w:rPr>
          <w:sz w:val="20"/>
          <w:szCs w:val="20"/>
          <w:color w:val="auto"/>
        </w:rPr>
      </w:pPr>
      <w:r>
        <w:rPr>
          <w:rFonts w:ascii="Arial" w:cs="Arial" w:eastAsia="Arial" w:hAnsi="Arial"/>
          <w:sz w:val="13"/>
          <w:szCs w:val="13"/>
          <w:color w:val="auto"/>
        </w:rPr>
        <w:t>Incorporated herein by reference to Exhibit 10.1 to the Company’s Quarterly Report on Form 10-Q filed on May 3, 2018.</w:t>
      </w:r>
    </w:p>
    <w:p>
      <w:pPr>
        <w:spacing w:after="0" w:line="200" w:lineRule="exact"/>
        <w:rPr>
          <w:rFonts w:ascii="Arial" w:cs="Arial" w:eastAsia="Arial" w:hAnsi="Arial"/>
          <w:sz w:val="13"/>
          <w:szCs w:val="13"/>
          <w:u w:val="single" w:color="auto"/>
          <w:color w:val="0000FF"/>
        </w:rPr>
      </w:pPr>
    </w:p>
    <w:p>
      <w:pPr>
        <w:spacing w:after="0" w:line="202" w:lineRule="exact"/>
        <w:rPr>
          <w:rFonts w:ascii="Arial" w:cs="Arial" w:eastAsia="Arial" w:hAnsi="Arial"/>
          <w:sz w:val="13"/>
          <w:szCs w:val="13"/>
          <w:u w:val="single" w:color="auto"/>
          <w:color w:val="0000FF"/>
        </w:rPr>
      </w:pPr>
    </w:p>
    <w:p>
      <w:pPr>
        <w:ind w:right="100"/>
        <w:spacing w:after="0" w:line="231" w:lineRule="auto"/>
        <w:rPr>
          <w:sz w:val="20"/>
          <w:szCs w:val="20"/>
          <w:color w:val="auto"/>
        </w:rPr>
      </w:pPr>
      <w:r>
        <w:rPr>
          <w:rFonts w:ascii="Arial" w:cs="Arial" w:eastAsia="Arial" w:hAnsi="Arial"/>
          <w:sz w:val="13"/>
          <w:szCs w:val="13"/>
          <w:color w:val="auto"/>
        </w:rPr>
        <w:t>Incorporated herein by reference to Exhibit 10.1 to the Company’s Current Report on Form 8-K filed on December 6, 2018.</w:t>
      </w:r>
    </w:p>
    <w:p>
      <w:pPr>
        <w:spacing w:after="0" w:line="137" w:lineRule="exact"/>
        <w:rPr>
          <w:rFonts w:ascii="Arial" w:cs="Arial" w:eastAsia="Arial" w:hAnsi="Arial"/>
          <w:sz w:val="13"/>
          <w:szCs w:val="13"/>
          <w:u w:val="single" w:color="auto"/>
          <w:color w:val="0000FF"/>
        </w:rPr>
      </w:pPr>
    </w:p>
    <w:p>
      <w:pPr>
        <w:ind w:right="100"/>
        <w:spacing w:after="0" w:line="231" w:lineRule="auto"/>
        <w:rPr>
          <w:sz w:val="20"/>
          <w:szCs w:val="20"/>
          <w:color w:val="auto"/>
        </w:rPr>
      </w:pPr>
      <w:r>
        <w:rPr>
          <w:rFonts w:ascii="Arial" w:cs="Arial" w:eastAsia="Arial" w:hAnsi="Arial"/>
          <w:sz w:val="13"/>
          <w:szCs w:val="13"/>
          <w:color w:val="auto"/>
        </w:rPr>
        <w:t>Incorporated herein by reference to Exhibit 10.1 to the Company’s Current Report on Form 8-K filed on December 23, 2019.</w:t>
      </w:r>
    </w:p>
    <w:p>
      <w:pPr>
        <w:spacing w:after="0" w:line="137" w:lineRule="exact"/>
        <w:rPr>
          <w:rFonts w:ascii="Arial" w:cs="Arial" w:eastAsia="Arial" w:hAnsi="Arial"/>
          <w:sz w:val="13"/>
          <w:szCs w:val="13"/>
          <w:u w:val="single" w:color="auto"/>
          <w:color w:val="0000FF"/>
        </w:rPr>
      </w:pPr>
    </w:p>
    <w:p>
      <w:pPr>
        <w:ind w:right="100"/>
        <w:spacing w:after="0" w:line="231" w:lineRule="auto"/>
        <w:rPr>
          <w:sz w:val="20"/>
          <w:szCs w:val="20"/>
          <w:color w:val="auto"/>
        </w:rPr>
      </w:pPr>
      <w:r>
        <w:rPr>
          <w:rFonts w:ascii="Arial" w:cs="Arial" w:eastAsia="Arial" w:hAnsi="Arial"/>
          <w:sz w:val="13"/>
          <w:szCs w:val="13"/>
          <w:color w:val="auto"/>
        </w:rPr>
        <w:t>Incorporated herein by reference to Exhibit 10.1 to the Company’s Current Report on Form 8-K filed on December 1, 2021.</w:t>
      </w:r>
    </w:p>
    <w:p>
      <w:pPr>
        <w:spacing w:after="0" w:line="137" w:lineRule="exact"/>
        <w:rPr>
          <w:rFonts w:ascii="Arial" w:cs="Arial" w:eastAsia="Arial" w:hAnsi="Arial"/>
          <w:sz w:val="13"/>
          <w:szCs w:val="13"/>
          <w:u w:val="single" w:color="auto"/>
          <w:color w:val="0000FF"/>
        </w:rPr>
      </w:pPr>
    </w:p>
    <w:p>
      <w:pPr>
        <w:ind w:right="100"/>
        <w:spacing w:after="0" w:line="231" w:lineRule="auto"/>
        <w:rPr>
          <w:sz w:val="20"/>
          <w:szCs w:val="20"/>
          <w:color w:val="auto"/>
        </w:rPr>
      </w:pPr>
      <w:r>
        <w:rPr>
          <w:rFonts w:ascii="Arial" w:cs="Arial" w:eastAsia="Arial" w:hAnsi="Arial"/>
          <w:sz w:val="13"/>
          <w:szCs w:val="13"/>
          <w:color w:val="auto"/>
        </w:rPr>
        <w:t>Incorporated herein by reference to Exhibit 10.1 to the Company’s Current Report on Form 8-K filed on August 19, 2022.</w:t>
      </w:r>
    </w:p>
    <w:p>
      <w:pPr>
        <w:spacing w:after="0" w:line="137" w:lineRule="exact"/>
        <w:rPr>
          <w:rFonts w:ascii="Arial" w:cs="Arial" w:eastAsia="Arial" w:hAnsi="Arial"/>
          <w:sz w:val="13"/>
          <w:szCs w:val="13"/>
          <w:u w:val="single" w:color="auto"/>
          <w:color w:val="0000FF"/>
        </w:rPr>
      </w:pPr>
    </w:p>
    <w:p>
      <w:pPr>
        <w:ind w:right="460"/>
        <w:spacing w:after="0" w:line="262" w:lineRule="auto"/>
        <w:rPr>
          <w:sz w:val="20"/>
          <w:szCs w:val="20"/>
          <w:color w:val="auto"/>
        </w:rPr>
      </w:pPr>
      <w:r>
        <w:rPr>
          <w:rFonts w:ascii="Arial" w:cs="Arial" w:eastAsia="Arial" w:hAnsi="Arial"/>
          <w:sz w:val="12"/>
          <w:szCs w:val="12"/>
          <w:color w:val="auto"/>
        </w:rPr>
        <w:t>Incorporated herein by reference to Exhibit 10.1 to Clearway Energy, Inc.’s Quarterly Report on Form 10-Q filed on August 4, 2015.</w:t>
      </w:r>
    </w:p>
    <w:p>
      <w:pPr>
        <w:spacing w:after="0" w:line="134" w:lineRule="exact"/>
        <w:rPr>
          <w:rFonts w:ascii="Arial" w:cs="Arial" w:eastAsia="Arial" w:hAnsi="Arial"/>
          <w:sz w:val="13"/>
          <w:szCs w:val="13"/>
          <w:u w:val="single" w:color="auto"/>
          <w:color w:val="0000FF"/>
        </w:rPr>
      </w:pPr>
    </w:p>
    <w:p>
      <w:pPr>
        <w:ind w:right="460"/>
        <w:spacing w:after="0" w:line="262" w:lineRule="auto"/>
        <w:rPr>
          <w:sz w:val="20"/>
          <w:szCs w:val="20"/>
          <w:color w:val="auto"/>
        </w:rPr>
      </w:pPr>
      <w:r>
        <w:rPr>
          <w:rFonts w:ascii="Arial" w:cs="Arial" w:eastAsia="Arial" w:hAnsi="Arial"/>
          <w:sz w:val="12"/>
          <w:szCs w:val="12"/>
          <w:color w:val="auto"/>
        </w:rPr>
        <w:t>Incorporated herein by reference to Exhibit 10.2 to Clearway Energy, Inc.’s Quarterly Report on Form 10-Q filed on August 4, 2015.</w:t>
      </w:r>
    </w:p>
    <w:p>
      <w:pPr>
        <w:spacing w:after="0" w:line="134" w:lineRule="exact"/>
        <w:rPr>
          <w:rFonts w:ascii="Arial" w:cs="Arial" w:eastAsia="Arial" w:hAnsi="Arial"/>
          <w:sz w:val="13"/>
          <w:szCs w:val="13"/>
          <w:u w:val="single" w:color="auto"/>
          <w:color w:val="0000FF"/>
        </w:rPr>
      </w:pPr>
    </w:p>
    <w:p>
      <w:pPr>
        <w:ind w:right="460"/>
        <w:spacing w:after="0" w:line="262" w:lineRule="auto"/>
        <w:rPr>
          <w:sz w:val="20"/>
          <w:szCs w:val="20"/>
          <w:color w:val="auto"/>
        </w:rPr>
      </w:pPr>
      <w:r>
        <w:rPr>
          <w:rFonts w:ascii="Arial" w:cs="Arial" w:eastAsia="Arial" w:hAnsi="Arial"/>
          <w:sz w:val="12"/>
          <w:szCs w:val="12"/>
          <w:color w:val="auto"/>
        </w:rPr>
        <w:t>Incorporated herein by reference to Exhibit 10.1 to Clearway Energy, Inc.’s Quarterly Report on Form 10-Q filed on May 5, 2016.</w:t>
      </w:r>
    </w:p>
    <w:p>
      <w:pPr>
        <w:spacing w:after="0" w:line="123" w:lineRule="exact"/>
        <w:rPr>
          <w:rFonts w:ascii="Arial" w:cs="Arial" w:eastAsia="Arial" w:hAnsi="Arial"/>
          <w:sz w:val="13"/>
          <w:szCs w:val="13"/>
          <w:u w:val="single" w:color="auto"/>
          <w:color w:val="0000FF"/>
        </w:rPr>
      </w:pPr>
    </w:p>
    <w:p>
      <w:pPr>
        <w:ind w:right="460"/>
        <w:spacing w:after="0" w:line="262" w:lineRule="auto"/>
        <w:rPr>
          <w:sz w:val="20"/>
          <w:szCs w:val="20"/>
          <w:color w:val="auto"/>
        </w:rPr>
      </w:pPr>
      <w:r>
        <w:rPr>
          <w:rFonts w:ascii="Arial" w:cs="Arial" w:eastAsia="Arial" w:hAnsi="Arial"/>
          <w:sz w:val="12"/>
          <w:szCs w:val="12"/>
          <w:color w:val="auto"/>
        </w:rPr>
        <w:t>Incorporated herein by reference to Exhibit 10.2 to Clearway Energy, Inc.’s Quarterly Report on Form 10-Q filed on May 5, 2016.</w:t>
      </w:r>
    </w:p>
    <w:p>
      <w:pPr>
        <w:spacing w:after="0" w:line="260" w:lineRule="exact"/>
        <w:rPr>
          <w:rFonts w:ascii="Arial" w:cs="Arial" w:eastAsia="Arial" w:hAnsi="Arial"/>
          <w:sz w:val="13"/>
          <w:szCs w:val="13"/>
          <w:u w:val="single" w:color="auto"/>
          <w:color w:val="0000FF"/>
        </w:rPr>
      </w:pPr>
    </w:p>
    <w:p>
      <w:pPr>
        <w:sectPr>
          <w:pgSz w:w="11900" w:h="16838" w:orient="portrait"/>
          <w:cols w:equalWidth="0" w:num="3">
            <w:col w:w="340" w:space="660"/>
            <w:col w:w="5760" w:space="140"/>
            <w:col w:w="4300"/>
          </w:cols>
          <w:pgMar w:left="340" w:top="769" w:right="359" w:bottom="1440" w:gutter="0" w:footer="0" w:header="0"/>
        </w:sectPr>
      </w:pPr>
    </w:p>
    <w:p>
      <w:pPr>
        <w:spacing w:after="0"/>
        <w:rPr>
          <w:sz w:val="20"/>
          <w:szCs w:val="20"/>
          <w:color w:val="auto"/>
        </w:rPr>
      </w:pPr>
      <w:r>
        <w:rPr>
          <w:rFonts w:ascii="Arial" w:cs="Arial" w:eastAsia="Arial" w:hAnsi="Arial"/>
          <w:sz w:val="11"/>
          <w:szCs w:val="11"/>
          <w:color w:val="auto"/>
        </w:rPr>
        <w:t>10.11^</w:t>
      </w:r>
    </w:p>
    <w:p>
      <w:pPr>
        <w:spacing w:after="0" w:line="200" w:lineRule="exact"/>
        <w:rPr>
          <w:rFonts w:ascii="Arial" w:cs="Arial" w:eastAsia="Arial" w:hAnsi="Arial"/>
          <w:sz w:val="13"/>
          <w:szCs w:val="13"/>
          <w:u w:val="single" w:color="auto"/>
          <w:color w:val="0000FF"/>
        </w:rPr>
      </w:pPr>
    </w:p>
    <w:p>
      <w:pPr>
        <w:spacing w:after="0" w:line="236" w:lineRule="exact"/>
        <w:rPr>
          <w:rFonts w:ascii="Arial" w:cs="Arial" w:eastAsia="Arial" w:hAnsi="Arial"/>
          <w:sz w:val="13"/>
          <w:szCs w:val="13"/>
          <w:u w:val="single" w:color="auto"/>
          <w:color w:val="0000FF"/>
        </w:rPr>
      </w:pPr>
    </w:p>
    <w:p>
      <w:pPr>
        <w:spacing w:after="0"/>
        <w:rPr>
          <w:sz w:val="20"/>
          <w:szCs w:val="20"/>
          <w:color w:val="auto"/>
        </w:rPr>
      </w:pPr>
      <w:r>
        <w:rPr>
          <w:rFonts w:ascii="Arial" w:cs="Arial" w:eastAsia="Arial" w:hAnsi="Arial"/>
          <w:sz w:val="13"/>
          <w:szCs w:val="13"/>
          <w:color w:val="auto"/>
        </w:rPr>
        <w:t>10.12</w:t>
      </w:r>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br w:type="column"/>
      </w:r>
    </w:p>
    <w:p>
      <w:pPr>
        <w:spacing w:after="0" w:line="54" w:lineRule="exact"/>
        <w:rPr>
          <w:rFonts w:ascii="Arial" w:cs="Arial" w:eastAsia="Arial" w:hAnsi="Arial"/>
          <w:sz w:val="13"/>
          <w:szCs w:val="13"/>
          <w:u w:val="single" w:color="auto"/>
          <w:color w:val="0000FF"/>
        </w:rPr>
      </w:pPr>
    </w:p>
    <w:p>
      <w:pPr>
        <w:ind w:right="80"/>
        <w:spacing w:after="0" w:line="222" w:lineRule="auto"/>
        <w:rPr>
          <w:rFonts w:ascii="Arial" w:cs="Arial" w:eastAsia="Arial" w:hAnsi="Arial"/>
          <w:sz w:val="13"/>
          <w:szCs w:val="13"/>
          <w:u w:val="single" w:color="auto"/>
          <w:color w:val="0000FF"/>
        </w:rPr>
      </w:pPr>
      <w:hyperlink r:id="rId233">
        <w:r>
          <w:rPr>
            <w:rFonts w:ascii="Arial" w:cs="Arial" w:eastAsia="Arial" w:hAnsi="Arial"/>
            <w:sz w:val="13"/>
            <w:szCs w:val="13"/>
            <w:u w:val="single" w:color="auto"/>
            <w:color w:val="0000FF"/>
          </w:rPr>
          <w:t>Amended and Restated Limited Liability Company Agreement of NRG DGPV Holdco 2 LLC, dated as of</w:t>
        </w:r>
      </w:hyperlink>
      <w:r>
        <w:rPr>
          <w:rFonts w:ascii="Arial" w:cs="Arial" w:eastAsia="Arial" w:hAnsi="Arial"/>
          <w:sz w:val="13"/>
          <w:szCs w:val="13"/>
          <w:u w:val="single" w:color="auto"/>
          <w:color w:val="0000FF"/>
        </w:rPr>
        <w:t xml:space="preserve"> </w:t>
      </w:r>
      <w:hyperlink r:id="rId233">
        <w:r>
          <w:rPr>
            <w:rFonts w:ascii="Arial" w:cs="Arial" w:eastAsia="Arial" w:hAnsi="Arial"/>
            <w:sz w:val="13"/>
            <w:szCs w:val="13"/>
            <w:u w:val="single" w:color="auto"/>
            <w:color w:val="0000FF"/>
          </w:rPr>
          <w:t>March 1, 2016, by and among NRG Yield DGPV Holding LLC, NRG Renew DG Holdings LLC, and NRG</w:t>
        </w:r>
      </w:hyperlink>
      <w:r>
        <w:rPr>
          <w:rFonts w:ascii="Arial" w:cs="Arial" w:eastAsia="Arial" w:hAnsi="Arial"/>
          <w:sz w:val="13"/>
          <w:szCs w:val="13"/>
          <w:u w:val="single" w:color="auto"/>
          <w:color w:val="0000FF"/>
        </w:rPr>
        <w:t xml:space="preserve"> </w:t>
      </w:r>
      <w:hyperlink r:id="rId233">
        <w:r>
          <w:rPr>
            <w:rFonts w:ascii="Arial" w:cs="Arial" w:eastAsia="Arial" w:hAnsi="Arial"/>
            <w:sz w:val="13"/>
            <w:szCs w:val="13"/>
            <w:u w:val="single" w:color="auto"/>
            <w:color w:val="0000FF"/>
          </w:rPr>
          <w:t>Renew LLC.</w:t>
        </w:r>
      </w:hyperlink>
    </w:p>
    <w:p>
      <w:pPr>
        <w:spacing w:after="0" w:line="147" w:lineRule="exact"/>
        <w:rPr>
          <w:rFonts w:ascii="Arial" w:cs="Arial" w:eastAsia="Arial" w:hAnsi="Arial"/>
          <w:sz w:val="13"/>
          <w:szCs w:val="13"/>
          <w:u w:val="single" w:color="auto"/>
          <w:color w:val="0000FF"/>
        </w:rPr>
      </w:pPr>
    </w:p>
    <w:p>
      <w:pPr>
        <w:jc w:val="both"/>
        <w:spacing w:after="0" w:line="222" w:lineRule="auto"/>
        <w:rPr>
          <w:rFonts w:ascii="Arial" w:cs="Arial" w:eastAsia="Arial" w:hAnsi="Arial"/>
          <w:sz w:val="13"/>
          <w:szCs w:val="13"/>
          <w:u w:val="single" w:color="auto"/>
          <w:color w:val="0000FF"/>
        </w:rPr>
      </w:pPr>
      <w:hyperlink r:id="rId234">
        <w:r>
          <w:rPr>
            <w:rFonts w:ascii="Arial" w:cs="Arial" w:eastAsia="Arial" w:hAnsi="Arial"/>
            <w:sz w:val="13"/>
            <w:szCs w:val="13"/>
            <w:u w:val="single" w:color="auto"/>
            <w:color w:val="0000FF"/>
          </w:rPr>
          <w:t>Amendment No. 2 to Amended and Restated Limited Liability Company Agreement of NRG RPV Holdco 1</w:t>
        </w:r>
      </w:hyperlink>
      <w:r>
        <w:rPr>
          <w:rFonts w:ascii="Arial" w:cs="Arial" w:eastAsia="Arial" w:hAnsi="Arial"/>
          <w:sz w:val="13"/>
          <w:szCs w:val="13"/>
          <w:u w:val="single" w:color="auto"/>
          <w:color w:val="0000FF"/>
        </w:rPr>
        <w:t xml:space="preserve"> </w:t>
      </w:r>
      <w:hyperlink r:id="rId234">
        <w:r>
          <w:rPr>
            <w:rFonts w:ascii="Arial" w:cs="Arial" w:eastAsia="Arial" w:hAnsi="Arial"/>
            <w:sz w:val="13"/>
            <w:szCs w:val="13"/>
            <w:u w:val="single" w:color="auto"/>
            <w:color w:val="0000FF"/>
          </w:rPr>
          <w:t>LLC, dated as of August 5, 2016, by and between NRG Yield RPV Holding LLC and NRG Residential Solar</w:t>
        </w:r>
      </w:hyperlink>
      <w:r>
        <w:rPr>
          <w:rFonts w:ascii="Arial" w:cs="Arial" w:eastAsia="Arial" w:hAnsi="Arial"/>
          <w:sz w:val="13"/>
          <w:szCs w:val="13"/>
          <w:u w:val="single" w:color="auto"/>
          <w:color w:val="0000FF"/>
        </w:rPr>
        <w:t xml:space="preserve"> </w:t>
      </w:r>
      <w:hyperlink r:id="rId234">
        <w:r>
          <w:rPr>
            <w:rFonts w:ascii="Arial" w:cs="Arial" w:eastAsia="Arial" w:hAnsi="Arial"/>
            <w:sz w:val="13"/>
            <w:szCs w:val="13"/>
            <w:u w:val="single" w:color="auto"/>
            <w:color w:val="0000FF"/>
          </w:rPr>
          <w:t>Solutions LLC.</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br w:type="column"/>
      </w:r>
    </w:p>
    <w:p>
      <w:pPr>
        <w:spacing w:after="0" w:line="54" w:lineRule="exact"/>
        <w:rPr>
          <w:rFonts w:ascii="Arial" w:cs="Arial" w:eastAsia="Arial" w:hAnsi="Arial"/>
          <w:sz w:val="13"/>
          <w:szCs w:val="13"/>
          <w:u w:val="single" w:color="auto"/>
          <w:color w:val="0000FF"/>
        </w:rPr>
      </w:pPr>
    </w:p>
    <w:p>
      <w:pPr>
        <w:ind w:right="460"/>
        <w:spacing w:after="0" w:line="262" w:lineRule="auto"/>
        <w:rPr>
          <w:sz w:val="20"/>
          <w:szCs w:val="20"/>
          <w:color w:val="auto"/>
        </w:rPr>
      </w:pPr>
      <w:r>
        <w:rPr>
          <w:rFonts w:ascii="Arial" w:cs="Arial" w:eastAsia="Arial" w:hAnsi="Arial"/>
          <w:sz w:val="12"/>
          <w:szCs w:val="12"/>
          <w:color w:val="auto"/>
        </w:rPr>
        <w:t>Incorporated herein by reference to Exhibit 10.3 to Clearway Energy, Inc.’s Quarterly Report on Form 10-Q filed on May 5, 2016.</w:t>
      </w:r>
    </w:p>
    <w:p>
      <w:pPr>
        <w:spacing w:after="0" w:line="187" w:lineRule="exact"/>
        <w:rPr>
          <w:rFonts w:ascii="Arial" w:cs="Arial" w:eastAsia="Arial" w:hAnsi="Arial"/>
          <w:sz w:val="13"/>
          <w:szCs w:val="13"/>
          <w:u w:val="single" w:color="auto"/>
          <w:color w:val="0000FF"/>
        </w:rPr>
      </w:pPr>
    </w:p>
    <w:p>
      <w:pPr>
        <w:ind w:right="460"/>
        <w:spacing w:after="0" w:line="262" w:lineRule="auto"/>
        <w:rPr>
          <w:sz w:val="20"/>
          <w:szCs w:val="20"/>
          <w:color w:val="auto"/>
        </w:rPr>
      </w:pPr>
      <w:r>
        <w:rPr>
          <w:rFonts w:ascii="Arial" w:cs="Arial" w:eastAsia="Arial" w:hAnsi="Arial"/>
          <w:sz w:val="12"/>
          <w:szCs w:val="12"/>
          <w:color w:val="auto"/>
        </w:rPr>
        <w:t>Incorporated herein by reference to Exhibit 10.1 to Clearway Energy, Inc.’s Quarterly Report on Form 10-Q, filed on August 9, 2016.</w:t>
      </w:r>
    </w:p>
    <w:p>
      <w:pPr>
        <w:spacing w:after="0" w:line="260" w:lineRule="exact"/>
        <w:rPr>
          <w:rFonts w:ascii="Arial" w:cs="Arial" w:eastAsia="Arial" w:hAnsi="Arial"/>
          <w:sz w:val="13"/>
          <w:szCs w:val="13"/>
          <w:u w:val="single" w:color="auto"/>
          <w:color w:val="0000FF"/>
        </w:rPr>
      </w:pPr>
    </w:p>
    <w:p>
      <w:pPr>
        <w:sectPr>
          <w:pgSz w:w="11900" w:h="16838" w:orient="portrait"/>
          <w:cols w:equalWidth="0" w:num="3">
            <w:col w:w="340" w:space="660"/>
            <w:col w:w="5580" w:space="320"/>
            <w:col w:w="4300"/>
          </w:cols>
          <w:pgMar w:left="340" w:top="769" w:right="359" w:bottom="1440" w:gutter="0" w:footer="0" w:header="0"/>
          <w:type w:val="continuous"/>
        </w:sectPr>
      </w:pPr>
    </w:p>
    <w:p>
      <w:pPr>
        <w:spacing w:after="0"/>
        <w:rPr>
          <w:sz w:val="20"/>
          <w:szCs w:val="20"/>
          <w:color w:val="auto"/>
        </w:rPr>
      </w:pPr>
      <w:r>
        <w:rPr>
          <w:rFonts w:ascii="Arial" w:cs="Arial" w:eastAsia="Arial" w:hAnsi="Arial"/>
          <w:sz w:val="13"/>
          <w:szCs w:val="13"/>
          <w:color w:val="auto"/>
        </w:rPr>
        <w:t>10.13</w:t>
      </w:r>
    </w:p>
    <w:p>
      <w:pPr>
        <w:spacing w:after="0" w:line="286" w:lineRule="exact"/>
        <w:rPr>
          <w:rFonts w:ascii="Arial" w:cs="Arial" w:eastAsia="Arial" w:hAnsi="Arial"/>
          <w:sz w:val="13"/>
          <w:szCs w:val="13"/>
          <w:u w:val="single" w:color="auto"/>
          <w:color w:val="0000FF"/>
        </w:rPr>
      </w:pPr>
    </w:p>
    <w:p>
      <w:pPr>
        <w:spacing w:after="0"/>
        <w:rPr>
          <w:sz w:val="20"/>
          <w:szCs w:val="20"/>
          <w:color w:val="auto"/>
        </w:rPr>
      </w:pPr>
      <w:r>
        <w:rPr>
          <w:rFonts w:ascii="Arial" w:cs="Arial" w:eastAsia="Arial" w:hAnsi="Arial"/>
          <w:sz w:val="13"/>
          <w:szCs w:val="13"/>
          <w:color w:val="auto"/>
        </w:rPr>
        <w:t>10.14</w:t>
      </w:r>
    </w:p>
    <w:p>
      <w:pPr>
        <w:spacing w:after="0" w:line="275" w:lineRule="exact"/>
        <w:rPr>
          <w:rFonts w:ascii="Arial" w:cs="Arial" w:eastAsia="Arial" w:hAnsi="Arial"/>
          <w:sz w:val="13"/>
          <w:szCs w:val="13"/>
          <w:u w:val="single" w:color="auto"/>
          <w:color w:val="0000FF"/>
        </w:rPr>
      </w:pPr>
    </w:p>
    <w:p>
      <w:pPr>
        <w:spacing w:after="0"/>
        <w:rPr>
          <w:sz w:val="20"/>
          <w:szCs w:val="20"/>
          <w:color w:val="auto"/>
        </w:rPr>
      </w:pPr>
      <w:r>
        <w:rPr>
          <w:rFonts w:ascii="Arial" w:cs="Arial" w:eastAsia="Arial" w:hAnsi="Arial"/>
          <w:sz w:val="11"/>
          <w:szCs w:val="11"/>
          <w:color w:val="auto"/>
        </w:rPr>
        <w:t>10.15†</w:t>
      </w:r>
    </w:p>
    <w:p>
      <w:pPr>
        <w:spacing w:after="0" w:line="171" w:lineRule="exact"/>
        <w:rPr>
          <w:rFonts w:ascii="Arial" w:cs="Arial" w:eastAsia="Arial" w:hAnsi="Arial"/>
          <w:sz w:val="13"/>
          <w:szCs w:val="13"/>
          <w:u w:val="single" w:color="auto"/>
          <w:color w:val="0000FF"/>
        </w:rPr>
      </w:pPr>
    </w:p>
    <w:p>
      <w:pPr>
        <w:spacing w:after="0"/>
        <w:rPr>
          <w:sz w:val="20"/>
          <w:szCs w:val="20"/>
          <w:color w:val="auto"/>
        </w:rPr>
      </w:pPr>
      <w:r>
        <w:rPr>
          <w:rFonts w:ascii="Arial" w:cs="Arial" w:eastAsia="Arial" w:hAnsi="Arial"/>
          <w:sz w:val="11"/>
          <w:szCs w:val="11"/>
          <w:color w:val="auto"/>
        </w:rPr>
        <w:t>10.16†</w:t>
      </w:r>
    </w:p>
    <w:p>
      <w:pPr>
        <w:spacing w:after="0" w:line="202" w:lineRule="exact"/>
        <w:rPr>
          <w:rFonts w:ascii="Arial" w:cs="Arial" w:eastAsia="Arial" w:hAnsi="Arial"/>
          <w:sz w:val="13"/>
          <w:szCs w:val="13"/>
          <w:u w:val="single" w:color="auto"/>
          <w:color w:val="0000FF"/>
        </w:rPr>
      </w:pPr>
    </w:p>
    <w:p>
      <w:pPr>
        <w:spacing w:after="0"/>
        <w:rPr>
          <w:sz w:val="20"/>
          <w:szCs w:val="20"/>
          <w:color w:val="auto"/>
        </w:rPr>
      </w:pPr>
      <w:r>
        <w:rPr>
          <w:rFonts w:ascii="Arial" w:cs="Arial" w:eastAsia="Arial" w:hAnsi="Arial"/>
          <w:sz w:val="11"/>
          <w:szCs w:val="11"/>
          <w:color w:val="auto"/>
        </w:rPr>
        <w:t>10.17†</w:t>
      </w:r>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br w:type="column"/>
      </w:r>
    </w:p>
    <w:p>
      <w:pPr>
        <w:spacing w:after="0" w:line="39" w:lineRule="exact"/>
        <w:rPr>
          <w:rFonts w:ascii="Arial" w:cs="Arial" w:eastAsia="Arial" w:hAnsi="Arial"/>
          <w:sz w:val="13"/>
          <w:szCs w:val="13"/>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49"/>
        </w:trPr>
        <w:tc>
          <w:tcPr>
            <w:tcW w:w="5820" w:type="dxa"/>
            <w:vAlign w:val="bottom"/>
            <w:gridSpan w:val="9"/>
          </w:tcPr>
          <w:p>
            <w:pPr>
              <w:spacing w:after="0"/>
              <w:rPr>
                <w:rFonts w:ascii="Arial" w:cs="Arial" w:eastAsia="Arial" w:hAnsi="Arial"/>
                <w:sz w:val="13"/>
                <w:szCs w:val="13"/>
                <w:color w:val="0000FF"/>
                <w:w w:val="90"/>
              </w:rPr>
            </w:pPr>
            <w:hyperlink r:id="rId235">
              <w:r>
                <w:rPr>
                  <w:rFonts w:ascii="Arial" w:cs="Arial" w:eastAsia="Arial" w:hAnsi="Arial"/>
                  <w:sz w:val="13"/>
                  <w:szCs w:val="13"/>
                  <w:color w:val="0000FF"/>
                  <w:w w:val="90"/>
                </w:rPr>
                <w:t>Assignment and Assumption Agreement, effective as of February 26, 2019, among Clearway Energy Operating</w:t>
              </w:r>
            </w:hyperlink>
          </w:p>
        </w:tc>
        <w:tc>
          <w:tcPr>
            <w:tcW w:w="4340" w:type="dxa"/>
            <w:vAlign w:val="bottom"/>
          </w:tcPr>
          <w:p>
            <w:pPr>
              <w:ind w:left="80"/>
              <w:spacing w:after="0"/>
              <w:rPr>
                <w:sz w:val="20"/>
                <w:szCs w:val="20"/>
                <w:color w:val="auto"/>
              </w:rPr>
            </w:pPr>
            <w:r>
              <w:rPr>
                <w:rFonts w:ascii="Arial" w:cs="Arial" w:eastAsia="Arial" w:hAnsi="Arial"/>
                <w:sz w:val="13"/>
                <w:szCs w:val="13"/>
                <w:color w:val="auto"/>
                <w:w w:val="89"/>
              </w:rPr>
              <w:t>Incorporated herein by reference to Exhibit 10.30 to the Company’s Annual Report</w:t>
            </w:r>
          </w:p>
        </w:tc>
      </w:tr>
      <w:tr>
        <w:trPr>
          <w:trHeight w:val="107"/>
        </w:trPr>
        <w:tc>
          <w:tcPr>
            <w:tcW w:w="2580" w:type="dxa"/>
            <w:vAlign w:val="bottom"/>
            <w:tcBorders>
              <w:top w:val="single" w:sz="8" w:color="0000FF"/>
              <w:bottom w:val="single" w:sz="8" w:color="0000FF"/>
            </w:tcBorders>
            <w:gridSpan w:val="2"/>
          </w:tcPr>
          <w:p>
            <w:pPr>
              <w:spacing w:after="0" w:line="107" w:lineRule="exact"/>
              <w:rPr>
                <w:rFonts w:ascii="Arial" w:cs="Arial" w:eastAsia="Arial" w:hAnsi="Arial"/>
                <w:sz w:val="12"/>
                <w:szCs w:val="12"/>
                <w:color w:val="0000FF"/>
                <w:w w:val="99"/>
              </w:rPr>
            </w:pPr>
            <w:hyperlink r:id="rId235">
              <w:r>
                <w:rPr>
                  <w:rFonts w:ascii="Arial" w:cs="Arial" w:eastAsia="Arial" w:hAnsi="Arial"/>
                  <w:sz w:val="12"/>
                  <w:szCs w:val="12"/>
                  <w:color w:val="0000FF"/>
                  <w:w w:val="99"/>
                </w:rPr>
                <w:t>LLC and GIP III Zephyr Carlsbad Holdings, LLC.</w:t>
              </w:r>
            </w:hyperlink>
          </w:p>
        </w:tc>
        <w:tc>
          <w:tcPr>
            <w:tcW w:w="3120" w:type="dxa"/>
            <w:vAlign w:val="bottom"/>
            <w:tcBorders>
              <w:top w:val="single" w:sz="8" w:color="0000FF"/>
            </w:tcBorders>
            <w:gridSpan w:val="5"/>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340" w:type="dxa"/>
            <w:vAlign w:val="bottom"/>
          </w:tcPr>
          <w:p>
            <w:pPr>
              <w:ind w:left="80"/>
              <w:spacing w:after="0" w:line="107" w:lineRule="exact"/>
              <w:rPr>
                <w:sz w:val="20"/>
                <w:szCs w:val="20"/>
                <w:color w:val="auto"/>
              </w:rPr>
            </w:pPr>
            <w:r>
              <w:rPr>
                <w:rFonts w:ascii="Arial" w:cs="Arial" w:eastAsia="Arial" w:hAnsi="Arial"/>
                <w:sz w:val="12"/>
                <w:szCs w:val="12"/>
                <w:color w:val="auto"/>
              </w:rPr>
              <w:t>on Form 10-K filed on February 28, 2019.</w:t>
            </w:r>
          </w:p>
        </w:tc>
      </w:tr>
      <w:tr>
        <w:trPr>
          <w:trHeight w:val="213"/>
        </w:trPr>
        <w:tc>
          <w:tcPr>
            <w:tcW w:w="5820" w:type="dxa"/>
            <w:vAlign w:val="bottom"/>
            <w:gridSpan w:val="9"/>
          </w:tcPr>
          <w:p>
            <w:pPr>
              <w:spacing w:after="0"/>
              <w:rPr>
                <w:rFonts w:ascii="Arial" w:cs="Arial" w:eastAsia="Arial" w:hAnsi="Arial"/>
                <w:sz w:val="13"/>
                <w:szCs w:val="13"/>
                <w:color w:val="0000FF"/>
                <w:w w:val="89"/>
              </w:rPr>
            </w:pPr>
            <w:hyperlink r:id="rId236">
              <w:r>
                <w:rPr>
                  <w:rFonts w:ascii="Arial" w:cs="Arial" w:eastAsia="Arial" w:hAnsi="Arial"/>
                  <w:sz w:val="13"/>
                  <w:szCs w:val="13"/>
                  <w:color w:val="0000FF"/>
                  <w:w w:val="89"/>
                </w:rPr>
                <w:t>Amended and Restated Exchange Agreement, dated as of May 14, 2015, by and among NRG Energy, Inc., NRG</w:t>
              </w:r>
            </w:hyperlink>
          </w:p>
        </w:tc>
        <w:tc>
          <w:tcPr>
            <w:tcW w:w="4340" w:type="dxa"/>
            <w:vAlign w:val="bottom"/>
          </w:tcPr>
          <w:p>
            <w:pPr>
              <w:ind w:left="80"/>
              <w:spacing w:after="0"/>
              <w:rPr>
                <w:sz w:val="20"/>
                <w:szCs w:val="20"/>
                <w:color w:val="auto"/>
              </w:rPr>
            </w:pPr>
            <w:r>
              <w:rPr>
                <w:rFonts w:ascii="Arial" w:cs="Arial" w:eastAsia="Arial" w:hAnsi="Arial"/>
                <w:sz w:val="13"/>
                <w:szCs w:val="13"/>
                <w:color w:val="auto"/>
                <w:w w:val="89"/>
              </w:rPr>
              <w:t>Incorporated herein by reference to Exhibit 10.1 to Clearway Energy, Inc.’s Current</w:t>
            </w:r>
          </w:p>
        </w:tc>
      </w:tr>
      <w:tr>
        <w:trPr>
          <w:trHeight w:val="107"/>
        </w:trPr>
        <w:tc>
          <w:tcPr>
            <w:tcW w:w="5740" w:type="dxa"/>
            <w:vAlign w:val="bottom"/>
            <w:tcBorders>
              <w:top w:val="single" w:sz="8" w:color="0000FF"/>
            </w:tcBorders>
            <w:gridSpan w:val="8"/>
          </w:tcPr>
          <w:p>
            <w:pPr>
              <w:spacing w:after="0" w:line="107" w:lineRule="exact"/>
              <w:rPr>
                <w:rFonts w:ascii="Arial" w:cs="Arial" w:eastAsia="Arial" w:hAnsi="Arial"/>
                <w:sz w:val="12"/>
                <w:szCs w:val="12"/>
                <w:color w:val="0000FF"/>
              </w:rPr>
            </w:pPr>
            <w:hyperlink r:id="rId236">
              <w:r>
                <w:rPr>
                  <w:rFonts w:ascii="Arial" w:cs="Arial" w:eastAsia="Arial" w:hAnsi="Arial"/>
                  <w:sz w:val="12"/>
                  <w:szCs w:val="12"/>
                  <w:color w:val="0000FF"/>
                </w:rPr>
                <w:t>Yield, Inc., and NRG Yield LLC and, pursuant to a joinder thereto, dated as of August 31, 2018, Zephyr</w:t>
              </w:r>
            </w:hyperlink>
          </w:p>
        </w:tc>
        <w:tc>
          <w:tcPr>
            <w:tcW w:w="80" w:type="dxa"/>
            <w:vAlign w:val="bottom"/>
          </w:tcPr>
          <w:p>
            <w:pPr>
              <w:spacing w:after="0"/>
              <w:rPr>
                <w:sz w:val="9"/>
                <w:szCs w:val="9"/>
                <w:color w:val="auto"/>
              </w:rPr>
            </w:pPr>
          </w:p>
        </w:tc>
        <w:tc>
          <w:tcPr>
            <w:tcW w:w="4340" w:type="dxa"/>
            <w:vAlign w:val="bottom"/>
          </w:tcPr>
          <w:p>
            <w:pPr>
              <w:ind w:left="80"/>
              <w:spacing w:after="0" w:line="107" w:lineRule="exact"/>
              <w:rPr>
                <w:sz w:val="20"/>
                <w:szCs w:val="20"/>
                <w:color w:val="auto"/>
              </w:rPr>
            </w:pPr>
            <w:r>
              <w:rPr>
                <w:rFonts w:ascii="Arial" w:cs="Arial" w:eastAsia="Arial" w:hAnsi="Arial"/>
                <w:sz w:val="12"/>
                <w:szCs w:val="12"/>
                <w:color w:val="auto"/>
              </w:rPr>
              <w:t>Report on Form 8-K filed on May 15, 2015.</w:t>
            </w:r>
          </w:p>
        </w:tc>
      </w:tr>
      <w:tr>
        <w:trPr>
          <w:trHeight w:val="107"/>
        </w:trPr>
        <w:tc>
          <w:tcPr>
            <w:tcW w:w="5300" w:type="dxa"/>
            <w:vAlign w:val="bottom"/>
            <w:tcBorders>
              <w:top w:val="single" w:sz="8" w:color="0000FF"/>
            </w:tcBorders>
            <w:gridSpan w:val="6"/>
          </w:tcPr>
          <w:p>
            <w:pPr>
              <w:spacing w:after="0" w:line="107" w:lineRule="exact"/>
              <w:rPr>
                <w:rFonts w:ascii="Arial" w:cs="Arial" w:eastAsia="Arial" w:hAnsi="Arial"/>
                <w:sz w:val="12"/>
                <w:szCs w:val="12"/>
                <w:color w:val="0000FF"/>
              </w:rPr>
            </w:pPr>
            <w:hyperlink r:id="rId236">
              <w:r>
                <w:rPr>
                  <w:rFonts w:ascii="Arial" w:cs="Arial" w:eastAsia="Arial" w:hAnsi="Arial"/>
                  <w:sz w:val="12"/>
                  <w:szCs w:val="12"/>
                  <w:color w:val="0000FF"/>
                </w:rPr>
                <w:t>Renewables LLC.</w:t>
              </w:r>
            </w:hyperlink>
          </w:p>
        </w:tc>
        <w:tc>
          <w:tcPr>
            <w:tcW w:w="520" w:type="dxa"/>
            <w:vAlign w:val="bottom"/>
            <w:gridSpan w:val="3"/>
          </w:tcPr>
          <w:p>
            <w:pPr>
              <w:spacing w:after="0"/>
              <w:rPr>
                <w:sz w:val="9"/>
                <w:szCs w:val="9"/>
                <w:color w:val="auto"/>
              </w:rPr>
            </w:pPr>
          </w:p>
        </w:tc>
        <w:tc>
          <w:tcPr>
            <w:tcW w:w="4340" w:type="dxa"/>
            <w:vAlign w:val="bottom"/>
          </w:tcPr>
          <w:p>
            <w:pPr>
              <w:spacing w:after="0"/>
              <w:rPr>
                <w:sz w:val="9"/>
                <w:szCs w:val="9"/>
                <w:color w:val="auto"/>
              </w:rPr>
            </w:pPr>
          </w:p>
        </w:tc>
      </w:tr>
      <w:tr>
        <w:trPr>
          <w:trHeight w:val="20"/>
        </w:trPr>
        <w:tc>
          <w:tcPr>
            <w:tcW w:w="92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50"/>
        </w:trPr>
        <w:tc>
          <w:tcPr>
            <w:tcW w:w="5820" w:type="dxa"/>
            <w:vAlign w:val="bottom"/>
            <w:gridSpan w:val="9"/>
          </w:tcPr>
          <w:p>
            <w:pPr>
              <w:spacing w:after="0"/>
              <w:rPr>
                <w:rFonts w:ascii="Arial" w:cs="Arial" w:eastAsia="Arial" w:hAnsi="Arial"/>
                <w:sz w:val="13"/>
                <w:szCs w:val="13"/>
                <w:color w:val="0000FF"/>
              </w:rPr>
            </w:pPr>
            <w:hyperlink r:id="rId237">
              <w:r>
                <w:rPr>
                  <w:rFonts w:ascii="Arial" w:cs="Arial" w:eastAsia="Arial" w:hAnsi="Arial"/>
                  <w:sz w:val="13"/>
                  <w:szCs w:val="13"/>
                  <w:color w:val="0000FF"/>
                </w:rPr>
                <w:t>Clearway Energy, Inc. Involuntary Severance Plan.</w:t>
              </w:r>
            </w:hyperlink>
          </w:p>
        </w:tc>
        <w:tc>
          <w:tcPr>
            <w:tcW w:w="4340" w:type="dxa"/>
            <w:vAlign w:val="bottom"/>
          </w:tcPr>
          <w:p>
            <w:pPr>
              <w:ind w:left="80"/>
              <w:spacing w:after="0"/>
              <w:rPr>
                <w:sz w:val="20"/>
                <w:szCs w:val="20"/>
                <w:color w:val="auto"/>
              </w:rPr>
            </w:pPr>
            <w:r>
              <w:rPr>
                <w:rFonts w:ascii="Arial" w:cs="Arial" w:eastAsia="Arial" w:hAnsi="Arial"/>
                <w:sz w:val="13"/>
                <w:szCs w:val="13"/>
                <w:color w:val="auto"/>
                <w:w w:val="94"/>
              </w:rPr>
              <w:t>Incorporated herein by reference to Exhibit 10.26 to the Clearway Energy, Inc.</w:t>
            </w:r>
          </w:p>
        </w:tc>
      </w:tr>
      <w:tr>
        <w:trPr>
          <w:trHeight w:val="141"/>
        </w:trPr>
        <w:tc>
          <w:tcPr>
            <w:tcW w:w="92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340" w:type="dxa"/>
            <w:vAlign w:val="bottom"/>
          </w:tcPr>
          <w:p>
            <w:pPr>
              <w:ind w:left="80"/>
              <w:spacing w:after="0" w:line="142" w:lineRule="exact"/>
              <w:rPr>
                <w:sz w:val="20"/>
                <w:szCs w:val="20"/>
                <w:color w:val="auto"/>
              </w:rPr>
            </w:pPr>
            <w:r>
              <w:rPr>
                <w:rFonts w:ascii="Arial" w:cs="Arial" w:eastAsia="Arial" w:hAnsi="Arial"/>
                <w:sz w:val="13"/>
                <w:szCs w:val="13"/>
                <w:color w:val="auto"/>
              </w:rPr>
              <w:t>Annual Report on Form 10-K filed on March 2, 2020.</w:t>
            </w:r>
          </w:p>
        </w:tc>
      </w:tr>
      <w:tr>
        <w:trPr>
          <w:trHeight w:val="136"/>
        </w:trPr>
        <w:tc>
          <w:tcPr>
            <w:tcW w:w="5820" w:type="dxa"/>
            <w:vAlign w:val="bottom"/>
            <w:gridSpan w:val="9"/>
          </w:tcPr>
          <w:p>
            <w:pPr>
              <w:spacing w:after="0" w:line="136" w:lineRule="exact"/>
              <w:rPr>
                <w:rFonts w:ascii="Arial" w:cs="Arial" w:eastAsia="Arial" w:hAnsi="Arial"/>
                <w:sz w:val="13"/>
                <w:szCs w:val="13"/>
                <w:color w:val="0000FF"/>
              </w:rPr>
            </w:pPr>
            <w:hyperlink r:id="rId238">
              <w:r>
                <w:rPr>
                  <w:rFonts w:ascii="Arial" w:cs="Arial" w:eastAsia="Arial" w:hAnsi="Arial"/>
                  <w:sz w:val="13"/>
                  <w:szCs w:val="13"/>
                  <w:color w:val="0000FF"/>
                </w:rPr>
                <w:t>Clearway Energy, Inc. Executive Change-in-Control and General Severance Plan.</w:t>
              </w:r>
            </w:hyperlink>
          </w:p>
        </w:tc>
        <w:tc>
          <w:tcPr>
            <w:tcW w:w="4340" w:type="dxa"/>
            <w:vAlign w:val="bottom"/>
          </w:tcPr>
          <w:p>
            <w:pPr>
              <w:ind w:left="80"/>
              <w:spacing w:after="0" w:line="136" w:lineRule="exact"/>
              <w:rPr>
                <w:sz w:val="20"/>
                <w:szCs w:val="20"/>
                <w:color w:val="auto"/>
              </w:rPr>
            </w:pPr>
            <w:r>
              <w:rPr>
                <w:rFonts w:ascii="Arial" w:cs="Arial" w:eastAsia="Arial" w:hAnsi="Arial"/>
                <w:sz w:val="13"/>
                <w:szCs w:val="13"/>
                <w:color w:val="auto"/>
                <w:w w:val="93"/>
              </w:rPr>
              <w:t>Incorporated by reference to Exhibit 10.19 to the Company’s Annual Report on</w:t>
            </w:r>
          </w:p>
        </w:tc>
      </w:tr>
      <w:tr>
        <w:trPr>
          <w:trHeight w:val="145"/>
        </w:trPr>
        <w:tc>
          <w:tcPr>
            <w:tcW w:w="92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340" w:type="dxa"/>
            <w:vAlign w:val="bottom"/>
          </w:tcPr>
          <w:p>
            <w:pPr>
              <w:ind w:left="80"/>
              <w:spacing w:after="0" w:line="146" w:lineRule="exact"/>
              <w:rPr>
                <w:sz w:val="20"/>
                <w:szCs w:val="20"/>
                <w:color w:val="auto"/>
              </w:rPr>
            </w:pPr>
            <w:r>
              <w:rPr>
                <w:rFonts w:ascii="Arial" w:cs="Arial" w:eastAsia="Arial" w:hAnsi="Arial"/>
                <w:sz w:val="13"/>
                <w:szCs w:val="13"/>
                <w:color w:val="auto"/>
              </w:rPr>
              <w:t>Form 10-K, filed on March 1, 2021.</w:t>
            </w:r>
          </w:p>
        </w:tc>
      </w:tr>
      <w:tr>
        <w:trPr>
          <w:trHeight w:val="164"/>
        </w:trPr>
        <w:tc>
          <w:tcPr>
            <w:tcW w:w="5820" w:type="dxa"/>
            <w:vAlign w:val="bottom"/>
            <w:gridSpan w:val="9"/>
          </w:tcPr>
          <w:p>
            <w:pPr>
              <w:spacing w:after="0"/>
              <w:rPr>
                <w:rFonts w:ascii="Arial" w:cs="Arial" w:eastAsia="Arial" w:hAnsi="Arial"/>
                <w:sz w:val="13"/>
                <w:szCs w:val="13"/>
                <w:color w:val="0000FF"/>
              </w:rPr>
            </w:pPr>
            <w:hyperlink r:id="rId239">
              <w:r>
                <w:rPr>
                  <w:rFonts w:ascii="Arial" w:cs="Arial" w:eastAsia="Arial" w:hAnsi="Arial"/>
                  <w:sz w:val="13"/>
                  <w:szCs w:val="13"/>
                  <w:color w:val="0000FF"/>
                </w:rPr>
                <w:t>Clearway Energy, Inc. Key Management Change-in-Control and General Severance Plan.</w:t>
              </w:r>
            </w:hyperlink>
          </w:p>
        </w:tc>
        <w:tc>
          <w:tcPr>
            <w:tcW w:w="4340" w:type="dxa"/>
            <w:vAlign w:val="bottom"/>
          </w:tcPr>
          <w:p>
            <w:pPr>
              <w:ind w:left="80"/>
              <w:spacing w:after="0"/>
              <w:rPr>
                <w:sz w:val="20"/>
                <w:szCs w:val="20"/>
                <w:color w:val="auto"/>
              </w:rPr>
            </w:pPr>
            <w:r>
              <w:rPr>
                <w:rFonts w:ascii="Arial" w:cs="Arial" w:eastAsia="Arial" w:hAnsi="Arial"/>
                <w:sz w:val="13"/>
                <w:szCs w:val="13"/>
                <w:color w:val="auto"/>
                <w:w w:val="93"/>
              </w:rPr>
              <w:t>Incorporated by reference to Exhibit 10.20 to the Company’s Annual Report on</w:t>
            </w:r>
          </w:p>
        </w:tc>
      </w:tr>
      <w:tr>
        <w:trPr>
          <w:trHeight w:val="145"/>
        </w:trPr>
        <w:tc>
          <w:tcPr>
            <w:tcW w:w="92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5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340" w:type="dxa"/>
            <w:vAlign w:val="bottom"/>
          </w:tcPr>
          <w:p>
            <w:pPr>
              <w:ind w:left="80"/>
              <w:spacing w:after="0" w:line="146" w:lineRule="exact"/>
              <w:rPr>
                <w:sz w:val="20"/>
                <w:szCs w:val="20"/>
                <w:color w:val="auto"/>
              </w:rPr>
            </w:pPr>
            <w:r>
              <w:rPr>
                <w:rFonts w:ascii="Arial" w:cs="Arial" w:eastAsia="Arial" w:hAnsi="Arial"/>
                <w:sz w:val="13"/>
                <w:szCs w:val="13"/>
                <w:color w:val="auto"/>
              </w:rPr>
              <w:t>Form 10-K, filed on March 1, 2021.</w:t>
            </w:r>
          </w:p>
        </w:tc>
      </w:tr>
    </w:tbl>
    <w:p>
      <w:pPr>
        <w:spacing w:after="0" w:line="200" w:lineRule="exact"/>
        <w:rPr>
          <w:sz w:val="20"/>
          <w:szCs w:val="20"/>
          <w:color w:val="auto"/>
        </w:rPr>
      </w:pPr>
    </w:p>
    <w:p>
      <w:pPr>
        <w:spacing w:after="0" w:line="367" w:lineRule="exact"/>
        <w:rPr>
          <w:sz w:val="20"/>
          <w:szCs w:val="20"/>
          <w:color w:val="auto"/>
        </w:rPr>
      </w:pPr>
    </w:p>
    <w:p>
      <w:pPr>
        <w:jc w:val="center"/>
        <w:ind w:right="1000"/>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53340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360" w:space="640"/>
            <w:col w:w="10200"/>
          </w:cols>
          <w:pgMar w:left="340" w:top="769" w:right="35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20"/>
                <w:szCs w:val="20"/>
                <w:color w:val="auto"/>
              </w:rPr>
            </w:pPr>
            <w:r>
              <w:rPr>
                <w:rFonts w:ascii="Arial" w:cs="Arial" w:eastAsia="Arial" w:hAnsi="Arial"/>
                <w:sz w:val="13"/>
                <w:szCs w:val="13"/>
                <w:color w:val="auto"/>
              </w:rPr>
              <w:t>10.18*^</w:t>
            </w:r>
          </w:p>
        </w:tc>
        <w:tc>
          <w:tcPr>
            <w:tcW w:w="5800" w:type="dxa"/>
            <w:vAlign w:val="bottom"/>
            <w:gridSpan w:val="31"/>
          </w:tcPr>
          <w:p>
            <w:pPr>
              <w:spacing w:after="0"/>
              <w:rPr>
                <w:rFonts w:ascii="Arial" w:cs="Arial" w:eastAsia="Arial" w:hAnsi="Arial"/>
                <w:sz w:val="13"/>
                <w:szCs w:val="13"/>
                <w:color w:val="0000FF"/>
                <w:w w:val="89"/>
              </w:rPr>
            </w:pPr>
            <w:hyperlink r:id="rId241">
              <w:r>
                <w:rPr>
                  <w:rFonts w:ascii="Arial" w:cs="Arial" w:eastAsia="Arial" w:hAnsi="Arial"/>
                  <w:sz w:val="13"/>
                  <w:szCs w:val="13"/>
                  <w:color w:val="0000FF"/>
                  <w:w w:val="89"/>
                </w:rPr>
                <w:t>Purchase and Sale Agreement, dated as of April 17, 2020, by and between Clearway Energy Operating LLC and</w:t>
              </w:r>
            </w:hyperlink>
          </w:p>
        </w:tc>
      </w:tr>
      <w:tr>
        <w:trPr>
          <w:trHeight w:val="107"/>
        </w:trPr>
        <w:tc>
          <w:tcPr>
            <w:tcW w:w="1000" w:type="dxa"/>
            <w:vAlign w:val="bottom"/>
          </w:tcPr>
          <w:p>
            <w:pPr>
              <w:spacing w:after="0"/>
              <w:rPr>
                <w:sz w:val="9"/>
                <w:szCs w:val="9"/>
                <w:color w:val="auto"/>
              </w:rPr>
            </w:pPr>
          </w:p>
        </w:tc>
        <w:tc>
          <w:tcPr>
            <w:tcW w:w="5740" w:type="dxa"/>
            <w:vAlign w:val="bottom"/>
            <w:tcBorders>
              <w:top w:val="single" w:sz="8" w:color="0000FF"/>
            </w:tcBorders>
            <w:gridSpan w:val="28"/>
          </w:tcPr>
          <w:p>
            <w:pPr>
              <w:spacing w:after="0" w:line="107" w:lineRule="exact"/>
              <w:rPr>
                <w:rFonts w:ascii="Arial" w:cs="Arial" w:eastAsia="Arial" w:hAnsi="Arial"/>
                <w:sz w:val="12"/>
                <w:szCs w:val="12"/>
                <w:color w:val="0000FF"/>
              </w:rPr>
            </w:pPr>
            <w:hyperlink r:id="rId241">
              <w:r>
                <w:rPr>
                  <w:rFonts w:ascii="Arial" w:cs="Arial" w:eastAsia="Arial" w:hAnsi="Arial"/>
                  <w:sz w:val="12"/>
                  <w:szCs w:val="12"/>
                  <w:color w:val="0000FF"/>
                </w:rPr>
                <w:t>Clearway Renew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10.19*^</w:t>
            </w:r>
          </w:p>
        </w:tc>
        <w:tc>
          <w:tcPr>
            <w:tcW w:w="5800" w:type="dxa"/>
            <w:vAlign w:val="bottom"/>
            <w:gridSpan w:val="31"/>
          </w:tcPr>
          <w:p>
            <w:pPr>
              <w:spacing w:after="0"/>
              <w:rPr>
                <w:rFonts w:ascii="Arial" w:cs="Arial" w:eastAsia="Arial" w:hAnsi="Arial"/>
                <w:sz w:val="13"/>
                <w:szCs w:val="13"/>
                <w:color w:val="0000FF"/>
                <w:w w:val="96"/>
              </w:rPr>
            </w:pPr>
            <w:hyperlink r:id="rId242">
              <w:r>
                <w:rPr>
                  <w:rFonts w:ascii="Arial" w:cs="Arial" w:eastAsia="Arial" w:hAnsi="Arial"/>
                  <w:sz w:val="13"/>
                  <w:szCs w:val="13"/>
                  <w:color w:val="0000FF"/>
                  <w:w w:val="96"/>
                </w:rPr>
                <w:t>Membership Interest Purchase Agreement, dated as of April 17, 2020, by and between Clearway Energy</w:t>
              </w:r>
            </w:hyperlink>
          </w:p>
        </w:tc>
      </w:tr>
      <w:tr>
        <w:trPr>
          <w:trHeight w:val="107"/>
        </w:trPr>
        <w:tc>
          <w:tcPr>
            <w:tcW w:w="1000" w:type="dxa"/>
            <w:vAlign w:val="bottom"/>
          </w:tcPr>
          <w:p>
            <w:pPr>
              <w:spacing w:after="0"/>
              <w:rPr>
                <w:sz w:val="9"/>
                <w:szCs w:val="9"/>
                <w:color w:val="auto"/>
              </w:rPr>
            </w:pPr>
          </w:p>
        </w:tc>
        <w:tc>
          <w:tcPr>
            <w:tcW w:w="5320" w:type="dxa"/>
            <w:vAlign w:val="bottom"/>
            <w:tcBorders>
              <w:top w:val="single" w:sz="8" w:color="0000FF"/>
            </w:tcBorders>
            <w:gridSpan w:val="15"/>
          </w:tcPr>
          <w:p>
            <w:pPr>
              <w:spacing w:after="0" w:line="107" w:lineRule="exact"/>
              <w:rPr>
                <w:rFonts w:ascii="Arial" w:cs="Arial" w:eastAsia="Arial" w:hAnsi="Arial"/>
                <w:sz w:val="12"/>
                <w:szCs w:val="12"/>
                <w:color w:val="0000FF"/>
              </w:rPr>
            </w:pPr>
            <w:hyperlink r:id="rId242">
              <w:r>
                <w:rPr>
                  <w:rFonts w:ascii="Arial" w:cs="Arial" w:eastAsia="Arial" w:hAnsi="Arial"/>
                  <w:sz w:val="12"/>
                  <w:szCs w:val="12"/>
                  <w:color w:val="0000FF"/>
                </w:rPr>
                <w:t>Operating LLC and SP Wind Holdings, LLC.</w:t>
              </w:r>
            </w:hyperlink>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10.20*^</w:t>
            </w:r>
          </w:p>
        </w:tc>
        <w:tc>
          <w:tcPr>
            <w:tcW w:w="5800" w:type="dxa"/>
            <w:vAlign w:val="bottom"/>
            <w:gridSpan w:val="31"/>
          </w:tcPr>
          <w:p>
            <w:pPr>
              <w:spacing w:after="0"/>
              <w:rPr>
                <w:rFonts w:ascii="Arial" w:cs="Arial" w:eastAsia="Arial" w:hAnsi="Arial"/>
                <w:sz w:val="13"/>
                <w:szCs w:val="13"/>
                <w:color w:val="0000FF"/>
                <w:w w:val="89"/>
              </w:rPr>
            </w:pPr>
            <w:hyperlink r:id="rId243">
              <w:r>
                <w:rPr>
                  <w:rFonts w:ascii="Arial" w:cs="Arial" w:eastAsia="Arial" w:hAnsi="Arial"/>
                  <w:sz w:val="13"/>
                  <w:szCs w:val="13"/>
                  <w:color w:val="0000FF"/>
                  <w:w w:val="89"/>
                </w:rPr>
                <w:t>Membership Interest Purchase Agreement, dated as of April 17, 2020, by and between CWSP Wildorado Elbow</w:t>
              </w:r>
            </w:hyperlink>
          </w:p>
        </w:tc>
      </w:tr>
      <w:tr>
        <w:trPr>
          <w:trHeight w:val="107"/>
        </w:trPr>
        <w:tc>
          <w:tcPr>
            <w:tcW w:w="1000" w:type="dxa"/>
            <w:vAlign w:val="bottom"/>
          </w:tcPr>
          <w:p>
            <w:pPr>
              <w:spacing w:after="0"/>
              <w:rPr>
                <w:sz w:val="9"/>
                <w:szCs w:val="9"/>
                <w:color w:val="auto"/>
              </w:rPr>
            </w:pPr>
          </w:p>
        </w:tc>
        <w:tc>
          <w:tcPr>
            <w:tcW w:w="5720" w:type="dxa"/>
            <w:vAlign w:val="bottom"/>
            <w:tcBorders>
              <w:top w:val="single" w:sz="8" w:color="0000FF"/>
            </w:tcBorders>
            <w:gridSpan w:val="27"/>
          </w:tcPr>
          <w:p>
            <w:pPr>
              <w:spacing w:after="0" w:line="107" w:lineRule="exact"/>
              <w:rPr>
                <w:rFonts w:ascii="Arial" w:cs="Arial" w:eastAsia="Arial" w:hAnsi="Arial"/>
                <w:sz w:val="12"/>
                <w:szCs w:val="12"/>
                <w:color w:val="0000FF"/>
              </w:rPr>
            </w:pPr>
            <w:hyperlink r:id="rId243">
              <w:r>
                <w:rPr>
                  <w:rFonts w:ascii="Arial" w:cs="Arial" w:eastAsia="Arial" w:hAnsi="Arial"/>
                  <w:sz w:val="12"/>
                  <w:szCs w:val="12"/>
                  <w:color w:val="0000FF"/>
                </w:rPr>
                <w:t>Holding LLC and Wind TE Holdco LLC.</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10.21</w:t>
            </w:r>
          </w:p>
        </w:tc>
        <w:tc>
          <w:tcPr>
            <w:tcW w:w="5800" w:type="dxa"/>
            <w:vAlign w:val="bottom"/>
            <w:gridSpan w:val="31"/>
          </w:tcPr>
          <w:p>
            <w:pPr>
              <w:spacing w:after="0"/>
              <w:rPr>
                <w:rFonts w:ascii="Arial" w:cs="Arial" w:eastAsia="Arial" w:hAnsi="Arial"/>
                <w:sz w:val="13"/>
                <w:szCs w:val="13"/>
                <w:color w:val="0000FF"/>
                <w:w w:val="90"/>
              </w:rPr>
            </w:pPr>
            <w:hyperlink r:id="rId244">
              <w:r>
                <w:rPr>
                  <w:rFonts w:ascii="Arial" w:cs="Arial" w:eastAsia="Arial" w:hAnsi="Arial"/>
                  <w:sz w:val="13"/>
                  <w:szCs w:val="13"/>
                  <w:color w:val="0000FF"/>
                  <w:w w:val="90"/>
                </w:rPr>
                <w:t>Fourth Amendment to Right of First Offer Agreement, dated as of November 2, 2020, by and between Clearway</w:t>
              </w:r>
            </w:hyperlink>
          </w:p>
        </w:tc>
      </w:tr>
      <w:tr>
        <w:trPr>
          <w:trHeight w:val="107"/>
        </w:trPr>
        <w:tc>
          <w:tcPr>
            <w:tcW w:w="1000" w:type="dxa"/>
            <w:vAlign w:val="bottom"/>
          </w:tcPr>
          <w:p>
            <w:pPr>
              <w:spacing w:after="0"/>
              <w:rPr>
                <w:sz w:val="9"/>
                <w:szCs w:val="9"/>
                <w:color w:val="auto"/>
              </w:rPr>
            </w:pPr>
          </w:p>
        </w:tc>
        <w:tc>
          <w:tcPr>
            <w:tcW w:w="5760" w:type="dxa"/>
            <w:vAlign w:val="bottom"/>
            <w:tcBorders>
              <w:top w:val="single" w:sz="8" w:color="0000FF"/>
            </w:tcBorders>
            <w:gridSpan w:val="29"/>
          </w:tcPr>
          <w:p>
            <w:pPr>
              <w:spacing w:after="0" w:line="107" w:lineRule="exact"/>
              <w:rPr>
                <w:rFonts w:ascii="Arial" w:cs="Arial" w:eastAsia="Arial" w:hAnsi="Arial"/>
                <w:sz w:val="12"/>
                <w:szCs w:val="12"/>
                <w:color w:val="0000FF"/>
              </w:rPr>
            </w:pPr>
            <w:hyperlink r:id="rId244">
              <w:r>
                <w:rPr>
                  <w:rFonts w:ascii="Arial" w:cs="Arial" w:eastAsia="Arial" w:hAnsi="Arial"/>
                  <w:sz w:val="12"/>
                  <w:szCs w:val="12"/>
                  <w:color w:val="0000FF"/>
                </w:rPr>
                <w:t>Energy Group LLC and Clearway Energy, Inc.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10.22†*</w:t>
            </w:r>
          </w:p>
        </w:tc>
        <w:tc>
          <w:tcPr>
            <w:tcW w:w="5800" w:type="dxa"/>
            <w:vAlign w:val="bottom"/>
            <w:gridSpan w:val="31"/>
          </w:tcPr>
          <w:p>
            <w:pPr>
              <w:spacing w:after="0"/>
              <w:rPr>
                <w:rFonts w:ascii="Arial" w:cs="Arial" w:eastAsia="Arial" w:hAnsi="Arial"/>
                <w:sz w:val="13"/>
                <w:szCs w:val="13"/>
                <w:color w:val="0000FF"/>
                <w:w w:val="87"/>
              </w:rPr>
            </w:pPr>
            <w:hyperlink r:id="rId245">
              <w:r>
                <w:rPr>
                  <w:rFonts w:ascii="Arial" w:cs="Arial" w:eastAsia="Arial" w:hAnsi="Arial"/>
                  <w:sz w:val="13"/>
                  <w:szCs w:val="13"/>
                  <w:color w:val="0000FF"/>
                  <w:w w:val="87"/>
                </w:rPr>
                <w:t>Membership Interest Purchase Agreement, dated as of December 21, 2020, by and between Renew Development</w:t>
              </w:r>
            </w:hyperlink>
          </w:p>
        </w:tc>
      </w:tr>
      <w:tr>
        <w:trPr>
          <w:trHeight w:val="107"/>
        </w:trPr>
        <w:tc>
          <w:tcPr>
            <w:tcW w:w="1000" w:type="dxa"/>
            <w:vAlign w:val="bottom"/>
          </w:tcPr>
          <w:p>
            <w:pPr>
              <w:spacing w:after="0"/>
              <w:rPr>
                <w:sz w:val="9"/>
                <w:szCs w:val="9"/>
                <w:color w:val="auto"/>
              </w:rPr>
            </w:pPr>
          </w:p>
        </w:tc>
        <w:tc>
          <w:tcPr>
            <w:tcW w:w="2680" w:type="dxa"/>
            <w:vAlign w:val="bottom"/>
            <w:tcBorders>
              <w:top w:val="single" w:sz="8" w:color="0000FF"/>
              <w:bottom w:val="single" w:sz="8" w:color="0000FF"/>
            </w:tcBorders>
            <w:gridSpan w:val="10"/>
          </w:tcPr>
          <w:p>
            <w:pPr>
              <w:spacing w:after="0" w:line="107" w:lineRule="exact"/>
              <w:rPr>
                <w:rFonts w:ascii="Arial" w:cs="Arial" w:eastAsia="Arial" w:hAnsi="Arial"/>
                <w:sz w:val="12"/>
                <w:szCs w:val="12"/>
                <w:color w:val="0000FF"/>
                <w:w w:val="97"/>
              </w:rPr>
            </w:pPr>
            <w:hyperlink r:id="rId245">
              <w:r>
                <w:rPr>
                  <w:rFonts w:ascii="Arial" w:cs="Arial" w:eastAsia="Arial" w:hAnsi="Arial"/>
                  <w:sz w:val="12"/>
                  <w:szCs w:val="12"/>
                  <w:color w:val="0000FF"/>
                  <w:w w:val="97"/>
                </w:rPr>
                <w:t>HoldCo LLC and Rosamond Solar Investment LLC.</w:t>
              </w:r>
            </w:hyperlink>
          </w:p>
        </w:tc>
        <w:tc>
          <w:tcPr>
            <w:tcW w:w="3100" w:type="dxa"/>
            <w:vAlign w:val="bottom"/>
            <w:tcBorders>
              <w:top w:val="single" w:sz="8" w:color="0000FF"/>
            </w:tcBorders>
            <w:gridSpan w:val="20"/>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10.23†*</w:t>
            </w:r>
          </w:p>
        </w:tc>
        <w:tc>
          <w:tcPr>
            <w:tcW w:w="5800" w:type="dxa"/>
            <w:vAlign w:val="bottom"/>
            <w:gridSpan w:val="31"/>
          </w:tcPr>
          <w:p>
            <w:pPr>
              <w:spacing w:after="0"/>
              <w:rPr>
                <w:rFonts w:ascii="Arial" w:cs="Arial" w:eastAsia="Arial" w:hAnsi="Arial"/>
                <w:sz w:val="13"/>
                <w:szCs w:val="13"/>
                <w:color w:val="0000FF"/>
                <w:w w:val="91"/>
              </w:rPr>
            </w:pPr>
            <w:hyperlink r:id="rId246">
              <w:r>
                <w:rPr>
                  <w:rFonts w:ascii="Arial" w:cs="Arial" w:eastAsia="Arial" w:hAnsi="Arial"/>
                  <w:sz w:val="13"/>
                  <w:szCs w:val="13"/>
                  <w:color w:val="0000FF"/>
                  <w:w w:val="91"/>
                </w:rPr>
                <w:t>Membership Interest Purchase Agreement, dated as of December 21, 2020, by and between Clearway Renew</w:t>
              </w:r>
            </w:hyperlink>
          </w:p>
        </w:tc>
      </w:tr>
      <w:tr>
        <w:trPr>
          <w:trHeight w:val="107"/>
        </w:trPr>
        <w:tc>
          <w:tcPr>
            <w:tcW w:w="1000" w:type="dxa"/>
            <w:vAlign w:val="bottom"/>
          </w:tcPr>
          <w:p>
            <w:pPr>
              <w:spacing w:after="0"/>
              <w:rPr>
                <w:sz w:val="9"/>
                <w:szCs w:val="9"/>
                <w:color w:val="auto"/>
              </w:rPr>
            </w:pPr>
          </w:p>
        </w:tc>
        <w:tc>
          <w:tcPr>
            <w:tcW w:w="5560" w:type="dxa"/>
            <w:vAlign w:val="bottom"/>
            <w:tcBorders>
              <w:top w:val="single" w:sz="8" w:color="0000FF"/>
            </w:tcBorders>
            <w:gridSpan w:val="21"/>
          </w:tcPr>
          <w:p>
            <w:pPr>
              <w:spacing w:after="0" w:line="107" w:lineRule="exact"/>
              <w:rPr>
                <w:rFonts w:ascii="Arial" w:cs="Arial" w:eastAsia="Arial" w:hAnsi="Arial"/>
                <w:sz w:val="12"/>
                <w:szCs w:val="12"/>
                <w:color w:val="0000FF"/>
              </w:rPr>
            </w:pPr>
            <w:hyperlink r:id="rId246">
              <w:r>
                <w:rPr>
                  <w:rFonts w:ascii="Arial" w:cs="Arial" w:eastAsia="Arial" w:hAnsi="Arial"/>
                  <w:sz w:val="12"/>
                  <w:szCs w:val="12"/>
                  <w:color w:val="0000FF"/>
                </w:rPr>
                <w:t>LLC and Lighthouse Renewable Class A LLC.</w:t>
              </w:r>
            </w:hyperlink>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10.24†*</w:t>
            </w:r>
          </w:p>
        </w:tc>
        <w:tc>
          <w:tcPr>
            <w:tcW w:w="5800" w:type="dxa"/>
            <w:vAlign w:val="bottom"/>
            <w:gridSpan w:val="31"/>
          </w:tcPr>
          <w:p>
            <w:pPr>
              <w:spacing w:after="0"/>
              <w:rPr>
                <w:rFonts w:ascii="Arial" w:cs="Arial" w:eastAsia="Arial" w:hAnsi="Arial"/>
                <w:sz w:val="13"/>
                <w:szCs w:val="13"/>
                <w:color w:val="0000FF"/>
                <w:w w:val="91"/>
              </w:rPr>
            </w:pPr>
            <w:hyperlink r:id="rId247">
              <w:r>
                <w:rPr>
                  <w:rFonts w:ascii="Arial" w:cs="Arial" w:eastAsia="Arial" w:hAnsi="Arial"/>
                  <w:sz w:val="13"/>
                  <w:szCs w:val="13"/>
                  <w:color w:val="0000FF"/>
                  <w:w w:val="91"/>
                </w:rPr>
                <w:t>Membership Interest Purchase Agreement, dated as of December 21, 2020, by and between Clearway Renew</w:t>
              </w:r>
            </w:hyperlink>
          </w:p>
        </w:tc>
      </w:tr>
      <w:tr>
        <w:trPr>
          <w:trHeight w:val="107"/>
        </w:trPr>
        <w:tc>
          <w:tcPr>
            <w:tcW w:w="1000" w:type="dxa"/>
            <w:vAlign w:val="bottom"/>
          </w:tcPr>
          <w:p>
            <w:pPr>
              <w:spacing w:after="0"/>
              <w:rPr>
                <w:sz w:val="9"/>
                <w:szCs w:val="9"/>
                <w:color w:val="auto"/>
              </w:rPr>
            </w:pPr>
          </w:p>
        </w:tc>
        <w:tc>
          <w:tcPr>
            <w:tcW w:w="5560" w:type="dxa"/>
            <w:vAlign w:val="bottom"/>
            <w:tcBorders>
              <w:top w:val="single" w:sz="8" w:color="0000FF"/>
            </w:tcBorders>
            <w:gridSpan w:val="21"/>
          </w:tcPr>
          <w:p>
            <w:pPr>
              <w:spacing w:after="0" w:line="107" w:lineRule="exact"/>
              <w:rPr>
                <w:rFonts w:ascii="Arial" w:cs="Arial" w:eastAsia="Arial" w:hAnsi="Arial"/>
                <w:sz w:val="12"/>
                <w:szCs w:val="12"/>
                <w:color w:val="0000FF"/>
              </w:rPr>
            </w:pPr>
            <w:hyperlink r:id="rId247">
              <w:r>
                <w:rPr>
                  <w:rFonts w:ascii="Arial" w:cs="Arial" w:eastAsia="Arial" w:hAnsi="Arial"/>
                  <w:sz w:val="12"/>
                  <w:szCs w:val="12"/>
                  <w:color w:val="0000FF"/>
                </w:rPr>
                <w:t>LLC and Lighthouse Renewable Class A LLC.</w:t>
              </w:r>
            </w:hyperlink>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10.25*^</w:t>
            </w:r>
          </w:p>
        </w:tc>
        <w:tc>
          <w:tcPr>
            <w:tcW w:w="5800" w:type="dxa"/>
            <w:vAlign w:val="bottom"/>
            <w:gridSpan w:val="31"/>
          </w:tcPr>
          <w:p>
            <w:pPr>
              <w:spacing w:after="0"/>
              <w:rPr>
                <w:rFonts w:ascii="Arial" w:cs="Arial" w:eastAsia="Arial" w:hAnsi="Arial"/>
                <w:sz w:val="13"/>
                <w:szCs w:val="13"/>
                <w:color w:val="0000FF"/>
                <w:w w:val="94"/>
              </w:rPr>
            </w:pPr>
            <w:hyperlink r:id="rId248">
              <w:r>
                <w:rPr>
                  <w:rFonts w:ascii="Arial" w:cs="Arial" w:eastAsia="Arial" w:hAnsi="Arial"/>
                  <w:sz w:val="13"/>
                  <w:szCs w:val="13"/>
                  <w:color w:val="0000FF"/>
                  <w:w w:val="94"/>
                </w:rPr>
                <w:t>Second Amended and Restated Limited Liability Company Agreement of Pinnacle Repowering Partnership</w:t>
              </w:r>
            </w:hyperlink>
          </w:p>
        </w:tc>
      </w:tr>
      <w:tr>
        <w:trPr>
          <w:trHeight w:val="107"/>
        </w:trPr>
        <w:tc>
          <w:tcPr>
            <w:tcW w:w="1000" w:type="dxa"/>
            <w:vAlign w:val="bottom"/>
          </w:tcPr>
          <w:p>
            <w:pPr>
              <w:spacing w:after="0"/>
              <w:rPr>
                <w:sz w:val="9"/>
                <w:szCs w:val="9"/>
                <w:color w:val="auto"/>
              </w:rPr>
            </w:pPr>
          </w:p>
        </w:tc>
        <w:tc>
          <w:tcPr>
            <w:tcW w:w="5520" w:type="dxa"/>
            <w:vAlign w:val="bottom"/>
            <w:tcBorders>
              <w:top w:val="single" w:sz="8" w:color="0000FF"/>
            </w:tcBorders>
            <w:gridSpan w:val="20"/>
          </w:tcPr>
          <w:p>
            <w:pPr>
              <w:spacing w:after="0" w:line="107" w:lineRule="exact"/>
              <w:rPr>
                <w:rFonts w:ascii="Arial" w:cs="Arial" w:eastAsia="Arial" w:hAnsi="Arial"/>
                <w:sz w:val="12"/>
                <w:szCs w:val="12"/>
                <w:color w:val="0000FF"/>
              </w:rPr>
            </w:pPr>
            <w:hyperlink r:id="rId248">
              <w:r>
                <w:rPr>
                  <w:rFonts w:ascii="Arial" w:cs="Arial" w:eastAsia="Arial" w:hAnsi="Arial"/>
                  <w:sz w:val="12"/>
                  <w:szCs w:val="12"/>
                  <w:color w:val="0000FF"/>
                </w:rPr>
                <w:t>LLC, dated as of February 26, 2021.</w:t>
              </w:r>
            </w:hyperlink>
          </w:p>
        </w:tc>
        <w:tc>
          <w:tcPr>
            <w:tcW w:w="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2"/>
        </w:trPr>
        <w:tc>
          <w:tcPr>
            <w:tcW w:w="1000" w:type="dxa"/>
            <w:vAlign w:val="bottom"/>
          </w:tcPr>
          <w:p>
            <w:pPr>
              <w:spacing w:after="0"/>
              <w:rPr>
                <w:sz w:val="20"/>
                <w:szCs w:val="20"/>
                <w:color w:val="auto"/>
              </w:rPr>
            </w:pPr>
            <w:r>
              <w:rPr>
                <w:rFonts w:ascii="Arial" w:cs="Arial" w:eastAsia="Arial" w:hAnsi="Arial"/>
                <w:sz w:val="13"/>
                <w:szCs w:val="13"/>
                <w:color w:val="auto"/>
              </w:rPr>
              <w:t>10.26</w:t>
            </w:r>
          </w:p>
        </w:tc>
        <w:tc>
          <w:tcPr>
            <w:tcW w:w="5800" w:type="dxa"/>
            <w:vAlign w:val="bottom"/>
            <w:gridSpan w:val="31"/>
          </w:tcPr>
          <w:p>
            <w:pPr>
              <w:spacing w:after="0"/>
              <w:rPr>
                <w:rFonts w:ascii="Arial" w:cs="Arial" w:eastAsia="Arial" w:hAnsi="Arial"/>
                <w:sz w:val="13"/>
                <w:szCs w:val="13"/>
                <w:color w:val="0000FF"/>
                <w:w w:val="94"/>
              </w:rPr>
            </w:pPr>
            <w:hyperlink r:id="rId249">
              <w:r>
                <w:rPr>
                  <w:rFonts w:ascii="Arial" w:cs="Arial" w:eastAsia="Arial" w:hAnsi="Arial"/>
                  <w:sz w:val="13"/>
                  <w:szCs w:val="13"/>
                  <w:color w:val="0000FF"/>
                  <w:w w:val="94"/>
                </w:rPr>
                <w:t>Fifth Amendment to Right of First Offer Agreement, dated as of August 2, 2021, by and between Clearway</w:t>
              </w:r>
            </w:hyperlink>
          </w:p>
        </w:tc>
      </w:tr>
      <w:tr>
        <w:trPr>
          <w:trHeight w:val="107"/>
        </w:trPr>
        <w:tc>
          <w:tcPr>
            <w:tcW w:w="1000" w:type="dxa"/>
            <w:vAlign w:val="bottom"/>
          </w:tcPr>
          <w:p>
            <w:pPr>
              <w:spacing w:after="0"/>
              <w:rPr>
                <w:sz w:val="9"/>
                <w:szCs w:val="9"/>
                <w:color w:val="auto"/>
              </w:rPr>
            </w:pPr>
          </w:p>
        </w:tc>
        <w:tc>
          <w:tcPr>
            <w:tcW w:w="5500" w:type="dxa"/>
            <w:vAlign w:val="bottom"/>
            <w:tcBorders>
              <w:top w:val="single" w:sz="8" w:color="0000FF"/>
            </w:tcBorders>
            <w:gridSpan w:val="19"/>
          </w:tcPr>
          <w:p>
            <w:pPr>
              <w:spacing w:after="0" w:line="107" w:lineRule="exact"/>
              <w:rPr>
                <w:rFonts w:ascii="Arial" w:cs="Arial" w:eastAsia="Arial" w:hAnsi="Arial"/>
                <w:sz w:val="12"/>
                <w:szCs w:val="12"/>
                <w:color w:val="0000FF"/>
              </w:rPr>
            </w:pPr>
            <w:hyperlink r:id="rId249">
              <w:r>
                <w:rPr>
                  <w:rFonts w:ascii="Arial" w:cs="Arial" w:eastAsia="Arial" w:hAnsi="Arial"/>
                  <w:sz w:val="12"/>
                  <w:szCs w:val="12"/>
                  <w:color w:val="0000FF"/>
                </w:rPr>
                <w:t>Energy Group LLC and Clearway Energy, Inc.</w:t>
              </w:r>
            </w:hyperlink>
          </w:p>
        </w:tc>
        <w:tc>
          <w:tcPr>
            <w:tcW w:w="10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10.27</w:t>
            </w:r>
          </w:p>
        </w:tc>
        <w:tc>
          <w:tcPr>
            <w:tcW w:w="5800" w:type="dxa"/>
            <w:vAlign w:val="bottom"/>
            <w:gridSpan w:val="31"/>
          </w:tcPr>
          <w:p>
            <w:pPr>
              <w:spacing w:after="0"/>
              <w:rPr>
                <w:rFonts w:ascii="Arial" w:cs="Arial" w:eastAsia="Arial" w:hAnsi="Arial"/>
                <w:sz w:val="13"/>
                <w:szCs w:val="13"/>
                <w:color w:val="0000FF"/>
                <w:w w:val="91"/>
              </w:rPr>
            </w:pPr>
            <w:hyperlink r:id="rId250">
              <w:r>
                <w:rPr>
                  <w:rFonts w:ascii="Arial" w:cs="Arial" w:eastAsia="Arial" w:hAnsi="Arial"/>
                  <w:sz w:val="13"/>
                  <w:szCs w:val="13"/>
                  <w:color w:val="0000FF"/>
                  <w:w w:val="91"/>
                </w:rPr>
                <w:t>Purchase and Sale Agreement, dated as of August 20, 2021, by and between Dominion Solar Projects III, Inc.</w:t>
              </w:r>
            </w:hyperlink>
          </w:p>
        </w:tc>
      </w:tr>
      <w:tr>
        <w:trPr>
          <w:trHeight w:val="107"/>
        </w:trPr>
        <w:tc>
          <w:tcPr>
            <w:tcW w:w="1000" w:type="dxa"/>
            <w:vAlign w:val="bottom"/>
          </w:tcPr>
          <w:p>
            <w:pPr>
              <w:spacing w:after="0"/>
              <w:rPr>
                <w:sz w:val="9"/>
                <w:szCs w:val="9"/>
                <w:color w:val="auto"/>
              </w:rPr>
            </w:pPr>
          </w:p>
        </w:tc>
        <w:tc>
          <w:tcPr>
            <w:tcW w:w="1700" w:type="dxa"/>
            <w:vAlign w:val="bottom"/>
            <w:tcBorders>
              <w:top w:val="single" w:sz="8" w:color="0000FF"/>
              <w:bottom w:val="single" w:sz="8" w:color="0000FF"/>
            </w:tcBorders>
            <w:gridSpan w:val="5"/>
          </w:tcPr>
          <w:p>
            <w:pPr>
              <w:spacing w:after="0" w:line="107" w:lineRule="exact"/>
              <w:rPr>
                <w:rFonts w:ascii="Arial" w:cs="Arial" w:eastAsia="Arial" w:hAnsi="Arial"/>
                <w:sz w:val="12"/>
                <w:szCs w:val="12"/>
                <w:color w:val="0000FF"/>
                <w:w w:val="99"/>
              </w:rPr>
            </w:pPr>
            <w:hyperlink r:id="rId250">
              <w:r>
                <w:rPr>
                  <w:rFonts w:ascii="Arial" w:cs="Arial" w:eastAsia="Arial" w:hAnsi="Arial"/>
                  <w:sz w:val="12"/>
                  <w:szCs w:val="12"/>
                  <w:color w:val="0000FF"/>
                  <w:w w:val="99"/>
                </w:rPr>
                <w:t>and Utah Solar Holdings II LLC.</w:t>
              </w:r>
            </w:hyperlink>
          </w:p>
        </w:tc>
        <w:tc>
          <w:tcPr>
            <w:tcW w:w="3900" w:type="dxa"/>
            <w:vAlign w:val="bottom"/>
            <w:tcBorders>
              <w:top w:val="single" w:sz="8" w:color="0000FF"/>
            </w:tcBorders>
            <w:gridSpan w:val="17"/>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10.28</w:t>
            </w:r>
          </w:p>
        </w:tc>
        <w:tc>
          <w:tcPr>
            <w:tcW w:w="5800" w:type="dxa"/>
            <w:vAlign w:val="bottom"/>
            <w:gridSpan w:val="31"/>
          </w:tcPr>
          <w:p>
            <w:pPr>
              <w:spacing w:after="0"/>
              <w:rPr>
                <w:rFonts w:ascii="Arial" w:cs="Arial" w:eastAsia="Arial" w:hAnsi="Arial"/>
                <w:sz w:val="13"/>
                <w:szCs w:val="13"/>
                <w:color w:val="0000FF"/>
                <w:w w:val="89"/>
              </w:rPr>
            </w:pPr>
            <w:hyperlink r:id="rId251">
              <w:r>
                <w:rPr>
                  <w:rFonts w:ascii="Arial" w:cs="Arial" w:eastAsia="Arial" w:hAnsi="Arial"/>
                  <w:sz w:val="13"/>
                  <w:szCs w:val="13"/>
                  <w:color w:val="0000FF"/>
                  <w:w w:val="89"/>
                </w:rPr>
                <w:t>Amended and Restated Employment Agreement, dated September 23, 2021, by and between Clearway Energy,</w:t>
              </w:r>
            </w:hyperlink>
          </w:p>
        </w:tc>
      </w:tr>
      <w:tr>
        <w:trPr>
          <w:trHeight w:val="107"/>
        </w:trPr>
        <w:tc>
          <w:tcPr>
            <w:tcW w:w="1000" w:type="dxa"/>
            <w:vAlign w:val="bottom"/>
          </w:tcPr>
          <w:p>
            <w:pPr>
              <w:spacing w:after="0"/>
              <w:rPr>
                <w:sz w:val="9"/>
                <w:szCs w:val="9"/>
                <w:color w:val="auto"/>
              </w:rPr>
            </w:pPr>
          </w:p>
        </w:tc>
        <w:tc>
          <w:tcPr>
            <w:tcW w:w="1400" w:type="dxa"/>
            <w:vAlign w:val="bottom"/>
            <w:tcBorders>
              <w:top w:val="single" w:sz="8" w:color="0000FF"/>
              <w:bottom w:val="single" w:sz="8" w:color="0000FF"/>
            </w:tcBorders>
            <w:gridSpan w:val="4"/>
          </w:tcPr>
          <w:p>
            <w:pPr>
              <w:spacing w:after="0" w:line="107" w:lineRule="exact"/>
              <w:rPr>
                <w:rFonts w:ascii="Arial" w:cs="Arial" w:eastAsia="Arial" w:hAnsi="Arial"/>
                <w:sz w:val="12"/>
                <w:szCs w:val="12"/>
                <w:color w:val="0000FF"/>
                <w:w w:val="94"/>
              </w:rPr>
            </w:pPr>
            <w:hyperlink r:id="rId251">
              <w:r>
                <w:rPr>
                  <w:rFonts w:ascii="Arial" w:cs="Arial" w:eastAsia="Arial" w:hAnsi="Arial"/>
                  <w:sz w:val="12"/>
                  <w:szCs w:val="12"/>
                  <w:color w:val="0000FF"/>
                  <w:w w:val="94"/>
                </w:rPr>
                <w:t>Inc. and Christopher Sotos.</w:t>
              </w:r>
            </w:hyperlink>
          </w:p>
        </w:tc>
        <w:tc>
          <w:tcPr>
            <w:tcW w:w="4280" w:type="dxa"/>
            <w:vAlign w:val="bottom"/>
            <w:tcBorders>
              <w:top w:val="single" w:sz="8" w:color="0000FF"/>
            </w:tcBorders>
            <w:gridSpan w:val="21"/>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10.29</w:t>
            </w:r>
          </w:p>
        </w:tc>
        <w:tc>
          <w:tcPr>
            <w:tcW w:w="5800" w:type="dxa"/>
            <w:vAlign w:val="bottom"/>
            <w:gridSpan w:val="31"/>
          </w:tcPr>
          <w:p>
            <w:pPr>
              <w:spacing w:after="0"/>
              <w:rPr>
                <w:rFonts w:ascii="Arial" w:cs="Arial" w:eastAsia="Arial" w:hAnsi="Arial"/>
                <w:sz w:val="13"/>
                <w:szCs w:val="13"/>
                <w:color w:val="0000FF"/>
                <w:w w:val="93"/>
              </w:rPr>
            </w:pPr>
            <w:hyperlink r:id="rId252">
              <w:r>
                <w:rPr>
                  <w:rFonts w:ascii="Arial" w:cs="Arial" w:eastAsia="Arial" w:hAnsi="Arial"/>
                  <w:sz w:val="13"/>
                  <w:szCs w:val="13"/>
                  <w:color w:val="0000FF"/>
                  <w:w w:val="93"/>
                </w:rPr>
                <w:t>Membership Interest Purchase Agreement, dated as of October 22, 2021, by and between Clearway Energy</w:t>
              </w:r>
            </w:hyperlink>
          </w:p>
        </w:tc>
      </w:tr>
      <w:tr>
        <w:trPr>
          <w:trHeight w:val="107"/>
        </w:trPr>
        <w:tc>
          <w:tcPr>
            <w:tcW w:w="1000" w:type="dxa"/>
            <w:vAlign w:val="bottom"/>
          </w:tcPr>
          <w:p>
            <w:pPr>
              <w:spacing w:after="0"/>
              <w:rPr>
                <w:sz w:val="9"/>
                <w:szCs w:val="9"/>
                <w:color w:val="auto"/>
              </w:rPr>
            </w:pPr>
          </w:p>
        </w:tc>
        <w:tc>
          <w:tcPr>
            <w:tcW w:w="2320" w:type="dxa"/>
            <w:vAlign w:val="bottom"/>
            <w:tcBorders>
              <w:top w:val="single" w:sz="8" w:color="0000FF"/>
              <w:bottom w:val="single" w:sz="8" w:color="0000FF"/>
            </w:tcBorders>
            <w:gridSpan w:val="8"/>
          </w:tcPr>
          <w:p>
            <w:pPr>
              <w:spacing w:after="0" w:line="107" w:lineRule="exact"/>
              <w:rPr>
                <w:rFonts w:ascii="Arial" w:cs="Arial" w:eastAsia="Arial" w:hAnsi="Arial"/>
                <w:sz w:val="12"/>
                <w:szCs w:val="12"/>
                <w:color w:val="0000FF"/>
              </w:rPr>
            </w:pPr>
            <w:hyperlink r:id="rId252">
              <w:r>
                <w:rPr>
                  <w:rFonts w:ascii="Arial" w:cs="Arial" w:eastAsia="Arial" w:hAnsi="Arial"/>
                  <w:sz w:val="12"/>
                  <w:szCs w:val="12"/>
                  <w:color w:val="0000FF"/>
                </w:rPr>
                <w:t>Operating LLC and KKR Thor Bidco, LLC.</w:t>
              </w:r>
            </w:hyperlink>
          </w:p>
        </w:tc>
        <w:tc>
          <w:tcPr>
            <w:tcW w:w="314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10.30</w:t>
            </w:r>
          </w:p>
        </w:tc>
        <w:tc>
          <w:tcPr>
            <w:tcW w:w="5480" w:type="dxa"/>
            <w:vAlign w:val="bottom"/>
            <w:tcBorders>
              <w:bottom w:val="single" w:sz="8" w:color="0000FF"/>
            </w:tcBorders>
            <w:gridSpan w:val="18"/>
          </w:tcPr>
          <w:p>
            <w:pPr>
              <w:spacing w:after="0"/>
              <w:rPr>
                <w:rFonts w:ascii="Arial" w:cs="Arial" w:eastAsia="Arial" w:hAnsi="Arial"/>
                <w:sz w:val="13"/>
                <w:szCs w:val="13"/>
                <w:color w:val="0000FF"/>
                <w:w w:val="88"/>
              </w:rPr>
            </w:pPr>
            <w:hyperlink r:id="rId253">
              <w:r>
                <w:rPr>
                  <w:rFonts w:ascii="Arial" w:cs="Arial" w:eastAsia="Arial" w:hAnsi="Arial"/>
                  <w:sz w:val="13"/>
                  <w:szCs w:val="13"/>
                  <w:color w:val="0000FF"/>
                  <w:w w:val="88"/>
                </w:rPr>
                <w:t>Senior Secured Bridge Credit Agreement, dated as of November 30, 2021, by and among Clearway Energy</w:t>
              </w:r>
            </w:hyperlink>
          </w:p>
        </w:tc>
        <w:tc>
          <w:tcPr>
            <w:tcW w:w="320" w:type="dxa"/>
            <w:vAlign w:val="bottom"/>
            <w:gridSpan w:val="13"/>
          </w:tcPr>
          <w:p>
            <w:pPr>
              <w:spacing w:after="0"/>
              <w:rPr>
                <w:sz w:val="13"/>
                <w:szCs w:val="13"/>
                <w:color w:val="auto"/>
              </w:rPr>
            </w:pPr>
          </w:p>
        </w:tc>
      </w:tr>
      <w:tr>
        <w:trPr>
          <w:trHeight w:val="107"/>
        </w:trPr>
        <w:tc>
          <w:tcPr>
            <w:tcW w:w="1000" w:type="dxa"/>
            <w:vAlign w:val="bottom"/>
          </w:tcPr>
          <w:p>
            <w:pPr>
              <w:spacing w:after="0"/>
              <w:rPr>
                <w:sz w:val="9"/>
                <w:szCs w:val="9"/>
                <w:color w:val="auto"/>
              </w:rPr>
            </w:pPr>
          </w:p>
        </w:tc>
        <w:tc>
          <w:tcPr>
            <w:tcW w:w="5800" w:type="dxa"/>
            <w:vAlign w:val="bottom"/>
            <w:gridSpan w:val="31"/>
          </w:tcPr>
          <w:p>
            <w:pPr>
              <w:spacing w:after="0" w:line="107" w:lineRule="exact"/>
              <w:rPr>
                <w:rFonts w:ascii="Arial" w:cs="Arial" w:eastAsia="Arial" w:hAnsi="Arial"/>
                <w:sz w:val="12"/>
                <w:szCs w:val="12"/>
                <w:color w:val="0000FF"/>
              </w:rPr>
            </w:pPr>
            <w:hyperlink r:id="rId253">
              <w:r>
                <w:rPr>
                  <w:rFonts w:ascii="Arial" w:cs="Arial" w:eastAsia="Arial" w:hAnsi="Arial"/>
                  <w:sz w:val="12"/>
                  <w:szCs w:val="12"/>
                  <w:color w:val="0000FF"/>
                </w:rPr>
                <w:t>Operating LLC, Clearway Energy LLC, the guarantors party thereto, Bank of America, N.A., as administrative</w:t>
              </w:r>
            </w:hyperlink>
          </w:p>
        </w:tc>
      </w:tr>
      <w:tr>
        <w:trPr>
          <w:trHeight w:val="107"/>
        </w:trPr>
        <w:tc>
          <w:tcPr>
            <w:tcW w:w="1000" w:type="dxa"/>
            <w:vAlign w:val="bottom"/>
          </w:tcPr>
          <w:p>
            <w:pPr>
              <w:spacing w:after="0"/>
              <w:rPr>
                <w:sz w:val="9"/>
                <w:szCs w:val="9"/>
                <w:color w:val="auto"/>
              </w:rPr>
            </w:pPr>
          </w:p>
        </w:tc>
        <w:tc>
          <w:tcPr>
            <w:tcW w:w="5660" w:type="dxa"/>
            <w:vAlign w:val="bottom"/>
            <w:tcBorders>
              <w:top w:val="single" w:sz="8" w:color="0000FF"/>
            </w:tcBorders>
            <w:gridSpan w:val="24"/>
          </w:tcPr>
          <w:p>
            <w:pPr>
              <w:spacing w:after="0" w:line="107" w:lineRule="exact"/>
              <w:rPr>
                <w:rFonts w:ascii="Arial" w:cs="Arial" w:eastAsia="Arial" w:hAnsi="Arial"/>
                <w:sz w:val="12"/>
                <w:szCs w:val="12"/>
                <w:color w:val="0000FF"/>
              </w:rPr>
            </w:pPr>
            <w:hyperlink r:id="rId253">
              <w:r>
                <w:rPr>
                  <w:rFonts w:ascii="Arial" w:cs="Arial" w:eastAsia="Arial" w:hAnsi="Arial"/>
                  <w:sz w:val="12"/>
                  <w:szCs w:val="12"/>
                  <w:color w:val="0000FF"/>
                </w:rPr>
                <w:t>agent, and the lenders party thereto.</w:t>
              </w:r>
            </w:hyperlink>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10.31*^</w:t>
            </w:r>
          </w:p>
        </w:tc>
        <w:tc>
          <w:tcPr>
            <w:tcW w:w="5800" w:type="dxa"/>
            <w:vAlign w:val="bottom"/>
            <w:gridSpan w:val="31"/>
          </w:tcPr>
          <w:p>
            <w:pPr>
              <w:spacing w:after="0"/>
              <w:rPr>
                <w:rFonts w:ascii="Arial" w:cs="Arial" w:eastAsia="Arial" w:hAnsi="Arial"/>
                <w:sz w:val="13"/>
                <w:szCs w:val="13"/>
                <w:color w:val="0000FF"/>
                <w:w w:val="90"/>
              </w:rPr>
            </w:pPr>
            <w:hyperlink r:id="rId254">
              <w:r>
                <w:rPr>
                  <w:rFonts w:ascii="Arial" w:cs="Arial" w:eastAsia="Arial" w:hAnsi="Arial"/>
                  <w:sz w:val="13"/>
                  <w:szCs w:val="13"/>
                  <w:color w:val="0000FF"/>
                  <w:w w:val="90"/>
                </w:rPr>
                <w:t>First Amendment to Membership Interest Purchase Agreement, dated as of December 17, 2021, by and among</w:t>
              </w:r>
            </w:hyperlink>
          </w:p>
        </w:tc>
      </w:tr>
      <w:tr>
        <w:trPr>
          <w:trHeight w:val="107"/>
        </w:trPr>
        <w:tc>
          <w:tcPr>
            <w:tcW w:w="1000" w:type="dxa"/>
            <w:vAlign w:val="bottom"/>
          </w:tcPr>
          <w:p>
            <w:pPr>
              <w:spacing w:after="0"/>
              <w:rPr>
                <w:sz w:val="9"/>
                <w:szCs w:val="9"/>
                <w:color w:val="auto"/>
              </w:rPr>
            </w:pPr>
          </w:p>
        </w:tc>
        <w:tc>
          <w:tcPr>
            <w:tcW w:w="5640" w:type="dxa"/>
            <w:vAlign w:val="bottom"/>
            <w:tcBorders>
              <w:top w:val="single" w:sz="8" w:color="0000FF"/>
            </w:tcBorders>
            <w:gridSpan w:val="23"/>
          </w:tcPr>
          <w:p>
            <w:pPr>
              <w:spacing w:after="0" w:line="107" w:lineRule="exact"/>
              <w:rPr>
                <w:rFonts w:ascii="Arial" w:cs="Arial" w:eastAsia="Arial" w:hAnsi="Arial"/>
                <w:sz w:val="12"/>
                <w:szCs w:val="12"/>
                <w:color w:val="0000FF"/>
              </w:rPr>
            </w:pPr>
            <w:hyperlink r:id="rId254">
              <w:r>
                <w:rPr>
                  <w:rFonts w:ascii="Arial" w:cs="Arial" w:eastAsia="Arial" w:hAnsi="Arial"/>
                  <w:sz w:val="12"/>
                  <w:szCs w:val="12"/>
                  <w:color w:val="0000FF"/>
                </w:rPr>
                <w:t>Lighthouse Renewable Class A LLC, Clearway Renew LLC and Clearway Energy Operating LLC.</w:t>
              </w:r>
            </w:hyperlink>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5"/>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10.32*^</w:t>
            </w:r>
          </w:p>
        </w:tc>
        <w:tc>
          <w:tcPr>
            <w:tcW w:w="5800" w:type="dxa"/>
            <w:vAlign w:val="bottom"/>
            <w:gridSpan w:val="31"/>
          </w:tcPr>
          <w:p>
            <w:pPr>
              <w:spacing w:after="0"/>
              <w:rPr>
                <w:rFonts w:ascii="Arial" w:cs="Arial" w:eastAsia="Arial" w:hAnsi="Arial"/>
                <w:sz w:val="13"/>
                <w:szCs w:val="13"/>
                <w:color w:val="0000FF"/>
                <w:w w:val="90"/>
              </w:rPr>
            </w:pPr>
            <w:hyperlink r:id="rId255">
              <w:r>
                <w:rPr>
                  <w:rFonts w:ascii="Arial" w:cs="Arial" w:eastAsia="Arial" w:hAnsi="Arial"/>
                  <w:sz w:val="13"/>
                  <w:szCs w:val="13"/>
                  <w:color w:val="0000FF"/>
                  <w:w w:val="90"/>
                </w:rPr>
                <w:t>First Amendment to Membership Interest Purchase Agreement, dated as of December 29, 2021, by and among</w:t>
              </w:r>
            </w:hyperlink>
          </w:p>
        </w:tc>
      </w:tr>
      <w:tr>
        <w:trPr>
          <w:trHeight w:val="107"/>
        </w:trPr>
        <w:tc>
          <w:tcPr>
            <w:tcW w:w="1000" w:type="dxa"/>
            <w:vAlign w:val="bottom"/>
          </w:tcPr>
          <w:p>
            <w:pPr>
              <w:spacing w:after="0"/>
              <w:rPr>
                <w:sz w:val="9"/>
                <w:szCs w:val="9"/>
                <w:color w:val="auto"/>
              </w:rPr>
            </w:pPr>
          </w:p>
        </w:tc>
        <w:tc>
          <w:tcPr>
            <w:tcW w:w="5640" w:type="dxa"/>
            <w:vAlign w:val="bottom"/>
            <w:tcBorders>
              <w:top w:val="single" w:sz="8" w:color="0000FF"/>
            </w:tcBorders>
            <w:gridSpan w:val="23"/>
          </w:tcPr>
          <w:p>
            <w:pPr>
              <w:spacing w:after="0" w:line="107" w:lineRule="exact"/>
              <w:rPr>
                <w:rFonts w:ascii="Arial" w:cs="Arial" w:eastAsia="Arial" w:hAnsi="Arial"/>
                <w:sz w:val="12"/>
                <w:szCs w:val="12"/>
                <w:color w:val="0000FF"/>
              </w:rPr>
            </w:pPr>
            <w:hyperlink r:id="rId255">
              <w:r>
                <w:rPr>
                  <w:rFonts w:ascii="Arial" w:cs="Arial" w:eastAsia="Arial" w:hAnsi="Arial"/>
                  <w:sz w:val="12"/>
                  <w:szCs w:val="12"/>
                  <w:color w:val="0000FF"/>
                </w:rPr>
                <w:t>Lighthouse Renewable Class A LLC and Clearway Renew LLC.</w:t>
              </w:r>
            </w:hyperlink>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5"/>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10.33†</w:t>
            </w:r>
          </w:p>
        </w:tc>
        <w:tc>
          <w:tcPr>
            <w:tcW w:w="5440" w:type="dxa"/>
            <w:vAlign w:val="bottom"/>
            <w:tcBorders>
              <w:bottom w:val="single" w:sz="8" w:color="0000FF"/>
            </w:tcBorders>
            <w:gridSpan w:val="16"/>
          </w:tcPr>
          <w:p>
            <w:pPr>
              <w:spacing w:after="0"/>
              <w:rPr>
                <w:rFonts w:ascii="Arial" w:cs="Arial" w:eastAsia="Arial" w:hAnsi="Arial"/>
                <w:sz w:val="13"/>
                <w:szCs w:val="13"/>
                <w:color w:val="0000FF"/>
                <w:w w:val="88"/>
              </w:rPr>
            </w:pPr>
            <w:hyperlink r:id="rId256">
              <w:r>
                <w:rPr>
                  <w:rFonts w:ascii="Arial" w:cs="Arial" w:eastAsia="Arial" w:hAnsi="Arial"/>
                  <w:sz w:val="13"/>
                  <w:szCs w:val="13"/>
                  <w:color w:val="0000FF"/>
                  <w:w w:val="88"/>
                </w:rPr>
                <w:t>Clearway Energy, Inc. Amended and Restated 2013 Equity Incentive Plan, effective as of January 1, 2022.</w:t>
              </w:r>
            </w:hyperlink>
          </w:p>
        </w:tc>
        <w:tc>
          <w:tcPr>
            <w:tcW w:w="360" w:type="dxa"/>
            <w:vAlign w:val="bottom"/>
            <w:gridSpan w:val="15"/>
          </w:tcPr>
          <w:p>
            <w:pPr>
              <w:spacing w:after="0"/>
              <w:rPr>
                <w:sz w:val="13"/>
                <w:szCs w:val="13"/>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3"/>
                <w:szCs w:val="13"/>
                <w:color w:val="auto"/>
              </w:rPr>
              <w:t>10.34†</w:t>
            </w:r>
          </w:p>
        </w:tc>
        <w:tc>
          <w:tcPr>
            <w:tcW w:w="5800" w:type="dxa"/>
            <w:vAlign w:val="bottom"/>
            <w:gridSpan w:val="31"/>
          </w:tcPr>
          <w:p>
            <w:pPr>
              <w:spacing w:after="0"/>
              <w:rPr>
                <w:rFonts w:ascii="Arial" w:cs="Arial" w:eastAsia="Arial" w:hAnsi="Arial"/>
                <w:sz w:val="13"/>
                <w:szCs w:val="13"/>
                <w:color w:val="0000FF"/>
              </w:rPr>
            </w:pPr>
            <w:hyperlink r:id="rId257">
              <w:r>
                <w:rPr>
                  <w:rFonts w:ascii="Arial" w:cs="Arial" w:eastAsia="Arial" w:hAnsi="Arial"/>
                  <w:sz w:val="13"/>
                  <w:szCs w:val="13"/>
                  <w:color w:val="0000FF"/>
                </w:rPr>
                <w:t>Clearway Energy, Inc. Annual Incentive Plan, effective as of January 1, 2022.</w:t>
              </w:r>
            </w:hyperlink>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5"/>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3"/>
                <w:szCs w:val="13"/>
                <w:color w:val="auto"/>
              </w:rPr>
              <w:t>10.35†</w:t>
            </w:r>
          </w:p>
        </w:tc>
        <w:tc>
          <w:tcPr>
            <w:tcW w:w="4240" w:type="dxa"/>
            <w:vAlign w:val="bottom"/>
            <w:tcBorders>
              <w:bottom w:val="single" w:sz="8" w:color="0000FF"/>
            </w:tcBorders>
            <w:gridSpan w:val="13"/>
          </w:tcPr>
          <w:p>
            <w:pPr>
              <w:spacing w:after="0"/>
              <w:rPr>
                <w:rFonts w:ascii="Arial" w:cs="Arial" w:eastAsia="Arial" w:hAnsi="Arial"/>
                <w:sz w:val="13"/>
                <w:szCs w:val="13"/>
                <w:color w:val="0000FF"/>
                <w:w w:val="88"/>
              </w:rPr>
            </w:pPr>
            <w:hyperlink r:id="rId258">
              <w:r>
                <w:rPr>
                  <w:rFonts w:ascii="Arial" w:cs="Arial" w:eastAsia="Arial" w:hAnsi="Arial"/>
                  <w:sz w:val="13"/>
                  <w:szCs w:val="13"/>
                  <w:color w:val="0000FF"/>
                  <w:w w:val="88"/>
                </w:rPr>
                <w:t>Clearway Energy, Inc. Involuntary Severance Plan, effective as of January 1, 2022.</w:t>
              </w:r>
            </w:hyperlink>
          </w:p>
        </w:tc>
        <w:tc>
          <w:tcPr>
            <w:tcW w:w="1560" w:type="dxa"/>
            <w:vAlign w:val="bottom"/>
            <w:gridSpan w:val="18"/>
          </w:tcPr>
          <w:p>
            <w:pPr>
              <w:spacing w:after="0"/>
              <w:rPr>
                <w:sz w:val="24"/>
                <w:szCs w:val="24"/>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3"/>
                <w:szCs w:val="13"/>
                <w:color w:val="auto"/>
              </w:rPr>
              <w:t>10.36†</w:t>
            </w:r>
          </w:p>
        </w:tc>
        <w:tc>
          <w:tcPr>
            <w:tcW w:w="5800" w:type="dxa"/>
            <w:vAlign w:val="bottom"/>
            <w:gridSpan w:val="31"/>
          </w:tcPr>
          <w:p>
            <w:pPr>
              <w:spacing w:after="0"/>
              <w:rPr>
                <w:rFonts w:ascii="Arial" w:cs="Arial" w:eastAsia="Arial" w:hAnsi="Arial"/>
                <w:sz w:val="13"/>
                <w:szCs w:val="13"/>
                <w:color w:val="0000FF"/>
                <w:w w:val="88"/>
              </w:rPr>
            </w:pPr>
            <w:hyperlink r:id="rId259">
              <w:r>
                <w:rPr>
                  <w:rFonts w:ascii="Arial" w:cs="Arial" w:eastAsia="Arial" w:hAnsi="Arial"/>
                  <w:sz w:val="13"/>
                  <w:szCs w:val="13"/>
                  <w:color w:val="0000FF"/>
                  <w:w w:val="88"/>
                </w:rPr>
                <w:t>Clearway Energy, Inc. Key Management Change-in-Control and General Severance Plan, effective as of January</w:t>
              </w:r>
            </w:hyperlink>
          </w:p>
        </w:tc>
      </w:tr>
      <w:tr>
        <w:trPr>
          <w:trHeight w:val="107"/>
        </w:trPr>
        <w:tc>
          <w:tcPr>
            <w:tcW w:w="1000" w:type="dxa"/>
            <w:vAlign w:val="bottom"/>
          </w:tcPr>
          <w:p>
            <w:pPr>
              <w:spacing w:after="0"/>
              <w:rPr>
                <w:sz w:val="9"/>
                <w:szCs w:val="9"/>
                <w:color w:val="auto"/>
              </w:rPr>
            </w:pPr>
          </w:p>
        </w:tc>
        <w:tc>
          <w:tcPr>
            <w:tcW w:w="420" w:type="dxa"/>
            <w:vAlign w:val="bottom"/>
            <w:tcBorders>
              <w:top w:val="single" w:sz="8" w:color="0000FF"/>
              <w:bottom w:val="single" w:sz="8" w:color="0000FF"/>
            </w:tcBorders>
            <w:gridSpan w:val="2"/>
          </w:tcPr>
          <w:p>
            <w:pPr>
              <w:spacing w:after="0" w:line="107" w:lineRule="exact"/>
              <w:rPr>
                <w:rFonts w:ascii="Arial" w:cs="Arial" w:eastAsia="Arial" w:hAnsi="Arial"/>
                <w:sz w:val="12"/>
                <w:szCs w:val="12"/>
                <w:color w:val="0000FF"/>
                <w:w w:val="92"/>
              </w:rPr>
            </w:pPr>
            <w:hyperlink r:id="rId259">
              <w:r>
                <w:rPr>
                  <w:rFonts w:ascii="Arial" w:cs="Arial" w:eastAsia="Arial" w:hAnsi="Arial"/>
                  <w:sz w:val="12"/>
                  <w:szCs w:val="12"/>
                  <w:color w:val="0000FF"/>
                  <w:w w:val="92"/>
                </w:rPr>
                <w:t>1, 2022.</w:t>
              </w:r>
            </w:hyperlink>
          </w:p>
        </w:tc>
        <w:tc>
          <w:tcPr>
            <w:tcW w:w="76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620" w:type="dxa"/>
            <w:vAlign w:val="bottom"/>
            <w:tcBorders>
              <w:top w:val="single" w:sz="8" w:color="0000FF"/>
            </w:tcBorders>
          </w:tcPr>
          <w:p>
            <w:pPr>
              <w:spacing w:after="0"/>
              <w:rPr>
                <w:sz w:val="9"/>
                <w:szCs w:val="9"/>
                <w:color w:val="auto"/>
              </w:rPr>
            </w:pPr>
          </w:p>
        </w:tc>
        <w:tc>
          <w:tcPr>
            <w:tcW w:w="66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82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10.37†</w:t>
            </w:r>
          </w:p>
        </w:tc>
        <w:tc>
          <w:tcPr>
            <w:tcW w:w="5800" w:type="dxa"/>
            <w:vAlign w:val="bottom"/>
            <w:gridSpan w:val="31"/>
          </w:tcPr>
          <w:p>
            <w:pPr>
              <w:spacing w:after="0"/>
              <w:rPr>
                <w:rFonts w:ascii="Arial" w:cs="Arial" w:eastAsia="Arial" w:hAnsi="Arial"/>
                <w:sz w:val="13"/>
                <w:szCs w:val="13"/>
                <w:color w:val="0000FF"/>
                <w:w w:val="93"/>
              </w:rPr>
            </w:pPr>
            <w:hyperlink r:id="rId260">
              <w:r>
                <w:rPr>
                  <w:rFonts w:ascii="Arial" w:cs="Arial" w:eastAsia="Arial" w:hAnsi="Arial"/>
                  <w:sz w:val="13"/>
                  <w:szCs w:val="13"/>
                  <w:color w:val="0000FF"/>
                  <w:w w:val="93"/>
                </w:rPr>
                <w:t>Clearway Energy, Inc. Executive Change-in-Control and General Severance Plan, effective as of January 1,</w:t>
              </w:r>
            </w:hyperlink>
          </w:p>
        </w:tc>
      </w:tr>
      <w:tr>
        <w:trPr>
          <w:trHeight w:val="107"/>
        </w:trPr>
        <w:tc>
          <w:tcPr>
            <w:tcW w:w="100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07" w:lineRule="exact"/>
              <w:rPr>
                <w:rFonts w:ascii="Arial" w:cs="Arial" w:eastAsia="Arial" w:hAnsi="Arial"/>
                <w:sz w:val="12"/>
                <w:szCs w:val="12"/>
                <w:color w:val="0000FF"/>
                <w:w w:val="93"/>
              </w:rPr>
            </w:pPr>
            <w:hyperlink r:id="rId260">
              <w:r>
                <w:rPr>
                  <w:rFonts w:ascii="Arial" w:cs="Arial" w:eastAsia="Arial" w:hAnsi="Arial"/>
                  <w:sz w:val="12"/>
                  <w:szCs w:val="12"/>
                  <w:color w:val="0000FF"/>
                  <w:w w:val="93"/>
                </w:rPr>
                <w:t>2022.</w:t>
              </w:r>
            </w:hyperlink>
          </w:p>
        </w:tc>
        <w:tc>
          <w:tcPr>
            <w:tcW w:w="120" w:type="dxa"/>
            <w:vAlign w:val="bottom"/>
            <w:tcBorders>
              <w:top w:val="single" w:sz="8" w:color="0000FF"/>
            </w:tcBorders>
          </w:tcPr>
          <w:p>
            <w:pPr>
              <w:spacing w:after="0"/>
              <w:rPr>
                <w:sz w:val="9"/>
                <w:szCs w:val="9"/>
                <w:color w:val="auto"/>
              </w:rPr>
            </w:pPr>
          </w:p>
        </w:tc>
        <w:tc>
          <w:tcPr>
            <w:tcW w:w="76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620" w:type="dxa"/>
            <w:vAlign w:val="bottom"/>
            <w:tcBorders>
              <w:top w:val="single" w:sz="8" w:color="0000FF"/>
            </w:tcBorders>
          </w:tcPr>
          <w:p>
            <w:pPr>
              <w:spacing w:after="0"/>
              <w:rPr>
                <w:sz w:val="9"/>
                <w:szCs w:val="9"/>
                <w:color w:val="auto"/>
              </w:rPr>
            </w:pPr>
          </w:p>
        </w:tc>
        <w:tc>
          <w:tcPr>
            <w:tcW w:w="66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82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10.38*^</w:t>
            </w:r>
          </w:p>
        </w:tc>
        <w:tc>
          <w:tcPr>
            <w:tcW w:w="5800" w:type="dxa"/>
            <w:vAlign w:val="bottom"/>
            <w:gridSpan w:val="31"/>
          </w:tcPr>
          <w:p>
            <w:pPr>
              <w:spacing w:after="0"/>
              <w:rPr>
                <w:rFonts w:ascii="Arial" w:cs="Arial" w:eastAsia="Arial" w:hAnsi="Arial"/>
                <w:sz w:val="13"/>
                <w:szCs w:val="13"/>
                <w:color w:val="0000FF"/>
                <w:w w:val="89"/>
              </w:rPr>
            </w:pPr>
            <w:hyperlink r:id="rId261">
              <w:r>
                <w:rPr>
                  <w:rFonts w:ascii="Arial" w:cs="Arial" w:eastAsia="Arial" w:hAnsi="Arial"/>
                  <w:sz w:val="13"/>
                  <w:szCs w:val="13"/>
                  <w:color w:val="0000FF"/>
                  <w:w w:val="89"/>
                </w:rPr>
                <w:t>Membership Interest Purchase Agreement, dated as of December 23, 2022, by and between VP-Arica CE Seller</w:t>
              </w:r>
            </w:hyperlink>
          </w:p>
        </w:tc>
      </w:tr>
      <w:tr>
        <w:trPr>
          <w:trHeight w:val="107"/>
        </w:trPr>
        <w:tc>
          <w:tcPr>
            <w:tcW w:w="1000" w:type="dxa"/>
            <w:vAlign w:val="bottom"/>
          </w:tcPr>
          <w:p>
            <w:pPr>
              <w:spacing w:after="0"/>
              <w:rPr>
                <w:sz w:val="9"/>
                <w:szCs w:val="9"/>
                <w:color w:val="auto"/>
              </w:rPr>
            </w:pPr>
          </w:p>
        </w:tc>
        <w:tc>
          <w:tcPr>
            <w:tcW w:w="2120" w:type="dxa"/>
            <w:vAlign w:val="bottom"/>
            <w:tcBorders>
              <w:top w:val="single" w:sz="8" w:color="0000FF"/>
              <w:bottom w:val="single" w:sz="8" w:color="0000FF"/>
            </w:tcBorders>
            <w:gridSpan w:val="7"/>
          </w:tcPr>
          <w:p>
            <w:pPr>
              <w:spacing w:after="0" w:line="107" w:lineRule="exact"/>
              <w:rPr>
                <w:rFonts w:ascii="Arial" w:cs="Arial" w:eastAsia="Arial" w:hAnsi="Arial"/>
                <w:sz w:val="12"/>
                <w:szCs w:val="12"/>
                <w:color w:val="0000FF"/>
              </w:rPr>
            </w:pPr>
            <w:hyperlink r:id="rId261">
              <w:r>
                <w:rPr>
                  <w:rFonts w:ascii="Arial" w:cs="Arial" w:eastAsia="Arial" w:hAnsi="Arial"/>
                  <w:sz w:val="12"/>
                  <w:szCs w:val="12"/>
                  <w:color w:val="0000FF"/>
                </w:rPr>
                <w:t>LLC and VP-Arica Parent Holdco LLC.</w:t>
              </w:r>
            </w:hyperlink>
          </w:p>
        </w:tc>
        <w:tc>
          <w:tcPr>
            <w:tcW w:w="3580" w:type="dxa"/>
            <w:vAlign w:val="bottom"/>
            <w:tcBorders>
              <w:top w:val="single" w:sz="8" w:color="0000FF"/>
            </w:tcBorders>
            <w:gridSpan w:val="19"/>
          </w:tcPr>
          <w:p>
            <w:pPr>
              <w:spacing w:after="0"/>
              <w:rPr>
                <w:sz w:val="9"/>
                <w:szCs w:val="9"/>
                <w:color w:val="auto"/>
              </w:rPr>
            </w:pPr>
          </w:p>
        </w:tc>
        <w:tc>
          <w:tcPr>
            <w:tcW w:w="100" w:type="dxa"/>
            <w:vAlign w:val="bottom"/>
            <w:gridSpan w:val="5"/>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ind w:right="100"/>
        <w:spacing w:after="0" w:line="231" w:lineRule="auto"/>
        <w:rPr>
          <w:sz w:val="20"/>
          <w:szCs w:val="20"/>
          <w:color w:val="auto"/>
        </w:rPr>
      </w:pPr>
      <w:r>
        <w:rPr>
          <w:rFonts w:ascii="Arial" w:cs="Arial" w:eastAsia="Arial" w:hAnsi="Arial"/>
          <w:sz w:val="13"/>
          <w:szCs w:val="13"/>
          <w:color w:val="auto"/>
        </w:rPr>
        <w:t>Incorporated herein by reference to Exhibit 10.1 to the Company’s Current Report on Form 8-K filed on April 20, 2020.</w:t>
      </w:r>
    </w:p>
    <w:p>
      <w:pPr>
        <w:spacing w:after="0" w:line="9" w:lineRule="exact"/>
        <w:rPr>
          <w:sz w:val="20"/>
          <w:szCs w:val="20"/>
          <w:color w:val="auto"/>
        </w:rPr>
      </w:pPr>
    </w:p>
    <w:p>
      <w:pPr>
        <w:ind w:right="100"/>
        <w:spacing w:after="0" w:line="231" w:lineRule="auto"/>
        <w:rPr>
          <w:sz w:val="20"/>
          <w:szCs w:val="20"/>
          <w:color w:val="auto"/>
        </w:rPr>
      </w:pPr>
      <w:r>
        <w:rPr>
          <w:rFonts w:ascii="Arial" w:cs="Arial" w:eastAsia="Arial" w:hAnsi="Arial"/>
          <w:sz w:val="13"/>
          <w:szCs w:val="13"/>
          <w:color w:val="auto"/>
        </w:rPr>
        <w:t>Incorporated herein by reference to Exhibit 10.2 to the Company’s Current Report on Form 8-K filed on April 20, 2020.</w:t>
      </w:r>
    </w:p>
    <w:p>
      <w:pPr>
        <w:spacing w:after="0" w:line="9" w:lineRule="exact"/>
        <w:rPr>
          <w:sz w:val="20"/>
          <w:szCs w:val="20"/>
          <w:color w:val="auto"/>
        </w:rPr>
      </w:pPr>
    </w:p>
    <w:p>
      <w:pPr>
        <w:ind w:right="100"/>
        <w:spacing w:after="0" w:line="231" w:lineRule="auto"/>
        <w:rPr>
          <w:sz w:val="20"/>
          <w:szCs w:val="20"/>
          <w:color w:val="auto"/>
        </w:rPr>
      </w:pPr>
      <w:r>
        <w:rPr>
          <w:rFonts w:ascii="Arial" w:cs="Arial" w:eastAsia="Arial" w:hAnsi="Arial"/>
          <w:sz w:val="13"/>
          <w:szCs w:val="13"/>
          <w:color w:val="auto"/>
        </w:rPr>
        <w:t>Incorporated herein by reference to Exhibit 10.3 to the Company’s Current Report on Form 8-K filed on April 20, 2020.</w:t>
      </w:r>
    </w:p>
    <w:p>
      <w:pPr>
        <w:spacing w:after="0" w:line="9" w:lineRule="exact"/>
        <w:rPr>
          <w:sz w:val="20"/>
          <w:szCs w:val="20"/>
          <w:color w:val="auto"/>
        </w:rPr>
      </w:pPr>
    </w:p>
    <w:p>
      <w:pPr>
        <w:spacing w:after="0" w:line="231" w:lineRule="auto"/>
        <w:rPr>
          <w:sz w:val="20"/>
          <w:szCs w:val="20"/>
          <w:color w:val="auto"/>
        </w:rPr>
      </w:pPr>
      <w:r>
        <w:rPr>
          <w:rFonts w:ascii="Arial" w:cs="Arial" w:eastAsia="Arial" w:hAnsi="Arial"/>
          <w:sz w:val="13"/>
          <w:szCs w:val="13"/>
          <w:color w:val="auto"/>
        </w:rPr>
        <w:t>Incorporated herein by reference to Exhibit 10.1 to the Company’s Quarterly Report on Form 10-Q filed on November 5, 2020.</w:t>
      </w:r>
    </w:p>
    <w:p>
      <w:pPr>
        <w:spacing w:after="0" w:line="9" w:lineRule="exact"/>
        <w:rPr>
          <w:sz w:val="20"/>
          <w:szCs w:val="20"/>
          <w:color w:val="auto"/>
        </w:rPr>
      </w:pPr>
    </w:p>
    <w:p>
      <w:pPr>
        <w:ind w:right="100"/>
        <w:spacing w:after="0" w:line="231" w:lineRule="auto"/>
        <w:rPr>
          <w:sz w:val="20"/>
          <w:szCs w:val="20"/>
          <w:color w:val="auto"/>
        </w:rPr>
      </w:pPr>
      <w:r>
        <w:rPr>
          <w:rFonts w:ascii="Arial" w:cs="Arial" w:eastAsia="Arial" w:hAnsi="Arial"/>
          <w:sz w:val="13"/>
          <w:szCs w:val="13"/>
          <w:color w:val="auto"/>
        </w:rPr>
        <w:t>Incorporated herein by reference to Exhibit 10.1 to the Company’s Current Report on Form 8-K filed on December 22, 2020.</w:t>
      </w:r>
    </w:p>
    <w:p>
      <w:pPr>
        <w:spacing w:after="0" w:line="9" w:lineRule="exact"/>
        <w:rPr>
          <w:sz w:val="20"/>
          <w:szCs w:val="20"/>
          <w:color w:val="auto"/>
        </w:rPr>
      </w:pPr>
    </w:p>
    <w:p>
      <w:pPr>
        <w:ind w:right="100"/>
        <w:spacing w:after="0" w:line="231" w:lineRule="auto"/>
        <w:rPr>
          <w:sz w:val="20"/>
          <w:szCs w:val="20"/>
          <w:color w:val="auto"/>
        </w:rPr>
      </w:pPr>
      <w:r>
        <w:rPr>
          <w:rFonts w:ascii="Arial" w:cs="Arial" w:eastAsia="Arial" w:hAnsi="Arial"/>
          <w:sz w:val="13"/>
          <w:szCs w:val="13"/>
          <w:color w:val="auto"/>
        </w:rPr>
        <w:t>Incorporated herein by reference to Exhibit 10.2 to the Company’s Current Report on Form 8-K filed on December 22, 2020.</w:t>
      </w:r>
    </w:p>
    <w:p>
      <w:pPr>
        <w:spacing w:after="0" w:line="9" w:lineRule="exact"/>
        <w:rPr>
          <w:sz w:val="20"/>
          <w:szCs w:val="20"/>
          <w:color w:val="auto"/>
        </w:rPr>
      </w:pPr>
    </w:p>
    <w:p>
      <w:pPr>
        <w:ind w:right="100"/>
        <w:spacing w:after="0" w:line="231" w:lineRule="auto"/>
        <w:rPr>
          <w:sz w:val="20"/>
          <w:szCs w:val="20"/>
          <w:color w:val="auto"/>
        </w:rPr>
      </w:pPr>
      <w:r>
        <w:rPr>
          <w:rFonts w:ascii="Arial" w:cs="Arial" w:eastAsia="Arial" w:hAnsi="Arial"/>
          <w:sz w:val="13"/>
          <w:szCs w:val="13"/>
          <w:color w:val="auto"/>
        </w:rPr>
        <w:t>Incorporated herein by reference to Exhibit 10.3 to the Company’s Current Report on Form 8-K filed on December 22, 2020.</w:t>
      </w:r>
    </w:p>
    <w:p>
      <w:pPr>
        <w:spacing w:after="0" w:line="9" w:lineRule="exact"/>
        <w:rPr>
          <w:sz w:val="20"/>
          <w:szCs w:val="20"/>
          <w:color w:val="auto"/>
        </w:rPr>
      </w:pPr>
    </w:p>
    <w:p>
      <w:pPr>
        <w:ind w:right="240"/>
        <w:spacing w:after="0"/>
        <w:rPr>
          <w:sz w:val="20"/>
          <w:szCs w:val="20"/>
          <w:color w:val="auto"/>
        </w:rPr>
      </w:pPr>
      <w:r>
        <w:rPr>
          <w:rFonts w:ascii="Arial" w:cs="Arial" w:eastAsia="Arial" w:hAnsi="Arial"/>
          <w:sz w:val="13"/>
          <w:szCs w:val="13"/>
          <w:color w:val="auto"/>
        </w:rPr>
        <w:t>Incorporated by reference to Exhibit 10.31 to the Company’s Annual Report on Form 10-K, filed on March 1, 2021.</w:t>
      </w:r>
    </w:p>
    <w:p>
      <w:pPr>
        <w:spacing w:after="0" w:line="30" w:lineRule="exact"/>
        <w:rPr>
          <w:sz w:val="20"/>
          <w:szCs w:val="20"/>
          <w:color w:val="auto"/>
        </w:rPr>
      </w:pPr>
    </w:p>
    <w:p>
      <w:pPr>
        <w:ind w:right="200"/>
        <w:spacing w:after="0" w:line="231" w:lineRule="auto"/>
        <w:rPr>
          <w:sz w:val="20"/>
          <w:szCs w:val="20"/>
          <w:color w:val="auto"/>
        </w:rPr>
      </w:pPr>
      <w:r>
        <w:rPr>
          <w:rFonts w:ascii="Arial" w:cs="Arial" w:eastAsia="Arial" w:hAnsi="Arial"/>
          <w:sz w:val="13"/>
          <w:szCs w:val="13"/>
          <w:color w:val="auto"/>
        </w:rPr>
        <w:t>Incorporated by reference to Exhibit 10.2 to the Company’s Quarterly Report on Form 10-Q, filed on August 3, 2021.</w:t>
      </w:r>
    </w:p>
    <w:p>
      <w:pPr>
        <w:spacing w:after="0" w:line="9" w:lineRule="exact"/>
        <w:rPr>
          <w:sz w:val="20"/>
          <w:szCs w:val="20"/>
          <w:color w:val="auto"/>
        </w:rPr>
      </w:pPr>
    </w:p>
    <w:p>
      <w:pPr>
        <w:ind w:right="300"/>
        <w:spacing w:after="0" w:line="231" w:lineRule="auto"/>
        <w:rPr>
          <w:sz w:val="20"/>
          <w:szCs w:val="20"/>
          <w:color w:val="auto"/>
        </w:rPr>
      </w:pPr>
      <w:r>
        <w:rPr>
          <w:rFonts w:ascii="Arial" w:cs="Arial" w:eastAsia="Arial" w:hAnsi="Arial"/>
          <w:sz w:val="13"/>
          <w:szCs w:val="13"/>
          <w:color w:val="auto"/>
        </w:rPr>
        <w:t>Incorporated by reference to Exhibit 10.1 to the Company’s Current Report on Form 8-K, filed on August 23, 2021.</w:t>
      </w:r>
    </w:p>
    <w:p>
      <w:pPr>
        <w:spacing w:after="0" w:line="9" w:lineRule="exact"/>
        <w:rPr>
          <w:sz w:val="20"/>
          <w:szCs w:val="20"/>
          <w:color w:val="auto"/>
        </w:rPr>
      </w:pPr>
    </w:p>
    <w:p>
      <w:pPr>
        <w:ind w:right="300"/>
        <w:spacing w:after="0" w:line="231" w:lineRule="auto"/>
        <w:rPr>
          <w:sz w:val="20"/>
          <w:szCs w:val="20"/>
          <w:color w:val="auto"/>
        </w:rPr>
      </w:pPr>
      <w:r>
        <w:rPr>
          <w:rFonts w:ascii="Arial" w:cs="Arial" w:eastAsia="Arial" w:hAnsi="Arial"/>
          <w:sz w:val="13"/>
          <w:szCs w:val="13"/>
          <w:color w:val="auto"/>
        </w:rPr>
        <w:t>Incorporated by reference to Exhibit 10.1 to the Company’s Current Report on Form 8-K, filed on September 23, 2021.</w:t>
      </w:r>
    </w:p>
    <w:p>
      <w:pPr>
        <w:spacing w:after="0" w:line="9" w:lineRule="exact"/>
        <w:rPr>
          <w:sz w:val="20"/>
          <w:szCs w:val="20"/>
          <w:color w:val="auto"/>
        </w:rPr>
      </w:pPr>
    </w:p>
    <w:p>
      <w:pPr>
        <w:ind w:right="300"/>
        <w:spacing w:after="0" w:line="231" w:lineRule="auto"/>
        <w:rPr>
          <w:sz w:val="20"/>
          <w:szCs w:val="20"/>
          <w:color w:val="auto"/>
        </w:rPr>
      </w:pPr>
      <w:r>
        <w:rPr>
          <w:rFonts w:ascii="Arial" w:cs="Arial" w:eastAsia="Arial" w:hAnsi="Arial"/>
          <w:sz w:val="13"/>
          <w:szCs w:val="13"/>
          <w:color w:val="auto"/>
        </w:rPr>
        <w:t>Incorporated by reference to Exhibit 10.1 to the Company’s Current Report on Form 8-K, filed on October 26, 2021.</w:t>
      </w:r>
    </w:p>
    <w:p>
      <w:pPr>
        <w:spacing w:after="0" w:line="9" w:lineRule="exact"/>
        <w:rPr>
          <w:sz w:val="20"/>
          <w:szCs w:val="20"/>
          <w:color w:val="auto"/>
        </w:rPr>
      </w:pPr>
    </w:p>
    <w:p>
      <w:pPr>
        <w:ind w:right="300"/>
        <w:spacing w:after="0" w:line="231" w:lineRule="auto"/>
        <w:rPr>
          <w:sz w:val="20"/>
          <w:szCs w:val="20"/>
          <w:color w:val="auto"/>
        </w:rPr>
      </w:pPr>
      <w:r>
        <w:rPr>
          <w:rFonts w:ascii="Arial" w:cs="Arial" w:eastAsia="Arial" w:hAnsi="Arial"/>
          <w:sz w:val="13"/>
          <w:szCs w:val="13"/>
          <w:color w:val="auto"/>
        </w:rPr>
        <w:t>Incorporated by reference to Exhibit 10.2 to the Company’s Current Report on Form 8-K, filed on December 1, 2021.</w:t>
      </w:r>
    </w:p>
    <w:p>
      <w:pPr>
        <w:spacing w:after="0" w:line="137" w:lineRule="exact"/>
        <w:rPr>
          <w:sz w:val="20"/>
          <w:szCs w:val="20"/>
          <w:color w:val="auto"/>
        </w:rPr>
      </w:pPr>
    </w:p>
    <w:p>
      <w:pPr>
        <w:ind w:right="100"/>
        <w:spacing w:after="0" w:line="231" w:lineRule="auto"/>
        <w:rPr>
          <w:sz w:val="20"/>
          <w:szCs w:val="20"/>
          <w:color w:val="auto"/>
        </w:rPr>
      </w:pPr>
      <w:r>
        <w:rPr>
          <w:rFonts w:ascii="Arial" w:cs="Arial" w:eastAsia="Arial" w:hAnsi="Arial"/>
          <w:sz w:val="13"/>
          <w:szCs w:val="13"/>
          <w:color w:val="auto"/>
        </w:rPr>
        <w:t>Incorporated herein by reference to Exhibit 10.1 to the Company’s Current Report on Form 8-K filed on January 18, 2022.</w:t>
      </w:r>
    </w:p>
    <w:p>
      <w:pPr>
        <w:spacing w:after="0" w:line="9" w:lineRule="exact"/>
        <w:rPr>
          <w:sz w:val="20"/>
          <w:szCs w:val="20"/>
          <w:color w:val="auto"/>
        </w:rPr>
      </w:pPr>
    </w:p>
    <w:p>
      <w:pPr>
        <w:ind w:right="100"/>
        <w:spacing w:after="0" w:line="231" w:lineRule="auto"/>
        <w:rPr>
          <w:sz w:val="20"/>
          <w:szCs w:val="20"/>
          <w:color w:val="auto"/>
        </w:rPr>
      </w:pPr>
      <w:r>
        <w:rPr>
          <w:rFonts w:ascii="Arial" w:cs="Arial" w:eastAsia="Arial" w:hAnsi="Arial"/>
          <w:sz w:val="13"/>
          <w:szCs w:val="13"/>
          <w:color w:val="auto"/>
        </w:rPr>
        <w:t>Incorporated herein by reference to Exhibit 10.2 to the Company’s Current Report on Form 8-K filed on January 18, 2022.</w:t>
      </w:r>
    </w:p>
    <w:p>
      <w:pPr>
        <w:spacing w:after="0" w:line="9" w:lineRule="exact"/>
        <w:rPr>
          <w:sz w:val="20"/>
          <w:szCs w:val="20"/>
          <w:color w:val="auto"/>
        </w:rPr>
      </w:pPr>
    </w:p>
    <w:p>
      <w:pPr>
        <w:spacing w:after="0" w:line="231" w:lineRule="auto"/>
        <w:rPr>
          <w:sz w:val="20"/>
          <w:szCs w:val="20"/>
          <w:color w:val="auto"/>
        </w:rPr>
      </w:pPr>
      <w:r>
        <w:rPr>
          <w:rFonts w:ascii="Arial" w:cs="Arial" w:eastAsia="Arial" w:hAnsi="Arial"/>
          <w:sz w:val="13"/>
          <w:szCs w:val="13"/>
          <w:color w:val="auto"/>
        </w:rPr>
        <w:t>Incorporated herein by reference to Exhibit 10.3 to the Company’s Quarterly Report on Form 10-Q filed on May 5, 2022.</w:t>
      </w:r>
    </w:p>
    <w:p>
      <w:pPr>
        <w:spacing w:after="0" w:line="9" w:lineRule="exact"/>
        <w:rPr>
          <w:sz w:val="20"/>
          <w:szCs w:val="20"/>
          <w:color w:val="auto"/>
        </w:rPr>
      </w:pPr>
    </w:p>
    <w:p>
      <w:pPr>
        <w:spacing w:after="0" w:line="231" w:lineRule="auto"/>
        <w:rPr>
          <w:sz w:val="20"/>
          <w:szCs w:val="20"/>
          <w:color w:val="auto"/>
        </w:rPr>
      </w:pPr>
      <w:r>
        <w:rPr>
          <w:rFonts w:ascii="Arial" w:cs="Arial" w:eastAsia="Arial" w:hAnsi="Arial"/>
          <w:sz w:val="13"/>
          <w:szCs w:val="13"/>
          <w:color w:val="auto"/>
        </w:rPr>
        <w:t>Incorporated herein by reference to Exhibit 10.4 to the Company’s Quarterly Report on Form 10-Q filed on May 5, 2022.</w:t>
      </w:r>
    </w:p>
    <w:p>
      <w:pPr>
        <w:spacing w:after="0" w:line="9" w:lineRule="exact"/>
        <w:rPr>
          <w:sz w:val="20"/>
          <w:szCs w:val="20"/>
          <w:color w:val="auto"/>
        </w:rPr>
      </w:pPr>
    </w:p>
    <w:p>
      <w:pPr>
        <w:spacing w:after="0" w:line="231" w:lineRule="auto"/>
        <w:rPr>
          <w:sz w:val="20"/>
          <w:szCs w:val="20"/>
          <w:color w:val="auto"/>
        </w:rPr>
      </w:pPr>
      <w:r>
        <w:rPr>
          <w:rFonts w:ascii="Arial" w:cs="Arial" w:eastAsia="Arial" w:hAnsi="Arial"/>
          <w:sz w:val="13"/>
          <w:szCs w:val="13"/>
          <w:color w:val="auto"/>
        </w:rPr>
        <w:t>Incorporated herein by reference to Exhibit 10.5 to the Company’s Quarterly Report on Form 10-Q filed on May 5, 2022.</w:t>
      </w:r>
    </w:p>
    <w:p>
      <w:pPr>
        <w:spacing w:after="0" w:line="9" w:lineRule="exact"/>
        <w:rPr>
          <w:sz w:val="20"/>
          <w:szCs w:val="20"/>
          <w:color w:val="auto"/>
        </w:rPr>
      </w:pPr>
    </w:p>
    <w:p>
      <w:pPr>
        <w:spacing w:after="0" w:line="231" w:lineRule="auto"/>
        <w:rPr>
          <w:sz w:val="20"/>
          <w:szCs w:val="20"/>
          <w:color w:val="auto"/>
        </w:rPr>
      </w:pPr>
      <w:r>
        <w:rPr>
          <w:rFonts w:ascii="Arial" w:cs="Arial" w:eastAsia="Arial" w:hAnsi="Arial"/>
          <w:sz w:val="13"/>
          <w:szCs w:val="13"/>
          <w:color w:val="auto"/>
        </w:rPr>
        <w:t>Incorporated herein by reference to Exhibit 10.6 to the Company’s Quarterly Report on Form 10-Q filed on May 5, 2022.</w:t>
      </w:r>
    </w:p>
    <w:p>
      <w:pPr>
        <w:spacing w:after="0" w:line="9" w:lineRule="exact"/>
        <w:rPr>
          <w:sz w:val="20"/>
          <w:szCs w:val="20"/>
          <w:color w:val="auto"/>
        </w:rPr>
      </w:pPr>
    </w:p>
    <w:p>
      <w:pPr>
        <w:spacing w:after="0" w:line="231" w:lineRule="auto"/>
        <w:rPr>
          <w:sz w:val="20"/>
          <w:szCs w:val="20"/>
          <w:color w:val="auto"/>
        </w:rPr>
      </w:pPr>
      <w:r>
        <w:rPr>
          <w:rFonts w:ascii="Arial" w:cs="Arial" w:eastAsia="Arial" w:hAnsi="Arial"/>
          <w:sz w:val="13"/>
          <w:szCs w:val="13"/>
          <w:color w:val="auto"/>
        </w:rPr>
        <w:t>Incorporated herein by reference to Exhibit 10.7 to the Company’s Quarterly Report on Form 10-Q filed on May 5, 2022.</w:t>
      </w:r>
    </w:p>
    <w:p>
      <w:pPr>
        <w:spacing w:after="0" w:line="9" w:lineRule="exact"/>
        <w:rPr>
          <w:sz w:val="20"/>
          <w:szCs w:val="20"/>
          <w:color w:val="auto"/>
        </w:rPr>
      </w:pPr>
    </w:p>
    <w:p>
      <w:pPr>
        <w:ind w:right="100"/>
        <w:spacing w:after="0" w:line="231" w:lineRule="auto"/>
        <w:rPr>
          <w:sz w:val="20"/>
          <w:szCs w:val="20"/>
          <w:color w:val="auto"/>
        </w:rPr>
      </w:pPr>
      <w:r>
        <w:rPr>
          <w:rFonts w:ascii="Arial" w:cs="Arial" w:eastAsia="Arial" w:hAnsi="Arial"/>
          <w:sz w:val="13"/>
          <w:szCs w:val="13"/>
          <w:color w:val="auto"/>
        </w:rPr>
        <w:t>Incorporated herein by reference to Exhibit 10.1 to the Company’s Current Report on Form 8-K filed on December 29, 2022.</w:t>
      </w:r>
    </w:p>
    <w:p>
      <w:pPr>
        <w:spacing w:after="0" w:line="200" w:lineRule="exact"/>
        <w:rPr>
          <w:sz w:val="20"/>
          <w:szCs w:val="20"/>
          <w:color w:val="auto"/>
        </w:rPr>
      </w:pPr>
    </w:p>
    <w:p>
      <w:pPr>
        <w:sectPr>
          <w:pgSz w:w="11900" w:h="16838" w:orient="portrait"/>
          <w:cols w:equalWidth="0" w:num="2">
            <w:col w:w="6760" w:space="140"/>
            <w:col w:w="4300"/>
          </w:cols>
          <w:pgMar w:left="340" w:top="754" w:right="35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60960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54" w:right="359" w:bottom="1440" w:gutter="0" w:footer="0" w:header="0"/>
          <w:type w:val="continuous"/>
        </w:sectPr>
      </w:pPr>
    </w:p>
    <w:bookmarkStart w:id="135" w:name="page136"/>
    <w:bookmarkEnd w:id="135"/>
    <w:tbl>
      <w:tblPr>
        <w:tblLayout w:type="fixed"/>
        <w:tblInd w:w="21" w:type="dxa"/>
        <w:tblCellMar>
          <w:top w:w="0" w:type="dxa"/>
          <w:left w:w="0" w:type="dxa"/>
          <w:bottom w:w="0" w:type="dxa"/>
          <w:right w:w="0" w:type="dxa"/>
        </w:tblCellMar>
      </w:tblPr>
      <w:tr>
        <w:trPr>
          <w:trHeight w:val="149"/>
        </w:trPr>
        <w:tc>
          <w:tcPr>
            <w:tcW w:w="1000" w:type="dxa"/>
            <w:vAlign w:val="bottom"/>
          </w:tcPr>
          <w:p>
            <w:pPr>
              <w:jc w:val="right"/>
              <w:ind w:right="656"/>
              <w:spacing w:after="0"/>
              <w:rPr>
                <w:sz w:val="20"/>
                <w:szCs w:val="20"/>
                <w:color w:val="auto"/>
              </w:rPr>
            </w:pPr>
            <w:r>
              <w:rPr>
                <w:rFonts w:ascii="Arial" w:cs="Arial" w:eastAsia="Arial" w:hAnsi="Arial"/>
                <w:sz w:val="13"/>
                <w:szCs w:val="13"/>
                <w:color w:val="auto"/>
                <w:w w:val="79"/>
              </w:rPr>
              <w:t>10.39</w:t>
            </w:r>
          </w:p>
        </w:tc>
        <w:tc>
          <w:tcPr>
            <w:tcW w:w="5680" w:type="dxa"/>
            <w:vAlign w:val="bottom"/>
            <w:gridSpan w:val="3"/>
          </w:tcPr>
          <w:p>
            <w:pPr>
              <w:spacing w:after="0"/>
              <w:rPr>
                <w:sz w:val="20"/>
                <w:szCs w:val="20"/>
                <w:color w:val="auto"/>
              </w:rPr>
            </w:pPr>
            <w:r>
              <w:rPr>
                <w:rFonts w:ascii="Arial" w:cs="Arial" w:eastAsia="Arial" w:hAnsi="Arial"/>
                <w:sz w:val="13"/>
                <w:szCs w:val="13"/>
                <w:color w:val="0000FF"/>
                <w:w w:val="90"/>
              </w:rPr>
              <w:t>Amended and Restated Master Services Agreement, dated as of February 2, 2023, by and among Clearway</w:t>
            </w:r>
          </w:p>
        </w:tc>
        <w:tc>
          <w:tcPr>
            <w:tcW w:w="1000" w:type="dxa"/>
            <w:vAlign w:val="bottom"/>
          </w:tcPr>
          <w:p>
            <w:pPr>
              <w:ind w:left="220"/>
              <w:spacing w:after="0"/>
              <w:rPr>
                <w:sz w:val="20"/>
                <w:szCs w:val="20"/>
                <w:color w:val="auto"/>
              </w:rPr>
            </w:pPr>
            <w:r>
              <w:rPr>
                <w:rFonts w:ascii="Arial" w:cs="Arial" w:eastAsia="Arial" w:hAnsi="Arial"/>
                <w:sz w:val="13"/>
                <w:szCs w:val="13"/>
                <w:color w:val="auto"/>
                <w:w w:val="89"/>
              </w:rPr>
              <w:t>Filed herewith.</w:t>
            </w:r>
          </w:p>
        </w:tc>
      </w:tr>
      <w:tr>
        <w:trPr>
          <w:trHeight w:val="107"/>
        </w:trPr>
        <w:tc>
          <w:tcPr>
            <w:tcW w:w="1000" w:type="dxa"/>
            <w:vAlign w:val="bottom"/>
          </w:tcPr>
          <w:p>
            <w:pPr>
              <w:spacing w:after="0"/>
              <w:rPr>
                <w:sz w:val="9"/>
                <w:szCs w:val="9"/>
                <w:color w:val="auto"/>
              </w:rPr>
            </w:pPr>
          </w:p>
        </w:tc>
        <w:tc>
          <w:tcPr>
            <w:tcW w:w="5400" w:type="dxa"/>
            <w:vAlign w:val="bottom"/>
            <w:tcBorders>
              <w:top w:val="single" w:sz="8" w:color="0000FF"/>
              <w:bottom w:val="single" w:sz="8" w:color="0000FF"/>
            </w:tcBorders>
          </w:tcPr>
          <w:p>
            <w:pPr>
              <w:spacing w:after="0" w:line="107" w:lineRule="exact"/>
              <w:rPr>
                <w:sz w:val="20"/>
                <w:szCs w:val="20"/>
                <w:color w:val="auto"/>
              </w:rPr>
            </w:pPr>
            <w:r>
              <w:rPr>
                <w:rFonts w:ascii="Arial" w:cs="Arial" w:eastAsia="Arial" w:hAnsi="Arial"/>
                <w:sz w:val="12"/>
                <w:szCs w:val="12"/>
                <w:color w:val="0000FF"/>
                <w:w w:val="97"/>
              </w:rPr>
              <w:t>Energy Group LLC, Clearway Energy, Inc., Clearway Energy LLC and Clearway Energy Operating LLC.</w:t>
            </w:r>
          </w:p>
        </w:tc>
        <w:tc>
          <w:tcPr>
            <w:tcW w:w="60" w:type="dxa"/>
            <w:vAlign w:val="bottom"/>
            <w:tcBorders>
              <w:top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spacing w:after="0" w:line="10" w:lineRule="exact"/>
        <w:rPr>
          <w:sz w:val="20"/>
          <w:szCs w:val="20"/>
          <w:color w:val="auto"/>
        </w:rPr>
      </w:pPr>
    </w:p>
    <w:p>
      <w:pPr>
        <w:sectPr>
          <w:pgSz w:w="11900" w:h="16838" w:orient="portrait"/>
          <w:cols w:equalWidth="0" w:num="1">
            <w:col w:w="11121"/>
          </w:cols>
          <w:pgMar w:left="319" w:top="754" w:right="459" w:bottom="1440" w:gutter="0" w:footer="0" w:header="0"/>
        </w:sectPr>
      </w:pPr>
    </w:p>
    <w:tbl>
      <w:tblPr>
        <w:tblLayout w:type="fixed"/>
        <w:tblInd w:w="21" w:type="dxa"/>
        <w:tblCellMar>
          <w:top w:w="0" w:type="dxa"/>
          <w:left w:w="0" w:type="dxa"/>
          <w:bottom w:w="0" w:type="dxa"/>
          <w:right w:w="0" w:type="dxa"/>
        </w:tblCellMar>
      </w:tblPr>
      <w:tr>
        <w:trPr>
          <w:trHeight w:val="149"/>
        </w:trPr>
        <w:tc>
          <w:tcPr>
            <w:tcW w:w="1000" w:type="dxa"/>
            <w:vAlign w:val="bottom"/>
          </w:tcPr>
          <w:p>
            <w:pPr>
              <w:spacing w:after="0"/>
              <w:rPr>
                <w:sz w:val="20"/>
                <w:szCs w:val="20"/>
                <w:color w:val="auto"/>
              </w:rPr>
            </w:pPr>
            <w:r>
              <w:rPr>
                <w:rFonts w:ascii="Arial" w:cs="Arial" w:eastAsia="Arial" w:hAnsi="Arial"/>
                <w:sz w:val="13"/>
                <w:szCs w:val="13"/>
                <w:color w:val="auto"/>
              </w:rPr>
              <w:t>10.40</w:t>
            </w:r>
          </w:p>
        </w:tc>
        <w:tc>
          <w:tcPr>
            <w:tcW w:w="5480" w:type="dxa"/>
            <w:vAlign w:val="bottom"/>
            <w:gridSpan w:val="4"/>
          </w:tcPr>
          <w:p>
            <w:pPr>
              <w:spacing w:after="0"/>
              <w:rPr>
                <w:sz w:val="20"/>
                <w:szCs w:val="20"/>
                <w:color w:val="auto"/>
              </w:rPr>
            </w:pPr>
            <w:r>
              <w:rPr>
                <w:rFonts w:ascii="Arial" w:cs="Arial" w:eastAsia="Arial" w:hAnsi="Arial"/>
                <w:sz w:val="13"/>
                <w:szCs w:val="13"/>
                <w:color w:val="0000FF"/>
                <w:w w:val="87"/>
              </w:rPr>
              <w:t>Amended and Restated Master Services Agreement, dated as of February 2, 2023, by and among Clearway</w:t>
            </w:r>
          </w:p>
        </w:tc>
      </w:tr>
      <w:tr>
        <w:trPr>
          <w:trHeight w:val="107"/>
        </w:trPr>
        <w:tc>
          <w:tcPr>
            <w:tcW w:w="1000" w:type="dxa"/>
            <w:vAlign w:val="bottom"/>
          </w:tcPr>
          <w:p>
            <w:pPr>
              <w:spacing w:after="0"/>
              <w:rPr>
                <w:sz w:val="9"/>
                <w:szCs w:val="9"/>
                <w:color w:val="auto"/>
              </w:rPr>
            </w:pPr>
          </w:p>
        </w:tc>
        <w:tc>
          <w:tcPr>
            <w:tcW w:w="5400" w:type="dxa"/>
            <w:vAlign w:val="bottom"/>
            <w:tcBorders>
              <w:top w:val="single" w:sz="8" w:color="0000FF"/>
              <w:bottom w:val="single" w:sz="8" w:color="0000FF"/>
            </w:tcBorders>
            <w:gridSpan w:val="2"/>
          </w:tcPr>
          <w:p>
            <w:pPr>
              <w:spacing w:after="0" w:line="107" w:lineRule="exact"/>
              <w:rPr>
                <w:sz w:val="20"/>
                <w:szCs w:val="20"/>
                <w:color w:val="auto"/>
              </w:rPr>
            </w:pPr>
            <w:r>
              <w:rPr>
                <w:rFonts w:ascii="Arial" w:cs="Arial" w:eastAsia="Arial" w:hAnsi="Arial"/>
                <w:sz w:val="12"/>
                <w:szCs w:val="12"/>
                <w:color w:val="0000FF"/>
                <w:w w:val="97"/>
              </w:rPr>
              <w:t>Energy, Inc., Clearway Energy LLC, Clearway Energy Operating LLC and Clearway Energy Group LLC.</w:t>
            </w:r>
          </w:p>
        </w:tc>
        <w:tc>
          <w:tcPr>
            <w:tcW w:w="6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Arial" w:cs="Arial" w:eastAsia="Arial" w:hAnsi="Arial"/>
                <w:sz w:val="13"/>
                <w:szCs w:val="13"/>
                <w:color w:val="auto"/>
              </w:rPr>
              <w:t>16.1</w:t>
            </w:r>
          </w:p>
        </w:tc>
        <w:tc>
          <w:tcPr>
            <w:tcW w:w="5480" w:type="dxa"/>
            <w:vAlign w:val="bottom"/>
            <w:gridSpan w:val="4"/>
          </w:tcPr>
          <w:p>
            <w:pPr>
              <w:spacing w:after="0"/>
              <w:rPr>
                <w:rFonts w:ascii="Arial" w:cs="Arial" w:eastAsia="Arial" w:hAnsi="Arial"/>
                <w:sz w:val="13"/>
                <w:szCs w:val="13"/>
                <w:color w:val="0000FF"/>
              </w:rPr>
            </w:pPr>
            <w:hyperlink r:id="rId263">
              <w:r>
                <w:rPr>
                  <w:rFonts w:ascii="Arial" w:cs="Arial" w:eastAsia="Arial" w:hAnsi="Arial"/>
                  <w:sz w:val="13"/>
                  <w:szCs w:val="13"/>
                  <w:color w:val="0000FF"/>
                </w:rPr>
                <w:t>Letter from KPMG LLP, dated March 15, 2021.</w:t>
              </w:r>
            </w:hyperlink>
          </w:p>
        </w:tc>
      </w:tr>
      <w:tr>
        <w:trPr>
          <w:trHeight w:val="20"/>
        </w:trPr>
        <w:tc>
          <w:tcPr>
            <w:tcW w:w="100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Filed herewith.</w:t>
      </w:r>
    </w:p>
    <w:p>
      <w:pPr>
        <w:spacing w:after="0" w:line="148" w:lineRule="exact"/>
        <w:rPr>
          <w:sz w:val="20"/>
          <w:szCs w:val="20"/>
          <w:color w:val="auto"/>
        </w:rPr>
      </w:pPr>
    </w:p>
    <w:p>
      <w:pPr>
        <w:spacing w:after="0" w:line="231" w:lineRule="auto"/>
        <w:rPr>
          <w:sz w:val="20"/>
          <w:szCs w:val="20"/>
          <w:color w:val="auto"/>
        </w:rPr>
      </w:pPr>
      <w:r>
        <w:rPr>
          <w:rFonts w:ascii="Arial" w:cs="Arial" w:eastAsia="Arial" w:hAnsi="Arial"/>
          <w:sz w:val="13"/>
          <w:szCs w:val="13"/>
          <w:color w:val="auto"/>
        </w:rPr>
        <w:t>Incorporated herein by reference to Exhibit 16.1 to the Company’s Current Report on Form 8-K filed on March 15, 2021.</w:t>
      </w:r>
    </w:p>
    <w:p>
      <w:pPr>
        <w:spacing w:after="0" w:line="1" w:lineRule="exact"/>
        <w:rPr>
          <w:sz w:val="20"/>
          <w:szCs w:val="20"/>
          <w:color w:val="auto"/>
        </w:rPr>
      </w:pPr>
    </w:p>
    <w:p>
      <w:pPr>
        <w:sectPr>
          <w:pgSz w:w="11900" w:h="16838" w:orient="portrait"/>
          <w:cols w:equalWidth="0" w:num="2">
            <w:col w:w="6481" w:space="440"/>
            <w:col w:w="4200"/>
          </w:cols>
          <w:pgMar w:left="319" w:top="754" w:right="459" w:bottom="1440" w:gutter="0" w:footer="0" w:header="0"/>
          <w:type w:val="continuous"/>
        </w:sectPr>
      </w:pPr>
    </w:p>
    <w:tbl>
      <w:tblPr>
        <w:tblLayout w:type="fixed"/>
        <w:tblInd w:w="21" w:type="dxa"/>
        <w:tblCellMar>
          <w:top w:w="0" w:type="dxa"/>
          <w:left w:w="0" w:type="dxa"/>
          <w:bottom w:w="0" w:type="dxa"/>
          <w:right w:w="0" w:type="dxa"/>
        </w:tblCellMar>
      </w:tblPr>
      <w:tr>
        <w:trPr>
          <w:trHeight w:val="143"/>
        </w:trPr>
        <w:tc>
          <w:tcPr>
            <w:tcW w:w="220" w:type="dxa"/>
            <w:vAlign w:val="bottom"/>
          </w:tcPr>
          <w:p>
            <w:pPr>
              <w:spacing w:after="0" w:line="144" w:lineRule="exact"/>
              <w:rPr>
                <w:sz w:val="20"/>
                <w:szCs w:val="20"/>
                <w:color w:val="auto"/>
              </w:rPr>
            </w:pPr>
            <w:r>
              <w:rPr>
                <w:rFonts w:ascii="Arial" w:cs="Arial" w:eastAsia="Arial" w:hAnsi="Arial"/>
                <w:sz w:val="13"/>
                <w:szCs w:val="13"/>
                <w:color w:val="auto"/>
                <w:w w:val="78"/>
              </w:rPr>
              <w:t>21.1</w:t>
            </w:r>
          </w:p>
        </w:tc>
        <w:tc>
          <w:tcPr>
            <w:tcW w:w="780" w:type="dxa"/>
            <w:vAlign w:val="bottom"/>
          </w:tcPr>
          <w:p>
            <w:pPr>
              <w:spacing w:after="0"/>
              <w:rPr>
                <w:sz w:val="12"/>
                <w:szCs w:val="12"/>
                <w:color w:val="auto"/>
              </w:rPr>
            </w:pPr>
          </w:p>
        </w:tc>
        <w:tc>
          <w:tcPr>
            <w:tcW w:w="4560" w:type="dxa"/>
            <w:vAlign w:val="bottom"/>
            <w:gridSpan w:val="6"/>
          </w:tcPr>
          <w:p>
            <w:pPr>
              <w:spacing w:after="0" w:line="144" w:lineRule="exact"/>
              <w:rPr>
                <w:sz w:val="20"/>
                <w:szCs w:val="20"/>
                <w:color w:val="auto"/>
              </w:rPr>
            </w:pPr>
            <w:r>
              <w:rPr>
                <w:rFonts w:ascii="Arial" w:cs="Arial" w:eastAsia="Arial" w:hAnsi="Arial"/>
                <w:sz w:val="13"/>
                <w:szCs w:val="13"/>
                <w:color w:val="0000FF"/>
              </w:rPr>
              <w:t>Subsidiaries of Clearway Energy LLC.</w:t>
            </w:r>
          </w:p>
        </w:tc>
        <w:tc>
          <w:tcPr>
            <w:tcW w:w="4840" w:type="dxa"/>
            <w:vAlign w:val="bottom"/>
          </w:tcPr>
          <w:p>
            <w:pPr>
              <w:ind w:left="1340"/>
              <w:spacing w:after="0" w:line="144" w:lineRule="exact"/>
              <w:rPr>
                <w:sz w:val="20"/>
                <w:szCs w:val="20"/>
                <w:color w:val="auto"/>
              </w:rPr>
            </w:pPr>
            <w:r>
              <w:rPr>
                <w:rFonts w:ascii="Arial" w:cs="Arial" w:eastAsia="Arial" w:hAnsi="Arial"/>
                <w:sz w:val="13"/>
                <w:szCs w:val="13"/>
                <w:color w:val="auto"/>
              </w:rPr>
              <w:t>Filed herewith.</w:t>
            </w:r>
          </w:p>
        </w:tc>
      </w:tr>
      <w:tr>
        <w:trPr>
          <w:trHeight w:val="150"/>
        </w:trPr>
        <w:tc>
          <w:tcPr>
            <w:tcW w:w="220" w:type="dxa"/>
            <w:vAlign w:val="bottom"/>
          </w:tcPr>
          <w:p>
            <w:pPr>
              <w:spacing w:after="0"/>
              <w:rPr>
                <w:sz w:val="20"/>
                <w:szCs w:val="20"/>
                <w:color w:val="auto"/>
              </w:rPr>
            </w:pPr>
            <w:r>
              <w:rPr>
                <w:rFonts w:ascii="Arial" w:cs="Arial" w:eastAsia="Arial" w:hAnsi="Arial"/>
                <w:sz w:val="13"/>
                <w:szCs w:val="13"/>
                <w:color w:val="auto"/>
                <w:w w:val="78"/>
              </w:rPr>
              <w:t>24.1</w:t>
            </w:r>
          </w:p>
        </w:tc>
        <w:tc>
          <w:tcPr>
            <w:tcW w:w="780" w:type="dxa"/>
            <w:vAlign w:val="bottom"/>
          </w:tcPr>
          <w:p>
            <w:pPr>
              <w:spacing w:after="0"/>
              <w:rPr>
                <w:sz w:val="13"/>
                <w:szCs w:val="13"/>
                <w:color w:val="auto"/>
              </w:rPr>
            </w:pPr>
          </w:p>
        </w:tc>
        <w:tc>
          <w:tcPr>
            <w:tcW w:w="9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3"/>
                <w:szCs w:val="13"/>
                <w:color w:val="0000FF"/>
                <w:w w:val="89"/>
              </w:rPr>
              <w:t>Power of Attorney.</w:t>
            </w:r>
          </w:p>
        </w:tc>
        <w:tc>
          <w:tcPr>
            <w:tcW w:w="1000" w:type="dxa"/>
            <w:vAlign w:val="bottom"/>
            <w:tcBorders>
              <w:top w:val="single" w:sz="8" w:color="0000FF"/>
            </w:tcBorders>
            <w:gridSpan w:val="2"/>
          </w:tcPr>
          <w:p>
            <w:pPr>
              <w:spacing w:after="0"/>
              <w:rPr>
                <w:sz w:val="13"/>
                <w:szCs w:val="13"/>
                <w:color w:val="auto"/>
              </w:rPr>
            </w:pPr>
          </w:p>
        </w:tc>
        <w:tc>
          <w:tcPr>
            <w:tcW w:w="2580" w:type="dxa"/>
            <w:vAlign w:val="bottom"/>
            <w:gridSpan w:val="3"/>
          </w:tcPr>
          <w:p>
            <w:pPr>
              <w:spacing w:after="0"/>
              <w:rPr>
                <w:sz w:val="13"/>
                <w:szCs w:val="13"/>
                <w:color w:val="auto"/>
              </w:rPr>
            </w:pPr>
          </w:p>
        </w:tc>
        <w:tc>
          <w:tcPr>
            <w:tcW w:w="4840" w:type="dxa"/>
            <w:vAlign w:val="bottom"/>
          </w:tcPr>
          <w:p>
            <w:pPr>
              <w:ind w:left="1340"/>
              <w:spacing w:after="0"/>
              <w:rPr>
                <w:sz w:val="20"/>
                <w:szCs w:val="20"/>
                <w:color w:val="auto"/>
              </w:rPr>
            </w:pPr>
            <w:r>
              <w:rPr>
                <w:rFonts w:ascii="Arial" w:cs="Arial" w:eastAsia="Arial" w:hAnsi="Arial"/>
                <w:sz w:val="13"/>
                <w:szCs w:val="13"/>
                <w:color w:val="auto"/>
                <w:w w:val="89"/>
              </w:rPr>
              <w:t>Included on the signature page of this Annual Report on Form 10-K.</w:t>
            </w:r>
          </w:p>
        </w:tc>
      </w:tr>
      <w:tr>
        <w:trPr>
          <w:trHeight w:val="150"/>
        </w:trPr>
        <w:tc>
          <w:tcPr>
            <w:tcW w:w="220" w:type="dxa"/>
            <w:vAlign w:val="bottom"/>
          </w:tcPr>
          <w:p>
            <w:pPr>
              <w:spacing w:after="0"/>
              <w:rPr>
                <w:sz w:val="20"/>
                <w:szCs w:val="20"/>
                <w:color w:val="auto"/>
              </w:rPr>
            </w:pPr>
            <w:r>
              <w:rPr>
                <w:rFonts w:ascii="Arial" w:cs="Arial" w:eastAsia="Arial" w:hAnsi="Arial"/>
                <w:sz w:val="13"/>
                <w:szCs w:val="13"/>
                <w:color w:val="auto"/>
                <w:w w:val="78"/>
              </w:rPr>
              <w:t>31.1</w:t>
            </w:r>
          </w:p>
        </w:tc>
        <w:tc>
          <w:tcPr>
            <w:tcW w:w="780" w:type="dxa"/>
            <w:vAlign w:val="bottom"/>
          </w:tcPr>
          <w:p>
            <w:pPr>
              <w:spacing w:after="0"/>
              <w:rPr>
                <w:sz w:val="13"/>
                <w:szCs w:val="13"/>
                <w:color w:val="auto"/>
              </w:rPr>
            </w:pPr>
          </w:p>
        </w:tc>
        <w:tc>
          <w:tcPr>
            <w:tcW w:w="322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89"/>
              </w:rPr>
              <w:t>Rule 13a-14(a)/15d-14(a) certification of Christopher S. Sotos.</w:t>
            </w:r>
          </w:p>
        </w:tc>
        <w:tc>
          <w:tcPr>
            <w:tcW w:w="1340" w:type="dxa"/>
            <w:vAlign w:val="bottom"/>
          </w:tcPr>
          <w:p>
            <w:pPr>
              <w:spacing w:after="0"/>
              <w:rPr>
                <w:sz w:val="13"/>
                <w:szCs w:val="13"/>
                <w:color w:val="auto"/>
              </w:rPr>
            </w:pPr>
          </w:p>
        </w:tc>
        <w:tc>
          <w:tcPr>
            <w:tcW w:w="4840" w:type="dxa"/>
            <w:vAlign w:val="bottom"/>
          </w:tcPr>
          <w:p>
            <w:pPr>
              <w:ind w:left="1340"/>
              <w:spacing w:after="0"/>
              <w:rPr>
                <w:sz w:val="20"/>
                <w:szCs w:val="20"/>
                <w:color w:val="auto"/>
              </w:rPr>
            </w:pPr>
            <w:r>
              <w:rPr>
                <w:rFonts w:ascii="Arial" w:cs="Arial" w:eastAsia="Arial" w:hAnsi="Arial"/>
                <w:sz w:val="13"/>
                <w:szCs w:val="13"/>
                <w:color w:val="auto"/>
              </w:rPr>
              <w:t>Filed herewith.</w:t>
            </w:r>
          </w:p>
        </w:tc>
      </w:tr>
      <w:tr>
        <w:trPr>
          <w:trHeight w:val="150"/>
        </w:trPr>
        <w:tc>
          <w:tcPr>
            <w:tcW w:w="220" w:type="dxa"/>
            <w:vAlign w:val="bottom"/>
          </w:tcPr>
          <w:p>
            <w:pPr>
              <w:spacing w:after="0"/>
              <w:rPr>
                <w:sz w:val="20"/>
                <w:szCs w:val="20"/>
                <w:color w:val="auto"/>
              </w:rPr>
            </w:pPr>
            <w:r>
              <w:rPr>
                <w:rFonts w:ascii="Arial" w:cs="Arial" w:eastAsia="Arial" w:hAnsi="Arial"/>
                <w:sz w:val="13"/>
                <w:szCs w:val="13"/>
                <w:color w:val="auto"/>
                <w:w w:val="78"/>
              </w:rPr>
              <w:t>31.2</w:t>
            </w:r>
          </w:p>
        </w:tc>
        <w:tc>
          <w:tcPr>
            <w:tcW w:w="780" w:type="dxa"/>
            <w:vAlign w:val="bottom"/>
          </w:tcPr>
          <w:p>
            <w:pPr>
              <w:spacing w:after="0"/>
              <w:rPr>
                <w:sz w:val="13"/>
                <w:szCs w:val="13"/>
                <w:color w:val="auto"/>
              </w:rPr>
            </w:pPr>
          </w:p>
        </w:tc>
        <w:tc>
          <w:tcPr>
            <w:tcW w:w="306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88"/>
              </w:rPr>
              <w:t>Rule 13a-14(a)/15d-14(a) certification of Sarah Rubenstein.</w:t>
            </w:r>
          </w:p>
        </w:tc>
        <w:tc>
          <w:tcPr>
            <w:tcW w:w="1500" w:type="dxa"/>
            <w:vAlign w:val="bottom"/>
            <w:gridSpan w:val="2"/>
          </w:tcPr>
          <w:p>
            <w:pPr>
              <w:spacing w:after="0"/>
              <w:rPr>
                <w:sz w:val="13"/>
                <w:szCs w:val="13"/>
                <w:color w:val="auto"/>
              </w:rPr>
            </w:pPr>
          </w:p>
        </w:tc>
        <w:tc>
          <w:tcPr>
            <w:tcW w:w="4840" w:type="dxa"/>
            <w:vAlign w:val="bottom"/>
          </w:tcPr>
          <w:p>
            <w:pPr>
              <w:ind w:left="1340"/>
              <w:spacing w:after="0"/>
              <w:rPr>
                <w:sz w:val="20"/>
                <w:szCs w:val="20"/>
                <w:color w:val="auto"/>
              </w:rPr>
            </w:pPr>
            <w:r>
              <w:rPr>
                <w:rFonts w:ascii="Arial" w:cs="Arial" w:eastAsia="Arial" w:hAnsi="Arial"/>
                <w:sz w:val="13"/>
                <w:szCs w:val="13"/>
                <w:color w:val="auto"/>
              </w:rPr>
              <w:t>Filed herewith.</w:t>
            </w:r>
          </w:p>
        </w:tc>
      </w:tr>
      <w:tr>
        <w:trPr>
          <w:trHeight w:val="150"/>
        </w:trPr>
        <w:tc>
          <w:tcPr>
            <w:tcW w:w="220" w:type="dxa"/>
            <w:vAlign w:val="bottom"/>
          </w:tcPr>
          <w:p>
            <w:pPr>
              <w:spacing w:after="0"/>
              <w:rPr>
                <w:sz w:val="20"/>
                <w:szCs w:val="20"/>
                <w:color w:val="auto"/>
              </w:rPr>
            </w:pPr>
            <w:r>
              <w:rPr>
                <w:rFonts w:ascii="Arial" w:cs="Arial" w:eastAsia="Arial" w:hAnsi="Arial"/>
                <w:sz w:val="13"/>
                <w:szCs w:val="13"/>
                <w:color w:val="auto"/>
              </w:rPr>
              <w:t>32</w:t>
            </w:r>
          </w:p>
        </w:tc>
        <w:tc>
          <w:tcPr>
            <w:tcW w:w="780" w:type="dxa"/>
            <w:vAlign w:val="bottom"/>
          </w:tcPr>
          <w:p>
            <w:pPr>
              <w:spacing w:after="0"/>
              <w:rPr>
                <w:sz w:val="13"/>
                <w:szCs w:val="13"/>
                <w:color w:val="auto"/>
              </w:rPr>
            </w:pPr>
          </w:p>
        </w:tc>
        <w:tc>
          <w:tcPr>
            <w:tcW w:w="4560" w:type="dxa"/>
            <w:vAlign w:val="bottom"/>
            <w:gridSpan w:val="6"/>
          </w:tcPr>
          <w:p>
            <w:pPr>
              <w:spacing w:after="0"/>
              <w:rPr>
                <w:sz w:val="20"/>
                <w:szCs w:val="20"/>
                <w:color w:val="auto"/>
              </w:rPr>
            </w:pPr>
            <w:r>
              <w:rPr>
                <w:rFonts w:ascii="Arial" w:cs="Arial" w:eastAsia="Arial" w:hAnsi="Arial"/>
                <w:sz w:val="13"/>
                <w:szCs w:val="13"/>
                <w:color w:val="0000FF"/>
              </w:rPr>
              <w:t>Section 1350 Certification.</w:t>
            </w:r>
          </w:p>
        </w:tc>
        <w:tc>
          <w:tcPr>
            <w:tcW w:w="4840" w:type="dxa"/>
            <w:vAlign w:val="bottom"/>
          </w:tcPr>
          <w:p>
            <w:pPr>
              <w:ind w:left="1340"/>
              <w:spacing w:after="0"/>
              <w:rPr>
                <w:sz w:val="20"/>
                <w:szCs w:val="20"/>
                <w:color w:val="auto"/>
              </w:rPr>
            </w:pPr>
            <w:r>
              <w:rPr>
                <w:rFonts w:ascii="Arial" w:cs="Arial" w:eastAsia="Arial" w:hAnsi="Arial"/>
                <w:sz w:val="13"/>
                <w:szCs w:val="13"/>
                <w:color w:val="auto"/>
              </w:rPr>
              <w:t>Furnished herewith.</w:t>
            </w:r>
          </w:p>
        </w:tc>
      </w:tr>
      <w:tr>
        <w:trPr>
          <w:trHeight w:val="20"/>
        </w:trPr>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77"/>
        </w:trPr>
        <w:tc>
          <w:tcPr>
            <w:tcW w:w="220" w:type="dxa"/>
            <w:vAlign w:val="bottom"/>
          </w:tcPr>
          <w:p>
            <w:pPr>
              <w:spacing w:after="0"/>
              <w:rPr>
                <w:sz w:val="20"/>
                <w:szCs w:val="20"/>
                <w:color w:val="auto"/>
              </w:rPr>
            </w:pPr>
            <w:r>
              <w:rPr>
                <w:rFonts w:ascii="Arial" w:cs="Arial" w:eastAsia="Arial" w:hAnsi="Arial"/>
                <w:sz w:val="13"/>
                <w:szCs w:val="13"/>
                <w:color w:val="auto"/>
                <w:w w:val="92"/>
              </w:rPr>
              <w:t>101</w:t>
            </w:r>
          </w:p>
        </w:tc>
        <w:tc>
          <w:tcPr>
            <w:tcW w:w="780" w:type="dxa"/>
            <w:vAlign w:val="bottom"/>
          </w:tcPr>
          <w:p>
            <w:pPr>
              <w:spacing w:after="0"/>
              <w:rPr>
                <w:sz w:val="20"/>
                <w:szCs w:val="20"/>
                <w:color w:val="auto"/>
              </w:rPr>
            </w:pPr>
            <w:r>
              <w:rPr>
                <w:rFonts w:ascii="Arial" w:cs="Arial" w:eastAsia="Arial" w:hAnsi="Arial"/>
                <w:sz w:val="13"/>
                <w:szCs w:val="13"/>
                <w:color w:val="auto"/>
              </w:rPr>
              <w:t>INS</w:t>
            </w:r>
          </w:p>
        </w:tc>
        <w:tc>
          <w:tcPr>
            <w:tcW w:w="4560" w:type="dxa"/>
            <w:vAlign w:val="bottom"/>
            <w:gridSpan w:val="6"/>
          </w:tcPr>
          <w:p>
            <w:pPr>
              <w:spacing w:after="0"/>
              <w:rPr>
                <w:sz w:val="20"/>
                <w:szCs w:val="20"/>
                <w:color w:val="auto"/>
              </w:rPr>
            </w:pPr>
            <w:r>
              <w:rPr>
                <w:rFonts w:ascii="Arial" w:cs="Arial" w:eastAsia="Arial" w:hAnsi="Arial"/>
                <w:sz w:val="13"/>
                <w:szCs w:val="13"/>
                <w:color w:val="auto"/>
              </w:rPr>
              <w:t>Inline XBRL Instance Document.</w:t>
            </w:r>
          </w:p>
        </w:tc>
        <w:tc>
          <w:tcPr>
            <w:tcW w:w="4840" w:type="dxa"/>
            <w:vAlign w:val="bottom"/>
          </w:tcPr>
          <w:p>
            <w:pPr>
              <w:ind w:left="1340"/>
              <w:spacing w:after="0"/>
              <w:rPr>
                <w:sz w:val="20"/>
                <w:szCs w:val="20"/>
                <w:color w:val="auto"/>
              </w:rPr>
            </w:pPr>
            <w:r>
              <w:rPr>
                <w:rFonts w:ascii="Arial" w:cs="Arial" w:eastAsia="Arial" w:hAnsi="Arial"/>
                <w:sz w:val="13"/>
                <w:szCs w:val="13"/>
                <w:color w:val="auto"/>
              </w:rPr>
              <w:t>Filed herewith.</w:t>
            </w:r>
          </w:p>
        </w:tc>
      </w:tr>
      <w:tr>
        <w:trPr>
          <w:trHeight w:val="170"/>
        </w:trPr>
        <w:tc>
          <w:tcPr>
            <w:tcW w:w="220" w:type="dxa"/>
            <w:vAlign w:val="bottom"/>
          </w:tcPr>
          <w:p>
            <w:pPr>
              <w:spacing w:after="0"/>
              <w:rPr>
                <w:sz w:val="20"/>
                <w:szCs w:val="20"/>
                <w:color w:val="auto"/>
              </w:rPr>
            </w:pPr>
            <w:r>
              <w:rPr>
                <w:rFonts w:ascii="Arial" w:cs="Arial" w:eastAsia="Arial" w:hAnsi="Arial"/>
                <w:sz w:val="13"/>
                <w:szCs w:val="13"/>
                <w:color w:val="auto"/>
                <w:w w:val="92"/>
              </w:rPr>
              <w:t>101</w:t>
            </w:r>
          </w:p>
        </w:tc>
        <w:tc>
          <w:tcPr>
            <w:tcW w:w="780" w:type="dxa"/>
            <w:vAlign w:val="bottom"/>
          </w:tcPr>
          <w:p>
            <w:pPr>
              <w:spacing w:after="0"/>
              <w:rPr>
                <w:sz w:val="20"/>
                <w:szCs w:val="20"/>
                <w:color w:val="auto"/>
              </w:rPr>
            </w:pPr>
            <w:r>
              <w:rPr>
                <w:rFonts w:ascii="Arial" w:cs="Arial" w:eastAsia="Arial" w:hAnsi="Arial"/>
                <w:sz w:val="13"/>
                <w:szCs w:val="13"/>
                <w:color w:val="auto"/>
              </w:rPr>
              <w:t>SCH</w:t>
            </w:r>
          </w:p>
        </w:tc>
        <w:tc>
          <w:tcPr>
            <w:tcW w:w="4560" w:type="dxa"/>
            <w:vAlign w:val="bottom"/>
            <w:gridSpan w:val="6"/>
          </w:tcPr>
          <w:p>
            <w:pPr>
              <w:spacing w:after="0"/>
              <w:rPr>
                <w:sz w:val="20"/>
                <w:szCs w:val="20"/>
                <w:color w:val="auto"/>
              </w:rPr>
            </w:pPr>
            <w:r>
              <w:rPr>
                <w:rFonts w:ascii="Arial" w:cs="Arial" w:eastAsia="Arial" w:hAnsi="Arial"/>
                <w:sz w:val="13"/>
                <w:szCs w:val="13"/>
                <w:color w:val="auto"/>
              </w:rPr>
              <w:t>Inline XBRL Taxonomy Extension Schema.</w:t>
            </w:r>
          </w:p>
        </w:tc>
        <w:tc>
          <w:tcPr>
            <w:tcW w:w="4840" w:type="dxa"/>
            <w:vAlign w:val="bottom"/>
          </w:tcPr>
          <w:p>
            <w:pPr>
              <w:ind w:left="1340"/>
              <w:spacing w:after="0"/>
              <w:rPr>
                <w:sz w:val="20"/>
                <w:szCs w:val="20"/>
                <w:color w:val="auto"/>
              </w:rPr>
            </w:pPr>
            <w:r>
              <w:rPr>
                <w:rFonts w:ascii="Arial" w:cs="Arial" w:eastAsia="Arial" w:hAnsi="Arial"/>
                <w:sz w:val="13"/>
                <w:szCs w:val="13"/>
                <w:color w:val="auto"/>
              </w:rPr>
              <w:t>Filed herewith.</w:t>
            </w:r>
          </w:p>
        </w:tc>
      </w:tr>
      <w:tr>
        <w:trPr>
          <w:trHeight w:val="170"/>
        </w:trPr>
        <w:tc>
          <w:tcPr>
            <w:tcW w:w="220" w:type="dxa"/>
            <w:vAlign w:val="bottom"/>
          </w:tcPr>
          <w:p>
            <w:pPr>
              <w:spacing w:after="0"/>
              <w:rPr>
                <w:sz w:val="20"/>
                <w:szCs w:val="20"/>
                <w:color w:val="auto"/>
              </w:rPr>
            </w:pPr>
            <w:r>
              <w:rPr>
                <w:rFonts w:ascii="Arial" w:cs="Arial" w:eastAsia="Arial" w:hAnsi="Arial"/>
                <w:sz w:val="13"/>
                <w:szCs w:val="13"/>
                <w:color w:val="auto"/>
                <w:w w:val="92"/>
              </w:rPr>
              <w:t>101</w:t>
            </w:r>
          </w:p>
        </w:tc>
        <w:tc>
          <w:tcPr>
            <w:tcW w:w="780" w:type="dxa"/>
            <w:vAlign w:val="bottom"/>
          </w:tcPr>
          <w:p>
            <w:pPr>
              <w:spacing w:after="0"/>
              <w:rPr>
                <w:sz w:val="20"/>
                <w:szCs w:val="20"/>
                <w:color w:val="auto"/>
              </w:rPr>
            </w:pPr>
            <w:r>
              <w:rPr>
                <w:rFonts w:ascii="Arial" w:cs="Arial" w:eastAsia="Arial" w:hAnsi="Arial"/>
                <w:sz w:val="13"/>
                <w:szCs w:val="13"/>
                <w:color w:val="auto"/>
              </w:rPr>
              <w:t>CAL</w:t>
            </w:r>
          </w:p>
        </w:tc>
        <w:tc>
          <w:tcPr>
            <w:tcW w:w="4560" w:type="dxa"/>
            <w:vAlign w:val="bottom"/>
            <w:gridSpan w:val="6"/>
          </w:tcPr>
          <w:p>
            <w:pPr>
              <w:spacing w:after="0"/>
              <w:rPr>
                <w:sz w:val="20"/>
                <w:szCs w:val="20"/>
                <w:color w:val="auto"/>
              </w:rPr>
            </w:pPr>
            <w:r>
              <w:rPr>
                <w:rFonts w:ascii="Arial" w:cs="Arial" w:eastAsia="Arial" w:hAnsi="Arial"/>
                <w:sz w:val="13"/>
                <w:szCs w:val="13"/>
                <w:color w:val="auto"/>
              </w:rPr>
              <w:t>Inline XBRL Taxonomy Extension Calculation Linkbase.</w:t>
            </w:r>
          </w:p>
        </w:tc>
        <w:tc>
          <w:tcPr>
            <w:tcW w:w="4840" w:type="dxa"/>
            <w:vAlign w:val="bottom"/>
          </w:tcPr>
          <w:p>
            <w:pPr>
              <w:ind w:left="1340"/>
              <w:spacing w:after="0"/>
              <w:rPr>
                <w:sz w:val="20"/>
                <w:szCs w:val="20"/>
                <w:color w:val="auto"/>
              </w:rPr>
            </w:pPr>
            <w:r>
              <w:rPr>
                <w:rFonts w:ascii="Arial" w:cs="Arial" w:eastAsia="Arial" w:hAnsi="Arial"/>
                <w:sz w:val="13"/>
                <w:szCs w:val="13"/>
                <w:color w:val="auto"/>
              </w:rPr>
              <w:t>Filed herewith.</w:t>
            </w:r>
          </w:p>
        </w:tc>
      </w:tr>
      <w:tr>
        <w:trPr>
          <w:trHeight w:val="170"/>
        </w:trPr>
        <w:tc>
          <w:tcPr>
            <w:tcW w:w="220" w:type="dxa"/>
            <w:vAlign w:val="bottom"/>
          </w:tcPr>
          <w:p>
            <w:pPr>
              <w:spacing w:after="0"/>
              <w:rPr>
                <w:sz w:val="20"/>
                <w:szCs w:val="20"/>
                <w:color w:val="auto"/>
              </w:rPr>
            </w:pPr>
            <w:r>
              <w:rPr>
                <w:rFonts w:ascii="Arial" w:cs="Arial" w:eastAsia="Arial" w:hAnsi="Arial"/>
                <w:sz w:val="13"/>
                <w:szCs w:val="13"/>
                <w:color w:val="auto"/>
                <w:w w:val="92"/>
              </w:rPr>
              <w:t>101</w:t>
            </w:r>
          </w:p>
        </w:tc>
        <w:tc>
          <w:tcPr>
            <w:tcW w:w="780" w:type="dxa"/>
            <w:vAlign w:val="bottom"/>
          </w:tcPr>
          <w:p>
            <w:pPr>
              <w:spacing w:after="0"/>
              <w:rPr>
                <w:sz w:val="20"/>
                <w:szCs w:val="20"/>
                <w:color w:val="auto"/>
              </w:rPr>
            </w:pPr>
            <w:r>
              <w:rPr>
                <w:rFonts w:ascii="Arial" w:cs="Arial" w:eastAsia="Arial" w:hAnsi="Arial"/>
                <w:sz w:val="13"/>
                <w:szCs w:val="13"/>
                <w:color w:val="auto"/>
              </w:rPr>
              <w:t>DEF</w:t>
            </w:r>
          </w:p>
        </w:tc>
        <w:tc>
          <w:tcPr>
            <w:tcW w:w="4560" w:type="dxa"/>
            <w:vAlign w:val="bottom"/>
            <w:gridSpan w:val="6"/>
          </w:tcPr>
          <w:p>
            <w:pPr>
              <w:spacing w:after="0"/>
              <w:rPr>
                <w:sz w:val="20"/>
                <w:szCs w:val="20"/>
                <w:color w:val="auto"/>
              </w:rPr>
            </w:pPr>
            <w:r>
              <w:rPr>
                <w:rFonts w:ascii="Arial" w:cs="Arial" w:eastAsia="Arial" w:hAnsi="Arial"/>
                <w:sz w:val="13"/>
                <w:szCs w:val="13"/>
                <w:color w:val="auto"/>
              </w:rPr>
              <w:t>Inline XBRL Taxonomy Extension Definition Linkbase.</w:t>
            </w:r>
          </w:p>
        </w:tc>
        <w:tc>
          <w:tcPr>
            <w:tcW w:w="4840" w:type="dxa"/>
            <w:vAlign w:val="bottom"/>
          </w:tcPr>
          <w:p>
            <w:pPr>
              <w:ind w:left="1340"/>
              <w:spacing w:after="0"/>
              <w:rPr>
                <w:sz w:val="20"/>
                <w:szCs w:val="20"/>
                <w:color w:val="auto"/>
              </w:rPr>
            </w:pPr>
            <w:r>
              <w:rPr>
                <w:rFonts w:ascii="Arial" w:cs="Arial" w:eastAsia="Arial" w:hAnsi="Arial"/>
                <w:sz w:val="13"/>
                <w:szCs w:val="13"/>
                <w:color w:val="auto"/>
              </w:rPr>
              <w:t>Filed herewith.</w:t>
            </w:r>
          </w:p>
        </w:tc>
      </w:tr>
      <w:tr>
        <w:trPr>
          <w:trHeight w:val="170"/>
        </w:trPr>
        <w:tc>
          <w:tcPr>
            <w:tcW w:w="220" w:type="dxa"/>
            <w:vAlign w:val="bottom"/>
          </w:tcPr>
          <w:p>
            <w:pPr>
              <w:spacing w:after="0"/>
              <w:rPr>
                <w:sz w:val="20"/>
                <w:szCs w:val="20"/>
                <w:color w:val="auto"/>
              </w:rPr>
            </w:pPr>
            <w:r>
              <w:rPr>
                <w:rFonts w:ascii="Arial" w:cs="Arial" w:eastAsia="Arial" w:hAnsi="Arial"/>
                <w:sz w:val="13"/>
                <w:szCs w:val="13"/>
                <w:color w:val="auto"/>
                <w:w w:val="92"/>
              </w:rPr>
              <w:t>101</w:t>
            </w:r>
          </w:p>
        </w:tc>
        <w:tc>
          <w:tcPr>
            <w:tcW w:w="780" w:type="dxa"/>
            <w:vAlign w:val="bottom"/>
          </w:tcPr>
          <w:p>
            <w:pPr>
              <w:spacing w:after="0"/>
              <w:rPr>
                <w:sz w:val="20"/>
                <w:szCs w:val="20"/>
                <w:color w:val="auto"/>
              </w:rPr>
            </w:pPr>
            <w:r>
              <w:rPr>
                <w:rFonts w:ascii="Arial" w:cs="Arial" w:eastAsia="Arial" w:hAnsi="Arial"/>
                <w:sz w:val="13"/>
                <w:szCs w:val="13"/>
                <w:color w:val="auto"/>
              </w:rPr>
              <w:t>LAB</w:t>
            </w:r>
          </w:p>
        </w:tc>
        <w:tc>
          <w:tcPr>
            <w:tcW w:w="4560" w:type="dxa"/>
            <w:vAlign w:val="bottom"/>
            <w:gridSpan w:val="6"/>
          </w:tcPr>
          <w:p>
            <w:pPr>
              <w:spacing w:after="0"/>
              <w:rPr>
                <w:sz w:val="20"/>
                <w:szCs w:val="20"/>
                <w:color w:val="auto"/>
              </w:rPr>
            </w:pPr>
            <w:r>
              <w:rPr>
                <w:rFonts w:ascii="Arial" w:cs="Arial" w:eastAsia="Arial" w:hAnsi="Arial"/>
                <w:sz w:val="13"/>
                <w:szCs w:val="13"/>
                <w:color w:val="auto"/>
              </w:rPr>
              <w:t>Inline XBRL Taxonomy Extension Label Linkbase.</w:t>
            </w:r>
          </w:p>
        </w:tc>
        <w:tc>
          <w:tcPr>
            <w:tcW w:w="4840" w:type="dxa"/>
            <w:vAlign w:val="bottom"/>
          </w:tcPr>
          <w:p>
            <w:pPr>
              <w:ind w:left="1340"/>
              <w:spacing w:after="0"/>
              <w:rPr>
                <w:sz w:val="20"/>
                <w:szCs w:val="20"/>
                <w:color w:val="auto"/>
              </w:rPr>
            </w:pPr>
            <w:r>
              <w:rPr>
                <w:rFonts w:ascii="Arial" w:cs="Arial" w:eastAsia="Arial" w:hAnsi="Arial"/>
                <w:sz w:val="13"/>
                <w:szCs w:val="13"/>
                <w:color w:val="auto"/>
              </w:rPr>
              <w:t>Filed herewith.</w:t>
            </w:r>
          </w:p>
        </w:tc>
      </w:tr>
      <w:tr>
        <w:trPr>
          <w:trHeight w:val="170"/>
        </w:trPr>
        <w:tc>
          <w:tcPr>
            <w:tcW w:w="220" w:type="dxa"/>
            <w:vAlign w:val="bottom"/>
          </w:tcPr>
          <w:p>
            <w:pPr>
              <w:spacing w:after="0"/>
              <w:rPr>
                <w:sz w:val="20"/>
                <w:szCs w:val="20"/>
                <w:color w:val="auto"/>
              </w:rPr>
            </w:pPr>
            <w:r>
              <w:rPr>
                <w:rFonts w:ascii="Arial" w:cs="Arial" w:eastAsia="Arial" w:hAnsi="Arial"/>
                <w:sz w:val="13"/>
                <w:szCs w:val="13"/>
                <w:color w:val="auto"/>
                <w:w w:val="92"/>
              </w:rPr>
              <w:t>101</w:t>
            </w:r>
          </w:p>
        </w:tc>
        <w:tc>
          <w:tcPr>
            <w:tcW w:w="780" w:type="dxa"/>
            <w:vAlign w:val="bottom"/>
          </w:tcPr>
          <w:p>
            <w:pPr>
              <w:spacing w:after="0"/>
              <w:rPr>
                <w:sz w:val="20"/>
                <w:szCs w:val="20"/>
                <w:color w:val="auto"/>
              </w:rPr>
            </w:pPr>
            <w:r>
              <w:rPr>
                <w:rFonts w:ascii="Arial" w:cs="Arial" w:eastAsia="Arial" w:hAnsi="Arial"/>
                <w:sz w:val="13"/>
                <w:szCs w:val="13"/>
                <w:color w:val="auto"/>
              </w:rPr>
              <w:t>PRE</w:t>
            </w:r>
          </w:p>
        </w:tc>
        <w:tc>
          <w:tcPr>
            <w:tcW w:w="4560" w:type="dxa"/>
            <w:vAlign w:val="bottom"/>
            <w:gridSpan w:val="6"/>
          </w:tcPr>
          <w:p>
            <w:pPr>
              <w:spacing w:after="0"/>
              <w:rPr>
                <w:sz w:val="20"/>
                <w:szCs w:val="20"/>
                <w:color w:val="auto"/>
              </w:rPr>
            </w:pPr>
            <w:r>
              <w:rPr>
                <w:rFonts w:ascii="Arial" w:cs="Arial" w:eastAsia="Arial" w:hAnsi="Arial"/>
                <w:sz w:val="13"/>
                <w:szCs w:val="13"/>
                <w:color w:val="auto"/>
              </w:rPr>
              <w:t>Inline XBRL Taxonomy Extension Presentation Linkbase.</w:t>
            </w:r>
          </w:p>
        </w:tc>
        <w:tc>
          <w:tcPr>
            <w:tcW w:w="4840" w:type="dxa"/>
            <w:vAlign w:val="bottom"/>
          </w:tcPr>
          <w:p>
            <w:pPr>
              <w:ind w:left="1340"/>
              <w:spacing w:after="0"/>
              <w:rPr>
                <w:sz w:val="20"/>
                <w:szCs w:val="20"/>
                <w:color w:val="auto"/>
              </w:rPr>
            </w:pPr>
            <w:r>
              <w:rPr>
                <w:rFonts w:ascii="Arial" w:cs="Arial" w:eastAsia="Arial" w:hAnsi="Arial"/>
                <w:sz w:val="13"/>
                <w:szCs w:val="13"/>
                <w:color w:val="auto"/>
              </w:rPr>
              <w:t>Filed herewith.</w:t>
            </w:r>
          </w:p>
        </w:tc>
      </w:tr>
    </w:tbl>
    <w:p>
      <w:pPr>
        <w:spacing w:after="0" w:line="8" w:lineRule="exact"/>
        <w:rPr>
          <w:sz w:val="20"/>
          <w:szCs w:val="20"/>
          <w:color w:val="auto"/>
        </w:rPr>
      </w:pPr>
    </w:p>
    <w:p>
      <w:pPr>
        <w:ind w:left="1021" w:right="4420" w:hanging="1000"/>
        <w:spacing w:after="0" w:line="231" w:lineRule="auto"/>
        <w:tabs>
          <w:tab w:leader="none" w:pos="1021" w:val="left"/>
        </w:tabs>
        <w:numPr>
          <w:ilvl w:val="1"/>
          <w:numId w:val="79"/>
        </w:numPr>
        <w:rPr>
          <w:rFonts w:ascii="Arial" w:cs="Arial" w:eastAsia="Arial" w:hAnsi="Arial"/>
          <w:sz w:val="13"/>
          <w:szCs w:val="13"/>
          <w:color w:val="auto"/>
        </w:rPr>
      </w:pPr>
      <w:r>
        <w:rPr>
          <w:rFonts w:ascii="Arial" w:cs="Arial" w:eastAsia="Arial" w:hAnsi="Arial"/>
          <w:sz w:val="13"/>
          <w:szCs w:val="13"/>
          <w:color w:val="auto"/>
        </w:rPr>
        <w:t>Cover Page Interactive Data File (</w:t>
      </w:r>
      <w:r>
        <w:rPr>
          <w:rFonts w:ascii="Arial" w:cs="Arial" w:eastAsia="Arial" w:hAnsi="Arial"/>
          <w:sz w:val="13"/>
          <w:szCs w:val="13"/>
          <w:color w:val="212529"/>
        </w:rPr>
        <w:t>the cover page interactive data file does not appear in Exhibit 104 because its</w:t>
      </w:r>
      <w:r>
        <w:rPr>
          <w:rFonts w:ascii="Arial" w:cs="Arial" w:eastAsia="Arial" w:hAnsi="Arial"/>
          <w:sz w:val="13"/>
          <w:szCs w:val="13"/>
          <w:color w:val="auto"/>
        </w:rPr>
        <w:t xml:space="preserve"> </w:t>
      </w:r>
      <w:r>
        <w:rPr>
          <w:rFonts w:ascii="Arial" w:cs="Arial" w:eastAsia="Arial" w:hAnsi="Arial"/>
          <w:sz w:val="13"/>
          <w:szCs w:val="13"/>
          <w:color w:val="212529"/>
        </w:rPr>
        <w:t>Inline XBRL tags are embedded within the Inline XBRL document)</w:t>
      </w:r>
    </w:p>
    <w:p>
      <w:pPr>
        <w:spacing w:after="0" w:line="147" w:lineRule="exact"/>
        <w:rPr>
          <w:rFonts w:ascii="Arial" w:cs="Arial" w:eastAsia="Arial" w:hAnsi="Arial"/>
          <w:sz w:val="13"/>
          <w:szCs w:val="13"/>
          <w:color w:val="auto"/>
        </w:rPr>
      </w:pPr>
    </w:p>
    <w:p>
      <w:pPr>
        <w:ind w:left="661" w:hanging="661"/>
        <w:spacing w:after="0"/>
        <w:tabs>
          <w:tab w:leader="none" w:pos="661" w:val="left"/>
        </w:tabs>
        <w:numPr>
          <w:ilvl w:val="0"/>
          <w:numId w:val="79"/>
        </w:numPr>
        <w:rPr>
          <w:rFonts w:ascii="Arial" w:cs="Arial" w:eastAsia="Arial" w:hAnsi="Arial"/>
          <w:sz w:val="13"/>
          <w:szCs w:val="13"/>
          <w:color w:val="auto"/>
        </w:rPr>
      </w:pPr>
      <w:r>
        <w:rPr>
          <w:rFonts w:ascii="Arial" w:cs="Arial" w:eastAsia="Arial" w:hAnsi="Arial"/>
          <w:sz w:val="13"/>
          <w:szCs w:val="13"/>
          <w:color w:val="auto"/>
        </w:rPr>
        <w:t>Indicates exhibits that constitute compensatory plans or arrangements.</w:t>
      </w:r>
    </w:p>
    <w:p>
      <w:pPr>
        <w:spacing w:after="0" w:line="20" w:lineRule="exact"/>
        <w:rPr>
          <w:sz w:val="20"/>
          <w:szCs w:val="20"/>
          <w:color w:val="auto"/>
        </w:rPr>
      </w:pPr>
    </w:p>
    <w:p>
      <w:pPr>
        <w:ind w:left="661" w:right="540" w:hanging="661"/>
        <w:spacing w:after="0" w:line="231" w:lineRule="auto"/>
        <w:tabs>
          <w:tab w:leader="none" w:pos="661"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This filing excludes schedules pursuant to Item 601(a)(5) of Regulation S-K, which the registrant agrees to furnish supplementary to the Securities and Exchange Commission upon request by the Commission.</w:t>
      </w:r>
    </w:p>
    <w:p>
      <w:pPr>
        <w:spacing w:after="0" w:line="9" w:lineRule="exact"/>
        <w:rPr>
          <w:sz w:val="20"/>
          <w:szCs w:val="20"/>
          <w:color w:val="auto"/>
        </w:rPr>
      </w:pPr>
    </w:p>
    <w:p>
      <w:pPr>
        <w:ind w:left="661" w:right="160" w:hanging="661"/>
        <w:spacing w:after="0" w:line="231" w:lineRule="auto"/>
        <w:tabs>
          <w:tab w:leader="none" w:pos="661" w:val="left"/>
        </w:tabs>
        <w:numPr>
          <w:ilvl w:val="0"/>
          <w:numId w:val="81"/>
        </w:numPr>
        <w:rPr>
          <w:rFonts w:ascii="Arial" w:cs="Arial" w:eastAsia="Arial" w:hAnsi="Arial"/>
          <w:sz w:val="13"/>
          <w:szCs w:val="13"/>
          <w:color w:val="auto"/>
        </w:rPr>
      </w:pPr>
      <w:r>
        <w:rPr>
          <w:rFonts w:ascii="Arial" w:cs="Arial" w:eastAsia="Arial" w:hAnsi="Arial"/>
          <w:sz w:val="13"/>
          <w:szCs w:val="13"/>
          <w:color w:val="auto"/>
        </w:rPr>
        <w:t>Information in this exhibit identified by the mark “[***]” is confidential and has been excluded pursuant to Item 601(b)(10)(iv) of Regulation S-K because it (i) is not material and (ii) would likely cause competitive harm to the Registrant if disclosed.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53340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1"/>
          </w:cols>
          <w:pgMar w:left="319" w:top="754" w:right="45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4"/>
          <w:szCs w:val="14"/>
          <w:b w:val="1"/>
          <w:bCs w:val="1"/>
          <w:color w:val="auto"/>
        </w:rPr>
        <w:t>Item 16 — Form 10-K Summary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71"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9" w:right="1440" w:bottom="1440" w:gutter="0" w:footer="0" w:header="0"/>
        </w:sectPr>
      </w:pPr>
    </w:p>
    <w:bookmarkStart w:id="137" w:name="page138"/>
    <w:bookmarkEnd w:id="137"/>
    <w:p>
      <w:pPr>
        <w:jc w:val="center"/>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firstLine="158"/>
        <w:spacing w:after="0" w:line="281" w:lineRule="auto"/>
        <w:rPr>
          <w:sz w:val="20"/>
          <w:szCs w:val="20"/>
          <w:color w:val="auto"/>
        </w:rPr>
      </w:pPr>
      <w:r>
        <w:rPr>
          <w:rFonts w:ascii="Arial" w:cs="Arial" w:eastAsia="Arial" w:hAnsi="Arial"/>
          <w:sz w:val="14"/>
          <w:szCs w:val="14"/>
          <w:color w:val="auto"/>
        </w:rPr>
        <w:t>Pursuant to the requirements of Section 13 or 15 (d) of the Securities Exchange Act of 1934, the registrant has duly caused this report to be signed on its behalf by the undersigned thereunto duly authorized.</w:t>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CLEARWAY ENERGY LLC</w:t>
      </w:r>
    </w:p>
    <w:p>
      <w:pPr>
        <w:ind w:left="6780"/>
        <w:spacing w:after="0"/>
        <w:rPr>
          <w:sz w:val="20"/>
          <w:szCs w:val="20"/>
          <w:color w:val="auto"/>
        </w:rPr>
      </w:pPr>
      <w:r>
        <w:rPr>
          <w:rFonts w:ascii="Arial" w:cs="Arial" w:eastAsia="Arial" w:hAnsi="Arial"/>
          <w:sz w:val="14"/>
          <w:szCs w:val="14"/>
          <w:color w:val="auto"/>
        </w:rPr>
        <w:t>(Registrant)</w:t>
      </w:r>
    </w:p>
    <w:p>
      <w:pPr>
        <w:spacing w:after="0" w:line="220"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12065</wp:posOffset>
            </wp:positionV>
            <wp:extent cx="210185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6">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10" w:lineRule="exact"/>
        <w:rPr>
          <w:sz w:val="20"/>
          <w:szCs w:val="20"/>
          <w:color w:val="auto"/>
        </w:rPr>
      </w:pPr>
    </w:p>
    <w:p>
      <w:pPr>
        <w:ind w:left="6780"/>
        <w:spacing w:after="0"/>
        <w:rPr>
          <w:sz w:val="20"/>
          <w:szCs w:val="20"/>
          <w:color w:val="auto"/>
        </w:rPr>
      </w:pPr>
      <w:r>
        <w:rPr>
          <w:rFonts w:ascii="Arial" w:cs="Arial" w:eastAsia="Arial" w:hAnsi="Arial"/>
          <w:sz w:val="14"/>
          <w:szCs w:val="14"/>
          <w:color w:val="auto"/>
        </w:rPr>
        <w:t>Christopher S. Sotos</w:t>
      </w:r>
    </w:p>
    <w:p>
      <w:pPr>
        <w:spacing w:after="0" w:line="8" w:lineRule="exact"/>
        <w:rPr>
          <w:sz w:val="20"/>
          <w:szCs w:val="20"/>
          <w:color w:val="auto"/>
        </w:rPr>
      </w:pPr>
    </w:p>
    <w:p>
      <w:pPr>
        <w:ind w:left="6780"/>
        <w:spacing w:after="0"/>
        <w:rPr>
          <w:sz w:val="20"/>
          <w:szCs w:val="20"/>
          <w:color w:val="auto"/>
        </w:rPr>
      </w:pPr>
      <w:r>
        <w:rPr>
          <w:rFonts w:ascii="Arial" w:cs="Arial" w:eastAsia="Arial" w:hAnsi="Arial"/>
          <w:sz w:val="14"/>
          <w:szCs w:val="14"/>
          <w:i w:val="1"/>
          <w:iCs w:val="1"/>
          <w:color w:val="auto"/>
        </w:rPr>
        <w:t>Chief Executive Officer</w:t>
      </w:r>
    </w:p>
    <w:p>
      <w:pPr>
        <w:ind w:left="6780"/>
        <w:spacing w:after="0"/>
        <w:rPr>
          <w:sz w:val="20"/>
          <w:szCs w:val="20"/>
          <w:color w:val="auto"/>
        </w:rPr>
      </w:pPr>
      <w:r>
        <w:rPr>
          <w:rFonts w:ascii="Arial" w:cs="Arial" w:eastAsia="Arial" w:hAnsi="Arial"/>
          <w:sz w:val="14"/>
          <w:szCs w:val="14"/>
          <w:i w:val="1"/>
          <w:iCs w:val="1"/>
          <w:color w:val="auto"/>
        </w:rPr>
        <w:t>(Principal Executive Officer)</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February 23, 2023</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246" w:lineRule="exact"/>
        <w:rPr>
          <w:sz w:val="20"/>
          <w:szCs w:val="20"/>
          <w:color w:val="auto"/>
        </w:rPr>
      </w:pPr>
    </w:p>
    <w:p>
      <w:pPr>
        <w:ind w:right="20" w:firstLine="141"/>
        <w:spacing w:after="0" w:line="313" w:lineRule="auto"/>
        <w:rPr>
          <w:sz w:val="20"/>
          <w:szCs w:val="20"/>
          <w:color w:val="auto"/>
        </w:rPr>
      </w:pPr>
      <w:r>
        <w:rPr>
          <w:rFonts w:ascii="Arial" w:cs="Arial" w:eastAsia="Arial" w:hAnsi="Arial"/>
          <w:sz w:val="12"/>
          <w:szCs w:val="12"/>
          <w:color w:val="auto"/>
        </w:rPr>
        <w:t>Each person whose signature appears below constitutes and appoints Christopher S. Sotos, Kevin P. Malcarney and Amelia McKeithen,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 accordance with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266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w w:val="91"/>
              </w:rPr>
              <w:t>Signatures</w:t>
            </w:r>
          </w:p>
        </w:tc>
        <w:tc>
          <w:tcPr>
            <w:tcW w:w="1940" w:type="dxa"/>
            <w:vAlign w:val="bottom"/>
          </w:tcPr>
          <w:p>
            <w:pPr>
              <w:spacing w:after="0"/>
              <w:rPr>
                <w:sz w:val="10"/>
                <w:szCs w:val="10"/>
                <w:color w:val="auto"/>
              </w:rPr>
            </w:pPr>
          </w:p>
        </w:tc>
        <w:tc>
          <w:tcPr>
            <w:tcW w:w="3640" w:type="dxa"/>
            <w:vAlign w:val="bottom"/>
            <w:gridSpan w:val="3"/>
          </w:tcPr>
          <w:p>
            <w:pPr>
              <w:ind w:left="540"/>
              <w:spacing w:after="0"/>
              <w:rPr>
                <w:sz w:val="20"/>
                <w:szCs w:val="20"/>
                <w:color w:val="auto"/>
              </w:rPr>
            </w:pPr>
            <w:r>
              <w:rPr>
                <w:rFonts w:ascii="Arial" w:cs="Arial" w:eastAsia="Arial" w:hAnsi="Arial"/>
                <w:sz w:val="11"/>
                <w:szCs w:val="11"/>
                <w:b w:val="1"/>
                <w:bCs w:val="1"/>
                <w:color w:val="auto"/>
              </w:rPr>
              <w:t>Title</w:t>
            </w:r>
          </w:p>
        </w:tc>
      </w:tr>
      <w:tr>
        <w:trPr>
          <w:trHeight w:val="20"/>
        </w:trPr>
        <w:tc>
          <w:tcPr>
            <w:tcW w:w="2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02"/>
        </w:trPr>
        <w:tc>
          <w:tcPr>
            <w:tcW w:w="5120" w:type="dxa"/>
            <w:vAlign w:val="bottom"/>
            <w:tcBorders>
              <w:bottom w:val="single" w:sz="8" w:color="auto"/>
            </w:tcBorders>
            <w:gridSpan w:val="3"/>
          </w:tcPr>
          <w:p>
            <w:pPr>
              <w:jc w:val="center"/>
              <w:ind w:left="649"/>
              <w:spacing w:after="0"/>
              <w:rPr>
                <w:sz w:val="20"/>
                <w:szCs w:val="20"/>
                <w:color w:val="auto"/>
              </w:rPr>
            </w:pPr>
            <w:r>
              <w:rPr>
                <w:rFonts w:ascii="Arial" w:cs="Arial" w:eastAsia="Arial" w:hAnsi="Arial"/>
                <w:sz w:val="14"/>
                <w:szCs w:val="14"/>
                <w:color w:val="auto"/>
                <w:w w:val="92"/>
              </w:rPr>
              <w:t>/s/ CHRISTOPHER S. SOTOS</w:t>
            </w:r>
          </w:p>
        </w:tc>
        <w:tc>
          <w:tcPr>
            <w:tcW w:w="3640" w:type="dxa"/>
            <w:vAlign w:val="bottom"/>
            <w:gridSpan w:val="3"/>
          </w:tcPr>
          <w:p>
            <w:pPr>
              <w:ind w:left="540"/>
              <w:spacing w:after="0"/>
              <w:rPr>
                <w:sz w:val="20"/>
                <w:szCs w:val="20"/>
                <w:color w:val="auto"/>
              </w:rPr>
            </w:pPr>
            <w:r>
              <w:rPr>
                <w:rFonts w:ascii="Arial" w:cs="Arial" w:eastAsia="Arial" w:hAnsi="Arial"/>
                <w:sz w:val="14"/>
                <w:szCs w:val="14"/>
                <w:i w:val="1"/>
                <w:iCs w:val="1"/>
                <w:color w:val="auto"/>
              </w:rPr>
              <w:t>President and Chief Executive Officer</w:t>
            </w:r>
          </w:p>
        </w:tc>
      </w:tr>
      <w:tr>
        <w:trPr>
          <w:trHeight w:val="171"/>
        </w:trPr>
        <w:tc>
          <w:tcPr>
            <w:tcW w:w="5120" w:type="dxa"/>
            <w:vAlign w:val="bottom"/>
            <w:gridSpan w:val="3"/>
          </w:tcPr>
          <w:p>
            <w:pPr>
              <w:jc w:val="center"/>
              <w:ind w:left="649"/>
              <w:spacing w:after="0"/>
              <w:rPr>
                <w:sz w:val="20"/>
                <w:szCs w:val="20"/>
                <w:color w:val="auto"/>
              </w:rPr>
            </w:pPr>
            <w:r>
              <w:rPr>
                <w:rFonts w:ascii="Arial" w:cs="Arial" w:eastAsia="Arial" w:hAnsi="Arial"/>
                <w:sz w:val="14"/>
                <w:szCs w:val="14"/>
                <w:color w:val="auto"/>
                <w:w w:val="89"/>
              </w:rPr>
              <w:t>Christopher S. Sotos</w:t>
            </w:r>
          </w:p>
        </w:tc>
        <w:tc>
          <w:tcPr>
            <w:tcW w:w="3640" w:type="dxa"/>
            <w:vAlign w:val="bottom"/>
            <w:gridSpan w:val="3"/>
          </w:tcPr>
          <w:p>
            <w:pPr>
              <w:ind w:left="540"/>
              <w:spacing w:after="0"/>
              <w:rPr>
                <w:sz w:val="20"/>
                <w:szCs w:val="20"/>
                <w:color w:val="auto"/>
              </w:rPr>
            </w:pPr>
            <w:r>
              <w:rPr>
                <w:rFonts w:ascii="Arial" w:cs="Arial" w:eastAsia="Arial" w:hAnsi="Arial"/>
                <w:sz w:val="14"/>
                <w:szCs w:val="14"/>
                <w:i w:val="1"/>
                <w:iCs w:val="1"/>
                <w:color w:val="auto"/>
                <w:w w:val="93"/>
              </w:rPr>
              <w:t>of Clearway Energy LLC (Principal Executive Officer)</w:t>
            </w:r>
          </w:p>
        </w:tc>
      </w:tr>
      <w:tr>
        <w:trPr>
          <w:trHeight w:val="180"/>
        </w:trPr>
        <w:tc>
          <w:tcPr>
            <w:tcW w:w="5120" w:type="dxa"/>
            <w:vAlign w:val="bottom"/>
            <w:gridSpan w:val="3"/>
          </w:tcPr>
          <w:p>
            <w:pPr>
              <w:ind w:left="400"/>
              <w:spacing w:after="0"/>
              <w:rPr>
                <w:sz w:val="20"/>
                <w:szCs w:val="20"/>
                <w:color w:val="auto"/>
              </w:rPr>
            </w:pPr>
            <w:r>
              <w:rPr>
                <w:rFonts w:ascii="Arial" w:cs="Arial" w:eastAsia="Arial" w:hAnsi="Arial"/>
                <w:sz w:val="14"/>
                <w:szCs w:val="14"/>
                <w:color w:val="auto"/>
              </w:rPr>
              <w:t>Date: February 23, 2023</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382"/>
        </w:trPr>
        <w:tc>
          <w:tcPr>
            <w:tcW w:w="5120" w:type="dxa"/>
            <w:vAlign w:val="bottom"/>
            <w:tcBorders>
              <w:bottom w:val="single" w:sz="8" w:color="auto"/>
            </w:tcBorders>
            <w:gridSpan w:val="3"/>
          </w:tcPr>
          <w:p>
            <w:pPr>
              <w:jc w:val="center"/>
              <w:ind w:left="649"/>
              <w:spacing w:after="0"/>
              <w:rPr>
                <w:sz w:val="20"/>
                <w:szCs w:val="20"/>
                <w:color w:val="auto"/>
              </w:rPr>
            </w:pPr>
            <w:r>
              <w:rPr>
                <w:rFonts w:ascii="Arial" w:cs="Arial" w:eastAsia="Arial" w:hAnsi="Arial"/>
                <w:sz w:val="14"/>
                <w:szCs w:val="14"/>
                <w:color w:val="auto"/>
                <w:w w:val="96"/>
              </w:rPr>
              <w:t>/s/ SARAH RUBENSTEIN</w:t>
            </w:r>
          </w:p>
        </w:tc>
        <w:tc>
          <w:tcPr>
            <w:tcW w:w="3640" w:type="dxa"/>
            <w:vAlign w:val="bottom"/>
            <w:gridSpan w:val="3"/>
          </w:tcPr>
          <w:p>
            <w:pPr>
              <w:ind w:left="540"/>
              <w:spacing w:after="0"/>
              <w:rPr>
                <w:sz w:val="20"/>
                <w:szCs w:val="20"/>
                <w:color w:val="auto"/>
              </w:rPr>
            </w:pPr>
            <w:r>
              <w:rPr>
                <w:rFonts w:ascii="Arial" w:cs="Arial" w:eastAsia="Arial" w:hAnsi="Arial"/>
                <w:sz w:val="14"/>
                <w:szCs w:val="14"/>
                <w:i w:val="1"/>
                <w:iCs w:val="1"/>
                <w:color w:val="auto"/>
                <w:w w:val="97"/>
              </w:rPr>
              <w:t>Senior Vice President and Chief Accounting Officer</w:t>
            </w:r>
          </w:p>
        </w:tc>
      </w:tr>
      <w:tr>
        <w:trPr>
          <w:trHeight w:val="171"/>
        </w:trPr>
        <w:tc>
          <w:tcPr>
            <w:tcW w:w="5120" w:type="dxa"/>
            <w:vAlign w:val="bottom"/>
            <w:gridSpan w:val="3"/>
          </w:tcPr>
          <w:p>
            <w:pPr>
              <w:jc w:val="center"/>
              <w:ind w:left="649"/>
              <w:spacing w:after="0"/>
              <w:rPr>
                <w:sz w:val="20"/>
                <w:szCs w:val="20"/>
                <w:color w:val="auto"/>
              </w:rPr>
            </w:pPr>
            <w:r>
              <w:rPr>
                <w:rFonts w:ascii="Arial" w:cs="Arial" w:eastAsia="Arial" w:hAnsi="Arial"/>
                <w:sz w:val="14"/>
                <w:szCs w:val="14"/>
                <w:color w:val="auto"/>
                <w:w w:val="89"/>
              </w:rPr>
              <w:t>Sarah Rubenstein</w:t>
            </w:r>
          </w:p>
        </w:tc>
        <w:tc>
          <w:tcPr>
            <w:tcW w:w="3640" w:type="dxa"/>
            <w:vAlign w:val="bottom"/>
            <w:gridSpan w:val="3"/>
          </w:tcPr>
          <w:p>
            <w:pPr>
              <w:ind w:left="540"/>
              <w:spacing w:after="0"/>
              <w:rPr>
                <w:sz w:val="20"/>
                <w:szCs w:val="20"/>
                <w:color w:val="auto"/>
              </w:rPr>
            </w:pPr>
            <w:r>
              <w:rPr>
                <w:rFonts w:ascii="Arial" w:cs="Arial" w:eastAsia="Arial" w:hAnsi="Arial"/>
                <w:sz w:val="14"/>
                <w:szCs w:val="14"/>
                <w:i w:val="1"/>
                <w:iCs w:val="1"/>
                <w:color w:val="auto"/>
              </w:rPr>
              <w:t>of Clearway Energy LLC (Principal Financial and</w:t>
            </w:r>
          </w:p>
        </w:tc>
      </w:tr>
      <w:tr>
        <w:trPr>
          <w:trHeight w:val="180"/>
        </w:trPr>
        <w:tc>
          <w:tcPr>
            <w:tcW w:w="5120" w:type="dxa"/>
            <w:vAlign w:val="bottom"/>
            <w:gridSpan w:val="3"/>
          </w:tcPr>
          <w:p>
            <w:pPr>
              <w:ind w:left="400"/>
              <w:spacing w:after="0"/>
              <w:rPr>
                <w:sz w:val="20"/>
                <w:szCs w:val="20"/>
                <w:color w:val="auto"/>
              </w:rPr>
            </w:pPr>
            <w:r>
              <w:rPr>
                <w:rFonts w:ascii="Arial" w:cs="Arial" w:eastAsia="Arial" w:hAnsi="Arial"/>
                <w:sz w:val="14"/>
                <w:szCs w:val="14"/>
                <w:color w:val="auto"/>
              </w:rPr>
              <w:t>Date: February 23, 2023</w:t>
            </w:r>
          </w:p>
        </w:tc>
        <w:tc>
          <w:tcPr>
            <w:tcW w:w="3640" w:type="dxa"/>
            <w:vAlign w:val="bottom"/>
            <w:gridSpan w:val="3"/>
          </w:tcPr>
          <w:p>
            <w:pPr>
              <w:ind w:left="540"/>
              <w:spacing w:after="0"/>
              <w:rPr>
                <w:sz w:val="20"/>
                <w:szCs w:val="20"/>
                <w:color w:val="auto"/>
              </w:rPr>
            </w:pPr>
            <w:r>
              <w:rPr>
                <w:rFonts w:ascii="Arial" w:cs="Arial" w:eastAsia="Arial" w:hAnsi="Arial"/>
                <w:sz w:val="14"/>
                <w:szCs w:val="14"/>
                <w:i w:val="1"/>
                <w:iCs w:val="1"/>
                <w:color w:val="auto"/>
              </w:rPr>
              <w:t>Principal Accounting Officer)</w:t>
            </w:r>
          </w:p>
        </w:tc>
      </w:tr>
      <w:tr>
        <w:trPr>
          <w:trHeight w:val="382"/>
        </w:trPr>
        <w:tc>
          <w:tcPr>
            <w:tcW w:w="5120" w:type="dxa"/>
            <w:vAlign w:val="bottom"/>
            <w:gridSpan w:val="3"/>
          </w:tcPr>
          <w:p>
            <w:pPr>
              <w:ind w:left="20"/>
              <w:spacing w:after="0"/>
              <w:rPr>
                <w:sz w:val="20"/>
                <w:szCs w:val="20"/>
                <w:color w:val="auto"/>
              </w:rPr>
            </w:pPr>
            <w:r>
              <w:rPr>
                <w:rFonts w:ascii="Arial" w:cs="Arial" w:eastAsia="Arial" w:hAnsi="Arial"/>
                <w:sz w:val="14"/>
                <w:szCs w:val="14"/>
                <w:color w:val="auto"/>
              </w:rPr>
              <w:t>CLEARWAY ENERGY, INC.</w:t>
            </w:r>
          </w:p>
        </w:tc>
        <w:tc>
          <w:tcPr>
            <w:tcW w:w="3640" w:type="dxa"/>
            <w:vAlign w:val="bottom"/>
            <w:gridSpan w:val="3"/>
          </w:tcPr>
          <w:p>
            <w:pPr>
              <w:ind w:left="540"/>
              <w:spacing w:after="0"/>
              <w:rPr>
                <w:sz w:val="20"/>
                <w:szCs w:val="20"/>
                <w:color w:val="auto"/>
              </w:rPr>
            </w:pPr>
            <w:r>
              <w:rPr>
                <w:rFonts w:ascii="Arial" w:cs="Arial" w:eastAsia="Arial" w:hAnsi="Arial"/>
                <w:sz w:val="14"/>
                <w:szCs w:val="14"/>
                <w:color w:val="auto"/>
              </w:rPr>
              <w:t>Sole Managing Member</w:t>
            </w:r>
          </w:p>
        </w:tc>
      </w:tr>
      <w:tr>
        <w:trPr>
          <w:trHeight w:val="382"/>
        </w:trPr>
        <w:tc>
          <w:tcPr>
            <w:tcW w:w="5120" w:type="dxa"/>
            <w:vAlign w:val="bottom"/>
            <w:tcBorders>
              <w:bottom w:val="single" w:sz="8" w:color="auto"/>
            </w:tcBorders>
            <w:gridSpan w:val="3"/>
          </w:tcPr>
          <w:p>
            <w:pPr>
              <w:jc w:val="center"/>
              <w:ind w:left="649"/>
              <w:spacing w:after="0"/>
              <w:rPr>
                <w:sz w:val="20"/>
                <w:szCs w:val="20"/>
                <w:color w:val="auto"/>
              </w:rPr>
            </w:pPr>
            <w:r>
              <w:rPr>
                <w:rFonts w:ascii="Arial" w:cs="Arial" w:eastAsia="Arial" w:hAnsi="Arial"/>
                <w:sz w:val="14"/>
                <w:szCs w:val="14"/>
                <w:color w:val="auto"/>
                <w:w w:val="92"/>
              </w:rPr>
              <w:t>/s/ CHRISTOPHER S. SOTOS</w:t>
            </w:r>
          </w:p>
        </w:tc>
        <w:tc>
          <w:tcPr>
            <w:tcW w:w="3640" w:type="dxa"/>
            <w:vAlign w:val="bottom"/>
            <w:gridSpan w:val="3"/>
          </w:tcPr>
          <w:p>
            <w:pPr>
              <w:ind w:left="540"/>
              <w:spacing w:after="0"/>
              <w:rPr>
                <w:sz w:val="20"/>
                <w:szCs w:val="20"/>
                <w:color w:val="auto"/>
              </w:rPr>
            </w:pPr>
            <w:r>
              <w:rPr>
                <w:rFonts w:ascii="Arial" w:cs="Arial" w:eastAsia="Arial" w:hAnsi="Arial"/>
                <w:sz w:val="14"/>
                <w:szCs w:val="14"/>
                <w:i w:val="1"/>
                <w:iCs w:val="1"/>
                <w:color w:val="auto"/>
              </w:rPr>
              <w:t>President and Chief Executive Officer</w:t>
            </w:r>
          </w:p>
        </w:tc>
      </w:tr>
      <w:tr>
        <w:trPr>
          <w:trHeight w:val="171"/>
        </w:trPr>
        <w:tc>
          <w:tcPr>
            <w:tcW w:w="5120" w:type="dxa"/>
            <w:vAlign w:val="bottom"/>
            <w:gridSpan w:val="3"/>
          </w:tcPr>
          <w:p>
            <w:pPr>
              <w:jc w:val="center"/>
              <w:ind w:left="649"/>
              <w:spacing w:after="0"/>
              <w:rPr>
                <w:sz w:val="20"/>
                <w:szCs w:val="20"/>
                <w:color w:val="auto"/>
              </w:rPr>
            </w:pPr>
            <w:r>
              <w:rPr>
                <w:rFonts w:ascii="Arial" w:cs="Arial" w:eastAsia="Arial" w:hAnsi="Arial"/>
                <w:sz w:val="14"/>
                <w:szCs w:val="14"/>
                <w:color w:val="auto"/>
                <w:w w:val="89"/>
              </w:rPr>
              <w:t>Christopher S. Sotos</w:t>
            </w:r>
          </w:p>
        </w:tc>
        <w:tc>
          <w:tcPr>
            <w:tcW w:w="3640" w:type="dxa"/>
            <w:vAlign w:val="bottom"/>
            <w:gridSpan w:val="3"/>
          </w:tcPr>
          <w:p>
            <w:pPr>
              <w:ind w:left="540"/>
              <w:spacing w:after="0"/>
              <w:rPr>
                <w:sz w:val="20"/>
                <w:szCs w:val="20"/>
                <w:color w:val="auto"/>
              </w:rPr>
            </w:pPr>
            <w:r>
              <w:rPr>
                <w:rFonts w:ascii="Arial" w:cs="Arial" w:eastAsia="Arial" w:hAnsi="Arial"/>
                <w:sz w:val="14"/>
                <w:szCs w:val="14"/>
                <w:i w:val="1"/>
                <w:iCs w:val="1"/>
                <w:color w:val="auto"/>
              </w:rPr>
              <w:t>of Clearway Energy, Inc.</w:t>
            </w:r>
          </w:p>
        </w:tc>
      </w:tr>
      <w:tr>
        <w:trPr>
          <w:trHeight w:val="180"/>
        </w:trPr>
        <w:tc>
          <w:tcPr>
            <w:tcW w:w="5120" w:type="dxa"/>
            <w:vAlign w:val="bottom"/>
            <w:gridSpan w:val="3"/>
          </w:tcPr>
          <w:p>
            <w:pPr>
              <w:ind w:left="400"/>
              <w:spacing w:after="0"/>
              <w:rPr>
                <w:sz w:val="20"/>
                <w:szCs w:val="20"/>
                <w:color w:val="auto"/>
              </w:rPr>
            </w:pPr>
            <w:r>
              <w:rPr>
                <w:rFonts w:ascii="Arial" w:cs="Arial" w:eastAsia="Arial" w:hAnsi="Arial"/>
                <w:sz w:val="14"/>
                <w:szCs w:val="14"/>
                <w:color w:val="auto"/>
              </w:rPr>
              <w:t>Date: February 23, 2023</w:t>
            </w: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8" w:right="3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84"/>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00" w:type="dxa"/>
            <w:vAlign w:val="bottom"/>
          </w:tcPr>
          <w:p>
            <w:pPr>
              <w:spacing w:after="0"/>
              <w:rPr>
                <w:sz w:val="16"/>
                <w:szCs w:val="16"/>
                <w:color w:val="auto"/>
              </w:rPr>
            </w:pP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192"/>
        </w:trPr>
        <w:tc>
          <w:tcPr>
            <w:tcW w:w="3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320" w:type="dxa"/>
            <w:vAlign w:val="bottom"/>
            <w:tcBorders>
              <w:bottom w:val="single" w:sz="8" w:color="auto"/>
            </w:tcBorders>
          </w:tcPr>
          <w:p>
            <w:pPr>
              <w:spacing w:after="0"/>
              <w:rPr>
                <w:sz w:val="16"/>
                <w:szCs w:val="16"/>
                <w:color w:val="auto"/>
              </w:rPr>
            </w:pPr>
          </w:p>
        </w:tc>
      </w:tr>
      <w:tr>
        <w:trPr>
          <w:trHeight w:val="181"/>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NATHANIEL ANSCHUETZ</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Director of Clearway Energy, Inc.</w:t>
            </w:r>
          </w:p>
        </w:tc>
      </w:tr>
      <w:tr>
        <w:trPr>
          <w:trHeight w:val="181"/>
        </w:trPr>
        <w:tc>
          <w:tcPr>
            <w:tcW w:w="3540" w:type="dxa"/>
            <w:vAlign w:val="bottom"/>
          </w:tcPr>
          <w:p>
            <w:pPr>
              <w:jc w:val="center"/>
              <w:spacing w:after="0"/>
              <w:rPr>
                <w:sz w:val="20"/>
                <w:szCs w:val="20"/>
                <w:color w:val="auto"/>
              </w:rPr>
            </w:pPr>
            <w:r>
              <w:rPr>
                <w:rFonts w:ascii="Arial" w:cs="Arial" w:eastAsia="Arial" w:hAnsi="Arial"/>
                <w:sz w:val="14"/>
                <w:szCs w:val="14"/>
                <w:color w:val="auto"/>
                <w:w w:val="91"/>
              </w:rPr>
              <w:t>Nathaniel Anschuetz</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JONATHAN BRAM</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Director of Clearway Energy, Inc.</w:t>
            </w:r>
          </w:p>
        </w:tc>
      </w:tr>
      <w:tr>
        <w:trPr>
          <w:trHeight w:val="181"/>
        </w:trPr>
        <w:tc>
          <w:tcPr>
            <w:tcW w:w="3540" w:type="dxa"/>
            <w:vAlign w:val="bottom"/>
          </w:tcPr>
          <w:p>
            <w:pPr>
              <w:jc w:val="center"/>
              <w:spacing w:after="0"/>
              <w:rPr>
                <w:sz w:val="20"/>
                <w:szCs w:val="20"/>
                <w:color w:val="auto"/>
              </w:rPr>
            </w:pPr>
            <w:r>
              <w:rPr>
                <w:rFonts w:ascii="Arial" w:cs="Arial" w:eastAsia="Arial" w:hAnsi="Arial"/>
                <w:sz w:val="14"/>
                <w:szCs w:val="14"/>
                <w:color w:val="auto"/>
                <w:w w:val="90"/>
              </w:rPr>
              <w:t>Jonathan Bram</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/s/ BRIAN FORD</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Director of Clearway Energy, Inc.</w:t>
            </w:r>
          </w:p>
        </w:tc>
      </w:tr>
      <w:tr>
        <w:trPr>
          <w:trHeight w:val="181"/>
        </w:trPr>
        <w:tc>
          <w:tcPr>
            <w:tcW w:w="3540" w:type="dxa"/>
            <w:vAlign w:val="bottom"/>
          </w:tcPr>
          <w:p>
            <w:pPr>
              <w:jc w:val="center"/>
              <w:spacing w:after="0"/>
              <w:rPr>
                <w:sz w:val="20"/>
                <w:szCs w:val="20"/>
                <w:color w:val="auto"/>
              </w:rPr>
            </w:pPr>
            <w:r>
              <w:rPr>
                <w:rFonts w:ascii="Arial" w:cs="Arial" w:eastAsia="Arial" w:hAnsi="Arial"/>
                <w:sz w:val="14"/>
                <w:szCs w:val="14"/>
                <w:color w:val="auto"/>
                <w:w w:val="94"/>
              </w:rPr>
              <w:t>Brian Ford</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BRUCE MACLENNAN</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Director of Clearway Energy, Inc.</w:t>
            </w:r>
          </w:p>
        </w:tc>
      </w:tr>
      <w:tr>
        <w:trPr>
          <w:trHeight w:val="181"/>
        </w:trPr>
        <w:tc>
          <w:tcPr>
            <w:tcW w:w="3540" w:type="dxa"/>
            <w:vAlign w:val="bottom"/>
          </w:tcPr>
          <w:p>
            <w:pPr>
              <w:jc w:val="center"/>
              <w:spacing w:after="0"/>
              <w:rPr>
                <w:sz w:val="20"/>
                <w:szCs w:val="20"/>
                <w:color w:val="auto"/>
              </w:rPr>
            </w:pPr>
            <w:r>
              <w:rPr>
                <w:rFonts w:ascii="Arial" w:cs="Arial" w:eastAsia="Arial" w:hAnsi="Arial"/>
                <w:sz w:val="14"/>
                <w:szCs w:val="14"/>
                <w:color w:val="auto"/>
                <w:w w:val="93"/>
              </w:rPr>
              <w:t>Bruce MacLennan</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DANIEL B. MORE</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Director of Clearway Energy, Inc.</w:t>
            </w:r>
          </w:p>
        </w:tc>
      </w:tr>
      <w:tr>
        <w:trPr>
          <w:trHeight w:val="181"/>
        </w:trPr>
        <w:tc>
          <w:tcPr>
            <w:tcW w:w="3540" w:type="dxa"/>
            <w:vAlign w:val="bottom"/>
          </w:tcPr>
          <w:p>
            <w:pPr>
              <w:jc w:val="center"/>
              <w:spacing w:after="0"/>
              <w:rPr>
                <w:sz w:val="20"/>
                <w:szCs w:val="20"/>
                <w:color w:val="auto"/>
              </w:rPr>
            </w:pPr>
            <w:r>
              <w:rPr>
                <w:rFonts w:ascii="Arial" w:cs="Arial" w:eastAsia="Arial" w:hAnsi="Arial"/>
                <w:sz w:val="14"/>
                <w:szCs w:val="14"/>
                <w:color w:val="auto"/>
                <w:w w:val="94"/>
              </w:rPr>
              <w:t>Daniel B. More</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E. STANLEY O’NEAL</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Director of Clearway Energy, Inc.</w:t>
            </w:r>
          </w:p>
        </w:tc>
      </w:tr>
      <w:tr>
        <w:trPr>
          <w:trHeight w:val="181"/>
        </w:trPr>
        <w:tc>
          <w:tcPr>
            <w:tcW w:w="3540" w:type="dxa"/>
            <w:vAlign w:val="bottom"/>
          </w:tcPr>
          <w:p>
            <w:pPr>
              <w:jc w:val="center"/>
              <w:spacing w:after="0"/>
              <w:rPr>
                <w:sz w:val="20"/>
                <w:szCs w:val="20"/>
                <w:color w:val="auto"/>
              </w:rPr>
            </w:pPr>
            <w:r>
              <w:rPr>
                <w:rFonts w:ascii="Arial" w:cs="Arial" w:eastAsia="Arial" w:hAnsi="Arial"/>
                <w:sz w:val="14"/>
                <w:szCs w:val="14"/>
                <w:color w:val="auto"/>
                <w:w w:val="92"/>
              </w:rPr>
              <w:t>E. Stanley O’Neal</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GUILLAUME HÉDIARD</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Director of Clearway Energy, Inc.</w:t>
            </w:r>
          </w:p>
        </w:tc>
      </w:tr>
      <w:tr>
        <w:trPr>
          <w:trHeight w:val="181"/>
        </w:trPr>
        <w:tc>
          <w:tcPr>
            <w:tcW w:w="3540" w:type="dxa"/>
            <w:vAlign w:val="bottom"/>
          </w:tcPr>
          <w:p>
            <w:pPr>
              <w:jc w:val="center"/>
              <w:spacing w:after="0"/>
              <w:rPr>
                <w:sz w:val="20"/>
                <w:szCs w:val="20"/>
                <w:color w:val="auto"/>
              </w:rPr>
            </w:pPr>
            <w:r>
              <w:rPr>
                <w:rFonts w:ascii="Arial" w:cs="Arial" w:eastAsia="Arial" w:hAnsi="Arial"/>
                <w:sz w:val="14"/>
                <w:szCs w:val="14"/>
                <w:color w:val="auto"/>
                <w:w w:val="94"/>
              </w:rPr>
              <w:t>Guillaume Hédiard</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/s/ VINCENT STOQUART</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Director of Clearway Energy, Inc.</w:t>
            </w:r>
          </w:p>
        </w:tc>
      </w:tr>
      <w:tr>
        <w:trPr>
          <w:trHeight w:val="181"/>
        </w:trPr>
        <w:tc>
          <w:tcPr>
            <w:tcW w:w="3540" w:type="dxa"/>
            <w:vAlign w:val="bottom"/>
          </w:tcPr>
          <w:p>
            <w:pPr>
              <w:jc w:val="center"/>
              <w:spacing w:after="0"/>
              <w:rPr>
                <w:sz w:val="20"/>
                <w:szCs w:val="20"/>
                <w:color w:val="auto"/>
              </w:rPr>
            </w:pPr>
            <w:r>
              <w:rPr>
                <w:rFonts w:ascii="Arial" w:cs="Arial" w:eastAsia="Arial" w:hAnsi="Arial"/>
                <w:sz w:val="14"/>
                <w:szCs w:val="14"/>
                <w:color w:val="auto"/>
                <w:w w:val="90"/>
              </w:rPr>
              <w:t>Vincent Stoquart</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EMMANUEL BARROIS</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Director of Clearway Energy, Inc.</w:t>
            </w:r>
          </w:p>
        </w:tc>
      </w:tr>
      <w:tr>
        <w:trPr>
          <w:trHeight w:val="181"/>
        </w:trPr>
        <w:tc>
          <w:tcPr>
            <w:tcW w:w="3540" w:type="dxa"/>
            <w:vAlign w:val="bottom"/>
          </w:tcPr>
          <w:p>
            <w:pPr>
              <w:jc w:val="center"/>
              <w:spacing w:after="0"/>
              <w:rPr>
                <w:sz w:val="20"/>
                <w:szCs w:val="20"/>
                <w:color w:val="auto"/>
              </w:rPr>
            </w:pPr>
            <w:r>
              <w:rPr>
                <w:rFonts w:ascii="Arial" w:cs="Arial" w:eastAsia="Arial" w:hAnsi="Arial"/>
                <w:sz w:val="14"/>
                <w:szCs w:val="14"/>
                <w:color w:val="auto"/>
                <w:w w:val="92"/>
              </w:rPr>
              <w:t>Emmanuel Barrois</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 CHRISTOPHER S. SOTOS</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Director of Clearway Energy, Inc.</w:t>
            </w:r>
          </w:p>
        </w:tc>
      </w:tr>
      <w:tr>
        <w:trPr>
          <w:trHeight w:val="181"/>
        </w:trPr>
        <w:tc>
          <w:tcPr>
            <w:tcW w:w="3540" w:type="dxa"/>
            <w:vAlign w:val="bottom"/>
          </w:tcPr>
          <w:p>
            <w:pPr>
              <w:jc w:val="center"/>
              <w:spacing w:after="0"/>
              <w:rPr>
                <w:sz w:val="20"/>
                <w:szCs w:val="20"/>
                <w:color w:val="auto"/>
              </w:rPr>
            </w:pPr>
            <w:r>
              <w:rPr>
                <w:rFonts w:ascii="Arial" w:cs="Arial" w:eastAsia="Arial" w:hAnsi="Arial"/>
                <w:sz w:val="14"/>
                <w:szCs w:val="14"/>
                <w:color w:val="auto"/>
                <w:w w:val="91"/>
              </w:rPr>
              <w:t>Christopher S. Sotos</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Sole Managing Member of Clearway Energy LLC</w:t>
            </w:r>
          </w:p>
        </w:tc>
      </w:tr>
      <w:tr>
        <w:trPr>
          <w:trHeight w:val="40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 JENNIFER LOWRY</w:t>
            </w:r>
          </w:p>
        </w:tc>
        <w:tc>
          <w:tcPr>
            <w:tcW w:w="100" w:type="dxa"/>
            <w:vAlign w:val="bottom"/>
          </w:tcPr>
          <w:p>
            <w:pPr>
              <w:spacing w:after="0"/>
              <w:rPr>
                <w:sz w:val="24"/>
                <w:szCs w:val="24"/>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Director of Clearway Energy, Inc.</w:t>
            </w:r>
          </w:p>
        </w:tc>
      </w:tr>
      <w:tr>
        <w:trPr>
          <w:trHeight w:val="181"/>
        </w:trPr>
        <w:tc>
          <w:tcPr>
            <w:tcW w:w="3540" w:type="dxa"/>
            <w:vAlign w:val="bottom"/>
          </w:tcPr>
          <w:p>
            <w:pPr>
              <w:jc w:val="center"/>
              <w:spacing w:after="0"/>
              <w:rPr>
                <w:sz w:val="20"/>
                <w:szCs w:val="20"/>
                <w:color w:val="auto"/>
              </w:rPr>
            </w:pPr>
            <w:r>
              <w:rPr>
                <w:rFonts w:ascii="Arial" w:cs="Arial" w:eastAsia="Arial" w:hAnsi="Arial"/>
                <w:sz w:val="14"/>
                <w:szCs w:val="14"/>
                <w:color w:val="auto"/>
                <w:w w:val="94"/>
              </w:rPr>
              <w:t>Jennifer Lowry</w:t>
            </w:r>
          </w:p>
        </w:tc>
        <w:tc>
          <w:tcPr>
            <w:tcW w:w="10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Sole Managing Member of Clearway Energy LLC</w:t>
            </w:r>
          </w:p>
        </w:tc>
      </w:tr>
      <w:tr>
        <w:trPr>
          <w:trHeight w:val="870"/>
        </w:trPr>
        <w:tc>
          <w:tcPr>
            <w:tcW w:w="3540" w:type="dxa"/>
            <w:vAlign w:val="bottom"/>
          </w:tcPr>
          <w:p>
            <w:pPr>
              <w:spacing w:after="0"/>
              <w:rPr>
                <w:sz w:val="24"/>
                <w:szCs w:val="24"/>
                <w:color w:val="auto"/>
              </w:rPr>
            </w:pPr>
          </w:p>
        </w:tc>
        <w:tc>
          <w:tcPr>
            <w:tcW w:w="5420" w:type="dxa"/>
            <w:vAlign w:val="bottom"/>
            <w:gridSpan w:val="2"/>
          </w:tcPr>
          <w:p>
            <w:pPr>
              <w:jc w:val="right"/>
              <w:ind w:right="3149"/>
              <w:spacing w:after="0"/>
              <w:rPr>
                <w:sz w:val="20"/>
                <w:szCs w:val="20"/>
                <w:color w:val="auto"/>
              </w:rPr>
            </w:pPr>
            <w:r>
              <w:rPr>
                <w:rFonts w:ascii="Arial" w:cs="Arial" w:eastAsia="Arial" w:hAnsi="Arial"/>
                <w:sz w:val="14"/>
                <w:szCs w:val="14"/>
                <w:color w:val="auto"/>
              </w:rPr>
              <w:t>136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41275</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149860</wp:posOffset>
            </wp:positionV>
            <wp:extent cx="138811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9">
                      <a:extLst>
                        <a:ext uri="{28A0092B-C50C-407E-A947-70E740481C1C}"/>
                      </a:extLst>
                    </a:blip>
                    <a:srcRect/>
                    <a:stretch>
                      <a:fillRect/>
                    </a:stretch>
                  </pic:blipFill>
                  <pic:spPr bwMode="auto">
                    <a:xfrm>
                      <a:off x="0" y="0"/>
                      <a:ext cx="1388110" cy="698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14605</wp:posOffset>
            </wp:positionV>
            <wp:extent cx="138811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0">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color w:val="auto"/>
        </w:rPr>
        <w:t>February 23, 2023</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February 23, 2023</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February 23, 2023</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February 23, 2023</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February 23, 2023</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February 23, 2023</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February 23, 2023</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February 23, 2023</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February 23, 2023</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February 23, 2023</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February 23, 2023</w:t>
      </w:r>
    </w:p>
    <w:p>
      <w:pPr>
        <w:sectPr>
          <w:pgSz w:w="11900" w:h="16838" w:orient="portrait"/>
          <w:cols w:equalWidth="0" w:num="2">
            <w:col w:w="8960" w:space="660"/>
            <w:col w:w="1040"/>
          </w:cols>
          <w:pgMar w:left="320" w:top="761" w:right="919" w:bottom="1440" w:gutter="0" w:footer="0" w:header="0"/>
        </w:sectPr>
      </w:pPr>
    </w:p>
    <w:bookmarkStart w:id="139" w:name="page140"/>
    <w:bookmarkEnd w:id="139"/>
    <w:p>
      <w:pPr>
        <w:ind w:left="40"/>
        <w:spacing w:after="0"/>
        <w:rPr>
          <w:sz w:val="20"/>
          <w:szCs w:val="20"/>
          <w:color w:val="auto"/>
        </w:rPr>
      </w:pPr>
      <w:r>
        <w:rPr>
          <w:rFonts w:ascii="Arial" w:cs="Arial" w:eastAsia="Arial" w:hAnsi="Arial"/>
          <w:sz w:val="12"/>
          <w:szCs w:val="12"/>
          <w:b w:val="1"/>
          <w:bCs w:val="1"/>
          <w:color w:val="auto"/>
        </w:rPr>
        <w:t>Supplemental Information to be Furnished with Reports Filed Pursuant to Section 15(d) of the Act by Registrants Which Have Not Registered Securities Pursuant to Section 12 of the Act</w:t>
      </w:r>
    </w:p>
    <w:p>
      <w:pPr>
        <w:spacing w:after="0" w:line="99" w:lineRule="exact"/>
        <w:rPr>
          <w:sz w:val="20"/>
          <w:szCs w:val="20"/>
          <w:color w:val="auto"/>
        </w:rPr>
      </w:pPr>
    </w:p>
    <w:p>
      <w:pPr>
        <w:ind w:right="160" w:firstLine="141"/>
        <w:spacing w:after="0" w:line="281" w:lineRule="auto"/>
        <w:rPr>
          <w:sz w:val="20"/>
          <w:szCs w:val="20"/>
          <w:color w:val="auto"/>
        </w:rPr>
      </w:pPr>
      <w:r>
        <w:rPr>
          <w:rFonts w:ascii="Arial" w:cs="Arial" w:eastAsia="Arial" w:hAnsi="Arial"/>
          <w:sz w:val="14"/>
          <w:szCs w:val="14"/>
          <w:color w:val="auto"/>
        </w:rPr>
        <w:t>No annual report or proxy materials has been sent to securities holders and no such report or proxy material is to be furnished to securities holders subsequent to the filing of the annual report on this Form 10-K.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260"/>
          </w:cols>
          <w:pgMar w:left="300" w:top="804" w:right="339" w:bottom="1440"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8" w:name="page209"/>
    <w:bookmarkEnd w:id="208"/>
    <w:p>
      <w:pPr>
        <w:ind w:left="10340"/>
        <w:spacing w:after="0"/>
        <w:rPr>
          <w:sz w:val="20"/>
          <w:szCs w:val="20"/>
          <w:color w:val="auto"/>
        </w:rPr>
      </w:pPr>
      <w:r>
        <w:rPr>
          <w:rFonts w:ascii="Arial" w:cs="Arial" w:eastAsia="Arial" w:hAnsi="Arial"/>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7760" w:type="dxa"/>
            <w:vAlign w:val="bottom"/>
            <w:gridSpan w:val="3"/>
          </w:tcPr>
          <w:p>
            <w:pPr>
              <w:ind w:left="580"/>
              <w:spacing w:after="0"/>
              <w:rPr>
                <w:sz w:val="20"/>
                <w:szCs w:val="20"/>
                <w:color w:val="auto"/>
              </w:rPr>
            </w:pPr>
            <w:r>
              <w:rPr>
                <w:rFonts w:ascii="Arial" w:cs="Arial" w:eastAsia="Arial" w:hAnsi="Arial"/>
                <w:sz w:val="14"/>
                <w:szCs w:val="14"/>
                <w:b w:val="1"/>
                <w:bCs w:val="1"/>
                <w:color w:val="auto"/>
              </w:rPr>
              <w:t>SUBSIDIARIES OF CLEARWAY ENERGY LLC</w:t>
            </w:r>
          </w:p>
        </w:tc>
      </w:tr>
      <w:tr>
        <w:trPr>
          <w:trHeight w:val="626"/>
        </w:trPr>
        <w:tc>
          <w:tcPr>
            <w:tcW w:w="3480" w:type="dxa"/>
            <w:vAlign w:val="bottom"/>
            <w:tcBorders>
              <w:bottom w:val="single" w:sz="8" w:color="969696"/>
            </w:tcBorders>
          </w:tcPr>
          <w:p>
            <w:pPr>
              <w:spacing w:after="0"/>
              <w:rPr>
                <w:sz w:val="24"/>
                <w:szCs w:val="24"/>
                <w:color w:val="auto"/>
              </w:rPr>
            </w:pPr>
          </w:p>
        </w:tc>
        <w:tc>
          <w:tcPr>
            <w:tcW w:w="374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480" w:type="dxa"/>
            <w:vAlign w:val="bottom"/>
            <w:tcBorders>
              <w:left w:val="single" w:sz="8" w:color="auto"/>
              <w:bottom w:val="single" w:sz="8" w:color="auto"/>
            </w:tcBorders>
            <w:shd w:val="clear" w:color="auto" w:fill="ACACAC"/>
          </w:tcPr>
          <w:p>
            <w:pPr>
              <w:ind w:left="40"/>
              <w:spacing w:after="0"/>
              <w:rPr>
                <w:sz w:val="20"/>
                <w:szCs w:val="20"/>
                <w:color w:val="auto"/>
              </w:rPr>
            </w:pPr>
            <w:r>
              <w:rPr>
                <w:rFonts w:ascii="Arial" w:cs="Arial" w:eastAsia="Arial" w:hAnsi="Arial"/>
                <w:sz w:val="16"/>
                <w:szCs w:val="16"/>
                <w:b w:val="1"/>
                <w:bCs w:val="1"/>
                <w:color w:val="auto"/>
              </w:rPr>
              <w:t>Entity Name</w:t>
            </w:r>
          </w:p>
        </w:tc>
        <w:tc>
          <w:tcPr>
            <w:tcW w:w="374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Arial" w:cs="Arial" w:eastAsia="Arial" w:hAnsi="Arial"/>
                <w:sz w:val="16"/>
                <w:szCs w:val="16"/>
                <w:b w:val="1"/>
                <w:bCs w:val="1"/>
                <w:color w:val="auto"/>
              </w:rPr>
              <w:t>Jurisdiction</w:t>
            </w:r>
          </w:p>
        </w:tc>
      </w:tr>
      <w:tr>
        <w:trPr>
          <w:trHeight w:val="190"/>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2011 Finance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AC Solar Holdings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Adams Community Solar Garden 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Colorado</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Adams Community Solar Garden II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Colorado</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Adams Community Solar Garden III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Colorado</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Adams Community Solar Gardens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Colorado</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Agua Caliente Borrower 1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Agua Caliente Borrower 2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Agua Caliente Solar Holdings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Agua Caliente Solar,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Alta Interconnection Management II,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Alta Interconnection Management III,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Alta Interconnection Management,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Alta Realty Holdings,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Alta Realty Investments,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Alta Vista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Alta Wind 1-5 Holding Company,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Alta Wind Asset Management Holdings,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Alta Wind Asset Management,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Alta Wind Company,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Alta Wind Holdings,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Alta Wind I Holding Company,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Alta Wind 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Alta Wind II Holding Company,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Alta Wind II,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Alta Wind III Holding Company,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Alta Wind III,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Alta Wind IV Holding Company,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Alta Wind IV,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Alta Wind V Holding Company,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Alta Wind V,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Alta Wind X Holding Company,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Alta Wind X,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Alta Wind XI Holding Company,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Alta Wind XI,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Alta Wind X-XI TE Holdco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Apple 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Arapahoe Community Solar Garden 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Colorado</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Avenal Park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Avenal Solar Holdings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Bashaw Solar 1,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Big Lake Holdco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60" w:top="157" w:right="299" w:bottom="1440" w:gutter="0" w:footer="0" w:header="0"/>
        </w:sectPr>
      </w:pPr>
    </w:p>
    <w:bookmarkStart w:id="209" w:name="page210"/>
    <w:bookmarkEnd w:id="209"/>
    <w:p>
      <w:pPr>
        <w:ind w:left="10340"/>
        <w:spacing w:after="0"/>
        <w:rPr>
          <w:sz w:val="20"/>
          <w:szCs w:val="20"/>
          <w:color w:val="auto"/>
        </w:rPr>
      </w:pPr>
      <w:r>
        <w:rPr>
          <w:rFonts w:ascii="Arial" w:cs="Arial" w:eastAsia="Arial" w:hAnsi="Arial"/>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7940" w:type="dxa"/>
            <w:vAlign w:val="bottom"/>
            <w:gridSpan w:val="3"/>
          </w:tcPr>
          <w:p>
            <w:pPr>
              <w:ind w:left="760"/>
              <w:spacing w:after="0"/>
              <w:rPr>
                <w:sz w:val="20"/>
                <w:szCs w:val="20"/>
                <w:color w:val="auto"/>
              </w:rPr>
            </w:pPr>
            <w:r>
              <w:rPr>
                <w:rFonts w:ascii="Arial" w:cs="Arial" w:eastAsia="Arial" w:hAnsi="Arial"/>
                <w:sz w:val="14"/>
                <w:szCs w:val="14"/>
                <w:b w:val="1"/>
                <w:bCs w:val="1"/>
                <w:color w:val="auto"/>
              </w:rPr>
              <w:t>SUBSIDIARIES OF CLEARWAY ENERGY LLC</w:t>
            </w:r>
          </w:p>
        </w:tc>
      </w:tr>
      <w:tr>
        <w:trPr>
          <w:trHeight w:val="626"/>
        </w:trPr>
        <w:tc>
          <w:tcPr>
            <w:tcW w:w="3300" w:type="dxa"/>
            <w:vAlign w:val="bottom"/>
            <w:tcBorders>
              <w:bottom w:val="single" w:sz="8" w:color="969696"/>
            </w:tcBorders>
          </w:tcPr>
          <w:p>
            <w:pPr>
              <w:spacing w:after="0"/>
              <w:rPr>
                <w:sz w:val="24"/>
                <w:szCs w:val="24"/>
                <w:color w:val="auto"/>
              </w:rPr>
            </w:pPr>
          </w:p>
        </w:tc>
        <w:tc>
          <w:tcPr>
            <w:tcW w:w="392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300" w:type="dxa"/>
            <w:vAlign w:val="bottom"/>
            <w:tcBorders>
              <w:left w:val="single" w:sz="8" w:color="auto"/>
              <w:bottom w:val="single" w:sz="8" w:color="auto"/>
            </w:tcBorders>
            <w:shd w:val="clear" w:color="auto" w:fill="ACACAC"/>
          </w:tcPr>
          <w:p>
            <w:pPr>
              <w:ind w:left="40"/>
              <w:spacing w:after="0"/>
              <w:rPr>
                <w:sz w:val="20"/>
                <w:szCs w:val="20"/>
                <w:color w:val="auto"/>
              </w:rPr>
            </w:pPr>
            <w:r>
              <w:rPr>
                <w:rFonts w:ascii="Arial" w:cs="Arial" w:eastAsia="Arial" w:hAnsi="Arial"/>
                <w:sz w:val="16"/>
                <w:szCs w:val="16"/>
                <w:b w:val="1"/>
                <w:bCs w:val="1"/>
                <w:color w:val="auto"/>
              </w:rPr>
              <w:t>Entity Name</w:t>
            </w:r>
          </w:p>
        </w:tc>
        <w:tc>
          <w:tcPr>
            <w:tcW w:w="392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Arial" w:cs="Arial" w:eastAsia="Arial" w:hAnsi="Arial"/>
                <w:sz w:val="16"/>
                <w:szCs w:val="16"/>
                <w:b w:val="1"/>
                <w:bCs w:val="1"/>
                <w:color w:val="auto"/>
              </w:rPr>
              <w:t>Jurisdiction</w:t>
            </w:r>
          </w:p>
        </w:tc>
      </w:tr>
      <w:tr>
        <w:trPr>
          <w:trHeight w:val="190"/>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Black Cat Road Solar,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Black Rock Class B Holdco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Black Rock TE Holdco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Black Rock Wind Force,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Black Rock Wind Holding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Black Start Battery Holdings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Black Start Battery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Bluestone Solar,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BMP Wind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Broken Bow Wind,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Brook Street Solar 1,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Buckthorn Holdings,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Buckthorn Renewables,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Buckthorn Solar Portfolio,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Buckthorn Westex,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Buffalo Bear,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Oklahoma</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Bullock Road Solar 1,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BWC Swan Pond River,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Capistrano Portfolio Holdco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Capistrano Portfolio Holdings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Carlsbad Energy Center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Carlsbad Energy Holdings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Carlsbad Holdco II,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Carlsbad Holdco,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CBAD Holdings II,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CBAD Holdings,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Cedro Hill Wind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Center St Solar 1,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Chestnut Class B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Chestnut Fund Sub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Chisago Holdco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Clara City Solar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Clearway &amp; EFS Distributed Solar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Clearway AC Solar Holdings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Clearway Chestnut Fund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Clearway DG Lakeland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Clearway Energy Operating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Clearway Solar Star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Clearway Walnut Creek II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Clearway West Holdings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CMR Solar, LLC</w:t>
            </w:r>
          </w:p>
        </w:tc>
        <w:tc>
          <w:tcPr>
            <w:tcW w:w="39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Colorado Shared Solar I LLC</w:t>
            </w:r>
          </w:p>
        </w:tc>
        <w:tc>
          <w:tcPr>
            <w:tcW w:w="39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60" w:top="156" w:right="299" w:bottom="1440" w:gutter="0" w:footer="0" w:header="0"/>
        </w:sectPr>
      </w:pPr>
    </w:p>
    <w:bookmarkStart w:id="210" w:name="page211"/>
    <w:bookmarkEnd w:id="210"/>
    <w:p>
      <w:pPr>
        <w:ind w:left="10340"/>
        <w:spacing w:after="0"/>
        <w:rPr>
          <w:sz w:val="20"/>
          <w:szCs w:val="20"/>
          <w:color w:val="auto"/>
        </w:rPr>
      </w:pPr>
      <w:r>
        <w:rPr>
          <w:rFonts w:ascii="Arial" w:cs="Arial" w:eastAsia="Arial" w:hAnsi="Arial"/>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7800" w:type="dxa"/>
            <w:vAlign w:val="bottom"/>
            <w:gridSpan w:val="3"/>
          </w:tcPr>
          <w:p>
            <w:pPr>
              <w:ind w:left="620"/>
              <w:spacing w:after="0"/>
              <w:rPr>
                <w:sz w:val="20"/>
                <w:szCs w:val="20"/>
                <w:color w:val="auto"/>
              </w:rPr>
            </w:pPr>
            <w:r>
              <w:rPr>
                <w:rFonts w:ascii="Arial" w:cs="Arial" w:eastAsia="Arial" w:hAnsi="Arial"/>
                <w:sz w:val="14"/>
                <w:szCs w:val="14"/>
                <w:b w:val="1"/>
                <w:bCs w:val="1"/>
                <w:color w:val="auto"/>
              </w:rPr>
              <w:t>SUBSIDIARIES OF CLEARWAY ENERGY LLC</w:t>
            </w:r>
          </w:p>
        </w:tc>
      </w:tr>
      <w:tr>
        <w:trPr>
          <w:trHeight w:val="626"/>
        </w:trPr>
        <w:tc>
          <w:tcPr>
            <w:tcW w:w="3440" w:type="dxa"/>
            <w:vAlign w:val="bottom"/>
            <w:tcBorders>
              <w:bottom w:val="single" w:sz="8" w:color="969696"/>
            </w:tcBorders>
          </w:tcPr>
          <w:p>
            <w:pPr>
              <w:spacing w:after="0"/>
              <w:rPr>
                <w:sz w:val="24"/>
                <w:szCs w:val="24"/>
                <w:color w:val="auto"/>
              </w:rPr>
            </w:pPr>
          </w:p>
        </w:tc>
        <w:tc>
          <w:tcPr>
            <w:tcW w:w="378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440" w:type="dxa"/>
            <w:vAlign w:val="bottom"/>
            <w:tcBorders>
              <w:left w:val="single" w:sz="8" w:color="auto"/>
              <w:bottom w:val="single" w:sz="8" w:color="auto"/>
            </w:tcBorders>
            <w:shd w:val="clear" w:color="auto" w:fill="ACACAC"/>
          </w:tcPr>
          <w:p>
            <w:pPr>
              <w:ind w:left="40"/>
              <w:spacing w:after="0"/>
              <w:rPr>
                <w:sz w:val="20"/>
                <w:szCs w:val="20"/>
                <w:color w:val="auto"/>
              </w:rPr>
            </w:pPr>
            <w:r>
              <w:rPr>
                <w:rFonts w:ascii="Arial" w:cs="Arial" w:eastAsia="Arial" w:hAnsi="Arial"/>
                <w:sz w:val="16"/>
                <w:szCs w:val="16"/>
                <w:b w:val="1"/>
                <w:bCs w:val="1"/>
                <w:color w:val="auto"/>
              </w:rPr>
              <w:t>Entity Name</w:t>
            </w:r>
          </w:p>
        </w:tc>
        <w:tc>
          <w:tcPr>
            <w:tcW w:w="378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Arial" w:cs="Arial" w:eastAsia="Arial" w:hAnsi="Arial"/>
                <w:sz w:val="16"/>
                <w:szCs w:val="16"/>
                <w:b w:val="1"/>
                <w:bCs w:val="1"/>
                <w:color w:val="auto"/>
              </w:rPr>
              <w:t>Jurisdiction</w:t>
            </w:r>
          </w:p>
        </w:tc>
      </w:tr>
      <w:tr>
        <w:trPr>
          <w:trHeight w:val="190"/>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Colorado Springs Solar Garden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Colorado</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Continental Energy,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Arizona</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Crofton Bluffs Wind,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CVSR Holdco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CVSR Holdings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CWEN Pinnacle Repowering Holdco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CWEN Pinnacle Repowering Holdings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CWSP Rattlesnake Holding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Daggett Solar Holdco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Daggett Solar Investment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Denver Community Solar Garden I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Colorado</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Denver Community Solar Garden II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Colorado</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Desert Sunlight 250,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Desert Sunlight 300,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Desert Sunlight Holdings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Desert Sunlight Investment Holdings,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 Berkeley Rec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 Berkeley Village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 Central East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 Central West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 Contra Costa Operations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 Contra Costa Waste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 Crystal Spring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 Dighton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 Foxborough Elm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 Foxborough Landfill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 Grantland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 Haverhill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 Imperial Admin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 Imperial Building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 Lathrop Louise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 Lincoln Middle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 Marathon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 Rosedale Elementary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 Rosedale Middle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 San Joaquin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 SREC HoldCo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 SREC Holdings 1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 Tufts Knoll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 Tufts Science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 Washington Middle LLC</w:t>
            </w:r>
          </w:p>
        </w:tc>
        <w:tc>
          <w:tcPr>
            <w:tcW w:w="37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4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 Webster LLC</w:t>
            </w:r>
          </w:p>
        </w:tc>
        <w:tc>
          <w:tcPr>
            <w:tcW w:w="37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60" w:top="157" w:right="299" w:bottom="1440" w:gutter="0" w:footer="0" w:header="0"/>
        </w:sectPr>
      </w:pPr>
    </w:p>
    <w:bookmarkStart w:id="211" w:name="page212"/>
    <w:bookmarkEnd w:id="211"/>
    <w:p>
      <w:pPr>
        <w:ind w:left="10340"/>
        <w:spacing w:after="0"/>
        <w:rPr>
          <w:sz w:val="20"/>
          <w:szCs w:val="20"/>
          <w:color w:val="auto"/>
        </w:rPr>
      </w:pPr>
      <w:r>
        <w:rPr>
          <w:rFonts w:ascii="Arial" w:cs="Arial" w:eastAsia="Arial" w:hAnsi="Arial"/>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7600" w:type="dxa"/>
            <w:vAlign w:val="bottom"/>
            <w:gridSpan w:val="3"/>
          </w:tcPr>
          <w:p>
            <w:pPr>
              <w:ind w:left="420"/>
              <w:spacing w:after="0"/>
              <w:rPr>
                <w:sz w:val="20"/>
                <w:szCs w:val="20"/>
                <w:color w:val="auto"/>
              </w:rPr>
            </w:pPr>
            <w:r>
              <w:rPr>
                <w:rFonts w:ascii="Arial" w:cs="Arial" w:eastAsia="Arial" w:hAnsi="Arial"/>
                <w:sz w:val="14"/>
                <w:szCs w:val="14"/>
                <w:b w:val="1"/>
                <w:bCs w:val="1"/>
                <w:color w:val="auto"/>
              </w:rPr>
              <w:t>SUBSIDIARIES OF CLEARWAY ENERGY LLC</w:t>
            </w:r>
          </w:p>
        </w:tc>
      </w:tr>
      <w:tr>
        <w:trPr>
          <w:trHeight w:val="626"/>
        </w:trPr>
        <w:tc>
          <w:tcPr>
            <w:tcW w:w="3640" w:type="dxa"/>
            <w:vAlign w:val="bottom"/>
            <w:tcBorders>
              <w:bottom w:val="single" w:sz="8" w:color="969696"/>
            </w:tcBorders>
          </w:tcPr>
          <w:p>
            <w:pPr>
              <w:spacing w:after="0"/>
              <w:rPr>
                <w:sz w:val="24"/>
                <w:szCs w:val="24"/>
                <w:color w:val="auto"/>
              </w:rPr>
            </w:pPr>
          </w:p>
        </w:tc>
        <w:tc>
          <w:tcPr>
            <w:tcW w:w="358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640" w:type="dxa"/>
            <w:vAlign w:val="bottom"/>
            <w:tcBorders>
              <w:left w:val="single" w:sz="8" w:color="auto"/>
              <w:bottom w:val="single" w:sz="8" w:color="auto"/>
            </w:tcBorders>
            <w:shd w:val="clear" w:color="auto" w:fill="ACACAC"/>
          </w:tcPr>
          <w:p>
            <w:pPr>
              <w:ind w:left="40"/>
              <w:spacing w:after="0"/>
              <w:rPr>
                <w:sz w:val="20"/>
                <w:szCs w:val="20"/>
                <w:color w:val="auto"/>
              </w:rPr>
            </w:pPr>
            <w:r>
              <w:rPr>
                <w:rFonts w:ascii="Arial" w:cs="Arial" w:eastAsia="Arial" w:hAnsi="Arial"/>
                <w:sz w:val="16"/>
                <w:szCs w:val="16"/>
                <w:b w:val="1"/>
                <w:bCs w:val="1"/>
                <w:color w:val="auto"/>
              </w:rPr>
              <w:t>Entity Name</w:t>
            </w:r>
          </w:p>
        </w:tc>
        <w:tc>
          <w:tcPr>
            <w:tcW w:w="358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Arial" w:cs="Arial" w:eastAsia="Arial" w:hAnsi="Arial"/>
                <w:sz w:val="16"/>
                <w:szCs w:val="16"/>
                <w:b w:val="1"/>
                <w:bCs w:val="1"/>
                <w:color w:val="auto"/>
              </w:rPr>
              <w:t>Jurisdiction</w:t>
            </w:r>
          </w:p>
        </w:tc>
      </w:tr>
      <w:tr>
        <w:trPr>
          <w:trHeight w:val="190"/>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DG-CS Holdco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DG-CS Holdings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DG-CS Master Borrower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DGPV 1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DGPV 2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DGPV 3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DGPV 4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DGPV Fund 1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DGPV Fund 2 HoldCo A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DGPV Fund 2 HoldCo B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DGPV Fund 2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DGPV Fund 4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DGPV Fund 4 Sub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DGPV Holding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Dodge Holdco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Eastman Street Solar 1,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El Mirage Energy,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Arizona</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El Segundo Energy Center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Elbow Creek Repowering Tax Equity Holdco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Elbow Creek Wind Project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Texas</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Elkhorn Holdings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Elkhorn Ridge Wind,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Energy Center Honolulu HoldCo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Energy Center Honolulu Holdings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Energy Center Honolulu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Enterprise Solar,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Escalante Solar I,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Escalante Solar II,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Escalante Solar III,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ETCAP NES CS MN 02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ETCAP NES CS MN 06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Farmington Holdco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Federal Road Solar 1,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Forest Lake Holdco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Forward WindPower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Four Brothers Holdings,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Four Brothers Solar,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Frontenac Holdco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FUSD Energy,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Arizona</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GCE Holding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Connecticut</w:t>
            </w:r>
          </w:p>
        </w:tc>
      </w:tr>
      <w:tr>
        <w:trPr>
          <w:trHeight w:val="192"/>
        </w:trPr>
        <w:tc>
          <w:tcPr>
            <w:tcW w:w="3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GenConn Devon LLC</w:t>
            </w:r>
          </w:p>
        </w:tc>
        <w:tc>
          <w:tcPr>
            <w:tcW w:w="35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Connecticut</w:t>
            </w:r>
          </w:p>
        </w:tc>
      </w:tr>
      <w:tr>
        <w:trPr>
          <w:trHeight w:val="192"/>
        </w:trPr>
        <w:tc>
          <w:tcPr>
            <w:tcW w:w="36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GenConn Energy LLC</w:t>
            </w:r>
          </w:p>
        </w:tc>
        <w:tc>
          <w:tcPr>
            <w:tcW w:w="35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Connecticut</w:t>
            </w:r>
          </w:p>
        </w:tc>
      </w:tr>
    </w:tbl>
    <w:p>
      <w:pPr>
        <w:sectPr>
          <w:pgSz w:w="11900" w:h="16838" w:orient="portrait"/>
          <w:cols w:equalWidth="0" w:num="1">
            <w:col w:w="11240"/>
          </w:cols>
          <w:pgMar w:left="360" w:top="157" w:right="299" w:bottom="1440" w:gutter="0" w:footer="0" w:header="0"/>
        </w:sectPr>
      </w:pPr>
    </w:p>
    <w:bookmarkStart w:id="212" w:name="page213"/>
    <w:bookmarkEnd w:id="212"/>
    <w:p>
      <w:pPr>
        <w:ind w:left="10340"/>
        <w:spacing w:after="0"/>
        <w:rPr>
          <w:sz w:val="20"/>
          <w:szCs w:val="20"/>
          <w:color w:val="auto"/>
        </w:rPr>
      </w:pPr>
      <w:r>
        <w:rPr>
          <w:rFonts w:ascii="Arial" w:cs="Arial" w:eastAsia="Arial" w:hAnsi="Arial"/>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7900" w:type="dxa"/>
            <w:vAlign w:val="bottom"/>
            <w:gridSpan w:val="3"/>
          </w:tcPr>
          <w:p>
            <w:pPr>
              <w:ind w:left="720"/>
              <w:spacing w:after="0"/>
              <w:rPr>
                <w:sz w:val="20"/>
                <w:szCs w:val="20"/>
                <w:color w:val="auto"/>
              </w:rPr>
            </w:pPr>
            <w:r>
              <w:rPr>
                <w:rFonts w:ascii="Arial" w:cs="Arial" w:eastAsia="Arial" w:hAnsi="Arial"/>
                <w:sz w:val="14"/>
                <w:szCs w:val="14"/>
                <w:b w:val="1"/>
                <w:bCs w:val="1"/>
                <w:color w:val="auto"/>
              </w:rPr>
              <w:t>SUBSIDIARIES OF CLEARWAY ENERGY LLC</w:t>
            </w:r>
          </w:p>
        </w:tc>
      </w:tr>
      <w:tr>
        <w:trPr>
          <w:trHeight w:val="626"/>
        </w:trPr>
        <w:tc>
          <w:tcPr>
            <w:tcW w:w="3340" w:type="dxa"/>
            <w:vAlign w:val="bottom"/>
            <w:tcBorders>
              <w:bottom w:val="single" w:sz="8" w:color="969696"/>
            </w:tcBorders>
          </w:tcPr>
          <w:p>
            <w:pPr>
              <w:spacing w:after="0"/>
              <w:rPr>
                <w:sz w:val="24"/>
                <w:szCs w:val="24"/>
                <w:color w:val="auto"/>
              </w:rPr>
            </w:pPr>
          </w:p>
        </w:tc>
        <w:tc>
          <w:tcPr>
            <w:tcW w:w="388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340" w:type="dxa"/>
            <w:vAlign w:val="bottom"/>
            <w:tcBorders>
              <w:left w:val="single" w:sz="8" w:color="auto"/>
              <w:bottom w:val="single" w:sz="8" w:color="auto"/>
            </w:tcBorders>
            <w:shd w:val="clear" w:color="auto" w:fill="ACACAC"/>
          </w:tcPr>
          <w:p>
            <w:pPr>
              <w:ind w:left="40"/>
              <w:spacing w:after="0"/>
              <w:rPr>
                <w:sz w:val="20"/>
                <w:szCs w:val="20"/>
                <w:color w:val="auto"/>
              </w:rPr>
            </w:pPr>
            <w:r>
              <w:rPr>
                <w:rFonts w:ascii="Arial" w:cs="Arial" w:eastAsia="Arial" w:hAnsi="Arial"/>
                <w:sz w:val="16"/>
                <w:szCs w:val="16"/>
                <w:b w:val="1"/>
                <w:bCs w:val="1"/>
                <w:color w:val="auto"/>
              </w:rPr>
              <w:t>Entity Name</w:t>
            </w:r>
          </w:p>
        </w:tc>
        <w:tc>
          <w:tcPr>
            <w:tcW w:w="388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Arial" w:cs="Arial" w:eastAsia="Arial" w:hAnsi="Arial"/>
                <w:sz w:val="16"/>
                <w:szCs w:val="16"/>
                <w:b w:val="1"/>
                <w:bCs w:val="1"/>
                <w:color w:val="auto"/>
              </w:rPr>
              <w:t>Jurisdiction</w:t>
            </w:r>
          </w:p>
        </w:tc>
      </w:tr>
      <w:tr>
        <w:trPr>
          <w:trHeight w:val="190"/>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GenConn Middletown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Connecticut</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Goat Wind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Texas</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Golden Fields Solar III,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Golden Puma Fund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Grabinski Solar,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Granite Mountain Holdings,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Granite Mountain Renewables,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Granite Mountain Solar East,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Granite Mountain Solar West,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High Plains Ranch II,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HLE Solar Holdings,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HSD Solar Holdings,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California</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Hwy 14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Iron Springs Holdings,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Iron Springs Renewables,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Iron Springs Solar,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Langford Class B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Langford Holding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Langford Tax Equity Partnership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Langford Wind Power,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Texas</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Lanikuhana Solar,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Hawaii</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Laredo Ridge Wind,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Lenape II Solar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Lighthouse Renewable Class A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Lighthouse Renewable Holdco 2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Lighthouse Renewable Holdco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Lighthouse Renewable Holding Sub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Lighthouse Renewable Holdings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Lindberg Field Solar 1,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Lindberg Field Solar 2,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Longhorn Energy,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Arizona</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Lookout WindPower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Mapleton Solar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Marsh Landing Holdco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Marsh Landing Holdings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Marsh Landing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MC1 Solar Farm,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North Carolina</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Mesquite Sky Class B Holdco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Mesquite Sky Holding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Mesquite Sky TE Holdco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Mesquite Star Class B Holdco LLC</w:t>
            </w:r>
          </w:p>
        </w:tc>
        <w:tc>
          <w:tcPr>
            <w:tcW w:w="3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3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Mesquite Star Special, LLC</w:t>
            </w:r>
          </w:p>
        </w:tc>
        <w:tc>
          <w:tcPr>
            <w:tcW w:w="38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60" w:top="156" w:right="299" w:bottom="1440" w:gutter="0" w:footer="0" w:header="0"/>
        </w:sectPr>
      </w:pPr>
    </w:p>
    <w:bookmarkStart w:id="213" w:name="page214"/>
    <w:bookmarkEnd w:id="213"/>
    <w:p>
      <w:pPr>
        <w:ind w:left="10340"/>
        <w:spacing w:after="0"/>
        <w:rPr>
          <w:sz w:val="20"/>
          <w:szCs w:val="20"/>
          <w:color w:val="auto"/>
        </w:rPr>
      </w:pPr>
      <w:r>
        <w:rPr>
          <w:rFonts w:ascii="Arial" w:cs="Arial" w:eastAsia="Arial" w:hAnsi="Arial"/>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7980" w:type="dxa"/>
            <w:vAlign w:val="bottom"/>
            <w:gridSpan w:val="3"/>
          </w:tcPr>
          <w:p>
            <w:pPr>
              <w:ind w:left="800"/>
              <w:spacing w:after="0"/>
              <w:rPr>
                <w:sz w:val="20"/>
                <w:szCs w:val="20"/>
                <w:color w:val="auto"/>
              </w:rPr>
            </w:pPr>
            <w:r>
              <w:rPr>
                <w:rFonts w:ascii="Arial" w:cs="Arial" w:eastAsia="Arial" w:hAnsi="Arial"/>
                <w:sz w:val="14"/>
                <w:szCs w:val="14"/>
                <w:b w:val="1"/>
                <w:bCs w:val="1"/>
                <w:color w:val="auto"/>
              </w:rPr>
              <w:t>SUBSIDIARIES OF CLEARWAY ENERGY LLC</w:t>
            </w:r>
          </w:p>
        </w:tc>
      </w:tr>
      <w:tr>
        <w:trPr>
          <w:trHeight w:val="626"/>
        </w:trPr>
        <w:tc>
          <w:tcPr>
            <w:tcW w:w="3260" w:type="dxa"/>
            <w:vAlign w:val="bottom"/>
            <w:tcBorders>
              <w:bottom w:val="single" w:sz="8" w:color="969696"/>
            </w:tcBorders>
          </w:tcPr>
          <w:p>
            <w:pPr>
              <w:spacing w:after="0"/>
              <w:rPr>
                <w:sz w:val="24"/>
                <w:szCs w:val="24"/>
                <w:color w:val="auto"/>
              </w:rPr>
            </w:pPr>
          </w:p>
        </w:tc>
        <w:tc>
          <w:tcPr>
            <w:tcW w:w="396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260" w:type="dxa"/>
            <w:vAlign w:val="bottom"/>
            <w:tcBorders>
              <w:left w:val="single" w:sz="8" w:color="auto"/>
              <w:bottom w:val="single" w:sz="8" w:color="auto"/>
            </w:tcBorders>
            <w:shd w:val="clear" w:color="auto" w:fill="ACACAC"/>
          </w:tcPr>
          <w:p>
            <w:pPr>
              <w:ind w:left="40"/>
              <w:spacing w:after="0"/>
              <w:rPr>
                <w:sz w:val="20"/>
                <w:szCs w:val="20"/>
                <w:color w:val="auto"/>
              </w:rPr>
            </w:pPr>
            <w:r>
              <w:rPr>
                <w:rFonts w:ascii="Arial" w:cs="Arial" w:eastAsia="Arial" w:hAnsi="Arial"/>
                <w:sz w:val="16"/>
                <w:szCs w:val="16"/>
                <w:b w:val="1"/>
                <w:bCs w:val="1"/>
                <w:color w:val="auto"/>
              </w:rPr>
              <w:t>Entity Name</w:t>
            </w:r>
          </w:p>
        </w:tc>
        <w:tc>
          <w:tcPr>
            <w:tcW w:w="396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Arial" w:cs="Arial" w:eastAsia="Arial" w:hAnsi="Arial"/>
                <w:sz w:val="16"/>
                <w:szCs w:val="16"/>
                <w:b w:val="1"/>
                <w:bCs w:val="1"/>
                <w:color w:val="auto"/>
              </w:rPr>
              <w:t>Jurisdiction</w:t>
            </w:r>
          </w:p>
        </w:tc>
      </w:tr>
      <w:tr>
        <w:trPr>
          <w:trHeight w:val="190"/>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Mesquite Star Tax Equity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Mililani BL Borrower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Mililani Class B Member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Mililani I Solar,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Mililani TE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Minisink Solar 1,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Minisink Solar 2,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Mission Iowa Wind,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California</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Mission Minnesota Wind II,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Mission Wind Broken Bow,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Mission Wind Cedro,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Mission Wind Crofton Bluffs,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Mission Wind Laredo,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Mission Wind New Mexico,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Mission Wind Oklahoma,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Mission Wind PA One,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Mission Wind PA Three,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Mission Wind PA Two,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Mission Wind Pennsylvania,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Mission Wind Utah,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Mission Wind Wyoming,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Monster Energy,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Arizona</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Montevideo Solar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Mount Hope Solar 1,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Mountain Wind Power II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Mountain Wind Power,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Natural Gas CA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Natural Gas CA Holdings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Natural Gas Repowering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NedPower Mount Storm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New Munich Solar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NIMH Solar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NIMH Solar Holdings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NIMH Solar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Northfield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NS Smith,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Oahu Renewables,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Oahu Solar Holdings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Oahu Solar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OC Solar 2010,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California</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Ocotillo Windpower Holdco 2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Ocotillo Windpower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60" w:top="157" w:right="299" w:bottom="1440" w:gutter="0" w:footer="0" w:header="0"/>
        </w:sectPr>
      </w:pPr>
    </w:p>
    <w:bookmarkStart w:id="214" w:name="page215"/>
    <w:bookmarkEnd w:id="214"/>
    <w:p>
      <w:pPr>
        <w:ind w:left="10340"/>
        <w:spacing w:after="0"/>
        <w:rPr>
          <w:sz w:val="20"/>
          <w:szCs w:val="20"/>
          <w:color w:val="auto"/>
        </w:rPr>
      </w:pPr>
      <w:r>
        <w:rPr>
          <w:rFonts w:ascii="Arial" w:cs="Arial" w:eastAsia="Arial" w:hAnsi="Arial"/>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7740" w:type="dxa"/>
            <w:vAlign w:val="bottom"/>
            <w:gridSpan w:val="3"/>
          </w:tcPr>
          <w:p>
            <w:pPr>
              <w:ind w:left="560"/>
              <w:spacing w:after="0"/>
              <w:rPr>
                <w:sz w:val="20"/>
                <w:szCs w:val="20"/>
                <w:color w:val="auto"/>
              </w:rPr>
            </w:pPr>
            <w:r>
              <w:rPr>
                <w:rFonts w:ascii="Arial" w:cs="Arial" w:eastAsia="Arial" w:hAnsi="Arial"/>
                <w:sz w:val="14"/>
                <w:szCs w:val="14"/>
                <w:b w:val="1"/>
                <w:bCs w:val="1"/>
                <w:color w:val="auto"/>
              </w:rPr>
              <w:t>SUBSIDIARIES OF CLEARWAY ENERGY LLC</w:t>
            </w:r>
          </w:p>
        </w:tc>
      </w:tr>
      <w:tr>
        <w:trPr>
          <w:trHeight w:val="626"/>
        </w:trPr>
        <w:tc>
          <w:tcPr>
            <w:tcW w:w="3500" w:type="dxa"/>
            <w:vAlign w:val="bottom"/>
            <w:tcBorders>
              <w:bottom w:val="single" w:sz="8" w:color="969696"/>
            </w:tcBorders>
          </w:tcPr>
          <w:p>
            <w:pPr>
              <w:spacing w:after="0"/>
              <w:rPr>
                <w:sz w:val="24"/>
                <w:szCs w:val="24"/>
                <w:color w:val="auto"/>
              </w:rPr>
            </w:pPr>
          </w:p>
        </w:tc>
        <w:tc>
          <w:tcPr>
            <w:tcW w:w="372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500" w:type="dxa"/>
            <w:vAlign w:val="bottom"/>
            <w:tcBorders>
              <w:left w:val="single" w:sz="8" w:color="auto"/>
              <w:bottom w:val="single" w:sz="8" w:color="auto"/>
            </w:tcBorders>
            <w:shd w:val="clear" w:color="auto" w:fill="ACACAC"/>
          </w:tcPr>
          <w:p>
            <w:pPr>
              <w:ind w:left="40"/>
              <w:spacing w:after="0"/>
              <w:rPr>
                <w:sz w:val="20"/>
                <w:szCs w:val="20"/>
                <w:color w:val="auto"/>
              </w:rPr>
            </w:pPr>
            <w:r>
              <w:rPr>
                <w:rFonts w:ascii="Arial" w:cs="Arial" w:eastAsia="Arial" w:hAnsi="Arial"/>
                <w:sz w:val="16"/>
                <w:szCs w:val="16"/>
                <w:b w:val="1"/>
                <w:bCs w:val="1"/>
                <w:color w:val="auto"/>
              </w:rPr>
              <w:t>Entity Name</w:t>
            </w:r>
          </w:p>
        </w:tc>
        <w:tc>
          <w:tcPr>
            <w:tcW w:w="372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Arial" w:cs="Arial" w:eastAsia="Arial" w:hAnsi="Arial"/>
                <w:sz w:val="16"/>
                <w:szCs w:val="16"/>
                <w:b w:val="1"/>
                <w:bCs w:val="1"/>
                <w:color w:val="auto"/>
              </w:rPr>
              <w:t>Jurisdiction</w:t>
            </w:r>
          </w:p>
        </w:tc>
      </w:tr>
      <w:tr>
        <w:trPr>
          <w:trHeight w:val="190"/>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Ocotillo Windpower Holdings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Ocotillo Windpower, LP</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Odin Wind Farm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Minnesota</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Old Westminster Solar 1,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Old Westminster Solar 2,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Olinda Trail Solar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Osakis Solar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OWF Eight,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Minnesota</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OWF Five,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Minnesota</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OWF Four,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Minnesota</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OWF One,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Minnesota</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OWF Seven,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Minnesota</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OWF Six,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Minnesota</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OWF Three,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Minnesota</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OWF Two,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Minnesota</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Partridgeville Road Solar 1,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PAWVA Wind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PAWVA Wind Holdings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PC Dinuba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PESD Energy,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Arizona</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Pikes Peak Solar Garden I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Colorado</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Pine Island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Pinnacle Repowering Partnership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Pinnacle Repowering Partnership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Pinnacle Repowering Tax Equity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Pinnacle Wind,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PM Solar Holdings,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California</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Pond Road Solar,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Portfolio Solar I,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Puma Class B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Rattlesnake Class B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Rattlesnake Flat,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Rattlesnake TE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Redbrook Solar 1,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Renew Canal 1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Renew Solar CS4 Class B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Renew Solar CS4 Fund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Renew Spark 2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Repowering Partnership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Repowering Partnership II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Rollingstone Holdco LLC</w:t>
            </w:r>
          </w:p>
        </w:tc>
        <w:tc>
          <w:tcPr>
            <w:tcW w:w="37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Rosamond Solar Holdco LLC</w:t>
            </w:r>
          </w:p>
        </w:tc>
        <w:tc>
          <w:tcPr>
            <w:tcW w:w="37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60" w:top="156" w:right="299" w:bottom="1440" w:gutter="0" w:footer="0" w:header="0"/>
        </w:sectPr>
      </w:pPr>
    </w:p>
    <w:bookmarkStart w:id="215" w:name="page216"/>
    <w:bookmarkEnd w:id="215"/>
    <w:p>
      <w:pPr>
        <w:ind w:left="10340"/>
        <w:spacing w:after="0"/>
        <w:rPr>
          <w:sz w:val="20"/>
          <w:szCs w:val="20"/>
          <w:color w:val="auto"/>
        </w:rPr>
      </w:pPr>
      <w:r>
        <w:rPr>
          <w:rFonts w:ascii="Arial" w:cs="Arial" w:eastAsia="Arial" w:hAnsi="Arial"/>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8120" w:type="dxa"/>
            <w:vAlign w:val="bottom"/>
            <w:gridSpan w:val="3"/>
          </w:tcPr>
          <w:p>
            <w:pPr>
              <w:ind w:left="940"/>
              <w:spacing w:after="0"/>
              <w:rPr>
                <w:sz w:val="20"/>
                <w:szCs w:val="20"/>
                <w:color w:val="auto"/>
              </w:rPr>
            </w:pPr>
            <w:r>
              <w:rPr>
                <w:rFonts w:ascii="Arial" w:cs="Arial" w:eastAsia="Arial" w:hAnsi="Arial"/>
                <w:sz w:val="14"/>
                <w:szCs w:val="14"/>
                <w:b w:val="1"/>
                <w:bCs w:val="1"/>
                <w:color w:val="auto"/>
              </w:rPr>
              <w:t>SUBSIDIARIES OF CLEARWAY ENERGY LLC</w:t>
            </w:r>
          </w:p>
        </w:tc>
      </w:tr>
      <w:tr>
        <w:trPr>
          <w:trHeight w:val="626"/>
        </w:trPr>
        <w:tc>
          <w:tcPr>
            <w:tcW w:w="3120" w:type="dxa"/>
            <w:vAlign w:val="bottom"/>
            <w:tcBorders>
              <w:bottom w:val="single" w:sz="8" w:color="969696"/>
            </w:tcBorders>
          </w:tcPr>
          <w:p>
            <w:pPr>
              <w:spacing w:after="0"/>
              <w:rPr>
                <w:sz w:val="24"/>
                <w:szCs w:val="24"/>
                <w:color w:val="auto"/>
              </w:rPr>
            </w:pPr>
          </w:p>
        </w:tc>
        <w:tc>
          <w:tcPr>
            <w:tcW w:w="410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120" w:type="dxa"/>
            <w:vAlign w:val="bottom"/>
            <w:tcBorders>
              <w:left w:val="single" w:sz="8" w:color="auto"/>
              <w:bottom w:val="single" w:sz="8" w:color="auto"/>
            </w:tcBorders>
            <w:shd w:val="clear" w:color="auto" w:fill="ACACAC"/>
          </w:tcPr>
          <w:p>
            <w:pPr>
              <w:ind w:left="40"/>
              <w:spacing w:after="0"/>
              <w:rPr>
                <w:sz w:val="20"/>
                <w:szCs w:val="20"/>
                <w:color w:val="auto"/>
              </w:rPr>
            </w:pPr>
            <w:r>
              <w:rPr>
                <w:rFonts w:ascii="Arial" w:cs="Arial" w:eastAsia="Arial" w:hAnsi="Arial"/>
                <w:sz w:val="16"/>
                <w:szCs w:val="16"/>
                <w:b w:val="1"/>
                <w:bCs w:val="1"/>
                <w:color w:val="auto"/>
              </w:rPr>
              <w:t>Entity Name</w:t>
            </w:r>
          </w:p>
        </w:tc>
        <w:tc>
          <w:tcPr>
            <w:tcW w:w="410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Arial" w:cs="Arial" w:eastAsia="Arial" w:hAnsi="Arial"/>
                <w:sz w:val="16"/>
                <w:szCs w:val="16"/>
                <w:b w:val="1"/>
                <w:bCs w:val="1"/>
                <w:color w:val="auto"/>
              </w:rPr>
              <w:t>Jurisdiction</w:t>
            </w:r>
          </w:p>
        </w:tc>
      </w:tr>
      <w:tr>
        <w:trPr>
          <w:trHeight w:val="190"/>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Rosamond Solar Investment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Rosie Class B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Rosie Project HoldCo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Rosie TargetCo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Rosie TE HoldCo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Rounseville Solar 1,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RPV Holding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San Juan Mesa Investments,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San Juan Mesa Wind Project,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Sand Drag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Sartell Solar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SCDA Solar 1,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SCWFD Energy,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Arizona</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SJA Solar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Sleeping Bear,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Solar Alpine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Solar Apple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Solar AV Holdco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Solar Avra Valley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Solar Blythe II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Solar Blythe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Solar Borrego Holdco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Solar Borrego I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Solar Community 1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Solar Community Holdco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Solar CVSR Holdings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Solar Flagstaff One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Solar Iguana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Solar Kansas South Holdings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Solar Kansas South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Solar Las Vegas MB 1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Solar Las Vegas MB 2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Solar Mayfair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Solar Mule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Solar Oasis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Solar Roadrunner Holdings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Solar Roadrunner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Solar Tabernacle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Solar Warren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Solar Wauwinet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Solar West Shaft LLC</w:t>
            </w:r>
          </w:p>
        </w:tc>
        <w:tc>
          <w:tcPr>
            <w:tcW w:w="41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1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South Trent Holdings LLC</w:t>
            </w:r>
          </w:p>
        </w:tc>
        <w:tc>
          <w:tcPr>
            <w:tcW w:w="41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60" w:top="157" w:right="299" w:bottom="1440" w:gutter="0" w:footer="0" w:header="0"/>
        </w:sectPr>
      </w:pPr>
    </w:p>
    <w:bookmarkStart w:id="216" w:name="page217"/>
    <w:bookmarkEnd w:id="216"/>
    <w:p>
      <w:pPr>
        <w:ind w:left="10340"/>
        <w:spacing w:after="0"/>
        <w:rPr>
          <w:sz w:val="20"/>
          <w:szCs w:val="20"/>
          <w:color w:val="auto"/>
        </w:rPr>
      </w:pPr>
      <w:r>
        <w:rPr>
          <w:rFonts w:ascii="Arial" w:cs="Arial" w:eastAsia="Arial" w:hAnsi="Arial"/>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7640" w:type="dxa"/>
            <w:vAlign w:val="bottom"/>
            <w:gridSpan w:val="3"/>
          </w:tcPr>
          <w:p>
            <w:pPr>
              <w:ind w:left="460"/>
              <w:spacing w:after="0"/>
              <w:rPr>
                <w:sz w:val="20"/>
                <w:szCs w:val="20"/>
                <w:color w:val="auto"/>
              </w:rPr>
            </w:pPr>
            <w:r>
              <w:rPr>
                <w:rFonts w:ascii="Arial" w:cs="Arial" w:eastAsia="Arial" w:hAnsi="Arial"/>
                <w:sz w:val="14"/>
                <w:szCs w:val="14"/>
                <w:b w:val="1"/>
                <w:bCs w:val="1"/>
                <w:color w:val="auto"/>
              </w:rPr>
              <w:t>SUBSIDIARIES OF CLEARWAY ENERGY LLC</w:t>
            </w:r>
          </w:p>
        </w:tc>
      </w:tr>
      <w:tr>
        <w:trPr>
          <w:trHeight w:val="626"/>
        </w:trPr>
        <w:tc>
          <w:tcPr>
            <w:tcW w:w="3600" w:type="dxa"/>
            <w:vAlign w:val="bottom"/>
            <w:tcBorders>
              <w:bottom w:val="single" w:sz="8" w:color="969696"/>
            </w:tcBorders>
          </w:tcPr>
          <w:p>
            <w:pPr>
              <w:spacing w:after="0"/>
              <w:rPr>
                <w:sz w:val="24"/>
                <w:szCs w:val="24"/>
                <w:color w:val="auto"/>
              </w:rPr>
            </w:pPr>
          </w:p>
        </w:tc>
        <w:tc>
          <w:tcPr>
            <w:tcW w:w="362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600" w:type="dxa"/>
            <w:vAlign w:val="bottom"/>
            <w:tcBorders>
              <w:left w:val="single" w:sz="8" w:color="auto"/>
              <w:bottom w:val="single" w:sz="8" w:color="auto"/>
            </w:tcBorders>
            <w:shd w:val="clear" w:color="auto" w:fill="ACACAC"/>
          </w:tcPr>
          <w:p>
            <w:pPr>
              <w:ind w:left="40"/>
              <w:spacing w:after="0"/>
              <w:rPr>
                <w:sz w:val="20"/>
                <w:szCs w:val="20"/>
                <w:color w:val="auto"/>
              </w:rPr>
            </w:pPr>
            <w:r>
              <w:rPr>
                <w:rFonts w:ascii="Arial" w:cs="Arial" w:eastAsia="Arial" w:hAnsi="Arial"/>
                <w:sz w:val="16"/>
                <w:szCs w:val="16"/>
                <w:b w:val="1"/>
                <w:bCs w:val="1"/>
                <w:color w:val="auto"/>
              </w:rPr>
              <w:t>Entity Name</w:t>
            </w:r>
          </w:p>
        </w:tc>
        <w:tc>
          <w:tcPr>
            <w:tcW w:w="362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Arial" w:cs="Arial" w:eastAsia="Arial" w:hAnsi="Arial"/>
                <w:sz w:val="16"/>
                <w:szCs w:val="16"/>
                <w:b w:val="1"/>
                <w:bCs w:val="1"/>
                <w:color w:val="auto"/>
              </w:rPr>
              <w:t>Jurisdiction</w:t>
            </w:r>
          </w:p>
        </w:tc>
      </w:tr>
      <w:tr>
        <w:trPr>
          <w:trHeight w:val="190"/>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South Trent Wind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Spanish Fork Wind Park 2,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Utah</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SPP Asset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SPP Fund II Holdings,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SPP Fund II,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SPP Fund II-B,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SPP Fund III,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SPP Lease Holdings,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SPP P-IV Master Lessee,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Spring Canyon Energy II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Spring Canyon Energy III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Spring Canyon Expansion Class B Holdings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Spring Canyon Expansion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Spring Canyon Expansion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Spring Canyon Interconnection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Spring Street Solar 1,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Stafford St Solar 1,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Stafford St Solar 2,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Stafford St Solar 3,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Stearns Solar I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Steel Bridge Solar,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Sun City Project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TA - High Desert,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California</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Taloga Wind,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Oklahoma</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Tapestry Wind,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Thermal Canada Infrastructure Holdings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Thermal Canada Infrastructure 1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Thermal Hawaii Development HoldCo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Thermal Hawaii Development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Thermal Hawaii Development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Topeka Solar 1,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TOS Solar 1,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TOS Solar 2,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TOS Solar 4,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TOS Solar 5,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Tully Farms Solar 1,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Underhill Solar,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Utah Solar Holdings II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Utah Solar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Utah Solar Master HoldCo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Utah Solar Master Holdings LLC</w:t>
            </w:r>
          </w:p>
        </w:tc>
        <w:tc>
          <w:tcPr>
            <w:tcW w:w="36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Vail Energy, LLC</w:t>
            </w:r>
          </w:p>
        </w:tc>
        <w:tc>
          <w:tcPr>
            <w:tcW w:w="36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Arizona</w:t>
            </w:r>
          </w:p>
        </w:tc>
      </w:tr>
    </w:tbl>
    <w:p>
      <w:pPr>
        <w:sectPr>
          <w:pgSz w:w="11900" w:h="16838" w:orient="portrait"/>
          <w:cols w:equalWidth="0" w:num="1">
            <w:col w:w="11240"/>
          </w:cols>
          <w:pgMar w:left="360" w:top="157" w:right="299" w:bottom="1440" w:gutter="0" w:footer="0" w:header="0"/>
        </w:sectPr>
      </w:pPr>
    </w:p>
    <w:bookmarkStart w:id="217" w:name="page218"/>
    <w:bookmarkEnd w:id="217"/>
    <w:p>
      <w:pPr>
        <w:ind w:left="10340"/>
        <w:spacing w:after="0"/>
        <w:rPr>
          <w:sz w:val="20"/>
          <w:szCs w:val="20"/>
          <w:color w:val="auto"/>
        </w:rPr>
      </w:pPr>
      <w:r>
        <w:rPr>
          <w:rFonts w:ascii="Arial" w:cs="Arial" w:eastAsia="Arial" w:hAnsi="Arial"/>
          <w:sz w:val="14"/>
          <w:szCs w:val="14"/>
          <w:b w:val="1"/>
          <w:bCs w:val="1"/>
          <w:color w:val="auto"/>
        </w:rPr>
        <w:t>EXHIBIT 21.1</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7680" w:type="dxa"/>
            <w:vAlign w:val="bottom"/>
            <w:gridSpan w:val="3"/>
          </w:tcPr>
          <w:p>
            <w:pPr>
              <w:ind w:left="500"/>
              <w:spacing w:after="0"/>
              <w:rPr>
                <w:sz w:val="20"/>
                <w:szCs w:val="20"/>
                <w:color w:val="auto"/>
              </w:rPr>
            </w:pPr>
            <w:r>
              <w:rPr>
                <w:rFonts w:ascii="Arial" w:cs="Arial" w:eastAsia="Arial" w:hAnsi="Arial"/>
                <w:sz w:val="14"/>
                <w:szCs w:val="14"/>
                <w:b w:val="1"/>
                <w:bCs w:val="1"/>
                <w:color w:val="auto"/>
              </w:rPr>
              <w:t>SUBSIDIARIES OF CLEARWAY ENERGY LLC</w:t>
            </w:r>
          </w:p>
        </w:tc>
      </w:tr>
      <w:tr>
        <w:trPr>
          <w:trHeight w:val="626"/>
        </w:trPr>
        <w:tc>
          <w:tcPr>
            <w:tcW w:w="3560" w:type="dxa"/>
            <w:vAlign w:val="bottom"/>
            <w:tcBorders>
              <w:bottom w:val="single" w:sz="8" w:color="969696"/>
            </w:tcBorders>
          </w:tcPr>
          <w:p>
            <w:pPr>
              <w:spacing w:after="0"/>
              <w:rPr>
                <w:sz w:val="24"/>
                <w:szCs w:val="24"/>
                <w:color w:val="auto"/>
              </w:rPr>
            </w:pPr>
          </w:p>
        </w:tc>
        <w:tc>
          <w:tcPr>
            <w:tcW w:w="3660" w:type="dxa"/>
            <w:vAlign w:val="bottom"/>
            <w:tcBorders>
              <w:bottom w:val="single" w:sz="8" w:color="969696"/>
            </w:tcBorders>
          </w:tcPr>
          <w:p>
            <w:pPr>
              <w:spacing w:after="0"/>
              <w:rPr>
                <w:sz w:val="24"/>
                <w:szCs w:val="24"/>
                <w:color w:val="auto"/>
              </w:rPr>
            </w:pPr>
          </w:p>
        </w:tc>
        <w:tc>
          <w:tcPr>
            <w:tcW w:w="380" w:type="dxa"/>
            <w:vAlign w:val="bottom"/>
            <w:tcBorders>
              <w:bottom w:val="single" w:sz="8" w:color="969696"/>
            </w:tcBorders>
          </w:tcPr>
          <w:p>
            <w:pPr>
              <w:spacing w:after="0"/>
              <w:rPr>
                <w:sz w:val="24"/>
                <w:szCs w:val="24"/>
                <w:color w:val="auto"/>
              </w:rPr>
            </w:pPr>
          </w:p>
        </w:tc>
        <w:tc>
          <w:tcPr>
            <w:tcW w:w="3640" w:type="dxa"/>
            <w:vAlign w:val="bottom"/>
            <w:tcBorders>
              <w:bottom w:val="single" w:sz="8" w:color="969696"/>
            </w:tcBorders>
          </w:tcPr>
          <w:p>
            <w:pPr>
              <w:spacing w:after="0"/>
              <w:rPr>
                <w:sz w:val="24"/>
                <w:szCs w:val="24"/>
                <w:color w:val="auto"/>
              </w:rPr>
            </w:pPr>
          </w:p>
        </w:tc>
      </w:tr>
      <w:tr>
        <w:trPr>
          <w:trHeight w:val="192"/>
        </w:trPr>
        <w:tc>
          <w:tcPr>
            <w:tcW w:w="3560" w:type="dxa"/>
            <w:vAlign w:val="bottom"/>
            <w:tcBorders>
              <w:left w:val="single" w:sz="8" w:color="auto"/>
              <w:bottom w:val="single" w:sz="8" w:color="auto"/>
            </w:tcBorders>
            <w:shd w:val="clear" w:color="auto" w:fill="ACACAC"/>
          </w:tcPr>
          <w:p>
            <w:pPr>
              <w:ind w:left="40"/>
              <w:spacing w:after="0"/>
              <w:rPr>
                <w:sz w:val="20"/>
                <w:szCs w:val="20"/>
                <w:color w:val="auto"/>
              </w:rPr>
            </w:pPr>
            <w:r>
              <w:rPr>
                <w:rFonts w:ascii="Arial" w:cs="Arial" w:eastAsia="Arial" w:hAnsi="Arial"/>
                <w:sz w:val="16"/>
                <w:szCs w:val="16"/>
                <w:b w:val="1"/>
                <w:bCs w:val="1"/>
                <w:color w:val="auto"/>
              </w:rPr>
              <w:t>Entity Name</w:t>
            </w:r>
          </w:p>
        </w:tc>
        <w:tc>
          <w:tcPr>
            <w:tcW w:w="3660" w:type="dxa"/>
            <w:vAlign w:val="bottom"/>
            <w:tcBorders>
              <w:bottom w:val="single" w:sz="8" w:color="auto"/>
              <w:right w:val="single" w:sz="8" w:color="auto"/>
            </w:tcBorders>
            <w:shd w:val="clear" w:color="auto" w:fill="ACACAC"/>
          </w:tcPr>
          <w:p>
            <w:pPr>
              <w:spacing w:after="0"/>
              <w:rPr>
                <w:sz w:val="16"/>
                <w:szCs w:val="16"/>
                <w:color w:val="auto"/>
              </w:rPr>
            </w:pPr>
          </w:p>
        </w:tc>
        <w:tc>
          <w:tcPr>
            <w:tcW w:w="380" w:type="dxa"/>
            <w:vAlign w:val="bottom"/>
            <w:tcBorders>
              <w:bottom w:val="single" w:sz="8" w:color="auto"/>
              <w:right w:val="single" w:sz="8" w:color="auto"/>
            </w:tcBorders>
            <w:shd w:val="clear" w:color="auto" w:fill="ACACAC"/>
          </w:tcPr>
          <w:p>
            <w:pPr>
              <w:spacing w:after="0"/>
              <w:rPr>
                <w:sz w:val="16"/>
                <w:szCs w:val="16"/>
                <w:color w:val="auto"/>
              </w:rPr>
            </w:pPr>
          </w:p>
        </w:tc>
        <w:tc>
          <w:tcPr>
            <w:tcW w:w="3640" w:type="dxa"/>
            <w:vAlign w:val="bottom"/>
            <w:tcBorders>
              <w:bottom w:val="single" w:sz="8" w:color="auto"/>
              <w:right w:val="single" w:sz="8" w:color="auto"/>
            </w:tcBorders>
            <w:shd w:val="clear" w:color="auto" w:fill="ACACAC"/>
          </w:tcPr>
          <w:p>
            <w:pPr>
              <w:spacing w:after="0"/>
              <w:rPr>
                <w:sz w:val="20"/>
                <w:szCs w:val="20"/>
                <w:color w:val="auto"/>
              </w:rPr>
            </w:pPr>
            <w:r>
              <w:rPr>
                <w:rFonts w:ascii="Arial" w:cs="Arial" w:eastAsia="Arial" w:hAnsi="Arial"/>
                <w:sz w:val="16"/>
                <w:szCs w:val="16"/>
                <w:b w:val="1"/>
                <w:bCs w:val="1"/>
                <w:color w:val="auto"/>
              </w:rPr>
              <w:t>Jurisdiction</w:t>
            </w:r>
          </w:p>
        </w:tc>
      </w:tr>
      <w:tr>
        <w:trPr>
          <w:trHeight w:val="190"/>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Viento Funding II,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Viento Funding,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VP-Arica Parent Holdco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VP-Arica Parent Holdings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Wabasha Holdco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Wabasha Solar II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Wabasha Solar III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Wabasha Solar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Waiawa BL Borrower Holdco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Waiawa Class B Member Holdco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Waiawa Solar Power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Waiawa TE Holdco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Waipio PV,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Walnut Creek Energy,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Walnut Creek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Waterford Holdco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WCEP Holdings,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Webster Holdco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Wildcat Energy,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Arizona</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Wildorado Interconnect,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Texas</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Wildorado Repowering Tax Equity Holdco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Wildorado Wind,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Texas</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Wilmarth Lane Solar 1,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Wind TE Holdco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Winona Solar I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Winona Solar II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WSD Solar Holdings,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WV Wind Holdco LLC</w:t>
            </w:r>
          </w:p>
        </w:tc>
        <w:tc>
          <w:tcPr>
            <w:tcW w:w="36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192"/>
        </w:trPr>
        <w:tc>
          <w:tcPr>
            <w:tcW w:w="35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WV Wind Holdings LLC</w:t>
            </w:r>
          </w:p>
        </w:tc>
        <w:tc>
          <w:tcPr>
            <w:tcW w:w="36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Delaware</w:t>
            </w:r>
          </w:p>
        </w:tc>
      </w:tr>
      <w:tr>
        <w:trPr>
          <w:trHeight w:val="195"/>
        </w:trPr>
        <w:tc>
          <w:tcPr>
            <w:tcW w:w="356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Zephyr Oahu Partnership LLC</w:t>
            </w:r>
          </w:p>
        </w:tc>
        <w:tc>
          <w:tcPr>
            <w:tcW w:w="3660" w:type="dxa"/>
            <w:vAlign w:val="bottom"/>
            <w:tcBorders>
              <w:right w:val="single" w:sz="8" w:color="auto"/>
            </w:tcBorders>
            <w:shd w:val="clear" w:color="auto" w:fill="CCEEFF"/>
          </w:tcPr>
          <w:p>
            <w:pPr>
              <w:spacing w:after="0"/>
              <w:rPr>
                <w:sz w:val="16"/>
                <w:szCs w:val="16"/>
                <w:color w:val="auto"/>
              </w:rPr>
            </w:pPr>
          </w:p>
        </w:tc>
        <w:tc>
          <w:tcPr>
            <w:tcW w:w="380" w:type="dxa"/>
            <w:vAlign w:val="bottom"/>
            <w:tcBorders>
              <w:right w:val="single" w:sz="8" w:color="auto"/>
            </w:tcBorders>
            <w:shd w:val="clear" w:color="auto" w:fill="CCEEFF"/>
          </w:tcPr>
          <w:p>
            <w:pPr>
              <w:spacing w:after="0"/>
              <w:rPr>
                <w:sz w:val="16"/>
                <w:szCs w:val="16"/>
                <w:color w:val="auto"/>
              </w:rPr>
            </w:pPr>
          </w:p>
        </w:tc>
        <w:tc>
          <w:tcPr>
            <w:tcW w:w="364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60" w:top="156" w:right="299" w:bottom="1440" w:gutter="0" w:footer="0" w:header="0"/>
        </w:sectPr>
      </w:pPr>
    </w:p>
    <w:bookmarkStart w:id="218" w:name="page219"/>
    <w:bookmarkEnd w:id="218"/>
    <w:p>
      <w:pPr>
        <w:jc w:val="right"/>
        <w:spacing w:after="0"/>
        <w:rPr>
          <w:sz w:val="20"/>
          <w:szCs w:val="20"/>
          <w:color w:val="auto"/>
        </w:rPr>
      </w:pPr>
      <w:r>
        <w:rPr>
          <w:rFonts w:ascii="Arial" w:cs="Arial" w:eastAsia="Arial" w:hAnsi="Arial"/>
          <w:sz w:val="14"/>
          <w:szCs w:val="14"/>
          <w:b w:val="1"/>
          <w:bCs w:val="1"/>
          <w:color w:val="auto"/>
        </w:rPr>
        <w:t>EXHIBIT 31.1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I, Christopher S. Sotos, certify that:</w:t>
      </w:r>
    </w:p>
    <w:p>
      <w:pPr>
        <w:spacing w:after="0" w:line="274" w:lineRule="exact"/>
        <w:rPr>
          <w:sz w:val="20"/>
          <w:szCs w:val="20"/>
          <w:color w:val="auto"/>
        </w:rPr>
      </w:pPr>
    </w:p>
    <w:p>
      <w:pPr>
        <w:ind w:left="520" w:hanging="515"/>
        <w:spacing w:after="0"/>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Clearway Energy LLC;</w:t>
      </w:r>
    </w:p>
    <w:p>
      <w:pPr>
        <w:spacing w:after="0" w:line="178" w:lineRule="exact"/>
        <w:rPr>
          <w:rFonts w:ascii="Arial" w:cs="Arial" w:eastAsia="Arial" w:hAnsi="Arial"/>
          <w:sz w:val="14"/>
          <w:szCs w:val="14"/>
          <w:color w:val="auto"/>
        </w:rPr>
      </w:pPr>
    </w:p>
    <w:p>
      <w:pPr>
        <w:ind w:left="520" w:hanging="515"/>
        <w:spacing w:after="0" w:line="281" w:lineRule="auto"/>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left="520" w:hanging="515"/>
        <w:spacing w:after="0" w:line="281" w:lineRule="auto"/>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left="520" w:hanging="515"/>
        <w:spacing w:after="0" w:line="281" w:lineRule="auto"/>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4"/>
          <w:szCs w:val="14"/>
          <w:color w:val="auto"/>
        </w:rPr>
      </w:pPr>
    </w:p>
    <w:p>
      <w:pPr>
        <w:jc w:val="both"/>
        <w:ind w:left="1020" w:hanging="506"/>
        <w:spacing w:after="0" w:line="267" w:lineRule="auto"/>
        <w:tabs>
          <w:tab w:leader="none" w:pos="1018" w:val="left"/>
        </w:tabs>
        <w:numPr>
          <w:ilvl w:val="1"/>
          <w:numId w:val="8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4"/>
          <w:szCs w:val="14"/>
          <w:color w:val="auto"/>
        </w:rPr>
      </w:pPr>
    </w:p>
    <w:p>
      <w:pPr>
        <w:jc w:val="both"/>
        <w:ind w:left="1020" w:hanging="506"/>
        <w:spacing w:after="0" w:line="267" w:lineRule="auto"/>
        <w:tabs>
          <w:tab w:leader="none" w:pos="1015" w:val="left"/>
        </w:tabs>
        <w:numPr>
          <w:ilvl w:val="1"/>
          <w:numId w:val="8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4"/>
          <w:szCs w:val="14"/>
          <w:color w:val="auto"/>
        </w:rPr>
      </w:pPr>
    </w:p>
    <w:p>
      <w:pPr>
        <w:ind w:left="1020" w:hanging="506"/>
        <w:spacing w:after="0" w:line="281" w:lineRule="auto"/>
        <w:tabs>
          <w:tab w:leader="none" w:pos="1018" w:val="left"/>
        </w:tabs>
        <w:numPr>
          <w:ilvl w:val="1"/>
          <w:numId w:val="8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4"/>
          <w:szCs w:val="14"/>
          <w:color w:val="auto"/>
        </w:rPr>
      </w:pPr>
    </w:p>
    <w:p>
      <w:pPr>
        <w:ind w:left="1020" w:hanging="506"/>
        <w:spacing w:after="0" w:line="321" w:lineRule="auto"/>
        <w:tabs>
          <w:tab w:leader="none" w:pos="1015" w:val="left"/>
        </w:tabs>
        <w:numPr>
          <w:ilvl w:val="1"/>
          <w:numId w:val="8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3"/>
          <w:szCs w:val="13"/>
          <w:color w:val="auto"/>
        </w:rPr>
      </w:pPr>
    </w:p>
    <w:p>
      <w:pPr>
        <w:ind w:left="520" w:hanging="515"/>
        <w:spacing w:after="0" w:line="281" w:lineRule="auto"/>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4"/>
          <w:szCs w:val="14"/>
          <w:color w:val="auto"/>
        </w:rPr>
      </w:pPr>
    </w:p>
    <w:p>
      <w:pPr>
        <w:ind w:left="1020" w:hanging="506"/>
        <w:spacing w:after="0" w:line="281" w:lineRule="auto"/>
        <w:tabs>
          <w:tab w:leader="none" w:pos="1018" w:val="left"/>
        </w:tabs>
        <w:numPr>
          <w:ilvl w:val="1"/>
          <w:numId w:val="8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4"/>
          <w:szCs w:val="14"/>
          <w:color w:val="auto"/>
        </w:rPr>
      </w:pPr>
    </w:p>
    <w:p>
      <w:pPr>
        <w:ind w:left="1020" w:hanging="506"/>
        <w:spacing w:after="0"/>
        <w:tabs>
          <w:tab w:leader="none" w:pos="1020" w:val="left"/>
        </w:tabs>
        <w:numPr>
          <w:ilvl w:val="1"/>
          <w:numId w:val="8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12065</wp:posOffset>
            </wp:positionV>
            <wp:extent cx="266128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7">
                      <a:extLst>
                        <a:ext uri="{28A0092B-C50C-407E-A947-70E740481C1C}"/>
                      </a:extLst>
                    </a:blip>
                    <a:srcRect/>
                    <a:stretch>
                      <a:fillRect/>
                    </a:stretch>
                  </pic:blipFill>
                  <pic:spPr bwMode="auto">
                    <a:xfrm>
                      <a:off x="0" y="0"/>
                      <a:ext cx="2661285" cy="6985"/>
                    </a:xfrm>
                    <a:prstGeom prst="rect">
                      <a:avLst/>
                    </a:prstGeom>
                    <a:noFill/>
                  </pic:spPr>
                </pic:pic>
              </a:graphicData>
            </a:graphic>
          </wp:anchor>
        </w:drawing>
      </w:r>
    </w:p>
    <w:p>
      <w:pPr>
        <w:ind w:left="5860"/>
        <w:spacing w:after="0"/>
        <w:rPr>
          <w:sz w:val="20"/>
          <w:szCs w:val="20"/>
          <w:color w:val="auto"/>
        </w:rPr>
      </w:pPr>
      <w:r>
        <w:rPr>
          <w:rFonts w:ascii="Arial" w:cs="Arial" w:eastAsia="Arial" w:hAnsi="Arial"/>
          <w:sz w:val="14"/>
          <w:szCs w:val="14"/>
          <w:color w:val="auto"/>
        </w:rPr>
        <w:t>Christopher S. Sotos</w:t>
      </w:r>
    </w:p>
    <w:p>
      <w:pPr>
        <w:ind w:left="5860"/>
        <w:spacing w:after="0" w:line="205" w:lineRule="auto"/>
        <w:rPr>
          <w:sz w:val="20"/>
          <w:szCs w:val="20"/>
          <w:color w:val="auto"/>
        </w:rPr>
      </w:pPr>
      <w:r>
        <w:rPr>
          <w:rFonts w:ascii="Arial" w:cs="Arial" w:eastAsia="Arial" w:hAnsi="Arial"/>
          <w:sz w:val="14"/>
          <w:szCs w:val="14"/>
          <w:i w:val="1"/>
          <w:iCs w:val="1"/>
          <w:color w:val="auto"/>
        </w:rPr>
        <w:t>President and Chief Executive Officer</w:t>
      </w:r>
    </w:p>
    <w:p>
      <w:pPr>
        <w:ind w:left="5860"/>
        <w:spacing w:after="0"/>
        <w:rPr>
          <w:sz w:val="20"/>
          <w:szCs w:val="20"/>
          <w:color w:val="auto"/>
        </w:rPr>
      </w:pPr>
      <w:r>
        <w:rPr>
          <w:rFonts w:ascii="Arial" w:cs="Arial" w:eastAsia="Arial" w:hAnsi="Arial"/>
          <w:sz w:val="14"/>
          <w:szCs w:val="14"/>
          <w:i w:val="1"/>
          <w:iCs w:val="1"/>
          <w:color w:val="auto"/>
        </w:rPr>
        <w:t>(Principal Executive Officer)</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23, 2023</w:t>
      </w:r>
    </w:p>
    <w:p>
      <w:pPr>
        <w:sectPr>
          <w:pgSz w:w="11900" w:h="16838" w:orient="portrait"/>
          <w:cols w:equalWidth="0" w:num="1">
            <w:col w:w="11280"/>
          </w:cols>
          <w:pgMar w:left="300" w:top="804" w:right="319" w:bottom="1440" w:gutter="0" w:footer="0" w:header="0"/>
        </w:sectPr>
      </w:pPr>
    </w:p>
    <w:bookmarkStart w:id="219" w:name="page220"/>
    <w:bookmarkEnd w:id="219"/>
    <w:p>
      <w:pPr>
        <w:jc w:val="right"/>
        <w:spacing w:after="0"/>
        <w:rPr>
          <w:sz w:val="20"/>
          <w:szCs w:val="20"/>
          <w:color w:val="auto"/>
        </w:rPr>
      </w:pPr>
      <w:r>
        <w:rPr>
          <w:rFonts w:ascii="Arial" w:cs="Arial" w:eastAsia="Arial" w:hAnsi="Arial"/>
          <w:sz w:val="14"/>
          <w:szCs w:val="14"/>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I, Sarah Rubenstein, certify that:</w:t>
      </w:r>
    </w:p>
    <w:p>
      <w:pPr>
        <w:spacing w:after="0" w:line="263" w:lineRule="exact"/>
        <w:rPr>
          <w:sz w:val="20"/>
          <w:szCs w:val="20"/>
          <w:color w:val="auto"/>
        </w:rPr>
      </w:pPr>
    </w:p>
    <w:p>
      <w:pPr>
        <w:ind w:left="520" w:hanging="515"/>
        <w:spacing w:after="0"/>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Clearway Energy LLC;</w:t>
      </w:r>
    </w:p>
    <w:p>
      <w:pPr>
        <w:spacing w:after="0" w:line="178" w:lineRule="exact"/>
        <w:rPr>
          <w:rFonts w:ascii="Arial" w:cs="Arial" w:eastAsia="Arial" w:hAnsi="Arial"/>
          <w:sz w:val="14"/>
          <w:szCs w:val="14"/>
          <w:color w:val="auto"/>
        </w:rPr>
      </w:pPr>
    </w:p>
    <w:p>
      <w:pPr>
        <w:ind w:left="520" w:hanging="515"/>
        <w:spacing w:after="0" w:line="281" w:lineRule="auto"/>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left="520" w:hanging="515"/>
        <w:spacing w:after="0" w:line="281" w:lineRule="auto"/>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left="520" w:hanging="515"/>
        <w:spacing w:after="0" w:line="281" w:lineRule="auto"/>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4"/>
          <w:szCs w:val="14"/>
          <w:color w:val="auto"/>
        </w:rPr>
      </w:pPr>
    </w:p>
    <w:p>
      <w:pPr>
        <w:jc w:val="both"/>
        <w:ind w:left="1020" w:hanging="506"/>
        <w:spacing w:after="0" w:line="267" w:lineRule="auto"/>
        <w:tabs>
          <w:tab w:leader="none" w:pos="1018" w:val="left"/>
        </w:tabs>
        <w:numPr>
          <w:ilvl w:val="1"/>
          <w:numId w:val="8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4"/>
          <w:szCs w:val="14"/>
          <w:color w:val="auto"/>
        </w:rPr>
      </w:pPr>
    </w:p>
    <w:p>
      <w:pPr>
        <w:jc w:val="both"/>
        <w:ind w:left="1020" w:hanging="506"/>
        <w:spacing w:after="0" w:line="267" w:lineRule="auto"/>
        <w:tabs>
          <w:tab w:leader="none" w:pos="1015" w:val="left"/>
        </w:tabs>
        <w:numPr>
          <w:ilvl w:val="1"/>
          <w:numId w:val="8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Arial" w:cs="Arial" w:eastAsia="Arial" w:hAnsi="Arial"/>
          <w:sz w:val="14"/>
          <w:szCs w:val="14"/>
          <w:color w:val="auto"/>
        </w:rPr>
      </w:pPr>
    </w:p>
    <w:p>
      <w:pPr>
        <w:ind w:left="1020" w:hanging="506"/>
        <w:spacing w:after="0" w:line="281" w:lineRule="auto"/>
        <w:tabs>
          <w:tab w:leader="none" w:pos="1018" w:val="left"/>
        </w:tabs>
        <w:numPr>
          <w:ilvl w:val="1"/>
          <w:numId w:val="8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4"/>
          <w:szCs w:val="14"/>
          <w:color w:val="auto"/>
        </w:rPr>
      </w:pPr>
    </w:p>
    <w:p>
      <w:pPr>
        <w:ind w:left="1020" w:hanging="506"/>
        <w:spacing w:after="0" w:line="321" w:lineRule="auto"/>
        <w:tabs>
          <w:tab w:leader="none" w:pos="1015" w:val="left"/>
        </w:tabs>
        <w:numPr>
          <w:ilvl w:val="1"/>
          <w:numId w:val="8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3"/>
          <w:szCs w:val="13"/>
          <w:color w:val="auto"/>
        </w:rPr>
      </w:pPr>
    </w:p>
    <w:p>
      <w:pPr>
        <w:ind w:left="520" w:hanging="515"/>
        <w:spacing w:after="0" w:line="281" w:lineRule="auto"/>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4"/>
          <w:szCs w:val="14"/>
          <w:color w:val="auto"/>
        </w:rPr>
      </w:pPr>
    </w:p>
    <w:p>
      <w:pPr>
        <w:ind w:left="1020" w:hanging="506"/>
        <w:spacing w:after="0" w:line="281" w:lineRule="auto"/>
        <w:tabs>
          <w:tab w:leader="none" w:pos="1018" w:val="left"/>
        </w:tabs>
        <w:numPr>
          <w:ilvl w:val="1"/>
          <w:numId w:val="8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4"/>
          <w:szCs w:val="14"/>
          <w:color w:val="auto"/>
        </w:rPr>
      </w:pPr>
    </w:p>
    <w:p>
      <w:pPr>
        <w:ind w:left="1020" w:hanging="506"/>
        <w:spacing w:after="0"/>
        <w:tabs>
          <w:tab w:leader="none" w:pos="1020" w:val="left"/>
        </w:tabs>
        <w:numPr>
          <w:ilvl w:val="1"/>
          <w:numId w:val="8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12065</wp:posOffset>
            </wp:positionV>
            <wp:extent cx="283654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8">
                      <a:extLst>
                        <a:ext uri="{28A0092B-C50C-407E-A947-70E740481C1C}"/>
                      </a:extLst>
                    </a:blip>
                    <a:srcRect/>
                    <a:stretch>
                      <a:fillRect/>
                    </a:stretch>
                  </pic:blipFill>
                  <pic:spPr bwMode="auto">
                    <a:xfrm>
                      <a:off x="0" y="0"/>
                      <a:ext cx="2836545" cy="6985"/>
                    </a:xfrm>
                    <a:prstGeom prst="rect">
                      <a:avLst/>
                    </a:prstGeom>
                    <a:noFill/>
                  </pic:spPr>
                </pic:pic>
              </a:graphicData>
            </a:graphic>
          </wp:anchor>
        </w:drawing>
      </w:r>
    </w:p>
    <w:p>
      <w:pPr>
        <w:spacing w:after="0" w:line="10" w:lineRule="exact"/>
        <w:rPr>
          <w:sz w:val="20"/>
          <w:szCs w:val="20"/>
          <w:color w:val="auto"/>
        </w:rPr>
      </w:pPr>
    </w:p>
    <w:p>
      <w:pPr>
        <w:ind w:left="6080"/>
        <w:spacing w:after="0"/>
        <w:rPr>
          <w:sz w:val="20"/>
          <w:szCs w:val="20"/>
          <w:color w:val="auto"/>
        </w:rPr>
      </w:pPr>
      <w:r>
        <w:rPr>
          <w:rFonts w:ascii="Arial" w:cs="Arial" w:eastAsia="Arial" w:hAnsi="Arial"/>
          <w:sz w:val="14"/>
          <w:szCs w:val="14"/>
          <w:color w:val="auto"/>
        </w:rPr>
        <w:t>Sarah Rubenstein</w:t>
      </w:r>
    </w:p>
    <w:p>
      <w:pPr>
        <w:ind w:left="6080"/>
        <w:spacing w:after="0" w:line="205" w:lineRule="auto"/>
        <w:rPr>
          <w:sz w:val="20"/>
          <w:szCs w:val="20"/>
          <w:color w:val="auto"/>
        </w:rPr>
      </w:pPr>
      <w:r>
        <w:rPr>
          <w:rFonts w:ascii="Arial" w:cs="Arial" w:eastAsia="Arial" w:hAnsi="Arial"/>
          <w:sz w:val="14"/>
          <w:szCs w:val="14"/>
          <w:i w:val="1"/>
          <w:iCs w:val="1"/>
          <w:color w:val="auto"/>
        </w:rPr>
        <w:t>Senior Vice President and Chief Accounting Officer</w:t>
      </w:r>
    </w:p>
    <w:p>
      <w:pPr>
        <w:ind w:left="6080"/>
        <w:spacing w:after="0" w:line="206" w:lineRule="auto"/>
        <w:rPr>
          <w:sz w:val="20"/>
          <w:szCs w:val="20"/>
          <w:color w:val="auto"/>
        </w:rPr>
      </w:pPr>
      <w:r>
        <w:rPr>
          <w:rFonts w:ascii="Arial" w:cs="Arial" w:eastAsia="Arial" w:hAnsi="Arial"/>
          <w:sz w:val="14"/>
          <w:szCs w:val="14"/>
          <w:i w:val="1"/>
          <w:iCs w:val="1"/>
          <w:color w:val="auto"/>
        </w:rPr>
        <w:t>(Principal Financial Officer and</w:t>
      </w:r>
    </w:p>
    <w:p>
      <w:pPr>
        <w:ind w:left="6080"/>
        <w:spacing w:after="0"/>
        <w:rPr>
          <w:sz w:val="20"/>
          <w:szCs w:val="20"/>
          <w:color w:val="auto"/>
        </w:rPr>
      </w:pPr>
      <w:r>
        <w:rPr>
          <w:rFonts w:ascii="Arial" w:cs="Arial" w:eastAsia="Arial" w:hAnsi="Arial"/>
          <w:sz w:val="14"/>
          <w:szCs w:val="14"/>
          <w:i w:val="1"/>
          <w:iCs w:val="1"/>
          <w:color w:val="auto"/>
        </w:rPr>
        <w:t>Principal Accounting Officer)</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23, 2023</w:t>
      </w:r>
    </w:p>
    <w:p>
      <w:pPr>
        <w:sectPr>
          <w:pgSz w:w="11900" w:h="16838" w:orient="portrait"/>
          <w:cols w:equalWidth="0" w:num="1">
            <w:col w:w="11280"/>
          </w:cols>
          <w:pgMar w:left="300" w:top="729" w:right="319" w:bottom="1440" w:gutter="0" w:footer="0" w:header="0"/>
        </w:sectPr>
      </w:pPr>
    </w:p>
    <w:bookmarkStart w:id="220" w:name="page221"/>
    <w:bookmarkEnd w:id="220"/>
    <w:p>
      <w:pPr>
        <w:jc w:val="right"/>
        <w:spacing w:after="0"/>
        <w:rPr>
          <w:sz w:val="20"/>
          <w:szCs w:val="20"/>
          <w:color w:val="auto"/>
        </w:rPr>
      </w:pPr>
      <w:r>
        <w:rPr>
          <w:rFonts w:ascii="Arial" w:cs="Arial" w:eastAsia="Arial" w:hAnsi="Arial"/>
          <w:sz w:val="14"/>
          <w:szCs w:val="14"/>
          <w:b w:val="1"/>
          <w:bCs w:val="1"/>
          <w:color w:val="auto"/>
        </w:rPr>
        <w:t>EXHIBIT 32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8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 connection with the Annual Report of Clearway Energy LLC on Form 10-K for the year ended December 31, 2022,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14" w:lineRule="exact"/>
        <w:rPr>
          <w:sz w:val="20"/>
          <w:szCs w:val="20"/>
          <w:color w:val="auto"/>
        </w:rPr>
      </w:pPr>
    </w:p>
    <w:p>
      <w:pPr>
        <w:ind w:left="500" w:hanging="240"/>
        <w:spacing w:after="0"/>
        <w:tabs>
          <w:tab w:leader="none" w:pos="5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Form 10-K fully complies with the requirements of Section 13(a) or 15(d) of the Securities Exchange Act of 1934; and</w:t>
      </w:r>
    </w:p>
    <w:p>
      <w:pPr>
        <w:spacing w:after="0" w:line="51" w:lineRule="exact"/>
        <w:rPr>
          <w:rFonts w:ascii="Arial" w:cs="Arial" w:eastAsia="Arial" w:hAnsi="Arial"/>
          <w:sz w:val="14"/>
          <w:szCs w:val="14"/>
          <w:color w:val="auto"/>
        </w:rPr>
      </w:pPr>
    </w:p>
    <w:p>
      <w:pPr>
        <w:ind w:left="520" w:hanging="260"/>
        <w:spacing w:after="0" w:line="281" w:lineRule="auto"/>
        <w:tabs>
          <w:tab w:leader="none" w:pos="515"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information contained in the Form 10-K fairly presents, in all material respects, the financial condition and results of operations of the Company as of the dates and for the periods expressed in the Form 10-K.</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23, 2023</w:t>
      </w:r>
    </w:p>
    <w:p>
      <w:pPr>
        <w:spacing w:after="0" w:line="83"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12065</wp:posOffset>
            </wp:positionV>
            <wp:extent cx="309245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9">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Christopher S. Sotos</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4"/>
          <w:szCs w:val="14"/>
          <w:i w:val="1"/>
          <w:iCs w:val="1"/>
          <w:color w:val="auto"/>
        </w:rPr>
        <w:t>President and Chief Executive Officer</w:t>
      </w:r>
    </w:p>
    <w:p>
      <w:pPr>
        <w:ind w:left="5660"/>
        <w:spacing w:after="0"/>
        <w:rPr>
          <w:sz w:val="20"/>
          <w:szCs w:val="20"/>
          <w:color w:val="auto"/>
        </w:rPr>
      </w:pPr>
      <w:r>
        <w:rPr>
          <w:rFonts w:ascii="Arial" w:cs="Arial" w:eastAsia="Arial" w:hAnsi="Arial"/>
          <w:sz w:val="14"/>
          <w:szCs w:val="14"/>
          <w:i w:val="1"/>
          <w:iCs w:val="1"/>
          <w:color w:val="auto"/>
        </w:rPr>
        <w:t>(Principal Executive Officer)</w:t>
      </w:r>
    </w:p>
    <w:p>
      <w:pPr>
        <w:spacing w:after="0" w:line="379"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12065</wp:posOffset>
            </wp:positionV>
            <wp:extent cx="309245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0">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Sarah Rubenstein</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4"/>
          <w:szCs w:val="14"/>
          <w:i w:val="1"/>
          <w:iCs w:val="1"/>
          <w:color w:val="auto"/>
        </w:rPr>
        <w:t>Senior Vice President and Chief Accounting Officer</w:t>
      </w:r>
    </w:p>
    <w:p>
      <w:pPr>
        <w:ind w:left="5660"/>
        <w:spacing w:after="0" w:line="221" w:lineRule="auto"/>
        <w:rPr>
          <w:sz w:val="20"/>
          <w:szCs w:val="20"/>
          <w:color w:val="auto"/>
        </w:rPr>
      </w:pPr>
      <w:r>
        <w:rPr>
          <w:rFonts w:ascii="Arial" w:cs="Arial" w:eastAsia="Arial" w:hAnsi="Arial"/>
          <w:sz w:val="14"/>
          <w:szCs w:val="14"/>
          <w:i w:val="1"/>
          <w:iCs w:val="1"/>
          <w:color w:val="auto"/>
        </w:rPr>
        <w:t>(Principal Financial Officer and</w:t>
      </w:r>
    </w:p>
    <w:p>
      <w:pPr>
        <w:ind w:left="5660"/>
        <w:spacing w:after="0"/>
        <w:rPr>
          <w:sz w:val="20"/>
          <w:szCs w:val="20"/>
          <w:color w:val="auto"/>
        </w:rPr>
      </w:pPr>
      <w:r>
        <w:rPr>
          <w:rFonts w:ascii="Arial" w:cs="Arial" w:eastAsia="Arial" w:hAnsi="Arial"/>
          <w:sz w:val="14"/>
          <w:szCs w:val="14"/>
          <w:i w:val="1"/>
          <w:iCs w:val="1"/>
          <w:color w:val="auto"/>
        </w:rPr>
        <w:t>Principal Accounting Officer</w:t>
      </w:r>
      <w:r>
        <w:rPr>
          <w:rFonts w:ascii="Arial" w:cs="Arial" w:eastAsia="Arial" w:hAnsi="Arial"/>
          <w:sz w:val="14"/>
          <w:szCs w:val="14"/>
          <w:color w:val="auto"/>
        </w:rPr>
        <w:t>)</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foregoing certification is being furnished solely pursuant to 18 U.S.C. Section 1350 and is not being filed as part of this Form 10-K or as a separate disclosure document.</w:t>
      </w:r>
    </w:p>
    <w:p>
      <w:pPr>
        <w:spacing w:after="0" w:line="51"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80"/>
      </w:cols>
      <w:pgMar w:left="300" w:top="7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lowerLetter"/>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1)"/>
      <w:numFmt w:val="lowerLetter"/>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1)"/>
      <w:numFmt w:val="lowerLetter"/>
      <w:start w:val="1"/>
    </w:lvl>
  </w:abstractNum>
  <w:abstractNum w:abstractNumId="21">
    <w:nsid w:val="70C6A529"/>
    <w:multiLevelType w:val="hybridMultilevel"/>
    <w:lvl w:ilvl="0">
      <w:lvlJc w:val="left"/>
      <w:lvlText w:val="(%1)"/>
      <w:numFmt w:val="lowerLetter"/>
      <w:start w:val="1"/>
    </w:lvl>
  </w:abstractNum>
  <w:abstractNum w:abstractNumId="22">
    <w:nsid w:val="520EEDD1"/>
    <w:multiLevelType w:val="hybridMultilevel"/>
    <w:lvl w:ilvl="0">
      <w:lvlJc w:val="left"/>
      <w:lvlText w:val="(%1)"/>
      <w:numFmt w:val="lowerLetter"/>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1)"/>
      <w:numFmt w:val="lowerRoman"/>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
      <w:numFmt w:val="bullet"/>
      <w:start w:val="1"/>
    </w:lvl>
    <w:lvl w:ilvl="1">
      <w:lvlJc w:val="left"/>
      <w:lvlText w:val="(%2)"/>
      <w:numFmt w:val="decimal"/>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decimal"/>
      <w:start w:val="1"/>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1)"/>
      <w:numFmt w:val="decimal"/>
      <w:start w:val="1"/>
    </w:lvl>
  </w:abstractNum>
  <w:abstractNum w:abstractNumId="42">
    <w:nsid w:val="579BE4F1"/>
    <w:multiLevelType w:val="hybridMultilevel"/>
    <w:lvl w:ilvl="0">
      <w:lvlJc w:val="left"/>
      <w:lvlText w:val="(%1)"/>
      <w:numFmt w:val="decimal"/>
      <w:start w:val="1"/>
    </w:lvl>
  </w:abstractNum>
  <w:abstractNum w:abstractNumId="43">
    <w:nsid w:val="310C50B3"/>
    <w:multiLevelType w:val="hybridMultilevel"/>
    <w:lvl w:ilvl="0">
      <w:lvlJc w:val="left"/>
      <w:lvlText w:val="(%1)"/>
      <w:numFmt w:val="decimal"/>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1)"/>
      <w:numFmt w:val="decimal"/>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1)"/>
      <w:numFmt w:val="lowerLetter"/>
      <w:start w:val="2"/>
    </w:lvl>
  </w:abstractNum>
  <w:abstractNum w:abstractNumId="54">
    <w:nsid w:val="15014ACB"/>
    <w:multiLevelType w:val="hybridMultilevel"/>
    <w:lvl w:ilvl="0">
      <w:lvlJc w:val="left"/>
      <w:lvlText w:val="(%1)"/>
      <w:numFmt w:val="lowerLetter"/>
      <w:start w:val="1"/>
    </w:lvl>
  </w:abstractNum>
  <w:abstractNum w:abstractNumId="55">
    <w:nsid w:val="5F5E7FD0"/>
    <w:multiLevelType w:val="hybridMultilevel"/>
    <w:lvl w:ilvl="0">
      <w:lvlJc w:val="left"/>
      <w:lvlText w:val="(%1)"/>
      <w:numFmt w:val="lowerLetter"/>
      <w:start w:val="1"/>
    </w:lvl>
  </w:abstractNum>
  <w:abstractNum w:abstractNumId="56">
    <w:nsid w:val="98A3148"/>
    <w:multiLevelType w:val="hybridMultilevel"/>
    <w:lvl w:ilvl="0">
      <w:lvlJc w:val="left"/>
      <w:lvlText w:val="(%1)"/>
      <w:numFmt w:val="lowerLetter"/>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1)"/>
      <w:numFmt w:val="lowerLetter"/>
      <w:start w:val="1"/>
    </w:lvl>
  </w:abstractNum>
  <w:abstractNum w:abstractNumId="59">
    <w:nsid w:val="42C296BD"/>
    <w:multiLevelType w:val="hybridMultilevel"/>
    <w:lvl w:ilvl="0">
      <w:lvlJc w:val="left"/>
      <w:lvlText w:val="(%1)"/>
      <w:numFmt w:val="lowerLetter"/>
      <w:start w:val="1"/>
    </w:lvl>
  </w:abstractNum>
  <w:abstractNum w:abstractNumId="60">
    <w:nsid w:val="168E121F"/>
    <w:multiLevelType w:val="hybridMultilevel"/>
    <w:lvl w:ilvl="0">
      <w:lvlJc w:val="left"/>
      <w:lvlText w:val="(%1)"/>
      <w:numFmt w:val="lowerLetter"/>
      <w:start w:val="1"/>
    </w:lvl>
  </w:abstractNum>
  <w:abstractNum w:abstractNumId="61">
    <w:nsid w:val="1EBA5D23"/>
    <w:multiLevelType w:val="hybridMultilevel"/>
    <w:lvl w:ilvl="0">
      <w:lvlJc w:val="left"/>
      <w:lvlText w:val="(%1)"/>
      <w:numFmt w:val="lowerLetter"/>
      <w:start w:val="1"/>
    </w:lvl>
  </w:abstractNum>
  <w:abstractNum w:abstractNumId="62">
    <w:nsid w:val="661E3F1E"/>
    <w:multiLevelType w:val="hybridMultilevel"/>
    <w:lvl w:ilvl="0">
      <w:lvlJc w:val="left"/>
      <w:lvlText w:val="(%1)"/>
      <w:numFmt w:val="lowerLetter"/>
      <w:start w:val="1"/>
    </w:lvl>
  </w:abstractNum>
  <w:abstractNum w:abstractNumId="63">
    <w:nsid w:val="5DC79EA8"/>
    <w:multiLevelType w:val="hybridMultilevel"/>
    <w:lvl w:ilvl="0">
      <w:lvlJc w:val="left"/>
      <w:lvlText w:val="(%1)"/>
      <w:numFmt w:val="lowerLetter"/>
      <w:start w:val="1"/>
    </w:lvl>
  </w:abstractNum>
  <w:abstractNum w:abstractNumId="64">
    <w:nsid w:val="540A471C"/>
    <w:multiLevelType w:val="hybridMultilevel"/>
    <w:lvl w:ilvl="0">
      <w:lvlJc w:val="left"/>
      <w:lvlText w:val="(%1)"/>
      <w:numFmt w:val="lowerLetter"/>
      <w:start w:val="1"/>
    </w:lvl>
  </w:abstractNum>
  <w:abstractNum w:abstractNumId="65">
    <w:nsid w:val="7BD3EE7B"/>
    <w:multiLevelType w:val="hybridMultilevel"/>
    <w:lvl w:ilvl="0">
      <w:lvlJc w:val="left"/>
      <w:lvlText w:val="(%1)"/>
      <w:numFmt w:val="lowerLetter"/>
      <w:start w:val="1"/>
    </w:lvl>
  </w:abstractNum>
  <w:abstractNum w:abstractNumId="66">
    <w:nsid w:val="51D9C564"/>
    <w:multiLevelType w:val="hybridMultilevel"/>
    <w:lvl w:ilvl="0">
      <w:lvlJc w:val="left"/>
      <w:lvlText w:val="(%1)"/>
      <w:numFmt w:val="lowerLetter"/>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1)"/>
      <w:numFmt w:val="lowerLetter"/>
      <w:start w:val="1"/>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1)"/>
      <w:numFmt w:val="lowerLetter"/>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1)"/>
      <w:numFmt w:val="lowerLetter"/>
      <w:start w:val="1"/>
    </w:lvl>
  </w:abstractNum>
  <w:abstractNum w:abstractNumId="73">
    <w:nsid w:val="1A32234B"/>
    <w:multiLevelType w:val="hybridMultilevel"/>
    <w:lvl w:ilvl="0">
      <w:lvlJc w:val="left"/>
      <w:lvlText w:val="(%1)"/>
      <w:numFmt w:val="lowerLetter"/>
      <w:start w:val="1"/>
    </w:lvl>
  </w:abstractNum>
  <w:abstractNum w:abstractNumId="74">
    <w:nsid w:val="3B0FD379"/>
    <w:multiLevelType w:val="hybridMultilevel"/>
    <w:lvl w:ilvl="0">
      <w:lvlJc w:val="left"/>
      <w:lvlText w:val="(%1)"/>
      <w:numFmt w:val="lowerLetter"/>
      <w:start w:val="1"/>
    </w:lvl>
  </w:abstractNum>
  <w:abstractNum w:abstractNumId="75">
    <w:nsid w:val="68EB2F63"/>
    <w:multiLevelType w:val="hybridMultilevel"/>
    <w:lvl w:ilvl="0">
      <w:lvlJc w:val="left"/>
      <w:lvlText w:val="(%1)"/>
      <w:numFmt w:val="lowerLetter"/>
      <w:start w:val="1"/>
    </w:lvl>
  </w:abstractNum>
  <w:abstractNum w:abstractNumId="76">
    <w:nsid w:val="4962813B"/>
    <w:multiLevelType w:val="hybridMultilevel"/>
    <w:lvl w:ilvl="0">
      <w:lvlJc w:val="left"/>
      <w:lvlText w:val="(%1)"/>
      <w:numFmt w:val="lowerLetter"/>
      <w:start w:val="26"/>
    </w:lvl>
  </w:abstractNum>
  <w:abstractNum w:abstractNumId="77">
    <w:nsid w:val="60B6DF70"/>
    <w:multiLevelType w:val="hybridMultilevel"/>
    <w:lvl w:ilvl="0">
      <w:lvlJc w:val="left"/>
      <w:lvlText w:val="(%1)"/>
      <w:numFmt w:val="lowerLetter"/>
      <w:start w:val="1"/>
    </w:lvl>
  </w:abstractNum>
  <w:abstractNum w:abstractNumId="78">
    <w:nsid w:val="6A5EE64"/>
    <w:multiLevelType w:val="hybridMultilevel"/>
    <w:lvl w:ilvl="0">
      <w:lvlJc w:val="left"/>
      <w:lvlText w:val="†"/>
      <w:numFmt w:val="bullet"/>
      <w:start w:val="1"/>
    </w:lvl>
    <w:lvl w:ilvl="1">
      <w:lvlJc w:val="left"/>
      <w:lvlText w:val="%2"/>
      <w:numFmt w:val="decimal"/>
      <w:start w:val="104"/>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201" Type="http://schemas.openxmlformats.org/officeDocument/2006/relationships/image" Target="media/image175.png"/><Relationship Id="rId222" Type="http://schemas.openxmlformats.org/officeDocument/2006/relationships/image" Target="media/image176.png"/><Relationship Id="rId240" Type="http://schemas.openxmlformats.org/officeDocument/2006/relationships/image" Target="media/image177.png"/><Relationship Id="rId262" Type="http://schemas.openxmlformats.org/officeDocument/2006/relationships/image" Target="media/image178.png"/><Relationship Id="rId264" Type="http://schemas.openxmlformats.org/officeDocument/2006/relationships/image" Target="media/image179.png"/><Relationship Id="rId265" Type="http://schemas.openxmlformats.org/officeDocument/2006/relationships/image" Target="media/image180.png"/><Relationship Id="rId266" Type="http://schemas.openxmlformats.org/officeDocument/2006/relationships/image" Target="media/image181.png"/><Relationship Id="rId267" Type="http://schemas.openxmlformats.org/officeDocument/2006/relationships/image" Target="media/image182.png"/><Relationship Id="rId268" Type="http://schemas.openxmlformats.org/officeDocument/2006/relationships/image" Target="media/image183.png"/><Relationship Id="rId269" Type="http://schemas.openxmlformats.org/officeDocument/2006/relationships/image" Target="media/image184.png"/><Relationship Id="rId270" Type="http://schemas.openxmlformats.org/officeDocument/2006/relationships/image" Target="media/image185.png"/><Relationship Id="rId271" Type="http://schemas.openxmlformats.org/officeDocument/2006/relationships/image" Target="media/image186.png"/><Relationship Id="rId272" Type="http://schemas.openxmlformats.org/officeDocument/2006/relationships/image" Target="media/image187.png"/><Relationship Id="rId273" Type="http://schemas.openxmlformats.org/officeDocument/2006/relationships/image" Target="media/image188.png"/><Relationship Id="rId274" Type="http://schemas.openxmlformats.org/officeDocument/2006/relationships/image" Target="media/image189.png"/><Relationship Id="rId275" Type="http://schemas.openxmlformats.org/officeDocument/2006/relationships/image" Target="media/image190.png"/><Relationship Id="rId276" Type="http://schemas.openxmlformats.org/officeDocument/2006/relationships/image" Target="media/image191.png"/><Relationship Id="rId277" Type="http://schemas.openxmlformats.org/officeDocument/2006/relationships/image" Target="media/image192.png"/><Relationship Id="rId278" Type="http://schemas.openxmlformats.org/officeDocument/2006/relationships/image" Target="media/image193.png"/><Relationship Id="rId279" Type="http://schemas.openxmlformats.org/officeDocument/2006/relationships/image" Target="media/image194.png"/><Relationship Id="rId280" Type="http://schemas.openxmlformats.org/officeDocument/2006/relationships/image" Target="media/image195.png"/><Relationship Id="rId281" Type="http://schemas.openxmlformats.org/officeDocument/2006/relationships/image" Target="media/image196.png"/><Relationship Id="rId282" Type="http://schemas.openxmlformats.org/officeDocument/2006/relationships/image" Target="media/image197.png"/><Relationship Id="rId283" Type="http://schemas.openxmlformats.org/officeDocument/2006/relationships/image" Target="media/image198.png"/><Relationship Id="rId284" Type="http://schemas.openxmlformats.org/officeDocument/2006/relationships/image" Target="media/image199.png"/><Relationship Id="rId285" Type="http://schemas.openxmlformats.org/officeDocument/2006/relationships/image" Target="media/image200.png"/><Relationship Id="rId286" Type="http://schemas.openxmlformats.org/officeDocument/2006/relationships/image" Target="media/image201.png"/><Relationship Id="rId287" Type="http://schemas.openxmlformats.org/officeDocument/2006/relationships/image" Target="media/image202.png"/><Relationship Id="rId288" Type="http://schemas.openxmlformats.org/officeDocument/2006/relationships/image" Target="media/image203.png"/><Relationship Id="rId289" Type="http://schemas.openxmlformats.org/officeDocument/2006/relationships/image" Target="media/image204.png"/><Relationship Id="rId290" Type="http://schemas.openxmlformats.org/officeDocument/2006/relationships/image" Target="media/image205.png"/><Relationship Id="rId291" Type="http://schemas.openxmlformats.org/officeDocument/2006/relationships/image" Target="media/image206.png"/><Relationship Id="rId292" Type="http://schemas.openxmlformats.org/officeDocument/2006/relationships/image" Target="media/image207.png"/><Relationship Id="rId293" Type="http://schemas.openxmlformats.org/officeDocument/2006/relationships/image" Target="media/image208.png"/><Relationship Id="rId294" Type="http://schemas.openxmlformats.org/officeDocument/2006/relationships/image" Target="media/image209.png"/><Relationship Id="rId295" Type="http://schemas.openxmlformats.org/officeDocument/2006/relationships/image" Target="media/image210.png"/><Relationship Id="rId296" Type="http://schemas.openxmlformats.org/officeDocument/2006/relationships/image" Target="media/image211.png"/><Relationship Id="rId297" Type="http://schemas.openxmlformats.org/officeDocument/2006/relationships/image" Target="media/image212.png"/><Relationship Id="rId298" Type="http://schemas.openxmlformats.org/officeDocument/2006/relationships/image" Target="media/image213.png"/><Relationship Id="rId299" Type="http://schemas.openxmlformats.org/officeDocument/2006/relationships/image" Target="media/image214.png"/><Relationship Id="rId300" Type="http://schemas.openxmlformats.org/officeDocument/2006/relationships/image" Target="media/image215.png"/><Relationship Id="rId301" Type="http://schemas.openxmlformats.org/officeDocument/2006/relationships/image" Target="media/image216.png"/><Relationship Id="rId302" Type="http://schemas.openxmlformats.org/officeDocument/2006/relationships/image" Target="media/image217.png"/><Relationship Id="rId303" Type="http://schemas.openxmlformats.org/officeDocument/2006/relationships/image" Target="media/image218.png"/><Relationship Id="rId304" Type="http://schemas.openxmlformats.org/officeDocument/2006/relationships/image" Target="media/image219.png"/><Relationship Id="rId305" Type="http://schemas.openxmlformats.org/officeDocument/2006/relationships/image" Target="media/image220.png"/><Relationship Id="rId306" Type="http://schemas.openxmlformats.org/officeDocument/2006/relationships/image" Target="media/image221.png"/><Relationship Id="rId307" Type="http://schemas.openxmlformats.org/officeDocument/2006/relationships/image" Target="media/image222.png"/><Relationship Id="rId308" Type="http://schemas.openxmlformats.org/officeDocument/2006/relationships/image" Target="media/image223.png"/><Relationship Id="rId309" Type="http://schemas.openxmlformats.org/officeDocument/2006/relationships/image" Target="media/image224.png"/><Relationship Id="rId310" Type="http://schemas.openxmlformats.org/officeDocument/2006/relationships/image" Target="media/image225.png"/><Relationship Id="rId311" Type="http://schemas.openxmlformats.org/officeDocument/2006/relationships/image" Target="media/image226.png"/><Relationship Id="rId312" Type="http://schemas.openxmlformats.org/officeDocument/2006/relationships/image" Target="media/image227.png"/><Relationship Id="rId313" Type="http://schemas.openxmlformats.org/officeDocument/2006/relationships/image" Target="media/image228.png"/><Relationship Id="rId314" Type="http://schemas.openxmlformats.org/officeDocument/2006/relationships/image" Target="media/image229.png"/><Relationship Id="rId315" Type="http://schemas.openxmlformats.org/officeDocument/2006/relationships/image" Target="media/image230.png"/><Relationship Id="rId316" Type="http://schemas.openxmlformats.org/officeDocument/2006/relationships/image" Target="media/image231.png"/><Relationship Id="rId317" Type="http://schemas.openxmlformats.org/officeDocument/2006/relationships/image" Target="media/image232.png"/><Relationship Id="rId318" Type="http://schemas.openxmlformats.org/officeDocument/2006/relationships/image" Target="media/image233.png"/><Relationship Id="rId319" Type="http://schemas.openxmlformats.org/officeDocument/2006/relationships/image" Target="media/image234.png"/><Relationship Id="rId320" Type="http://schemas.openxmlformats.org/officeDocument/2006/relationships/image" Target="media/image235.png"/><Relationship Id="rId321" Type="http://schemas.openxmlformats.org/officeDocument/2006/relationships/image" Target="media/image236.png"/><Relationship Id="rId322" Type="http://schemas.openxmlformats.org/officeDocument/2006/relationships/image" Target="media/image237.png"/><Relationship Id="rId323" Type="http://schemas.openxmlformats.org/officeDocument/2006/relationships/image" Target="media/image238.png"/><Relationship Id="rId324" Type="http://schemas.openxmlformats.org/officeDocument/2006/relationships/image" Target="media/image239.png"/><Relationship Id="rId325" Type="http://schemas.openxmlformats.org/officeDocument/2006/relationships/image" Target="media/image240.png"/><Relationship Id="rId326" Type="http://schemas.openxmlformats.org/officeDocument/2006/relationships/image" Target="media/image241.png"/><Relationship Id="rId327" Type="http://schemas.openxmlformats.org/officeDocument/2006/relationships/image" Target="media/image242.png"/><Relationship Id="rId328" Type="http://schemas.openxmlformats.org/officeDocument/2006/relationships/image" Target="media/image243.png"/><Relationship Id="rId329" Type="http://schemas.openxmlformats.org/officeDocument/2006/relationships/image" Target="media/image244.png"/><Relationship Id="rId330" Type="http://schemas.openxmlformats.org/officeDocument/2006/relationships/image" Target="media/image245.png"/><Relationship Id="rId331" Type="http://schemas.openxmlformats.org/officeDocument/2006/relationships/image" Target="media/image246.png"/><Relationship Id="rId332" Type="http://schemas.openxmlformats.org/officeDocument/2006/relationships/image" Target="media/image247.png"/><Relationship Id="rId333" Type="http://schemas.openxmlformats.org/officeDocument/2006/relationships/image" Target="media/image248.png"/><Relationship Id="rId334" Type="http://schemas.openxmlformats.org/officeDocument/2006/relationships/image" Target="media/image249.png"/><Relationship Id="rId335" Type="http://schemas.openxmlformats.org/officeDocument/2006/relationships/image" Target="media/image250.png"/><Relationship Id="rId336" Type="http://schemas.openxmlformats.org/officeDocument/2006/relationships/image" Target="media/image251.png"/><Relationship Id="rId337" Type="http://schemas.openxmlformats.org/officeDocument/2006/relationships/image" Target="media/image252.png"/><Relationship Id="rId338" Type="http://schemas.openxmlformats.org/officeDocument/2006/relationships/image" Target="media/image253.png"/><Relationship Id="rId339" Type="http://schemas.openxmlformats.org/officeDocument/2006/relationships/image" Target="media/image254.png"/><Relationship Id="rId340" Type="http://schemas.openxmlformats.org/officeDocument/2006/relationships/image" Target="media/image255.png"/><Relationship Id="rId182" Type="http://schemas.openxmlformats.org/officeDocument/2006/relationships/hyperlink" Target="https://www.sec.gov/Archives/edgar/data/1637757/000110465920127624/tm2036456d2_ex2-1.htm" TargetMode="External"/><Relationship Id="rId183" Type="http://schemas.openxmlformats.org/officeDocument/2006/relationships/hyperlink" Target="http://www.sec.gov/Archives/edgar/data/1637708/000104746915003411/a2224163zex-3_01a.htm" TargetMode="External"/><Relationship Id="rId184" Type="http://schemas.openxmlformats.org/officeDocument/2006/relationships/hyperlink" Target="http://www.sec.gov/Archives/edgar/data/1637708/000104746915003411/a2224163zex-3_01b.htm" TargetMode="External"/><Relationship Id="rId185" Type="http://schemas.openxmlformats.org/officeDocument/2006/relationships/hyperlink" Target="http://www.sec.gov/Archives/edgar/data/1637757/000163775719000002/clearwayllcex33201810-k.htm" TargetMode="External"/><Relationship Id="rId186" Type="http://schemas.openxmlformats.org/officeDocument/2006/relationships/hyperlink" Target="http://www.sec.gov/Archives/edgar/data/1637708/000104746915003411/a2224163zex-3_03a.htm" TargetMode="External"/><Relationship Id="rId187" Type="http://schemas.openxmlformats.org/officeDocument/2006/relationships/hyperlink" Target="http://www.sec.gov/Archives/edgar/data/1637708/000104746915003411/a2224163zex-3_03b.htm" TargetMode="External"/><Relationship Id="rId188" Type="http://schemas.openxmlformats.org/officeDocument/2006/relationships/hyperlink" Target="http://www.sec.gov/Archives/edgar/data/1567683/000110465918055334/a18-24111_1ex10d6.htm" TargetMode="External"/><Relationship Id="rId189" Type="http://schemas.openxmlformats.org/officeDocument/2006/relationships/hyperlink" Target="http://www.sec.gov/Archives/edgar/data/1637757/000110465919072222/tm1925067d1_ex4-1.htm" TargetMode="External"/><Relationship Id="rId190" Type="http://schemas.openxmlformats.org/officeDocument/2006/relationships/hyperlink" Target="http://www.sec.gov/Archives/edgar/data/1567683/000110465920002258/tm201233d1_ex4-3.htm" TargetMode="External"/><Relationship Id="rId191" Type="http://schemas.openxmlformats.org/officeDocument/2006/relationships/hyperlink" Target="http://www.sec.gov/Archives/edgar/data/1567683/000110465920028560/tm2011093d1_ex4-3.htm" TargetMode="External"/><Relationship Id="rId192" Type="http://schemas.openxmlformats.org/officeDocument/2006/relationships/hyperlink" Target="http://www.sec.gov/Archives/edgar/data/1637757/000110465920085307/tm2025128d1_ex4-3.htm" TargetMode="External"/><Relationship Id="rId193" Type="http://schemas.openxmlformats.org/officeDocument/2006/relationships/hyperlink" Target="http://www.sec.gov/Archives/edgar/data/1567683/000110465920097221/tm2025854d5_ex4-3.htm" TargetMode="External"/><Relationship Id="rId194" Type="http://schemas.openxmlformats.org/officeDocument/2006/relationships/hyperlink" Target="https://www.sec.gov/Archives/edgar/data/1637757/000110465920127378/tm2036456d1_ex4-3.htm" TargetMode="External"/><Relationship Id="rId195" Type="http://schemas.openxmlformats.org/officeDocument/2006/relationships/hyperlink" Target="https://www.sec.gov/Archives/edgar/data/1637757/000110465920132415/tm2037504d1_ex4-3.htm" TargetMode="External"/><Relationship Id="rId196" Type="http://schemas.openxmlformats.org/officeDocument/2006/relationships/hyperlink" Target="https://www.sec.gov/Archives/edgar/data/1637757/000110465920140150/tm2039386d1_ex4-3.htm" TargetMode="External"/><Relationship Id="rId197" Type="http://schemas.openxmlformats.org/officeDocument/2006/relationships/hyperlink" Target="https://www.sec.gov/Archives/edgar/data/1637757/000110465921012977/tm215222d2_ex4-3.htm" TargetMode="External"/><Relationship Id="rId198" Type="http://schemas.openxmlformats.org/officeDocument/2006/relationships/hyperlink" Target="https://www.sec.gov/Archives/edgar/data/1567683/000110465921033800/tm219068d1_ex4-1.htm" TargetMode="External"/><Relationship Id="rId199" Type="http://schemas.openxmlformats.org/officeDocument/2006/relationships/hyperlink" Target="https://www.sec.gov/Archives/edgar/data/1567683/000110465921069314/tm2116590d1_ex4-2.htm" TargetMode="External"/><Relationship Id="rId200" Type="http://schemas.openxmlformats.org/officeDocument/2006/relationships/hyperlink" Target="https://www.sec.gov/Archives/edgar/data/1567683/000110465921069314/tm2116590d1_ex4-3.htm" TargetMode="External"/><Relationship Id="rId202" Type="http://schemas.openxmlformats.org/officeDocument/2006/relationships/hyperlink" Target="https://www.sec.gov/Archives/edgar/data/1567683/000110465921122073/tm2128933d1_ex4-1.htm" TargetMode="External"/><Relationship Id="rId203" Type="http://schemas.openxmlformats.org/officeDocument/2006/relationships/hyperlink" Target="https://www.sec.gov/Archives/edgar/data/1567683/000110465921124595/tm2129471d1_ex4-2.htm" TargetMode="External"/><Relationship Id="rId204" Type="http://schemas.openxmlformats.org/officeDocument/2006/relationships/hyperlink" Target="https://www.sec.gov/Archives/edgar/data/1567683/000110465921124595/tm2129471d1_ex4-3.htm" TargetMode="External"/><Relationship Id="rId205" Type="http://schemas.openxmlformats.org/officeDocument/2006/relationships/hyperlink" Target="https://www.sec.gov/Archives/edgar/data/1567683/000110465921124595/tm2129471d1_ex4-4.htm" TargetMode="External"/><Relationship Id="rId206" Type="http://schemas.openxmlformats.org/officeDocument/2006/relationships/hyperlink" Target="https://www.sec.gov/Archives/edgar/data/1637757/000110465922066898/tm2217300d1_ex4-1.htm" TargetMode="External"/><Relationship Id="rId207" Type="http://schemas.openxmlformats.org/officeDocument/2006/relationships/hyperlink" Target="https://www.sec.gov/Archives/edgar/data/1637757/000110465922066898/tm2217300d1_ex4-2.htm" TargetMode="External"/><Relationship Id="rId208" Type="http://schemas.openxmlformats.org/officeDocument/2006/relationships/hyperlink" Target="https://www.sec.gov/Archives/edgar/data/1637757/000110465922066898/tm2217300d1_ex4-3.htm" TargetMode="External"/><Relationship Id="rId209" Type="http://schemas.openxmlformats.org/officeDocument/2006/relationships/hyperlink" Target="https://www.sec.gov/Archives/edgar/data/1567683/000110465923023548/tm237375d1_ex4-1.htm" TargetMode="External"/><Relationship Id="rId210" Type="http://schemas.openxmlformats.org/officeDocument/2006/relationships/hyperlink" Target="https://www.sec.gov/Archives/edgar/data/1567683/000110465923023548/tm237375d1_ex4-2.htm" TargetMode="External"/><Relationship Id="rId211" Type="http://schemas.openxmlformats.org/officeDocument/2006/relationships/hyperlink" Target="https://www.sec.gov/Archives/edgar/data/1567683/000110465923023548/tm237375d1_ex4-3.htm" TargetMode="External"/><Relationship Id="rId212" Type="http://schemas.openxmlformats.org/officeDocument/2006/relationships/hyperlink" Target="http://www.sec.gov/Archives/edgar/data/1567683/000110465918055334/a18-24111_1ex10d5.htm#EXHIBIT10_5_051412" TargetMode="External"/><Relationship Id="rId213" Type="http://schemas.openxmlformats.org/officeDocument/2006/relationships/hyperlink" Target="http://www.sec.gov/Archives/edgar/data/1567683/000110465918055334/a18-24111_1ex10d3.htm#Exhibit10_3_095433" TargetMode="External"/><Relationship Id="rId214" Type="http://schemas.openxmlformats.org/officeDocument/2006/relationships/hyperlink" Target="http://www.sec.gov/Archives/edgar/data/1567683/000110465919008742/a19-4739_1ex10d1.htm#Exhibit99_1_092711" TargetMode="External"/><Relationship Id="rId215" Type="http://schemas.openxmlformats.org/officeDocument/2006/relationships/hyperlink" Target="http://www.sec.gov/Archives/edgar/data/1637757/000163775719000012/clearwayincex1012019q2.htm" TargetMode="External"/><Relationship Id="rId216" Type="http://schemas.openxmlformats.org/officeDocument/2006/relationships/hyperlink" Target="http://www.sec.gov/Archives/edgar/data/1637757/000110465919071001/tm1924691d1_ex10-1.htm" TargetMode="External"/><Relationship Id="rId217" Type="http://schemas.openxmlformats.org/officeDocument/2006/relationships/hyperlink" Target="http://www.sec.gov/Archives/edgar/data/1567683/000110465918055334/a18-24111_1ex10d1.htm#Exhibit10_1_072506" TargetMode="External"/><Relationship Id="rId218" Type="http://schemas.openxmlformats.org/officeDocument/2006/relationships/hyperlink" Target="http://www.sec.gov/Archives/edgar/data/1567683/000110465918055334/a18-24111_1ex10d2.htm" TargetMode="External"/><Relationship Id="rId219" Type="http://schemas.openxmlformats.org/officeDocument/2006/relationships/hyperlink" Target="http://www.sec.gov/Archives/edgar/data/1567683/000110465918055334/a18-24111_1ex10d9.htm#EXHIBIT10_9_053225" TargetMode="External"/><Relationship Id="rId220" Type="http://schemas.openxmlformats.org/officeDocument/2006/relationships/hyperlink" Target="http://www.sec.gov/Archives/edgar/data/1567683/000110465914031308/a14-11252_1ex10d1.htm" TargetMode="External"/><Relationship Id="rId221" Type="http://schemas.openxmlformats.org/officeDocument/2006/relationships/hyperlink" Target="http://www.sec.gov/Archives/edgar/data/1567683/000156768315000022/yieldincex1092015q2opllcam.htm" TargetMode="External"/><Relationship Id="rId223" Type="http://schemas.openxmlformats.org/officeDocument/2006/relationships/hyperlink" Target="http://www.sec.gov/Archives/edgar/data/1637757/000110465918008197/a18-5571_1ex10d1.htm#Exhibit10_1_093100" TargetMode="External"/><Relationship Id="rId224" Type="http://schemas.openxmlformats.org/officeDocument/2006/relationships/hyperlink" Target="http://www.sec.gov/Archives/edgar/data/1637757/000163775718000013/a101llc.htm" TargetMode="External"/><Relationship Id="rId225" Type="http://schemas.openxmlformats.org/officeDocument/2006/relationships/hyperlink" Target="http://www.sec.gov/Archives/edgar/data/1637757/000110465918071713/a18-41172_1ex10d1.htm" TargetMode="External"/><Relationship Id="rId226" Type="http://schemas.openxmlformats.org/officeDocument/2006/relationships/hyperlink" Target="http://www.sec.gov/Archives/edgar/data/1637757/000110465919075303/tm1926823d1_ex10-1.htm" TargetMode="External"/><Relationship Id="rId227" Type="http://schemas.openxmlformats.org/officeDocument/2006/relationships/hyperlink" Target="https://www.sec.gov/Archives/edgar/data/1567683/000110465921145441/tm2134349d1_ex10-1.htm" TargetMode="External"/><Relationship Id="rId228" Type="http://schemas.openxmlformats.org/officeDocument/2006/relationships/hyperlink" Target="https://www.sec.gov/Archives/edgar/data/1637757/000110465922092738/tm2223752d1_ex10-1.htm" TargetMode="External"/><Relationship Id="rId229" Type="http://schemas.openxmlformats.org/officeDocument/2006/relationships/hyperlink" Target="http://www.sec.gov/Archives/edgar/data/1567683/000156768315000022/yieldincex1012015q2rpv.htm" TargetMode="External"/><Relationship Id="rId230" Type="http://schemas.openxmlformats.org/officeDocument/2006/relationships/hyperlink" Target="http://www.sec.gov/Archives/edgar/data/1567683/000156768315000022/yieldincex1022015q2dgpv.htm" TargetMode="External"/><Relationship Id="rId231" Type="http://schemas.openxmlformats.org/officeDocument/2006/relationships/hyperlink" Target="http://www.sec.gov/Archives/edgar/data/1567683/000156768316000043/yieldincex1012016q1.htm" TargetMode="External"/><Relationship Id="rId232" Type="http://schemas.openxmlformats.org/officeDocument/2006/relationships/hyperlink" Target="http://www.sec.gov/Archives/edgar/data/1567683/000156768316000043/yieldincex1022016q1.htm" TargetMode="External"/><Relationship Id="rId233" Type="http://schemas.openxmlformats.org/officeDocument/2006/relationships/hyperlink" Target="http://www.sec.gov/Archives/edgar/data/1567683/000156768316000043/yieldincex1032016q1.htm" TargetMode="External"/><Relationship Id="rId234" Type="http://schemas.openxmlformats.org/officeDocument/2006/relationships/hyperlink" Target="http://www.sec.gov/Archives/edgar/data/1567683/000156768316000055/yieldincex1012016q2-rpvame.htm" TargetMode="External"/><Relationship Id="rId235" Type="http://schemas.openxmlformats.org/officeDocument/2006/relationships/hyperlink" Target="http://www.sec.gov/Archives/edgar/data/1567683/000156768319000014/clearwayincex1030201810-k.htm" TargetMode="External"/><Relationship Id="rId236" Type="http://schemas.openxmlformats.org/officeDocument/2006/relationships/hyperlink" Target="http://www.sec.gov/Archives/edgar/data/1567683/000110465915038447/a15-11446_1ex10d1.htm" TargetMode="External"/><Relationship Id="rId237" Type="http://schemas.openxmlformats.org/officeDocument/2006/relationships/hyperlink" Target="http://www.sec.gov/Archives/edgar/data/1567683/000156768320000008/clearwayincex102620191.htm" TargetMode="External"/><Relationship Id="rId238" Type="http://schemas.openxmlformats.org/officeDocument/2006/relationships/hyperlink" Target="https://www.sec.gov/Archives/edgar/data/1567683/000156768321000009/clearwayincex1019-cwen2020.htm" TargetMode="External"/><Relationship Id="rId239" Type="http://schemas.openxmlformats.org/officeDocument/2006/relationships/hyperlink" Target="https://www.sec.gov/Archives/edgar/data/1567683/000156768321000009/clearwayincex1020-cwen2020.htm" TargetMode="External"/><Relationship Id="rId241" Type="http://schemas.openxmlformats.org/officeDocument/2006/relationships/hyperlink" Target="http://www.sec.gov/Archives/edgar/data/1637757/000110465920048786/tm2016404d1_ex10-1.htm" TargetMode="External"/><Relationship Id="rId242" Type="http://schemas.openxmlformats.org/officeDocument/2006/relationships/hyperlink" Target="http://www.sec.gov/Archives/edgar/data/1637757/000110465920048786/tm2016404d1_ex10-2.htm" TargetMode="External"/><Relationship Id="rId243" Type="http://schemas.openxmlformats.org/officeDocument/2006/relationships/hyperlink" Target="http://www.sec.gov/Archives/edgar/data/1637757/000110465920048786/tm2016404d1_ex10-3.htm" TargetMode="External"/><Relationship Id="rId244" Type="http://schemas.openxmlformats.org/officeDocument/2006/relationships/hyperlink" Target="https://www.sec.gov/Archives/edgar/data/1637757/000163775720000020/fourthamendmenttorofoa.htm" TargetMode="External"/><Relationship Id="rId245" Type="http://schemas.openxmlformats.org/officeDocument/2006/relationships/hyperlink" Target="https://www.sec.gov/Archives/edgar/data/1637757/000110465920138637/tm2039056d1_ex10-1.htm" TargetMode="External"/><Relationship Id="rId246" Type="http://schemas.openxmlformats.org/officeDocument/2006/relationships/hyperlink" Target="https://www.sec.gov/Archives/edgar/data/1637757/000110465920138637/tm2039056d1_ex10-2.htm" TargetMode="External"/><Relationship Id="rId247" Type="http://schemas.openxmlformats.org/officeDocument/2006/relationships/hyperlink" Target="https://www.sec.gov/Archives/edgar/data/1637757/000110465920138637/tm2039056d1_ex10-3.htm" TargetMode="External"/><Relationship Id="rId248" Type="http://schemas.openxmlformats.org/officeDocument/2006/relationships/hyperlink" Target="https://www.sec.gov/Archives/edgar/data/1567683/000156768321000009/clearwayincex1031pinnaclel.htm" TargetMode="External"/><Relationship Id="rId249" Type="http://schemas.openxmlformats.org/officeDocument/2006/relationships/hyperlink" Target="https://www.sec.gov/Archives/edgar/data/1567683/000156768321000025/fifthamendmenttorofoagreem.htm" TargetMode="External"/><Relationship Id="rId250" Type="http://schemas.openxmlformats.org/officeDocument/2006/relationships/hyperlink" Target="https://www.sec.gov/Archives/edgar/data/1567683/000110465921108614/tm2125658d1_ex10-1.htm" TargetMode="External"/><Relationship Id="rId251" Type="http://schemas.openxmlformats.org/officeDocument/2006/relationships/hyperlink" Target="https://www.sec.gov/Archives/edgar/data/1567683/000110465921118837/tm2128073d1_ex10-1.htm" TargetMode="External"/><Relationship Id="rId252" Type="http://schemas.openxmlformats.org/officeDocument/2006/relationships/hyperlink" Target="https://www.sec.gov/Archives/edgar/data/1567683/000110465921130024/tm2130927d1_ex10-1.htm" TargetMode="External"/><Relationship Id="rId253" Type="http://schemas.openxmlformats.org/officeDocument/2006/relationships/hyperlink" Target="https://www.sec.gov/Archives/edgar/data/1567683/000110465921145441/tm2134349d1_ex10-2.htm" TargetMode="External"/><Relationship Id="rId254" Type="http://schemas.openxmlformats.org/officeDocument/2006/relationships/hyperlink" Target="https://www.sec.gov/Archives/edgar/data/1567683/000110465922004681/tm222995d1_ex10-1.htm" TargetMode="External"/><Relationship Id="rId255" Type="http://schemas.openxmlformats.org/officeDocument/2006/relationships/hyperlink" Target="https://www.sec.gov/Archives/edgar/data/1567683/000110465922004681/tm222995d1_ex10-2.htm" TargetMode="External"/><Relationship Id="rId256" Type="http://schemas.openxmlformats.org/officeDocument/2006/relationships/hyperlink" Target="https://www.sec.gov/Archives/edgar/data/1567683/000156768322000016/clearwayincex10310-q2022.htm" TargetMode="External"/><Relationship Id="rId257" Type="http://schemas.openxmlformats.org/officeDocument/2006/relationships/hyperlink" Target="https://www.sec.gov/Archives/edgar/data/1567683/000156768322000016/clearwayincex10410-q2022.htm" TargetMode="External"/><Relationship Id="rId258" Type="http://schemas.openxmlformats.org/officeDocument/2006/relationships/hyperlink" Target="https://www.sec.gov/Archives/edgar/data/1567683/000156768322000016/clearwayincex10510-q2022.htm" TargetMode="External"/><Relationship Id="rId259" Type="http://schemas.openxmlformats.org/officeDocument/2006/relationships/hyperlink" Target="https://www.sec.gov/Archives/edgar/data/1567683/000156768322000016/clearwayincex10610-q2022.htm" TargetMode="External"/><Relationship Id="rId260" Type="http://schemas.openxmlformats.org/officeDocument/2006/relationships/hyperlink" Target="https://www.sec.gov/Archives/edgar/data/1567683/000156768322000016/clearwayincex10710-q2022.htm" TargetMode="External"/><Relationship Id="rId261" Type="http://schemas.openxmlformats.org/officeDocument/2006/relationships/hyperlink" Target="https://www.sec.gov/Archives/edgar/data/1567683/000110465922130953/tm2233662d1_ex10-1.htm" TargetMode="External"/><Relationship Id="rId263" Type="http://schemas.openxmlformats.org/officeDocument/2006/relationships/hyperlink" Target="https://www.sec.gov/Archives/edgar/data/1567683/000110465921036280/tm219707d1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2023-02-23T18:25:19Z</dcterms:created>
  <dcterms:modified xsi:type="dcterms:W3CDTF">2023-02-23T18:25:19Z</dcterms:modified>
</cp:coreProperties>
</file>