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24"/>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64"/>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 2018</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64"/>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5"/>
          </w:cols>
          <w:pgMar w:left="275" w:top="10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75"/>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5"/>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85" w:space="720"/>
            <w:col w:w="2680" w:space="720"/>
            <w:col w:w="3080"/>
          </w:cols>
          <w:pgMar w:left="275" w:top="1067" w:right="339" w:bottom="1440" w:gutter="0" w:footer="0" w:header="0"/>
          <w:type w:val="continuous"/>
        </w:sectPr>
      </w:pPr>
    </w:p>
    <w:p>
      <w:pPr>
        <w:spacing w:after="0" w:line="397" w:lineRule="exact"/>
        <w:rPr>
          <w:sz w:val="24"/>
          <w:szCs w:val="24"/>
          <w:color w:val="auto"/>
        </w:rPr>
      </w:pPr>
    </w:p>
    <w:p>
      <w:pPr>
        <w:ind w:left="3725"/>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545"/>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5"/>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left="5" w:right="5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185"/>
        <w:spacing w:after="0"/>
        <w:tabs>
          <w:tab w:leader="none" w:pos="7365"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5"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5"/>
          </w:cols>
          <w:pgMar w:left="275" w:top="1067"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2, 2018, NRG Yield, Inc. issued a press release announcing its financial results for the quarter ended June 30, 2018. A copy of the press release is furnished as Exhibit 99.1 to this report on Form 8-K and is hereby incorporated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18"/>
                <w:szCs w:val="18"/>
                <w:color w:val="auto"/>
              </w:rPr>
              <w:t>(d)</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99.1</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August 2, 2018</w:t>
              </w:r>
            </w:hyperlink>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58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NRG Yield,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Kevin P. Malcarney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General Counsel and 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09395"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93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NRG Yield, Inc. Reports Second Quarter 2018 Financial Results</w:t>
      </w:r>
    </w:p>
    <w:p>
      <w:pPr>
        <w:spacing w:after="0" w:line="2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NRG Transaction with Global Infrastructure Partners (GIP) targeted to close in the third quarter of 2018</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Maintaining 2018 financial guidance</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Raised $101 million of growth capital with $61 million under the At-The-Market (ATM) program and $40 million through the execution of debt refinancing at the Thermal segment</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Commenced operations at the Buckthorn Solar and University of Pittsburgh Medical Center (UPMC) projects</w:t>
      </w:r>
    </w:p>
    <w:p>
      <w:pPr>
        <w:spacing w:after="0" w:line="63"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the Right of First Offer (ROFO) Agreement, received an offer from NRG's renewables business to acquire 80 megawatts (MW) of utility-scale solar projects located in Hawaii</w:t>
      </w:r>
    </w:p>
    <w:p>
      <w:pPr>
        <w:spacing w:after="0" w:line="1" w:lineRule="exact"/>
        <w:rPr>
          <w:rFonts w:ascii="Arial" w:cs="Arial" w:eastAsia="Arial" w:hAnsi="Arial"/>
          <w:sz w:val="18"/>
          <w:szCs w:val="18"/>
          <w:b w:val="1"/>
          <w:bCs w:val="1"/>
          <w:color w:val="auto"/>
        </w:rPr>
      </w:pPr>
    </w:p>
    <w:p>
      <w:pPr>
        <w:ind w:left="660" w:right="20" w:hanging="328"/>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Declared 3.6% quarterly dividend increase to $0.32 per share in third quarter 2018; continue to target annualized dividend per share growth of 15% through 2018</w:t>
      </w:r>
    </w:p>
    <w:p>
      <w:pPr>
        <w:spacing w:after="0" w:line="200" w:lineRule="exact"/>
        <w:rPr>
          <w:sz w:val="20"/>
          <w:szCs w:val="20"/>
          <w:color w:val="auto"/>
        </w:rPr>
      </w:pPr>
    </w:p>
    <w:p>
      <w:pPr>
        <w:spacing w:after="0" w:line="2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2, 2018 </w:t>
      </w:r>
      <w:r>
        <w:rPr>
          <w:rFonts w:ascii="Arial" w:cs="Arial" w:eastAsia="Arial" w:hAnsi="Arial"/>
          <w:sz w:val="18"/>
          <w:szCs w:val="18"/>
          <w:color w:val="auto"/>
        </w:rPr>
        <w:t>— NRG Yield, Inc. (NYSE: NYLD, NYLD.A) today reported second quarter 2018 financial results including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of $96 million, Adjusted EBITDA of $303 million, Cash from Operating Activities of $116 million, and Cash Available for Distribution (CAFD) of $97 million.</w:t>
      </w:r>
    </w:p>
    <w:p>
      <w:pPr>
        <w:spacing w:after="0" w:line="1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second quarter, NRG Yield realized strong results as wind conditions across the portfolio were greater than expected and the Company benefited from the refinancing of the Thermal segment. As a result of the refinancing, the Company extended all maturities at the Thermal segment to 2031 and beyond at an effective cost and when combined with ATM issuances in the quarter brought $101 million in new growth capital to the platform,” said Christopher Sotos, President and Chief Executive Officer, NRG Yield. “We are also pleased to say that the GIP transaction is well on track with closing now targeted in the third quarter. We intend to provide a more comprehensive update to our 2018 guidance as well as our longer term business outlook soon thereafter.”</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31"/>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r>
              <w:rPr>
                <w:rFonts w:ascii="Arial" w:cs="Arial" w:eastAsia="Arial" w:hAnsi="Arial"/>
                <w:sz w:val="25"/>
                <w:szCs w:val="25"/>
                <w:b w:val="1"/>
                <w:bCs w:val="1"/>
                <w:color w:val="auto"/>
                <w:vertAlign w:val="superscript"/>
              </w:rPr>
              <w:t>1</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1: Net (Loss)/Income</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4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6/30/18</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6/30/17</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6/30/18</w:t>
            </w:r>
          </w:p>
        </w:tc>
        <w:tc>
          <w:tcPr>
            <w:tcW w:w="120" w:type="dxa"/>
            <w:vAlign w:val="bottom"/>
          </w:tcPr>
          <w:p>
            <w:pPr>
              <w:spacing w:after="0"/>
              <w:rPr>
                <w:sz w:val="23"/>
                <w:szCs w:val="23"/>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6/30/17</w:t>
            </w:r>
          </w:p>
        </w:tc>
      </w:tr>
      <w:tr>
        <w:trPr>
          <w:trHeight w:val="27"/>
        </w:trPr>
        <w:tc>
          <w:tcPr>
            <w:tcW w:w="4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20" w:type="dxa"/>
            <w:vAlign w:val="bottom"/>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420" w:type="dxa"/>
            <w:vAlign w:val="bottom"/>
          </w:tcPr>
          <w:p>
            <w:pPr>
              <w:spacing w:after="0" w:line="20" w:lineRule="exact"/>
              <w:rPr>
                <w:sz w:val="1"/>
                <w:szCs w:val="1"/>
                <w:color w:val="auto"/>
              </w:rPr>
            </w:pPr>
          </w:p>
        </w:tc>
        <w:tc>
          <w:tcPr>
            <w:tcW w:w="4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40" w:firstLine="8"/>
        <w:spacing w:after="0" w:line="213"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In accordance with GAAP, 2017 results have been recast to include the Buckthorn Solar Drop Down Asset and November 2017 Drop Down Assets as if the combinations had been in effect from the beginning of the financial statement period</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78"/>
        </w:trPr>
        <w:tc>
          <w:tcPr>
            <w:tcW w:w="4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Six Months Ended</w:t>
            </w:r>
          </w:p>
        </w:tc>
        <w:tc>
          <w:tcPr>
            <w:tcW w:w="400" w:type="dxa"/>
            <w:vAlign w:val="bottom"/>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6/30/18</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6/30/17</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6/30/18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6/30/17</w:t>
            </w:r>
          </w:p>
        </w:tc>
        <w:tc>
          <w:tcPr>
            <w:tcW w:w="400" w:type="dxa"/>
            <w:vAlign w:val="bottom"/>
          </w:tcPr>
          <w:p>
            <w:pPr>
              <w:spacing w:after="0"/>
              <w:rPr>
                <w:sz w:val="23"/>
                <w:szCs w:val="23"/>
                <w:color w:val="auto"/>
              </w:rPr>
            </w:pPr>
          </w:p>
        </w:tc>
      </w:tr>
      <w:tr>
        <w:trPr>
          <w:trHeight w:val="27"/>
        </w:trPr>
        <w:tc>
          <w:tcPr>
            <w:tcW w:w="4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139</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218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190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330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303</w:t>
            </w:r>
          </w:p>
        </w:tc>
      </w:tr>
      <w:tr>
        <w:trPr>
          <w:trHeight w:val="27"/>
        </w:trPr>
        <w:tc>
          <w:tcPr>
            <w:tcW w:w="4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420" w:type="dxa"/>
            <w:vAlign w:val="bottom"/>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492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460</w:t>
            </w:r>
          </w:p>
        </w:tc>
      </w:tr>
      <w:tr>
        <w:trPr>
          <w:trHeight w:val="20"/>
        </w:trPr>
        <w:tc>
          <w:tcPr>
            <w:tcW w:w="420" w:type="dxa"/>
            <w:vAlign w:val="bottom"/>
          </w:tcPr>
          <w:p>
            <w:pPr>
              <w:spacing w:after="0" w:line="20" w:lineRule="exact"/>
              <w:rPr>
                <w:sz w:val="1"/>
                <w:szCs w:val="1"/>
                <w:color w:val="auto"/>
              </w:rPr>
            </w:pPr>
          </w:p>
        </w:tc>
        <w:tc>
          <w:tcPr>
            <w:tcW w:w="4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Six Months Ended</w:t>
            </w:r>
          </w:p>
        </w:tc>
        <w:tc>
          <w:tcPr>
            <w:tcW w:w="420" w:type="dxa"/>
            <w:vAlign w:val="bottom"/>
          </w:tcPr>
          <w:p>
            <w:pPr>
              <w:spacing w:after="0"/>
              <w:rPr>
                <w:sz w:val="20"/>
                <w:szCs w:val="20"/>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6/30/18</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6/30/17</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6/30/18</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6/30/17</w:t>
            </w:r>
          </w:p>
        </w:tc>
        <w:tc>
          <w:tcPr>
            <w:tcW w:w="420" w:type="dxa"/>
            <w:vAlign w:val="bottom"/>
          </w:tcPr>
          <w:p>
            <w:pPr>
              <w:spacing w:after="0"/>
              <w:rPr>
                <w:sz w:val="23"/>
                <w:szCs w:val="23"/>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169</w:t>
            </w: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Cash Available for Distribution (CAFD)</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second quarter of 2018, NRG Yield reported Net Income of $96 million, Adjusted EBITDA of $303 million, Cash from Operating Activities of $116 million, and CAFD of $97 million. Second quarter Adjusted EBITDA results were higher than 2017, primarily due to growth in the business-renewable focused distributed solar partnerships, higher wind production in 2018, relative to the second quarter of 2017, and higher availability at Walnut Creek. CAFD results were higher than 2017 primarily due to higher wind production, lower principal amortization at Thermal due to the refinancing of the Series C notes, and growth from the November 2017 Drop Down Assets.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360" w:type="dxa"/>
            <w:vAlign w:val="bottom"/>
            <w:gridSpan w:val="4"/>
          </w:tcPr>
          <w:p>
            <w:pPr>
              <w:ind w:left="82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2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6/30/18</w:t>
            </w:r>
          </w:p>
        </w:tc>
        <w:tc>
          <w:tcPr>
            <w:tcW w:w="100" w:type="dxa"/>
            <w:vAlign w:val="bottom"/>
          </w:tcPr>
          <w:p>
            <w:pPr>
              <w:spacing w:after="0"/>
              <w:rPr>
                <w:sz w:val="23"/>
                <w:szCs w:val="23"/>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6/30/17</w:t>
            </w:r>
          </w:p>
        </w:tc>
        <w:tc>
          <w:tcPr>
            <w:tcW w:w="12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6/30/18</w:t>
            </w:r>
          </w:p>
        </w:tc>
        <w:tc>
          <w:tcPr>
            <w:tcW w:w="12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6/30/17</w:t>
            </w:r>
          </w:p>
        </w:tc>
      </w:tr>
      <w:tr>
        <w:trPr>
          <w:trHeight w:val="27"/>
        </w:trPr>
        <w:tc>
          <w:tcPr>
            <w:tcW w:w="2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Equivalent Availability Factor (Conventional)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43"/>
        </w:trPr>
        <w:tc>
          <w:tcPr>
            <w:tcW w:w="260" w:type="dxa"/>
            <w:vAlign w:val="bottom"/>
          </w:tcPr>
          <w:p>
            <w:pPr>
              <w:spacing w:after="0"/>
              <w:rPr>
                <w:sz w:val="21"/>
                <w:szCs w:val="21"/>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Renewables Generation Sold (MWh)</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3,924</w:t>
            </w:r>
          </w:p>
        </w:tc>
        <w:tc>
          <w:tcPr>
            <w:tcW w:w="12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3,789</w:t>
            </w:r>
          </w:p>
        </w:tc>
      </w:tr>
      <w:tr>
        <w:trPr>
          <w:trHeight w:val="27"/>
        </w:trPr>
        <w:tc>
          <w:tcPr>
            <w:tcW w:w="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4220" w:type="dxa"/>
            <w:vAlign w:val="bottom"/>
            <w:tcBorders>
              <w:bottom w:val="single" w:sz="8" w:color="auto"/>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Thermal Generation Sold (MWht)</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1,005</w:t>
            </w:r>
          </w:p>
        </w:tc>
      </w:tr>
    </w:tbl>
    <w:p>
      <w:pPr>
        <w:spacing w:after="0" w:line="3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second quarter of 2018, generation in the Renewables segment was above median expectations and 9% higher than the second quarter of 2017, primarily due to higher wind resources across the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hanging="92"/>
        <w:spacing w:after="0"/>
        <w:tabs>
          <w:tab w:leader="none" w:pos="10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Also includes Thermal MWh sold</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31"/>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r>
              <w:rPr>
                <w:rFonts w:ascii="Arial" w:cs="Arial" w:eastAsia="Arial" w:hAnsi="Arial"/>
                <w:sz w:val="25"/>
                <w:szCs w:val="25"/>
                <w:b w:val="1"/>
                <w:bCs w:val="1"/>
                <w:color w:val="auto"/>
                <w:vertAlign w:val="superscript"/>
              </w:rPr>
              <w:t>3</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0"/>
        </w:trPr>
        <w:tc>
          <w:tcPr>
            <w:tcW w:w="1540" w:type="dxa"/>
            <w:vAlign w:val="bottom"/>
          </w:tcPr>
          <w:p>
            <w:pPr>
              <w:spacing w:after="0"/>
              <w:rPr>
                <w:sz w:val="24"/>
                <w:szCs w:val="24"/>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6/30/18</w:t>
            </w:r>
          </w:p>
        </w:tc>
        <w:tc>
          <w:tcPr>
            <w:tcW w:w="100" w:type="dxa"/>
            <w:vAlign w:val="bottom"/>
          </w:tcPr>
          <w:p>
            <w:pPr>
              <w:spacing w:after="0"/>
              <w:rPr>
                <w:sz w:val="24"/>
                <w:szCs w:val="24"/>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3/31/18</w:t>
            </w:r>
          </w:p>
        </w:tc>
        <w:tc>
          <w:tcPr>
            <w:tcW w:w="12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12/31/17</w:t>
            </w:r>
          </w:p>
        </w:tc>
      </w:tr>
      <w:tr>
        <w:trPr>
          <w:trHeight w:val="27"/>
        </w:trPr>
        <w:tc>
          <w:tcPr>
            <w:tcW w:w="15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54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540" w:type="dxa"/>
            <w:vAlign w:val="bottom"/>
          </w:tcPr>
          <w:p>
            <w:pPr>
              <w:spacing w:after="0"/>
              <w:rPr>
                <w:sz w:val="21"/>
                <w:szCs w:val="21"/>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NRG Yield, Inc. and NRG Yield LLC</w:t>
            </w: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5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54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1540" w:type="dxa"/>
            <w:vAlign w:val="bottom"/>
          </w:tcPr>
          <w:p>
            <w:pPr>
              <w:spacing w:after="0"/>
              <w:rPr>
                <w:sz w:val="21"/>
                <w:szCs w:val="21"/>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Restricted Cash:</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5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54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Accounts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540" w:type="dxa"/>
            <w:vAlign w:val="bottom"/>
          </w:tcPr>
          <w:p>
            <w:pPr>
              <w:spacing w:after="0"/>
              <w:rPr>
                <w:sz w:val="21"/>
                <w:szCs w:val="21"/>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Reserve Accounts</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15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54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Cash</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43"/>
        </w:trPr>
        <w:tc>
          <w:tcPr>
            <w:tcW w:w="1540" w:type="dxa"/>
            <w:vAlign w:val="bottom"/>
          </w:tcPr>
          <w:p>
            <w:pPr>
              <w:spacing w:after="0"/>
              <w:rPr>
                <w:sz w:val="21"/>
                <w:szCs w:val="21"/>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Revolver Availability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15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540" w:type="dxa"/>
            <w:vAlign w:val="bottom"/>
          </w:tcPr>
          <w:p>
            <w:pPr>
              <w:spacing w:after="0"/>
              <w:rPr>
                <w:sz w:val="22"/>
                <w:szCs w:val="22"/>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w:t>
            </w:r>
          </w:p>
        </w:tc>
      </w:tr>
      <w:tr>
        <w:trPr>
          <w:trHeight w:val="20"/>
        </w:trPr>
        <w:tc>
          <w:tcPr>
            <w:tcW w:w="1540" w:type="dxa"/>
            <w:vAlign w:val="bottom"/>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Total liquidity as of June 30, 2018, was $697 million, an increase of $15 million from December 31, 2017. This reflects an increase in availability under the revolving credit facility of $62 million offset by a decrease in total cash of $47 million</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resulting primarily from the acquisition of Buckthorn Solar, common stock dividends paid, and repayment of borrowings under the revolving credit facility.</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Potential future sources of liquidity include excess operating cash flow, the $150 million ATM program, of which $38 million remained available as of August 2, 2018, availability under the revolving credit facility, and, subject to market conditions, new corporate financings. During the second quarter of 2018, the Company raised gross proceeds of $61 million</w:t>
      </w:r>
      <w:r>
        <w:rPr>
          <w:rFonts w:ascii="Arial" w:cs="Arial" w:eastAsia="Arial" w:hAnsi="Arial"/>
          <w:sz w:val="24"/>
          <w:szCs w:val="24"/>
          <w:color w:val="auto"/>
          <w:vertAlign w:val="superscript"/>
        </w:rPr>
        <w:t>5</w:t>
      </w:r>
      <w:r>
        <w:rPr>
          <w:rFonts w:ascii="Arial" w:cs="Arial" w:eastAsia="Arial" w:hAnsi="Arial"/>
          <w:sz w:val="17"/>
          <w:szCs w:val="17"/>
          <w:color w:val="auto"/>
        </w:rPr>
        <w:t xml:space="preserve"> through the sale of Class C common stock under the ATM program.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 (GIP)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6, 2018, GIP entered into a purchase and sale agreement with NRG for the acquisition of NRG's full ownership interest in NRG Yield and NRG's renewable energy development and operations platform, consisting of a robust pipeline of over 6.4 GW of backlog and development projects, as well as operational oversight of 2.4 gigawatt (GW) across 17 states (the "NRG Transaction"). In connection with the NRG Transaction, NRG Yield entered into a Consent and Indemnity Agreement (the "C&amp;I Agreement") with NRG and GIP setting forth the key terms and conditions of NRG Yield's Corporate Governance, Conflicts, and Nominating Committee's consent to the NRG Transaction. Refer to NRG Yield's press release on February 7, 2018, for further details.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NRG Transaction is subject to certain closing conditions, including customary legal and regulatory approvals. As of July 31, 2018, all regulatory approvals have been received and NRG Yield is targeting the NRG Transaction to close in the third quarter of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Buckthorn Solar Project Update</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On March 30, 2018, the Company acquired the 154 MW Buckthorn Solar utility-scale project from NRG for cash consideration of $42 million, plus assumed non-recourse debt of approximately $131 million</w:t>
      </w:r>
      <w:r>
        <w:rPr>
          <w:rFonts w:ascii="Arial" w:cs="Arial" w:eastAsia="Arial" w:hAnsi="Arial"/>
          <w:sz w:val="25"/>
          <w:szCs w:val="25"/>
          <w:color w:val="auto"/>
          <w:vertAlign w:val="superscript"/>
        </w:rPr>
        <w:t>6</w:t>
      </w:r>
      <w:r>
        <w:rPr>
          <w:rFonts w:ascii="Arial" w:cs="Arial" w:eastAsia="Arial" w:hAnsi="Arial"/>
          <w:sz w:val="18"/>
          <w:szCs w:val="18"/>
          <w:color w:val="auto"/>
        </w:rPr>
        <w:t>. Buckthorn Solar sells power under a 25-year PPA to the City of Georgetown, Texas, which commenced in July 2018 when the project achieved commercial operation. The project is expected to deliver approximately $4 million</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of average annual CAFD beginning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firstLine="8"/>
        <w:spacing w:after="0" w:line="213" w:lineRule="auto"/>
        <w:tabs>
          <w:tab w:leader="none" w:pos="108" w:val="left"/>
        </w:tabs>
        <w:numPr>
          <w:ilvl w:val="0"/>
          <w:numId w:val="5"/>
        </w:numPr>
        <w:rPr>
          <w:rFonts w:ascii="Arial" w:cs="Arial" w:eastAsia="Arial" w:hAnsi="Arial"/>
          <w:sz w:val="25"/>
          <w:szCs w:val="25"/>
          <w:color w:val="auto"/>
          <w:vertAlign w:val="superscript"/>
        </w:rPr>
      </w:pPr>
      <w:r>
        <w:rPr>
          <w:rFonts w:ascii="Arial" w:cs="Arial" w:eastAsia="Arial" w:hAnsi="Arial"/>
          <w:sz w:val="14"/>
          <w:szCs w:val="14"/>
          <w:color w:val="auto"/>
        </w:rPr>
        <w:t>In accordance with GAAP, ending balances as of 12/31/17 have been recast to include the Buckthorn Solar Drop Down as if the combination had been in effect from the beginning of the financial statement period</w:t>
      </w:r>
    </w:p>
    <w:p>
      <w:pPr>
        <w:spacing w:after="0" w:line="11" w:lineRule="exact"/>
        <w:rPr>
          <w:rFonts w:ascii="Arial" w:cs="Arial" w:eastAsia="Arial" w:hAnsi="Arial"/>
          <w:sz w:val="25"/>
          <w:szCs w:val="25"/>
          <w:color w:val="auto"/>
          <w:vertAlign w:val="superscript"/>
        </w:rPr>
      </w:pPr>
    </w:p>
    <w:p>
      <w:pPr>
        <w:ind w:right="5260"/>
        <w:spacing w:after="0" w:line="21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4"/>
          <w:szCs w:val="14"/>
          <w:color w:val="auto"/>
        </w:rPr>
        <w:t xml:space="preserve"> See Appendix A-6 Sources and Uses of Cash and Cash Equivalents for Six Months Ended June 30, 2018 </w:t>
      </w:r>
      <w:r>
        <w:rPr>
          <w:rFonts w:ascii="Arial" w:cs="Arial" w:eastAsia="Arial" w:hAnsi="Arial"/>
          <w:sz w:val="25"/>
          <w:szCs w:val="25"/>
          <w:color w:val="auto"/>
          <w:vertAlign w:val="superscript"/>
        </w:rPr>
        <w:t>5</w:t>
      </w:r>
      <w:r>
        <w:rPr>
          <w:rFonts w:ascii="Arial" w:cs="Arial" w:eastAsia="Arial" w:hAnsi="Arial"/>
          <w:sz w:val="14"/>
          <w:szCs w:val="14"/>
          <w:color w:val="auto"/>
        </w:rPr>
        <w:t xml:space="preserve"> Includes $1 million of proceeds settled in Q3 2018</w:t>
      </w:r>
    </w:p>
    <w:p>
      <w:pPr>
        <w:spacing w:after="0" w:line="1" w:lineRule="exact"/>
        <w:rPr>
          <w:rFonts w:ascii="Arial" w:cs="Arial" w:eastAsia="Arial" w:hAnsi="Arial"/>
          <w:sz w:val="25"/>
          <w:szCs w:val="25"/>
          <w:color w:val="auto"/>
          <w:vertAlign w:val="superscript"/>
        </w:rPr>
      </w:pPr>
    </w:p>
    <w:p>
      <w:pPr>
        <w:ind w:right="1440"/>
        <w:spacing w:after="0" w:line="212"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6</w:t>
      </w:r>
      <w:r>
        <w:rPr>
          <w:rFonts w:ascii="Arial" w:cs="Arial" w:eastAsia="Arial" w:hAnsi="Arial"/>
          <w:sz w:val="14"/>
          <w:szCs w:val="14"/>
          <w:color w:val="auto"/>
        </w:rPr>
        <w:t xml:space="preserve"> Assumed approximately $131 million of non-recourse term debt during transaction; Non-recourse debt balance as of June 30, 2018 was $132 million after term conversion </w:t>
      </w:r>
      <w:r>
        <w:rPr>
          <w:rFonts w:ascii="Arial" w:cs="Arial" w:eastAsia="Arial" w:hAnsi="Arial"/>
          <w:sz w:val="25"/>
          <w:szCs w:val="25"/>
          <w:color w:val="auto"/>
          <w:vertAlign w:val="superscript"/>
        </w:rPr>
        <w:t>7</w:t>
      </w:r>
      <w:r>
        <w:rPr>
          <w:rFonts w:ascii="Arial" w:cs="Arial" w:eastAsia="Arial" w:hAnsi="Arial"/>
          <w:sz w:val="14"/>
          <w:szCs w:val="14"/>
          <w:color w:val="auto"/>
        </w:rPr>
        <w:t xml:space="preserve"> CAFD average over the 5-year period from 2019-2023</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University of Pittsburgh Medical Center (UPMC) Thermal Project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31, 2016, NRG Business Services LLC, a subsidiary of NRG, and NRG Energy Center Pittsburgh LLC (NECP), a subsidiary of NRG Yield, entered into an Engineering, Procurement, and Construction (EPC) agreement for the construction of a 73 MWt district energy system for NECP to provide steam, chilled water and 7.5 MW of emergency backup power service to UPMC. The initial term of the energy services agreement (under fixed capacity payments) with UPMC will be for a period of twenty years from the service commencement date. On June 18, 2018, UPMC reached substantial completion and, pursuant to the EPC Agreement, the Company paid NRG $84 million. The Company will pay NRG an additional $4 million at final completion of the project, anticipated to occur in the third quarter of 2018.</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UPMC project, NRG Energy Center Minneapolis LLC issued $70 million of Series E notes and $10 million of Series F notes. The proceeds from the notes were utilized to make payments with respect to the EPC Agreement described above. The UPMC project, net of non-recourse financing, is expected to deliver approximately $4 million</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in annual average CAFD starting in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Partnerships with NRG</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During the second quarter of 2018, NRG Yield invested approximately $10 million in the existing business-renewable focused distributed solar partnerships, bringing total capital invested to $225 million</w:t>
      </w:r>
      <w:r>
        <w:rPr>
          <w:rFonts w:ascii="Arial" w:cs="Arial" w:eastAsia="Arial" w:hAnsi="Arial"/>
          <w:sz w:val="25"/>
          <w:szCs w:val="25"/>
          <w:color w:val="auto"/>
          <w:vertAlign w:val="superscript"/>
        </w:rPr>
        <w:t>9</w:t>
      </w:r>
      <w:r>
        <w:rPr>
          <w:rFonts w:ascii="Arial" w:cs="Arial" w:eastAsia="Arial" w:hAnsi="Arial"/>
          <w:sz w:val="18"/>
          <w:szCs w:val="18"/>
          <w:color w:val="auto"/>
        </w:rPr>
        <w:t xml:space="preserve"> in the distributed solar investment partnerships. As of June 30, 2018, through the existing partnership agreements, NRG Yield owns approximately 254 MW</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of distributed solar capacity with a weighted average contract life by CAFD of approximately 20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 Down Offer from NRG's Renewables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27, 2018, NRG, through its renewables business, offered the Company the opportunity to purchase 80 MW of utility-scale solar projects located in Kawailoa and Oahu, Hawaii. The acquisition is subject to negotiation and approval by NRG Yield's Independent Directors.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Segment Non-Recourse Debt Refinancing</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On June 19, 2018, the Company, through NRG Energy Center Minneapolis LLC, refinanced $83 million of Series C notes due 2025 by issuing $83 million of Series G notes due 2035. In addition, and in conjunction with adding NRG Energy Center Omaha LLC to the Thermal collateral package, the Company issued $40 million of Series H notes due 2037 and established a $40 million private shelf facility for future issuances to be used for Thermal growth opportunities. Through these transactions, the Company received $40 million in incremental corporate growth capital, reduced non-recourse principal amortization in 2018 by approximately $7 million, and expects to realize $7 million</w:t>
      </w:r>
      <w:r>
        <w:rPr>
          <w:rFonts w:ascii="Arial" w:cs="Arial" w:eastAsia="Arial" w:hAnsi="Arial"/>
          <w:sz w:val="24"/>
          <w:szCs w:val="24"/>
          <w:color w:val="auto"/>
          <w:vertAlign w:val="superscript"/>
        </w:rPr>
        <w:t>11</w:t>
      </w:r>
      <w:r>
        <w:rPr>
          <w:rFonts w:ascii="Arial" w:cs="Arial" w:eastAsia="Arial" w:hAnsi="Arial"/>
          <w:sz w:val="17"/>
          <w:szCs w:val="17"/>
          <w:color w:val="auto"/>
        </w:rPr>
        <w:t xml:space="preserve"> in annual average CAFD starting in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Update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24, 2018, NRG Yield’s Board of Directors declared a quarterly dividend on Class A and Class C common stock of $0.32 per share (approximately $1.28 per share annualized) payable on September 18, 2018, to stockholders of record as of September 4, 2018. This equates to a 3.6% increase over the prior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NRG Yield’s quarterly operating results are impacted by seasonal factors, as well as variability in renewable energy resources. The majority of NRG Yield’s revenues are generated from the months of May through September, as contracted pricing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CAFD average over the 5-year period from 2019-2023</w:t>
      </w:r>
    </w:p>
    <w:p>
      <w:pPr>
        <w:ind w:left="120" w:hanging="112"/>
        <w:spacing w:after="0" w:line="191" w:lineRule="auto"/>
        <w:tabs>
          <w:tab w:leader="none" w:pos="120" w:val="left"/>
        </w:tabs>
        <w:numPr>
          <w:ilvl w:val="0"/>
          <w:numId w:val="7"/>
        </w:numPr>
        <w:rPr>
          <w:rFonts w:ascii="Arial" w:cs="Arial" w:eastAsia="Arial" w:hAnsi="Arial"/>
          <w:sz w:val="25"/>
          <w:szCs w:val="25"/>
          <w:color w:val="auto"/>
          <w:vertAlign w:val="superscript"/>
        </w:rPr>
      </w:pPr>
      <w:r>
        <w:rPr>
          <w:rFonts w:ascii="Arial" w:cs="Arial" w:eastAsia="Arial" w:hAnsi="Arial"/>
          <w:sz w:val="14"/>
          <w:szCs w:val="14"/>
          <w:color w:val="auto"/>
        </w:rPr>
        <w:t>Excludes $26 million for 14 MW of residential solar leases acquired outside of partnerships</w:t>
      </w:r>
    </w:p>
    <w:p>
      <w:pPr>
        <w:ind w:left="180" w:hanging="172"/>
        <w:spacing w:after="0" w:line="209" w:lineRule="auto"/>
        <w:tabs>
          <w:tab w:leader="none" w:pos="1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Based on cash to be distributed; excludes 14 MW of residential solar leases acquired outside of partnership</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CAFD average over 5-year period from 2019-2023</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800"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renewable resources are at their highest levels in the Company’s core markets. Factors driving the fluctuation in Net Income, Adjusted EBITDA, Cash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and CAFD include the following:</w:t>
      </w:r>
    </w:p>
    <w:p>
      <w:pPr>
        <w:spacing w:after="0" w:line="2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wind resources during the spring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 on a quarterly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Guidance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NRG Yield is maintaining 2018 full year financial guidance. The Company intends to provide a comprehensive update after the close of the NRG Transaction. This financial guidance does not include the impact from the thermal refinancing, growth investments closed in 2018, growth investments under evaluation, or incremental costs that may result from the closing of the NRG Transaction. Financial guidance continues to be based on median renewable energy production estimates.</w:t>
      </w:r>
    </w:p>
    <w:p>
      <w:pPr>
        <w:spacing w:after="0" w:line="345" w:lineRule="exact"/>
        <w:rPr>
          <w:sz w:val="20"/>
          <w:szCs w:val="20"/>
          <w:color w:val="auto"/>
        </w:rPr>
      </w:pPr>
    </w:p>
    <w:tbl>
      <w:tblPr>
        <w:tblLayout w:type="fixed"/>
        <w:tblInd w:w="278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2018 Full Year</w:t>
            </w:r>
          </w:p>
        </w:tc>
      </w:tr>
      <w:tr>
        <w:trPr>
          <w:trHeight w:val="234"/>
        </w:trPr>
        <w:tc>
          <w:tcPr>
            <w:tcW w:w="454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Guidance</w:t>
            </w: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125</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950</w:t>
            </w: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599</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Cash Available for Distribution (CAFD)</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280</w:t>
            </w: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NRG Yield is targeting dividend per share growth of 15% annually on each of its Class A and Class C common stock through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 2018, NRG Yield will host a conference call at 9:15 a.m. Eastern to discuss these results. Investors, the news media and others may access the live webcast of the conference call and accompanying presentation materials by logging on to NRG Yield’s website at http://www.nrgyield.com and clicking on “Presentations &amp; Webcasts” under “Investor Relations.”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NRG Yield owns a diversified portfolio of contracted renewable and conventional generation and thermal infrastructure assets in the United States, including fossil fuel, solar and wind power generation facilities that provide the capacity to support more than two million American homes and businesses. NRG Yield's thermal infrastructure assets provide steam, hot water and/or chilled water, and in some instances electricity, to commercial businesses, universities, hospitals and governmental units in multiple locations. NRG Yield’s Class C and Class A common stock are traded on the New York Stock Exchange under the symbols NYLD and NYLD.A, respectively. Visit www.nrgyield.com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Such forward-looking statements include, but are not limited to, statements regarding our Net Income, Adjusted EBITDA, Cash from Operating Activities, cash available for distribution, the satisfaction of the conditions to the Company’s consent to the sale by NRG Energy, Inc. of its interests in the Company, the Company’s future revenues, income, indebtedness, capital structure, strategy, plans, expectations, objectives, projected financial performance and/or business results and other future events, and views of economic and market conditions.</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7"/>
          <w:szCs w:val="17"/>
          <w:color w:val="auto"/>
        </w:rPr>
        <w:t>Although NRG Yield, Inc.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our ability to access capital markets, cyber terrorism and inadequate cybersecurity, the ability to engage in successful mergers and acquisitions activity, potential risks to the company as a result of NRG’s sale of its ownership interest in the Company, including the inability to meet certain deadlines, failure of the conditions to be met, unanticipated liabilities in connection with the sale or the reaction of customer, partners or lenders to the transaction, unanticipated outages at our generation facilities, adverse results in current and future litigation, failure to identify, execute or successfully implement acquisitions (including receipt of third party consents and regulatory approvals), our ability to enter into new contracts as existing contracts expire, our ability to acquire assets from NRG Energy, Inc. or third parties, our ability to close drop down transactions, and our ability to maintain and grow our quarterly dividends. Furthermore, any dividends are subject to available capital, market conditions, and compliance with associated laws and regulations.</w:t>
      </w:r>
    </w:p>
    <w:p>
      <w:pPr>
        <w:spacing w:after="0" w:line="2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NRG Yield, Inc. undertakes no obligation to update or revise any forward-looking statements, whether as a result of new information, future events or otherwise. The Adjusted EBITDA and Cash Available for Distribution are estimates as of today’s date, August 2, 2018, and are based on assumptions believed to be reasonable as of this date. NRG Yield expressly disclaims any current intention to update such guidance. The foregoing review of factors that could cause NRG Yield’s actual results to differ materially from those contemplated in the forward-looking statements included in this news release should be considered in connection with information regarding risks and uncertainties that may affect NRG Yield’s future results included in NRG Yield’s filings with the Securities and Exchange Commission at www.sec.gov. In addition, NRG Yield makes available free of charge at www.nrgyield.com, copies of materials it files with, or furnish to, the SEC.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420"/>
          </w:cols>
          <w:pgMar w:left="240" w:top="368" w:right="2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Sheri Woodruff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609.524.4608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Kevin L. Cole, CFA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609.524.4526</w:t>
      </w:r>
    </w:p>
    <w:p>
      <w:pPr>
        <w:spacing w:after="0" w:line="200" w:lineRule="exact"/>
        <w:rPr>
          <w:sz w:val="20"/>
          <w:szCs w:val="20"/>
          <w:color w:val="auto"/>
        </w:rPr>
      </w:pPr>
    </w:p>
    <w:p>
      <w:pPr>
        <w:sectPr>
          <w:pgSz w:w="11900" w:h="16838" w:orient="portrait"/>
          <w:cols w:equalWidth="0" w:num="2">
            <w:col w:w="1780" w:space="20"/>
            <w:col w:w="9620"/>
          </w:cols>
          <w:pgMar w:left="240" w:top="368"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Marijke Shugrue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609.524.5262</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68"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509</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33"/>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 Excluding Pre-acquisition Net Income of Drop Down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Income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Net Income Attributable to NRG Yield,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166"/>
        </w:trPr>
        <w:tc>
          <w:tcPr>
            <w:tcW w:w="606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7"/>
                <w:szCs w:val="17"/>
                <w:b w:val="1"/>
                <w:bCs w:val="1"/>
                <w:color w:val="auto"/>
              </w:rPr>
              <w:t>Earnings Per Share Attributable to NRG Yield, Inc. Class A and Class C</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3"/>
        </w:trPr>
        <w:tc>
          <w:tcPr>
            <w:tcW w:w="4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Common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basic</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A common shares outstanding - diluted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C common shares outstanding - basic</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diluted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30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w w:val="97"/>
              </w:rPr>
              <w:t>Earnings per Weighted Average Class A and Class C Common Share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Earnings per Weighted Average Class A Common Share - Diluted</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Earnings per Weighted Average Class C Common Share - Diluted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Dividends Per Class A Common Share</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Dividends Per Class C Common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0.309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0.607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97"/>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r>
      <w:tr>
        <w:trPr>
          <w:trHeight w:val="216"/>
        </w:trPr>
        <w:tc>
          <w:tcPr>
            <w:tcW w:w="60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43"/>
        </w:trPr>
        <w:tc>
          <w:tcPr>
            <w:tcW w:w="60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 (Loss), net of tax</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Unrealized gain (loss) on derivatives, net of income tax (expense) benefit of</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$0, $1, ($3) and $0</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96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 (loss)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43"/>
        </w:trPr>
        <w:tc>
          <w:tcPr>
            <w:tcW w:w="40" w:type="dxa"/>
            <w:vAlign w:val="bottom"/>
          </w:tcPr>
          <w:p>
            <w:pPr>
              <w:spacing w:after="0"/>
              <w:rPr>
                <w:sz w:val="21"/>
                <w:szCs w:val="21"/>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600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Income Attributable to NRG Yield,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4" w:right="239" w:bottom="1440" w:gutter="0" w:footer="0" w:header="0"/>
        </w:sectPr>
      </w:pPr>
    </w:p>
    <w:bookmarkStart w:id="11" w:name="page12"/>
    <w:bookmarkEnd w:id="11"/>
    <w:p>
      <w:pPr>
        <w:jc w:val="center"/>
        <w:ind w:right="48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26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14"/>
                <w:szCs w:val="14"/>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36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3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0940"/>
          </w:cols>
          <w:pgMar w:left="720" w:top="364" w:right="239" w:bottom="1440" w:gutter="0" w:footer="0" w:header="0"/>
        </w:sectPr>
      </w:pPr>
    </w:p>
    <w:p>
      <w:pPr>
        <w:ind w:left="16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6654800" cy="78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780415"/>
                    </a:xfrm>
                    <a:prstGeom prst="rect">
                      <a:avLst/>
                    </a:prstGeom>
                    <a:noFill/>
                  </pic:spPr>
                </pic:pic>
              </a:graphicData>
            </a:graphic>
          </wp:anchor>
        </w:drawing>
      </w:r>
    </w:p>
    <w:p>
      <w:pPr>
        <w:spacing w:after="0" w:line="215" w:lineRule="exact"/>
        <w:rPr>
          <w:sz w:val="20"/>
          <w:szCs w:val="20"/>
          <w:color w:val="auto"/>
        </w:rPr>
      </w:pPr>
    </w:p>
    <w:p>
      <w:pPr>
        <w:ind w:left="160" w:right="540"/>
        <w:spacing w:after="0" w:line="318" w:lineRule="auto"/>
        <w:rPr>
          <w:sz w:val="20"/>
          <w:szCs w:val="20"/>
          <w:color w:val="auto"/>
        </w:rPr>
      </w:pPr>
      <w:r>
        <w:rPr>
          <w:rFonts w:ascii="Arial" w:cs="Arial" w:eastAsia="Arial" w:hAnsi="Arial"/>
          <w:sz w:val="14"/>
          <w:szCs w:val="14"/>
          <w:color w:val="auto"/>
        </w:rPr>
        <w:t>Class A, Class B, Class C and Class D common stock, $0.01 par value; 3,000,000,000 shares authorized (Class A 500,000,000, Class B 500,000,000, Class C 1,000,000,000, Class D 1,000,000,000); 189,145,393 shares issued and outstanding (Class A 34,586,250, Class B 42,738,750, Class C 69,081,643, Class D 42,738,750) at June 30, 2018 and 184,780,837 shares issued and outstanding (Class A 34,586,250, Class B 42,738,750, Class C 64,717,087, Class D 42,738,750) at December 31, 2017</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Retained earnings (accumulated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6548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1,859</w:t>
            </w:r>
          </w:p>
        </w:tc>
        <w:tc>
          <w:tcPr>
            <w:tcW w:w="112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25</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120" w:type="dxa"/>
            <w:vAlign w:val="bottom"/>
          </w:tcPr>
          <w:p>
            <w:pPr>
              <w:jc w:val="right"/>
              <w:ind w:right="570"/>
              <w:spacing w:after="0"/>
              <w:rPr>
                <w:sz w:val="20"/>
                <w:szCs w:val="20"/>
                <w:color w:val="auto"/>
              </w:rPr>
            </w:pPr>
            <w:r>
              <w:rPr>
                <w:rFonts w:ascii="Arial" w:cs="Arial" w:eastAsia="Arial" w:hAnsi="Arial"/>
                <w:sz w:val="18"/>
                <w:szCs w:val="18"/>
                <w:color w:val="auto"/>
              </w:rPr>
              <w:t>(17)</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419</w:t>
            </w: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17145</wp:posOffset>
            </wp:positionV>
            <wp:extent cx="2195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7480" w:space="720"/>
            <w:col w:w="2740"/>
          </w:cols>
          <w:pgMar w:left="72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70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8,448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r>
      <w:tr>
        <w:trPr>
          <w:trHeight w:val="20"/>
        </w:trPr>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720" w:top="364" w:right="239" w:bottom="1440" w:gutter="0" w:footer="0" w:header="0"/>
          <w:type w:val="continuous"/>
        </w:sectPr>
      </w:pPr>
    </w:p>
    <w:p>
      <w:pPr>
        <w:spacing w:after="0" w:line="303"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940"/>
          </w:cols>
          <w:pgMar w:left="720" w:top="364" w:right="239" w:bottom="1440" w:gutter="0" w:footer="0" w:header="0"/>
          <w:type w:val="continuous"/>
        </w:sectPr>
      </w:pPr>
    </w:p>
    <w:bookmarkStart w:id="12" w:name="page13"/>
    <w:bookmarkEnd w:id="12"/>
    <w:p>
      <w:pPr>
        <w:jc w:val="center"/>
        <w:ind w:right="400"/>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4"/>
        </w:trPr>
        <w:tc>
          <w:tcPr>
            <w:tcW w:w="80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0"/>
        </w:trPr>
        <w:tc>
          <w:tcPr>
            <w:tcW w:w="8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deferred income taxes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interest (income) expense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(Gain) loss on disposal of asset components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other working capital</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for the Drop Down Assets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(126)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(131)</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(190)</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for long-term debt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(285)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(172)</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(177)</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(198)</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5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r>
      <w:tr>
        <w:trPr>
          <w:trHeight w:val="20"/>
        </w:trPr>
        <w:tc>
          <w:tcPr>
            <w:tcW w:w="8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640" w:top="364" w:right="239" w:bottom="1440" w:gutter="0" w:footer="0" w:header="0"/>
        </w:sectPr>
      </w:pPr>
    </w:p>
    <w:p>
      <w:pPr>
        <w:spacing w:after="0" w:line="303"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020"/>
          </w:cols>
          <w:pgMar w:left="640" w:top="36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 xml:space="preserve">Appendix Table A-1: </w:t>
      </w:r>
      <w:r>
        <w:rPr>
          <w:rFonts w:ascii="Arial" w:cs="Arial" w:eastAsia="Arial" w:hAnsi="Arial"/>
          <w:sz w:val="18"/>
          <w:szCs w:val="18"/>
          <w:b w:val="1"/>
          <w:bCs w:val="1"/>
          <w:color w:val="auto"/>
        </w:rPr>
        <w:t>Three Months Ended June 30, 2018</w:t>
      </w:r>
      <w:r>
        <w:rPr>
          <w:rFonts w:ascii="Arial" w:cs="Arial" w:eastAsia="Arial" w:hAnsi="Arial"/>
          <w:sz w:val="20"/>
          <w:szCs w:val="20"/>
          <w:b w:val="1"/>
          <w:bCs w:val="1"/>
          <w:color w:val="auto"/>
        </w:rPr>
        <w:t>,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59"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Pr>
          <w:p>
            <w:pPr>
              <w:jc w:val="right"/>
              <w:ind w:right="13"/>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6"/>
                <w:szCs w:val="16"/>
                <w:color w:val="auto"/>
              </w:rPr>
              <w:t>96</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1"/>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303</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Appendix Table A-2: </w:t>
      </w:r>
      <w:r>
        <w:rPr>
          <w:rFonts w:ascii="Arial" w:cs="Arial" w:eastAsia="Arial" w:hAnsi="Arial"/>
          <w:sz w:val="18"/>
          <w:szCs w:val="18"/>
          <w:b w:val="1"/>
          <w:bCs w:val="1"/>
          <w:color w:val="auto"/>
        </w:rPr>
        <w:t>Three Months Ended June 30, 2017</w:t>
      </w:r>
      <w:r>
        <w:rPr>
          <w:rFonts w:ascii="Arial" w:cs="Arial" w:eastAsia="Arial" w:hAnsi="Arial"/>
          <w:sz w:val="20"/>
          <w:szCs w:val="20"/>
          <w:b w:val="1"/>
          <w:bCs w:val="1"/>
          <w:color w:val="auto"/>
        </w:rPr>
        <w:t>,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Pr>
          <w:p>
            <w:pPr>
              <w:jc w:val="right"/>
              <w:ind w:right="13"/>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6"/>
                <w:szCs w:val="16"/>
                <w:color w:val="auto"/>
              </w:rPr>
              <w:t>44</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274</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0"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Appendix Table A-3: Six Months Ended June 30, 2018,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96</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330</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30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492</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Six Months Ended June 30, 2017,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42</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460</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9" w:right="2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2880" w:type="dxa"/>
            <w:vAlign w:val="bottom"/>
            <w:gridSpan w:val="4"/>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22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6/30/18</w:t>
            </w:r>
          </w:p>
        </w:tc>
        <w:tc>
          <w:tcPr>
            <w:tcW w:w="1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6/30/17</w:t>
            </w:r>
          </w:p>
        </w:tc>
        <w:tc>
          <w:tcPr>
            <w:tcW w:w="12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6/30/18</w:t>
            </w:r>
          </w:p>
        </w:tc>
        <w:tc>
          <w:tcPr>
            <w:tcW w:w="100" w:type="dxa"/>
            <w:vAlign w:val="bottom"/>
          </w:tcPr>
          <w:p>
            <w:pPr>
              <w:spacing w:after="0"/>
              <w:rPr>
                <w:sz w:val="23"/>
                <w:szCs w:val="23"/>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6/30/17</w:t>
            </w:r>
          </w:p>
        </w:tc>
      </w:tr>
      <w:tr>
        <w:trPr>
          <w:trHeight w:val="27"/>
        </w:trPr>
        <w:tc>
          <w:tcPr>
            <w:tcW w:w="5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r>
      <w:tr>
        <w:trPr>
          <w:trHeight w:val="237"/>
        </w:trPr>
        <w:tc>
          <w:tcPr>
            <w:tcW w:w="5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5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Adjustment to reflect Walnut Creek investment payments</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r>
      <w:tr>
        <w:trPr>
          <w:trHeight w:val="27"/>
        </w:trPr>
        <w:tc>
          <w:tcPr>
            <w:tcW w:w="5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Net contributions from non-controlling interest</w:t>
            </w:r>
            <w:r>
              <w:rPr>
                <w:rFonts w:ascii="Arial" w:cs="Arial" w:eastAsia="Arial" w:hAnsi="Arial"/>
                <w:sz w:val="25"/>
                <w:szCs w:val="25"/>
                <w:color w:val="auto"/>
                <w:vertAlign w:val="superscript"/>
              </w:rPr>
              <w:t>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340" w:type="dxa"/>
            <w:vAlign w:val="bottom"/>
          </w:tcPr>
          <w:p>
            <w:pPr>
              <w:ind w:left="160"/>
              <w:spacing w:after="0" w:line="270" w:lineRule="exact"/>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13</w:t>
            </w: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53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5340" w:type="dxa"/>
            <w:vAlign w:val="bottom"/>
            <w:tcBorders>
              <w:bottom w:val="single" w:sz="8" w:color="auto"/>
            </w:tcBorders>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15</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 (Recast)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r>
      <w:tr>
        <w:trPr>
          <w:trHeight w:val="237"/>
        </w:trPr>
        <w:tc>
          <w:tcPr>
            <w:tcW w:w="5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Adjustment to reflect NYLD's CAFD pre Drop Down acquisition</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r>
      <w:tr>
        <w:trPr>
          <w:trHeight w:val="20"/>
        </w:trPr>
        <w:tc>
          <w:tcPr>
            <w:tcW w:w="5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3"/>
          <w:szCs w:val="13"/>
          <w:color w:val="auto"/>
        </w:rPr>
        <w:t>Excludes $80 million in Q2 2018 and $99 million of contributions in 2018 related to funding of Buckthorn Solar tax equity partnership</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Net of allocated insurance proceeds</w:t>
      </w:r>
    </w:p>
    <w:p>
      <w:pPr>
        <w:spacing w:after="0" w:line="59" w:lineRule="exact"/>
        <w:rPr>
          <w:rFonts w:ascii="Arial" w:cs="Arial" w:eastAsia="Arial" w:hAnsi="Arial"/>
          <w:sz w:val="19"/>
          <w:szCs w:val="19"/>
          <w:color w:val="auto"/>
          <w:vertAlign w:val="superscript"/>
        </w:rPr>
      </w:pPr>
    </w:p>
    <w:p>
      <w:pPr>
        <w:ind w:right="620" w:firstLine="8"/>
        <w:spacing w:after="0" w:line="251" w:lineRule="auto"/>
        <w:tabs>
          <w:tab w:leader="none" w:pos="171" w:val="left"/>
        </w:tabs>
        <w:numPr>
          <w:ilvl w:val="0"/>
          <w:numId w:val="10"/>
        </w:numPr>
        <w:rPr>
          <w:rFonts w:ascii="Arial" w:cs="Arial" w:eastAsia="Arial" w:hAnsi="Arial"/>
          <w:sz w:val="21"/>
          <w:szCs w:val="21"/>
          <w:color w:val="auto"/>
          <w:vertAlign w:val="superscript"/>
        </w:rPr>
      </w:pPr>
      <w:r>
        <w:rPr>
          <w:rFonts w:ascii="Arial" w:cs="Arial" w:eastAsia="Arial" w:hAnsi="Arial"/>
          <w:sz w:val="12"/>
          <w:szCs w:val="12"/>
          <w:color w:val="auto"/>
        </w:rPr>
        <w:t>Excludes $30 million in 2017 for SPP discretionary debt retirements made by NRG as reflected in the financial statements due to common control; Excludes $62 million in Q2 2018 for Buckthorn Solar debt term conversion</w:t>
      </w:r>
    </w:p>
    <w:p>
      <w:pPr>
        <w:ind w:left="180" w:hanging="172"/>
        <w:spacing w:after="0" w:line="208" w:lineRule="auto"/>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3"/>
          <w:szCs w:val="13"/>
          <w:color w:val="auto"/>
        </w:rPr>
        <w:t>Reimbursement of network upgrades</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16" w:right="239" w:bottom="1440" w:gutter="0" w:footer="0" w:header="0"/>
        </w:sectPr>
      </w:pPr>
    </w:p>
    <w:bookmarkStart w:id="16" w:name="page17"/>
    <w:bookmarkEnd w:id="16"/>
    <w:p>
      <w:pPr>
        <w:ind w:right="780"/>
        <w:spacing w:after="0" w:line="293" w:lineRule="auto"/>
        <w:rPr>
          <w:sz w:val="20"/>
          <w:szCs w:val="20"/>
          <w:color w:val="auto"/>
        </w:rPr>
      </w:pPr>
      <w:r>
        <w:rPr>
          <w:rFonts w:ascii="Arial" w:cs="Arial" w:eastAsia="Arial" w:hAnsi="Arial"/>
          <w:sz w:val="19"/>
          <w:szCs w:val="19"/>
          <w:b w:val="1"/>
          <w:bCs w:val="1"/>
          <w:color w:val="auto"/>
        </w:rPr>
        <w:t xml:space="preserve">Appendix Table A-6: Six Months Ended June 30, 2018, Sources and Uses of Liquidity </w:t>
      </w:r>
      <w:r>
        <w:rPr>
          <w:rFonts w:ascii="Arial" w:cs="Arial" w:eastAsia="Arial" w:hAnsi="Arial"/>
          <w:sz w:val="19"/>
          <w:szCs w:val="19"/>
          <w:color w:val="auto"/>
        </w:rPr>
        <w:t>The following table summarizes the sources and uses of liquidity in 2018:</w:t>
      </w:r>
    </w:p>
    <w:p>
      <w:pPr>
        <w:spacing w:after="0" w:line="200" w:lineRule="exact"/>
        <w:rPr>
          <w:sz w:val="20"/>
          <w:szCs w:val="20"/>
          <w:color w:val="auto"/>
        </w:rPr>
      </w:pPr>
    </w:p>
    <w:p>
      <w:pPr>
        <w:spacing w:after="0" w:line="382"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7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Sources:</w:t>
      </w:r>
    </w:p>
    <w:p>
      <w:pPr>
        <w:spacing w:after="0" w:line="9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Net contributions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issuance of common stock</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215265</wp:posOffset>
            </wp:positionV>
            <wp:extent cx="489648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96485" cy="188595"/>
                    </a:xfrm>
                    <a:prstGeom prst="rect">
                      <a:avLst/>
                    </a:prstGeom>
                    <a:noFill/>
                  </pic:spPr>
                </pic:pic>
              </a:graphicData>
            </a:graphic>
          </wp:anchor>
        </w:drawing>
      </w:r>
    </w:p>
    <w:p>
      <w:pPr>
        <w:spacing w:after="0" w:line="37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Uses:</w:t>
      </w:r>
    </w:p>
    <w:p>
      <w:pPr>
        <w:spacing w:after="0" w:line="9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the Drop Down Assets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the revolving credit facility</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Investments in unconsolidated affiliates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Other net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96485" cy="205740"/>
                    </a:xfrm>
                    <a:prstGeom prst="rect">
                      <a:avLst/>
                    </a:prstGeom>
                    <a:noFill/>
                  </pic:spPr>
                </pic:pic>
              </a:graphicData>
            </a:graphic>
          </wp:anchor>
        </w:drawing>
      </w:r>
    </w:p>
    <w:p>
      <w:pPr>
        <w:spacing w:after="0" w:line="37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Change in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37465</wp:posOffset>
            </wp:positionV>
            <wp:extent cx="40392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9235" cy="171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Appendix Table A-7: Adjusted EBITDA and Cash Available for Distribution Guidance</w:t>
      </w:r>
    </w:p>
    <w:p>
      <w:pPr>
        <w:spacing w:after="0" w:line="398"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Net Income</w:t>
      </w:r>
      <w:r>
        <w:rPr>
          <w:rFonts w:ascii="Arial" w:cs="Arial" w:eastAsia="Arial" w:hAnsi="Arial"/>
          <w:sz w:val="25"/>
          <w:szCs w:val="25"/>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-15875</wp:posOffset>
            </wp:positionV>
            <wp:extent cx="40474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8964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Depreciation, Amortization, and 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Adjustment to reflect NRG share of Adjusted EBITDA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39370</wp:posOffset>
            </wp:positionV>
            <wp:extent cx="40474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6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interest paid</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Adjustment to reflect Walnut Creek investment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Pro-rata Adjusted EBITDA from unconsolidated affiliates</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0474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Net contributions from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17</w:t>
      </w:r>
    </w:p>
    <w:p>
      <w:pPr>
        <w:ind w:left="2020"/>
        <w:spacing w:after="0"/>
        <w:rPr>
          <w:sz w:val="20"/>
          <w:szCs w:val="20"/>
          <w:color w:val="auto"/>
        </w:rPr>
      </w:pPr>
      <w:r>
        <w:rPr>
          <w:rFonts w:ascii="Arial" w:cs="Arial" w:eastAsia="Arial" w:hAnsi="Arial"/>
          <w:sz w:val="18"/>
          <w:szCs w:val="18"/>
          <w:color w:val="auto"/>
        </w:rPr>
        <w:t>Principal amortization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8964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-18415</wp:posOffset>
            </wp:positionV>
            <wp:extent cx="4047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b w:val="1"/>
          <w:bCs w:val="1"/>
          <w:color w:val="auto"/>
        </w:rPr>
        <w:t>Cash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047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47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1646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6/30/18</w:t>
      </w:r>
    </w:p>
    <w:p>
      <w:pPr>
        <w:spacing w:after="0" w:line="369"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227</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181</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94</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75</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35</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(285)</w:t>
      </w:r>
    </w:p>
    <w:p>
      <w:pPr>
        <w:spacing w:after="0" w:line="86"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(126)</w:t>
      </w:r>
    </w:p>
    <w:p>
      <w:pPr>
        <w:spacing w:after="0" w:line="86"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(113)</w:t>
      </w:r>
    </w:p>
    <w:p>
      <w:pPr>
        <w:spacing w:after="0" w:line="86"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(90)</w:t>
      </w:r>
    </w:p>
    <w:p>
      <w:pPr>
        <w:spacing w:after="0" w:line="86"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(45)</w:t>
      </w:r>
    </w:p>
    <w:p>
      <w:pPr>
        <w:spacing w:after="0" w:line="86" w:lineRule="exact"/>
        <w:rPr>
          <w:sz w:val="20"/>
          <w:szCs w:val="20"/>
          <w:color w:val="auto"/>
        </w:rPr>
      </w:pPr>
    </w:p>
    <w:p>
      <w:pPr>
        <w:jc w:val="right"/>
        <w:ind w:right="1900"/>
        <w:spacing w:after="0"/>
        <w:rPr>
          <w:sz w:val="20"/>
          <w:szCs w:val="20"/>
          <w:color w:val="auto"/>
        </w:rPr>
      </w:pPr>
      <w:r>
        <w:rPr>
          <w:rFonts w:ascii="Arial" w:cs="Arial" w:eastAsia="Arial" w:hAnsi="Arial"/>
          <w:sz w:val="16"/>
          <w:szCs w:val="16"/>
          <w:color w:val="auto"/>
        </w:rPr>
        <w:t>(16)</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w:t>
      </w:r>
    </w:p>
    <w:p>
      <w:pPr>
        <w:spacing w:after="0" w:line="388"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45085</wp:posOffset>
            </wp:positionV>
            <wp:extent cx="7886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00"/>
        <w:spacing w:after="0"/>
        <w:rPr>
          <w:sz w:val="20"/>
          <w:szCs w:val="20"/>
          <w:color w:val="auto"/>
        </w:rPr>
      </w:pPr>
      <w:r>
        <w:rPr>
          <w:rFonts w:ascii="Arial" w:cs="Arial" w:eastAsia="Arial" w:hAnsi="Arial"/>
          <w:sz w:val="16"/>
          <w:szCs w:val="16"/>
          <w:b w:val="1"/>
          <w:bCs w:val="1"/>
          <w:color w:val="auto"/>
        </w:rPr>
        <w:t>2018 Full Year</w:t>
      </w:r>
    </w:p>
    <w:p>
      <w:pPr>
        <w:spacing w:after="0" w:line="50"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Guidance</w:t>
      </w:r>
    </w:p>
    <w:p>
      <w:pPr>
        <w:spacing w:after="0" w:line="76" w:lineRule="exact"/>
        <w:rPr>
          <w:sz w:val="20"/>
          <w:szCs w:val="20"/>
          <w:color w:val="auto"/>
        </w:rPr>
      </w:pPr>
    </w:p>
    <w:p>
      <w:pPr>
        <w:jc w:val="right"/>
        <w:ind w:right="1940"/>
        <w:spacing w:after="0"/>
        <w:rPr>
          <w:sz w:val="20"/>
          <w:szCs w:val="20"/>
          <w:color w:val="auto"/>
        </w:rPr>
      </w:pPr>
      <w:r>
        <w:rPr>
          <w:rFonts w:ascii="Arial" w:cs="Arial" w:eastAsia="Arial" w:hAnsi="Arial"/>
          <w:sz w:val="16"/>
          <w:szCs w:val="16"/>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804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25</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310</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405</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34925</wp:posOffset>
            </wp:positionV>
            <wp:extent cx="7804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6" w:lineRule="exact"/>
        <w:rPr>
          <w:sz w:val="20"/>
          <w:szCs w:val="20"/>
          <w:color w:val="auto"/>
        </w:rPr>
      </w:pPr>
    </w:p>
    <w:p>
      <w:pPr>
        <w:jc w:val="right"/>
        <w:ind w:right="1940"/>
        <w:spacing w:after="0"/>
        <w:rPr>
          <w:sz w:val="20"/>
          <w:szCs w:val="20"/>
          <w:color w:val="auto"/>
        </w:rPr>
      </w:pPr>
      <w:r>
        <w:rPr>
          <w:rFonts w:ascii="Arial" w:cs="Arial" w:eastAsia="Arial" w:hAnsi="Arial"/>
          <w:sz w:val="16"/>
          <w:szCs w:val="16"/>
          <w:b w:val="1"/>
          <w:bCs w:val="1"/>
          <w:color w:val="auto"/>
        </w:rPr>
        <w:t>950</w:t>
      </w:r>
    </w:p>
    <w:p>
      <w:pPr>
        <w:spacing w:after="0" w:line="104"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(286)</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(2)</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(188)</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125</w:t>
      </w:r>
    </w:p>
    <w:p>
      <w:pPr>
        <w:spacing w:after="0" w:line="96" w:lineRule="exact"/>
        <w:rPr>
          <w:sz w:val="20"/>
          <w:szCs w:val="20"/>
          <w:color w:val="auto"/>
        </w:rPr>
      </w:pPr>
    </w:p>
    <w:p>
      <w:pPr>
        <w:jc w:val="right"/>
        <w:ind w:right="1940"/>
        <w:spacing w:after="0"/>
        <w:rPr>
          <w:sz w:val="20"/>
          <w:szCs w:val="20"/>
          <w:color w:val="auto"/>
        </w:rPr>
      </w:pPr>
      <w:r>
        <w:rPr>
          <w:rFonts w:ascii="Arial" w:cs="Arial" w:eastAsia="Arial" w:hAnsi="Arial"/>
          <w:sz w:val="16"/>
          <w:szCs w:val="16"/>
          <w:b w:val="1"/>
          <w:bCs w:val="1"/>
          <w:color w:val="auto"/>
        </w:rPr>
        <w:t>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804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6</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(32)</w:t>
      </w:r>
    </w:p>
    <w:p>
      <w:pPr>
        <w:spacing w:after="0" w:line="86" w:lineRule="exact"/>
        <w:rPr>
          <w:sz w:val="20"/>
          <w:szCs w:val="20"/>
          <w:color w:val="auto"/>
        </w:rPr>
      </w:pPr>
    </w:p>
    <w:p>
      <w:pPr>
        <w:jc w:val="right"/>
        <w:ind w:right="1880"/>
        <w:spacing w:after="0"/>
        <w:rPr>
          <w:sz w:val="20"/>
          <w:szCs w:val="20"/>
          <w:color w:val="auto"/>
        </w:rPr>
      </w:pPr>
      <w:r>
        <w:rPr>
          <w:rFonts w:ascii="Arial" w:cs="Arial" w:eastAsia="Arial" w:hAnsi="Arial"/>
          <w:sz w:val="16"/>
          <w:szCs w:val="16"/>
          <w:color w:val="auto"/>
        </w:rPr>
        <w:t>(306)</w:t>
      </w:r>
    </w:p>
    <w:p>
      <w:pPr>
        <w:spacing w:after="0" w:line="86"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34925</wp:posOffset>
            </wp:positionV>
            <wp:extent cx="7804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6" w:lineRule="exact"/>
        <w:rPr>
          <w:sz w:val="20"/>
          <w:szCs w:val="20"/>
          <w:color w:val="auto"/>
        </w:rPr>
      </w:pPr>
    </w:p>
    <w:p>
      <w:pPr>
        <w:jc w:val="right"/>
        <w:ind w:right="1940"/>
        <w:spacing w:after="0"/>
        <w:rPr>
          <w:sz w:val="20"/>
          <w:szCs w:val="20"/>
          <w:color w:val="auto"/>
        </w:rPr>
      </w:pPr>
      <w:r>
        <w:rPr>
          <w:rFonts w:ascii="Arial" w:cs="Arial" w:eastAsia="Arial" w:hAnsi="Arial"/>
          <w:sz w:val="16"/>
          <w:szCs w:val="16"/>
          <w:b w:val="1"/>
          <w:bCs w:val="1"/>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804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980" w:space="420"/>
            <w:col w:w="3020"/>
          </w:cols>
          <w:pgMar w:left="240" w:top="589" w:right="239" w:bottom="1440" w:gutter="0" w:footer="0" w:header="0"/>
        </w:sectPr>
      </w:pPr>
    </w:p>
    <w:p>
      <w:pPr>
        <w:spacing w:after="0" w:line="39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3"/>
          <w:szCs w:val="23"/>
          <w:color w:val="auto"/>
          <w:vertAlign w:val="superscript"/>
        </w:rPr>
      </w:pPr>
      <w:r>
        <w:rPr>
          <w:rFonts w:ascii="Arial" w:cs="Arial" w:eastAsia="Arial" w:hAnsi="Arial"/>
          <w:sz w:val="13"/>
          <w:szCs w:val="13"/>
          <w:color w:val="auto"/>
        </w:rPr>
        <w:t>Net Income guidance assumes $0 impact for mark-to-market accounting for derivatives and Hypothetical Liquidation at Book Value (HLBV) adjustments for equity method investments</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1"/>
        </w:numPr>
        <w:rPr>
          <w:rFonts w:ascii="Arial" w:cs="Arial" w:eastAsia="Arial" w:hAnsi="Arial"/>
          <w:sz w:val="19"/>
          <w:szCs w:val="19"/>
          <w:color w:val="auto"/>
          <w:vertAlign w:val="superscript"/>
        </w:rPr>
      </w:pPr>
      <w:r>
        <w:rPr>
          <w:rFonts w:ascii="Arial" w:cs="Arial" w:eastAsia="Arial" w:hAnsi="Arial"/>
          <w:sz w:val="11"/>
          <w:szCs w:val="11"/>
          <w:color w:val="auto"/>
        </w:rPr>
        <w:t>Net of property damage insurance proceeds to replace equipment</w:t>
      </w:r>
    </w:p>
    <w:p>
      <w:pPr>
        <w:spacing w:after="0" w:line="59"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11"/>
        </w:numPr>
        <w:rPr>
          <w:rFonts w:ascii="Arial" w:cs="Arial" w:eastAsia="Arial" w:hAnsi="Arial"/>
          <w:sz w:val="19"/>
          <w:szCs w:val="19"/>
          <w:color w:val="auto"/>
          <w:vertAlign w:val="superscript"/>
        </w:rPr>
      </w:pPr>
      <w:r>
        <w:rPr>
          <w:rFonts w:ascii="Arial" w:cs="Arial" w:eastAsia="Arial" w:hAnsi="Arial"/>
          <w:sz w:val="11"/>
          <w:szCs w:val="11"/>
          <w:color w:val="auto"/>
        </w:rPr>
        <w:t>Reimbursement of network upgrades</w:t>
      </w:r>
    </w:p>
    <w:p>
      <w:pPr>
        <w:sectPr>
          <w:pgSz w:w="11900" w:h="16838" w:orient="portrait"/>
          <w:cols w:equalWidth="0" w:num="1">
            <w:col w:w="11420"/>
          </w:cols>
          <w:pgMar w:left="240" w:top="589" w:right="239" w:bottom="1440" w:gutter="0" w:footer="0" w:header="0"/>
          <w:type w:val="continuous"/>
        </w:sectPr>
      </w:pPr>
    </w:p>
    <w:p>
      <w:pPr>
        <w:spacing w:after="0" w:line="259"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589"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A-8: Adjusted EBITDA and Cash Available for Distribution Drop Downs</w:t>
      </w:r>
    </w:p>
    <w:p>
      <w:pPr>
        <w:spacing w:after="0" w:line="166"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160" w:type="dxa"/>
            <w:vAlign w:val="bottom"/>
          </w:tcPr>
          <w:p>
            <w:pPr>
              <w:jc w:val="center"/>
              <w:ind w:left="276"/>
              <w:spacing w:after="0"/>
              <w:rPr>
                <w:sz w:val="20"/>
                <w:szCs w:val="20"/>
                <w:color w:val="auto"/>
              </w:rPr>
            </w:pPr>
            <w:r>
              <w:rPr>
                <w:rFonts w:ascii="Arial" w:cs="Arial" w:eastAsia="Arial" w:hAnsi="Arial"/>
                <w:sz w:val="18"/>
                <w:szCs w:val="18"/>
                <w:b w:val="1"/>
                <w:bCs w:val="1"/>
                <w:color w:val="auto"/>
                <w:w w:val="91"/>
              </w:rPr>
              <w:t>Buckthorn Solar</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UPMC - 5 Year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2160" w:type="dxa"/>
            <w:vAlign w:val="bottom"/>
            <w:vMerge w:val="restart"/>
          </w:tcPr>
          <w:p>
            <w:pPr>
              <w:jc w:val="center"/>
              <w:ind w:left="296"/>
              <w:spacing w:after="0"/>
              <w:rPr>
                <w:sz w:val="20"/>
                <w:szCs w:val="20"/>
                <w:color w:val="auto"/>
              </w:rPr>
            </w:pPr>
            <w:r>
              <w:rPr>
                <w:rFonts w:ascii="Arial" w:cs="Arial" w:eastAsia="Arial" w:hAnsi="Arial"/>
                <w:sz w:val="18"/>
                <w:szCs w:val="18"/>
                <w:b w:val="1"/>
                <w:bCs w:val="1"/>
                <w:color w:val="auto"/>
                <w:w w:val="92"/>
              </w:rPr>
              <w:t>Drop Down - 5 Year</w:t>
            </w:r>
          </w:p>
        </w:tc>
        <w:tc>
          <w:tcPr>
            <w:tcW w:w="1680" w:type="dxa"/>
            <w:vAlign w:val="bottom"/>
            <w:vMerge w:val="continue"/>
          </w:tcPr>
          <w:p>
            <w:pPr>
              <w:spacing w:after="0"/>
              <w:rPr>
                <w:sz w:val="9"/>
                <w:szCs w:val="9"/>
                <w:color w:val="auto"/>
              </w:rPr>
            </w:pPr>
          </w:p>
        </w:tc>
        <w:tc>
          <w:tcPr>
            <w:tcW w:w="2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Thermal Refinancing Impact -</w:t>
            </w: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from 2019-</w:t>
            </w: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2160" w:type="dxa"/>
            <w:vAlign w:val="bottom"/>
          </w:tcPr>
          <w:p>
            <w:pPr>
              <w:jc w:val="center"/>
              <w:ind w:left="296"/>
              <w:spacing w:after="0" w:line="181" w:lineRule="exact"/>
              <w:rPr>
                <w:sz w:val="20"/>
                <w:szCs w:val="20"/>
                <w:color w:val="auto"/>
              </w:rPr>
            </w:pPr>
            <w:r>
              <w:rPr>
                <w:rFonts w:ascii="Arial" w:cs="Arial" w:eastAsia="Arial" w:hAnsi="Arial"/>
                <w:sz w:val="18"/>
                <w:szCs w:val="18"/>
                <w:b w:val="1"/>
                <w:bCs w:val="1"/>
                <w:color w:val="auto"/>
                <w:w w:val="89"/>
              </w:rPr>
              <w:t>Average from 2019-</w:t>
            </w:r>
          </w:p>
        </w:tc>
        <w:tc>
          <w:tcPr>
            <w:tcW w:w="1680" w:type="dxa"/>
            <w:vAlign w:val="bottom"/>
            <w:vMerge w:val="continue"/>
          </w:tcPr>
          <w:p>
            <w:pPr>
              <w:spacing w:after="0"/>
              <w:rPr>
                <w:sz w:val="15"/>
                <w:szCs w:val="15"/>
                <w:color w:val="auto"/>
              </w:rPr>
            </w:pPr>
          </w:p>
        </w:tc>
        <w:tc>
          <w:tcPr>
            <w:tcW w:w="2520" w:type="dxa"/>
            <w:vAlign w:val="bottom"/>
          </w:tcPr>
          <w:p>
            <w:pPr>
              <w:jc w:val="right"/>
              <w:spacing w:after="0" w:line="181" w:lineRule="exact"/>
              <w:rPr>
                <w:sz w:val="20"/>
                <w:szCs w:val="20"/>
                <w:color w:val="auto"/>
              </w:rPr>
            </w:pPr>
            <w:r>
              <w:rPr>
                <w:rFonts w:ascii="Arial" w:cs="Arial" w:eastAsia="Arial" w:hAnsi="Arial"/>
                <w:sz w:val="18"/>
                <w:szCs w:val="18"/>
                <w:b w:val="1"/>
                <w:bCs w:val="1"/>
                <w:color w:val="auto"/>
                <w:w w:val="91"/>
              </w:rPr>
              <w:t>5 Year Average from 2019-2023</w:t>
            </w:r>
          </w:p>
        </w:tc>
        <w:tc>
          <w:tcPr>
            <w:tcW w:w="0" w:type="dxa"/>
            <w:vAlign w:val="bottom"/>
          </w:tcPr>
          <w:p>
            <w:pPr>
              <w:spacing w:after="0"/>
              <w:rPr>
                <w:sz w:val="1"/>
                <w:szCs w:val="1"/>
                <w:color w:val="auto"/>
              </w:rPr>
            </w:pPr>
          </w:p>
        </w:tc>
      </w:tr>
      <w:tr>
        <w:trPr>
          <w:trHeight w:val="216"/>
        </w:trPr>
        <w:tc>
          <w:tcPr>
            <w:tcW w:w="3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160" w:type="dxa"/>
            <w:vAlign w:val="bottom"/>
            <w:vMerge w:val="restart"/>
          </w:tcPr>
          <w:p>
            <w:pPr>
              <w:jc w:val="center"/>
              <w:ind w:left="276"/>
              <w:spacing w:after="0"/>
              <w:rPr>
                <w:sz w:val="20"/>
                <w:szCs w:val="20"/>
                <w:color w:val="auto"/>
              </w:rPr>
            </w:pPr>
            <w:r>
              <w:rPr>
                <w:rFonts w:ascii="Arial" w:cs="Arial" w:eastAsia="Arial" w:hAnsi="Arial"/>
                <w:sz w:val="18"/>
                <w:szCs w:val="18"/>
                <w:b w:val="1"/>
                <w:bCs w:val="1"/>
                <w:color w:val="auto"/>
                <w:w w:val="89"/>
              </w:rPr>
              <w:t>2023</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780" w:type="dxa"/>
            <w:vAlign w:val="bottom"/>
            <w:vMerge w:val="continue"/>
          </w:tcPr>
          <w:p>
            <w:pPr>
              <w:spacing w:after="0"/>
              <w:rPr>
                <w:sz w:val="4"/>
                <w:szCs w:val="4"/>
                <w:color w:val="auto"/>
              </w:rPr>
            </w:pPr>
          </w:p>
        </w:tc>
        <w:tc>
          <w:tcPr>
            <w:tcW w:w="216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2</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37"/>
        </w:trPr>
        <w:tc>
          <w:tcPr>
            <w:tcW w:w="37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Interest Expense, net</w:t>
            </w:r>
          </w:p>
        </w:tc>
        <w:tc>
          <w:tcPr>
            <w:tcW w:w="2160" w:type="dxa"/>
            <w:vAlign w:val="bottom"/>
            <w:tcBorders>
              <w:top w:val="single" w:sz="8" w:color="auto"/>
            </w:tcBorders>
          </w:tcPr>
          <w:p>
            <w:pPr>
              <w:jc w:val="right"/>
              <w:ind w:right="36"/>
              <w:spacing w:after="0"/>
              <w:rPr>
                <w:sz w:val="20"/>
                <w:szCs w:val="20"/>
                <w:color w:val="auto"/>
              </w:rPr>
            </w:pPr>
            <w:r>
              <w:rPr>
                <w:rFonts w:ascii="Arial" w:cs="Arial" w:eastAsia="Arial" w:hAnsi="Arial"/>
                <w:sz w:val="16"/>
                <w:szCs w:val="16"/>
                <w:color w:val="auto"/>
              </w:rPr>
              <w:t>6</w:t>
            </w:r>
          </w:p>
        </w:tc>
        <w:tc>
          <w:tcPr>
            <w:tcW w:w="16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3</w:t>
            </w: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2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8</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160" w:type="dxa"/>
            <w:vAlign w:val="bottom"/>
            <w:tcBorders>
              <w:top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15</w:t>
            </w:r>
          </w:p>
        </w:tc>
        <w:tc>
          <w:tcPr>
            <w:tcW w:w="16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8</w:t>
            </w: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160" w:type="dxa"/>
            <w:vAlign w:val="bottom"/>
            <w:tcBorders>
              <w:top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9</w:t>
            </w:r>
          </w:p>
        </w:tc>
        <w:tc>
          <w:tcPr>
            <w:tcW w:w="16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4</w:t>
            </w: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2160" w:type="dxa"/>
            <w:vAlign w:val="bottom"/>
          </w:tcPr>
          <w:p>
            <w:pPr>
              <w:jc w:val="right"/>
              <w:spacing w:after="0"/>
              <w:rPr>
                <w:sz w:val="20"/>
                <w:szCs w:val="20"/>
                <w:color w:val="auto"/>
              </w:rPr>
            </w:pPr>
            <w:r>
              <w:rPr>
                <w:rFonts w:ascii="Arial" w:cs="Arial" w:eastAsia="Arial" w:hAnsi="Arial"/>
                <w:sz w:val="16"/>
                <w:szCs w:val="16"/>
                <w:color w:val="auto"/>
              </w:rPr>
              <w:t>(3)</w:t>
            </w:r>
          </w:p>
        </w:tc>
        <w:tc>
          <w:tcPr>
            <w:tcW w:w="168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25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2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4</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4</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0"/>
        </w:trPr>
        <w:tc>
          <w:tcPr>
            <w:tcW w:w="37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NRG Yield’s future results will be unaffected by unusual or non-recurring items.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NRG Yield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this industry may calculate EBITDA differently than NRG Yield does, limiting its usefulness as a comparative measure.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NRG Yield’s business. NRG Yield compensates for these limitations by relying primarily on our GAAP results and using EBITDA and Adjusted EBITDA only on a supplemental basis. See the statements of cash flow included in the financial statements that are a part of this news release.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asset write offs and impairments; and factors which we do not consider indicative of future operating performance. The reader is encouraged to evaluate each adjustment and the reasons NRG Yield considers it appropriate for supplemental analysis. As an analytical tool, Adjusted EBITDA is subject to all of the limitations applicable to EBITDA. In addition, in evaluating Adjusted EBITDA, the reader should be aware that in the future NRG Yield may incur expenses similar to the adjustments in this news release.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dispositions or retirements of assets, any mark-to-market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035"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gains or losses from accounting for derivatives, adjustments to exclude the Adjusted EBITDA related to the non-controlling interest,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Available for Distribution (CAFD) is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 Management believes cash available for distribution is a relevant supplemental measure of the Company’s ability to earn and distribute cash returns to investors.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Cash Available for Distribution is useful to investors in evaluating our operating performance because securities analysts and other interested parties use such calculations as a measure of our ability to make quarterly distributions. In addition, cash available for distribution is used by our management team for determining future acquisitions and managing our growth. The GAAP measure most directly comparable to cash available for distribution is cash from operating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However, cash available for distribution has limitations as an analytical tool because it does not include changes in operating assets and liabilities and excludes the effect of certain other cash flow items, all of which could have a material effect on our financial condition and results from operations. Cash available for distribution is a non GAAP measure and should not be considered an alternative to cash from operating activities or any other performance or liquidity measure determined in accordance with GAAP, nor is it indicative of funds available to fund our cash needs. In addition, our calculations of cash available for distribution are not necessarily comparable to cash available for distribution as calculated by other companies. Investors should not rely on these measures as a substitute for any GAAP measure, including cash from operating activities.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8"/>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decimal"/>
      <w:start w:val="16"/>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2019-12-28T20:46:39Z</dcterms:created>
  <dcterms:modified xsi:type="dcterms:W3CDTF">2019-12-28T20:46:39Z</dcterms:modified>
</cp:coreProperties>
</file>