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26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243205</wp:posOffset>
            </wp:positionH>
            <wp:positionV relativeFrom="page">
              <wp:posOffset>637540</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534670</wp:posOffset>
            </wp:positionV>
            <wp:extent cx="707517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26035"/>
                    </a:xfrm>
                    <a:prstGeom prst="rect">
                      <a:avLst/>
                    </a:prstGeom>
                    <a:noFill/>
                  </pic:spPr>
                </pic:pic>
              </a:graphicData>
            </a:graphic>
          </wp:anchor>
        </w:drawing>
        <w:t>UNITED STATES SECURITIES AND EXCHANGE COMMISSION</w:t>
      </w:r>
    </w:p>
    <w:p>
      <w:pPr>
        <w:spacing w:after="0" w:line="22" w:lineRule="exact"/>
        <w:rPr>
          <w:sz w:val="24"/>
          <w:szCs w:val="24"/>
          <w:color w:val="auto"/>
        </w:rPr>
      </w:pPr>
    </w:p>
    <w:p>
      <w:pPr>
        <w:jc w:val="center"/>
        <w:ind w:left="260"/>
        <w:spacing w:after="0"/>
        <w:rPr>
          <w:sz w:val="20"/>
          <w:szCs w:val="20"/>
          <w:color w:val="auto"/>
        </w:rPr>
      </w:pPr>
      <w:r>
        <w:rPr>
          <w:rFonts w:ascii="Arial" w:cs="Arial" w:eastAsia="Arial" w:hAnsi="Arial"/>
          <w:sz w:val="16"/>
          <w:szCs w:val="16"/>
          <w:b w:val="1"/>
          <w:bCs w:val="1"/>
          <w:color w:val="auto"/>
        </w:rPr>
        <w:t>Washington, D.C. 20549</w:t>
      </w:r>
    </w:p>
    <w:p>
      <w:pPr>
        <w:spacing w:after="0" w:line="1" w:lineRule="exact"/>
        <w:rPr>
          <w:sz w:val="24"/>
          <w:szCs w:val="24"/>
          <w:color w:val="auto"/>
        </w:rPr>
      </w:pPr>
    </w:p>
    <w:p>
      <w:pPr>
        <w:jc w:val="center"/>
        <w:ind w:left="260"/>
        <w:spacing w:after="0"/>
        <w:rPr>
          <w:sz w:val="20"/>
          <w:szCs w:val="20"/>
          <w:color w:val="auto"/>
        </w:rPr>
      </w:pPr>
      <w:r>
        <w:rPr>
          <w:rFonts w:ascii="Arial" w:cs="Arial" w:eastAsia="Arial" w:hAnsi="Arial"/>
          <w:sz w:val="29"/>
          <w:szCs w:val="29"/>
          <w:b w:val="1"/>
          <w:bCs w:val="1"/>
          <w:color w:val="auto"/>
        </w:rPr>
        <w:t>Form 10-K/A</w:t>
      </w:r>
    </w:p>
    <w:p>
      <w:pPr>
        <w:spacing w:after="0" w:line="6" w:lineRule="exact"/>
        <w:rPr>
          <w:sz w:val="24"/>
          <w:szCs w:val="24"/>
          <w:color w:val="auto"/>
        </w:rPr>
      </w:pPr>
    </w:p>
    <w:p>
      <w:pPr>
        <w:jc w:val="center"/>
        <w:ind w:left="260"/>
        <w:spacing w:after="0"/>
        <w:rPr>
          <w:sz w:val="20"/>
          <w:szCs w:val="20"/>
          <w:color w:val="auto"/>
        </w:rPr>
      </w:pPr>
      <w:r>
        <w:rPr>
          <w:rFonts w:ascii="Arial" w:cs="Arial" w:eastAsia="Arial" w:hAnsi="Arial"/>
          <w:sz w:val="18"/>
          <w:szCs w:val="18"/>
          <w:b w:val="1"/>
          <w:bCs w:val="1"/>
          <w:color w:val="auto"/>
        </w:rPr>
        <w:t>(Amendment No. 1)</w:t>
      </w:r>
    </w:p>
    <w:p>
      <w:pPr>
        <w:spacing w:after="0" w:line="151" w:lineRule="exact"/>
        <w:rPr>
          <w:sz w:val="24"/>
          <w:szCs w:val="24"/>
          <w:color w:val="auto"/>
        </w:rPr>
      </w:pPr>
    </w:p>
    <w:p>
      <w:pPr>
        <w:ind w:left="500" w:right="2140" w:hanging="361"/>
        <w:spacing w:after="0" w:line="282"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2018.</w:t>
      </w:r>
    </w:p>
    <w:p>
      <w:pPr>
        <w:spacing w:after="0" w:line="126" w:lineRule="exact"/>
        <w:rPr>
          <w:sz w:val="24"/>
          <w:szCs w:val="24"/>
          <w:color w:val="auto"/>
        </w:rPr>
      </w:pPr>
    </w:p>
    <w:p>
      <w:pPr>
        <w:ind w:left="500" w:hanging="361"/>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4" w:lineRule="exact"/>
        <w:rPr>
          <w:sz w:val="24"/>
          <w:szCs w:val="24"/>
          <w:color w:val="auto"/>
        </w:rPr>
      </w:pPr>
    </w:p>
    <w:p>
      <w:pPr>
        <w:ind w:left="500"/>
        <w:spacing w:after="0"/>
        <w:tabs>
          <w:tab w:leader="none" w:pos="3500" w:val="left"/>
          <w:tab w:leader="none" w:pos="45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37" w:lineRule="exact"/>
        <w:rPr>
          <w:sz w:val="24"/>
          <w:szCs w:val="24"/>
          <w:color w:val="auto"/>
        </w:rPr>
      </w:pPr>
    </w:p>
    <w:p>
      <w:pPr>
        <w:jc w:val="center"/>
        <w:ind w:left="260"/>
        <w:spacing w:after="0"/>
        <w:rPr>
          <w:sz w:val="20"/>
          <w:szCs w:val="20"/>
          <w:color w:val="auto"/>
        </w:rPr>
      </w:pPr>
      <w:r>
        <w:rPr>
          <w:rFonts w:ascii="Arial" w:cs="Arial" w:eastAsia="Arial" w:hAnsi="Arial"/>
          <w:sz w:val="18"/>
          <w:szCs w:val="18"/>
          <w:b w:val="1"/>
          <w:bCs w:val="1"/>
          <w:color w:val="auto"/>
        </w:rPr>
        <w:t>Commission File Number: 001-36002</w:t>
      </w:r>
    </w:p>
    <w:p>
      <w:pPr>
        <w:spacing w:after="0" w:line="27" w:lineRule="exact"/>
        <w:rPr>
          <w:sz w:val="24"/>
          <w:szCs w:val="24"/>
          <w:color w:val="auto"/>
        </w:rPr>
      </w:pPr>
    </w:p>
    <w:p>
      <w:pPr>
        <w:jc w:val="center"/>
        <w:ind w:left="260"/>
        <w:spacing w:after="0"/>
        <w:rPr>
          <w:sz w:val="20"/>
          <w:szCs w:val="20"/>
          <w:color w:val="auto"/>
        </w:rPr>
      </w:pPr>
      <w:r>
        <w:rPr>
          <w:rFonts w:ascii="Arial" w:cs="Arial" w:eastAsia="Arial" w:hAnsi="Arial"/>
          <w:sz w:val="40"/>
          <w:szCs w:val="40"/>
          <w:b w:val="1"/>
          <w:bCs w:val="1"/>
          <w:color w:val="auto"/>
        </w:rPr>
        <w:t>Clearway Energy, Inc.</w:t>
      </w:r>
    </w:p>
    <w:p>
      <w:pPr>
        <w:spacing w:after="0" w:line="66" w:lineRule="exact"/>
        <w:rPr>
          <w:sz w:val="24"/>
          <w:szCs w:val="24"/>
          <w:color w:val="auto"/>
        </w:rPr>
      </w:pPr>
    </w:p>
    <w:p>
      <w:pPr>
        <w:jc w:val="center"/>
        <w:ind w:left="260"/>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181" w:lineRule="exact"/>
        <w:rPr>
          <w:sz w:val="24"/>
          <w:szCs w:val="24"/>
          <w:color w:val="auto"/>
        </w:rPr>
      </w:pPr>
    </w:p>
    <w:p>
      <w:pPr>
        <w:ind w:left="2500"/>
        <w:spacing w:after="0"/>
        <w:tabs>
          <w:tab w:leader="none" w:pos="8060"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46-1777204</w:t>
      </w:r>
    </w:p>
    <w:p>
      <w:pPr>
        <w:spacing w:after="0" w:line="27" w:lineRule="exact"/>
        <w:rPr>
          <w:sz w:val="24"/>
          <w:szCs w:val="24"/>
          <w:color w:val="auto"/>
        </w:rPr>
      </w:pPr>
    </w:p>
    <w:p>
      <w:pPr>
        <w:ind w:left="660"/>
        <w:spacing w:after="0"/>
        <w:tabs>
          <w:tab w:leader="none" w:pos="7220" w:val="left"/>
        </w:tabs>
        <w:rPr>
          <w:sz w:val="20"/>
          <w:szCs w:val="20"/>
          <w:color w:val="auto"/>
        </w:rPr>
      </w:pPr>
      <w:r>
        <w:rPr>
          <w:rFonts w:ascii="Arial" w:cs="Arial" w:eastAsia="Arial" w:hAnsi="Arial"/>
          <w:sz w:val="18"/>
          <w:szCs w:val="18"/>
          <w:i w:val="1"/>
          <w:iCs w:val="1"/>
          <w:color w:val="auto"/>
        </w:rPr>
        <w:t>(State or other jurisdiction of incorporation or organization)</w:t>
      </w:r>
      <w:r>
        <w:rPr>
          <w:sz w:val="20"/>
          <w:szCs w:val="20"/>
          <w:color w:val="auto"/>
        </w:rPr>
        <w:tab/>
      </w:r>
      <w:r>
        <w:rPr>
          <w:rFonts w:ascii="Arial" w:cs="Arial" w:eastAsia="Arial" w:hAnsi="Arial"/>
          <w:sz w:val="16"/>
          <w:szCs w:val="16"/>
          <w:i w:val="1"/>
          <w:iCs w:val="1"/>
          <w:color w:val="auto"/>
        </w:rPr>
        <w:t>(I.R.S. Employer Identification No.)</w:t>
      </w:r>
    </w:p>
    <w:p>
      <w:pPr>
        <w:spacing w:after="0" w:line="180" w:lineRule="exact"/>
        <w:rPr>
          <w:sz w:val="24"/>
          <w:szCs w:val="24"/>
          <w:color w:val="auto"/>
        </w:rPr>
      </w:pPr>
    </w:p>
    <w:p>
      <w:pPr>
        <w:ind w:left="780"/>
        <w:spacing w:after="0"/>
        <w:tabs>
          <w:tab w:leader="none" w:pos="8280" w:val="left"/>
        </w:tabs>
        <w:rPr>
          <w:sz w:val="20"/>
          <w:szCs w:val="20"/>
          <w:color w:val="auto"/>
        </w:rPr>
      </w:pPr>
      <w:r>
        <w:rPr>
          <w:rFonts w:ascii="Arial" w:cs="Arial" w:eastAsia="Arial" w:hAnsi="Arial"/>
          <w:sz w:val="18"/>
          <w:szCs w:val="18"/>
          <w:b w:val="1"/>
          <w:bCs w:val="1"/>
          <w:color w:val="auto"/>
        </w:rPr>
        <w:t>300 Carnegie Center, Suite 300, Princeton, New Jersey</w:t>
      </w:r>
      <w:r>
        <w:rPr>
          <w:sz w:val="20"/>
          <w:szCs w:val="20"/>
          <w:color w:val="auto"/>
        </w:rPr>
        <w:tab/>
      </w:r>
      <w:r>
        <w:rPr>
          <w:rFonts w:ascii="Arial" w:cs="Arial" w:eastAsia="Arial" w:hAnsi="Arial"/>
          <w:sz w:val="15"/>
          <w:szCs w:val="15"/>
          <w:b w:val="1"/>
          <w:bCs w:val="1"/>
          <w:color w:val="auto"/>
        </w:rPr>
        <w:t>08540</w:t>
      </w:r>
    </w:p>
    <w:p>
      <w:pPr>
        <w:spacing w:after="0" w:line="27" w:lineRule="exact"/>
        <w:rPr>
          <w:sz w:val="24"/>
          <w:szCs w:val="24"/>
          <w:color w:val="auto"/>
        </w:rPr>
      </w:pPr>
    </w:p>
    <w:p>
      <w:pPr>
        <w:ind w:left="1460"/>
        <w:spacing w:after="0"/>
        <w:tabs>
          <w:tab w:leader="none" w:pos="8120" w:val="left"/>
        </w:tabs>
        <w:rPr>
          <w:sz w:val="20"/>
          <w:szCs w:val="20"/>
          <w:color w:val="auto"/>
        </w:rPr>
      </w:pPr>
      <w:r>
        <w:rPr>
          <w:rFonts w:ascii="Arial" w:cs="Arial" w:eastAsia="Arial" w:hAnsi="Arial"/>
          <w:sz w:val="18"/>
          <w:szCs w:val="18"/>
          <w:i w:val="1"/>
          <w:iCs w:val="1"/>
          <w:color w:val="auto"/>
        </w:rPr>
        <w:t>(Address of principal executive offices)</w:t>
      </w:r>
      <w:r>
        <w:rPr>
          <w:sz w:val="20"/>
          <w:szCs w:val="20"/>
          <w:color w:val="auto"/>
        </w:rPr>
        <w:tab/>
      </w:r>
      <w:r>
        <w:rPr>
          <w:rFonts w:ascii="Arial" w:cs="Arial" w:eastAsia="Arial" w:hAnsi="Arial"/>
          <w:sz w:val="16"/>
          <w:szCs w:val="16"/>
          <w:i w:val="1"/>
          <w:iCs w:val="1"/>
          <w:color w:val="auto"/>
        </w:rPr>
        <w:t>(Zip Code)</w:t>
      </w:r>
    </w:p>
    <w:p>
      <w:pPr>
        <w:spacing w:after="0" w:line="18" w:lineRule="exact"/>
        <w:rPr>
          <w:sz w:val="24"/>
          <w:szCs w:val="24"/>
          <w:color w:val="auto"/>
        </w:rPr>
      </w:pPr>
    </w:p>
    <w:p>
      <w:pPr>
        <w:jc w:val="center"/>
        <w:ind w:left="260"/>
        <w:spacing w:after="0"/>
        <w:rPr>
          <w:sz w:val="20"/>
          <w:szCs w:val="20"/>
          <w:color w:val="auto"/>
        </w:rPr>
      </w:pPr>
      <w:r>
        <w:rPr>
          <w:rFonts w:ascii="Arial" w:cs="Arial" w:eastAsia="Arial" w:hAnsi="Arial"/>
          <w:sz w:val="18"/>
          <w:szCs w:val="18"/>
          <w:b w:val="1"/>
          <w:bCs w:val="1"/>
          <w:color w:val="auto"/>
        </w:rPr>
        <w:t>(609) 608-1525</w:t>
      </w:r>
    </w:p>
    <w:p>
      <w:pPr>
        <w:spacing w:after="0" w:line="27" w:lineRule="exact"/>
        <w:rPr>
          <w:sz w:val="24"/>
          <w:szCs w:val="24"/>
          <w:color w:val="auto"/>
        </w:rPr>
      </w:pPr>
    </w:p>
    <w:p>
      <w:pPr>
        <w:jc w:val="center"/>
        <w:ind w:left="260"/>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9" w:lineRule="exact"/>
        <w:rPr>
          <w:sz w:val="24"/>
          <w:szCs w:val="24"/>
          <w:color w:val="auto"/>
        </w:rPr>
      </w:pPr>
    </w:p>
    <w:p>
      <w:pPr>
        <w:jc w:val="center"/>
        <w:ind w:left="26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67" w:lineRule="exact"/>
        <w:rPr>
          <w:sz w:val="24"/>
          <w:szCs w:val="24"/>
          <w:color w:val="auto"/>
        </w:rPr>
      </w:pPr>
    </w:p>
    <w:p>
      <w:pPr>
        <w:ind w:left="3000"/>
        <w:spacing w:after="0"/>
        <w:tabs>
          <w:tab w:leader="none" w:pos="6400" w:val="left"/>
        </w:tabs>
        <w:rPr>
          <w:sz w:val="20"/>
          <w:szCs w:val="20"/>
          <w:color w:val="auto"/>
        </w:rPr>
      </w:pPr>
      <w:r>
        <w:rPr>
          <w:rFonts w:ascii="Arial" w:cs="Arial" w:eastAsia="Arial" w:hAnsi="Arial"/>
          <w:sz w:val="16"/>
          <w:szCs w:val="16"/>
          <w:b w:val="1"/>
          <w:bCs w:val="1"/>
          <w:color w:val="auto"/>
        </w:rPr>
        <w:t>Title of Each Class</w:t>
      </w:r>
      <w:r>
        <w:rPr>
          <w:sz w:val="20"/>
          <w:szCs w:val="20"/>
          <w:color w:val="auto"/>
        </w:rPr>
        <w:tab/>
      </w:r>
      <w:r>
        <w:rPr>
          <w:rFonts w:ascii="Arial" w:cs="Arial" w:eastAsia="Arial" w:hAnsi="Arial"/>
          <w:sz w:val="14"/>
          <w:szCs w:val="14"/>
          <w:b w:val="1"/>
          <w:bCs w:val="1"/>
          <w:color w:val="auto"/>
        </w:rPr>
        <w:t>Name of Exchange on Which Registered</w:t>
      </w:r>
    </w:p>
    <w:p>
      <w:pPr>
        <w:spacing w:after="0" w:line="90" w:lineRule="exact"/>
        <w:rPr>
          <w:sz w:val="24"/>
          <w:szCs w:val="24"/>
          <w:color w:val="auto"/>
        </w:rPr>
      </w:pPr>
    </w:p>
    <w:p>
      <w:pPr>
        <w:ind w:left="2300"/>
        <w:spacing w:after="0"/>
        <w:tabs>
          <w:tab w:leader="none" w:pos="6920" w:val="left"/>
        </w:tabs>
        <w:rPr>
          <w:sz w:val="20"/>
          <w:szCs w:val="20"/>
          <w:color w:val="auto"/>
        </w:rPr>
      </w:pPr>
      <w:r>
        <w:rPr>
          <w:rFonts w:ascii="Arial" w:cs="Arial" w:eastAsia="Arial" w:hAnsi="Arial"/>
          <w:sz w:val="16"/>
          <w:szCs w:val="16"/>
          <w:color w:val="auto"/>
        </w:rPr>
        <w:t>Common Stock, Class A, par value $0.01</w:t>
      </w:r>
      <w:r>
        <w:rPr>
          <w:sz w:val="20"/>
          <w:szCs w:val="20"/>
          <w:color w:val="auto"/>
        </w:rPr>
        <w:tab/>
      </w:r>
      <w:r>
        <w:rPr>
          <w:rFonts w:ascii="Arial" w:cs="Arial" w:eastAsia="Arial" w:hAnsi="Arial"/>
          <w:sz w:val="14"/>
          <w:szCs w:val="14"/>
          <w:color w:val="auto"/>
        </w:rPr>
        <w:t>New York Stock Exchange</w:t>
      </w:r>
    </w:p>
    <w:p>
      <w:pPr>
        <w:spacing w:after="0" w:line="86" w:lineRule="exact"/>
        <w:rPr>
          <w:sz w:val="24"/>
          <w:szCs w:val="24"/>
          <w:color w:val="auto"/>
        </w:rPr>
      </w:pPr>
    </w:p>
    <w:p>
      <w:pPr>
        <w:ind w:left="2300"/>
        <w:spacing w:after="0"/>
        <w:tabs>
          <w:tab w:leader="none" w:pos="6920" w:val="left"/>
        </w:tabs>
        <w:rPr>
          <w:sz w:val="20"/>
          <w:szCs w:val="20"/>
          <w:color w:val="auto"/>
        </w:rPr>
      </w:pPr>
      <w:r>
        <w:rPr>
          <w:rFonts w:ascii="Arial" w:cs="Arial" w:eastAsia="Arial" w:hAnsi="Arial"/>
          <w:sz w:val="16"/>
          <w:szCs w:val="16"/>
          <w:color w:val="auto"/>
        </w:rPr>
        <w:t>Common Stock, Class C, par value $0.01</w:t>
      </w:r>
      <w:r>
        <w:rPr>
          <w:sz w:val="20"/>
          <w:szCs w:val="20"/>
          <w:color w:val="auto"/>
        </w:rPr>
        <w:tab/>
      </w:r>
      <w:r>
        <w:rPr>
          <w:rFonts w:ascii="Arial" w:cs="Arial" w:eastAsia="Arial" w:hAnsi="Arial"/>
          <w:sz w:val="14"/>
          <w:szCs w:val="14"/>
          <w:color w:val="auto"/>
        </w:rPr>
        <w:t>New York Stock Exchange</w:t>
      </w:r>
    </w:p>
    <w:p>
      <w:pPr>
        <w:spacing w:after="0" w:line="42" w:lineRule="exact"/>
        <w:rPr>
          <w:sz w:val="24"/>
          <w:szCs w:val="24"/>
          <w:color w:val="auto"/>
        </w:rPr>
      </w:pPr>
    </w:p>
    <w:p>
      <w:pPr>
        <w:ind w:left="3960"/>
        <w:spacing w:after="0"/>
        <w:rPr>
          <w:sz w:val="20"/>
          <w:szCs w:val="20"/>
          <w:color w:val="auto"/>
        </w:rPr>
      </w:pPr>
      <w:r>
        <w:rPr>
          <w:rFonts w:ascii="Arial" w:cs="Arial" w:eastAsia="Arial" w:hAnsi="Arial"/>
          <w:sz w:val="16"/>
          <w:szCs w:val="16"/>
          <w:b w:val="1"/>
          <w:bCs w:val="1"/>
          <w:color w:val="auto"/>
        </w:rPr>
        <w:t>Securities registered pursuant to Section 12(g) of the Act:</w:t>
      </w:r>
    </w:p>
    <w:p>
      <w:pPr>
        <w:spacing w:after="0" w:line="17" w:lineRule="exact"/>
        <w:rPr>
          <w:sz w:val="24"/>
          <w:szCs w:val="24"/>
          <w:color w:val="auto"/>
        </w:rPr>
      </w:pPr>
    </w:p>
    <w:p>
      <w:pPr>
        <w:jc w:val="center"/>
        <w:ind w:left="260"/>
        <w:spacing w:after="0"/>
        <w:rPr>
          <w:sz w:val="20"/>
          <w:szCs w:val="20"/>
          <w:color w:val="auto"/>
        </w:rPr>
      </w:pPr>
      <w:r>
        <w:rPr>
          <w:rFonts w:ascii="Arial" w:cs="Arial" w:eastAsia="Arial" w:hAnsi="Arial"/>
          <w:sz w:val="16"/>
          <w:szCs w:val="16"/>
          <w:b w:val="1"/>
          <w:bCs w:val="1"/>
          <w:color w:val="auto"/>
        </w:rPr>
        <w:t>None</w:t>
      </w:r>
    </w:p>
    <w:p>
      <w:pPr>
        <w:ind w:left="260"/>
        <w:spacing w:after="0"/>
        <w:tabs>
          <w:tab w:leader="none" w:pos="7120" w:val="left"/>
          <w:tab w:leader="none" w:pos="7580" w:val="left"/>
        </w:tabs>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w:t>
      </w:r>
      <w:r>
        <w:rPr>
          <w:sz w:val="20"/>
          <w:szCs w:val="20"/>
          <w:color w:val="auto"/>
        </w:rPr>
        <w:tab/>
      </w:r>
      <w:r>
        <w:rPr>
          <w:rFonts w:ascii="Arial" w:cs="Arial" w:eastAsia="Arial" w:hAnsi="Arial"/>
          <w:sz w:val="14"/>
          <w:szCs w:val="14"/>
          <w:color w:val="auto"/>
        </w:rPr>
        <w:t>Yes x</w:t>
        <w:tab/>
        <w:t>No o</w:t>
      </w:r>
    </w:p>
    <w:p>
      <w:pPr>
        <w:spacing w:after="0" w:line="1" w:lineRule="exact"/>
        <w:rPr>
          <w:sz w:val="24"/>
          <w:szCs w:val="24"/>
          <w:color w:val="auto"/>
        </w:rPr>
      </w:pPr>
    </w:p>
    <w:p>
      <w:pPr>
        <w:ind w:left="260"/>
        <w:spacing w:after="0"/>
        <w:tabs>
          <w:tab w:leader="none" w:pos="8280" w:val="left"/>
        </w:tabs>
        <w:rPr>
          <w:sz w:val="20"/>
          <w:szCs w:val="20"/>
          <w:color w:val="auto"/>
        </w:rPr>
      </w:pPr>
      <w:r>
        <w:rPr>
          <w:rFonts w:ascii="Arial" w:cs="Arial" w:eastAsia="Arial" w:hAnsi="Arial"/>
          <w:sz w:val="13"/>
          <w:szCs w:val="13"/>
          <w:color w:val="auto"/>
        </w:rPr>
        <w:t>Indicate by check mark if the registrant is not required to file reports pursuant to Section 13 or Section 15(d) of the Exchange Act.  Yes o</w:t>
      </w:r>
      <w:r>
        <w:rPr>
          <w:sz w:val="20"/>
          <w:szCs w:val="20"/>
          <w:color w:val="auto"/>
        </w:rPr>
        <w:tab/>
      </w:r>
      <w:r>
        <w:rPr>
          <w:rFonts w:ascii="Arial" w:cs="Arial" w:eastAsia="Arial" w:hAnsi="Arial"/>
          <w:sz w:val="14"/>
          <w:szCs w:val="14"/>
          <w:color w:val="auto"/>
        </w:rPr>
        <w:t>No x</w:t>
      </w:r>
    </w:p>
    <w:p>
      <w:pPr>
        <w:spacing w:after="0" w:line="1" w:lineRule="exact"/>
        <w:rPr>
          <w:sz w:val="24"/>
          <w:szCs w:val="24"/>
          <w:color w:val="auto"/>
        </w:rPr>
      </w:pPr>
    </w:p>
    <w:p>
      <w:pPr>
        <w:ind w:right="20" w:firstLine="243"/>
        <w:spacing w:after="0" w:line="241" w:lineRule="auto"/>
        <w:rPr>
          <w:sz w:val="20"/>
          <w:szCs w:val="20"/>
          <w:color w:val="auto"/>
        </w:rPr>
      </w:pPr>
      <w:r>
        <w:rPr>
          <w:rFonts w:ascii="Arial" w:cs="Arial" w:eastAsia="Arial" w:hAnsi="Arial"/>
          <w:sz w:val="14"/>
          <w:szCs w:val="14"/>
          <w:color w:val="auto"/>
        </w:rPr>
        <w:t>Indicate by check mark whether the registrant (1) has filed all reports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 w:lineRule="exact"/>
        <w:rPr>
          <w:sz w:val="24"/>
          <w:szCs w:val="24"/>
          <w:color w:val="auto"/>
        </w:rPr>
      </w:pPr>
    </w:p>
    <w:p>
      <w:pPr>
        <w:ind w:firstLine="243"/>
        <w:spacing w:after="0" w:line="241"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1" w:lineRule="exact"/>
        <w:rPr>
          <w:sz w:val="24"/>
          <w:szCs w:val="24"/>
          <w:color w:val="auto"/>
        </w:rPr>
      </w:pPr>
    </w:p>
    <w:p>
      <w:pPr>
        <w:ind w:firstLine="243"/>
        <w:spacing w:after="0" w:line="241" w:lineRule="auto"/>
        <w:rPr>
          <w:sz w:val="20"/>
          <w:szCs w:val="20"/>
          <w:color w:val="auto"/>
        </w:rPr>
      </w:pPr>
      <w:r>
        <w:rPr>
          <w:rFonts w:ascii="Arial" w:cs="Arial" w:eastAsia="Arial" w:hAnsi="Arial"/>
          <w:sz w:val="14"/>
          <w:szCs w:val="14"/>
          <w:color w:val="auto"/>
        </w:rPr>
        <w:t>Indicate by check mark if disclosure of delinquent filers pursuant to Item 405 of Regulation S-K (§ 229.405 of this chapter) is not contained herein, and will not be contained, to the best of the registrant's knowledge, in definitive proxy or information statements incorporated by reference in Part III of this Form 10-K or any amendment to this Form 10-K. x</w:t>
      </w:r>
    </w:p>
    <w:p>
      <w:pPr>
        <w:spacing w:after="0" w:line="1" w:lineRule="exact"/>
        <w:rPr>
          <w:sz w:val="24"/>
          <w:szCs w:val="24"/>
          <w:color w:val="auto"/>
        </w:rPr>
      </w:pPr>
    </w:p>
    <w:p>
      <w:pPr>
        <w:ind w:firstLine="243"/>
        <w:spacing w:after="0" w:line="25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200" w:lineRule="exact"/>
        <w:rPr>
          <w:sz w:val="24"/>
          <w:szCs w:val="24"/>
          <w:color w:val="auto"/>
        </w:rPr>
      </w:pPr>
    </w:p>
    <w:p>
      <w:pPr>
        <w:ind w:left="400"/>
        <w:spacing w:after="0"/>
        <w:tabs>
          <w:tab w:leader="none" w:pos="2840" w:val="left"/>
          <w:tab w:leader="none" w:pos="4980" w:val="left"/>
          <w:tab w:leader="none" w:pos="7140" w:val="left"/>
          <w:tab w:leader="none" w:pos="9420" w:val="left"/>
        </w:tabs>
        <w:rPr>
          <w:sz w:val="20"/>
          <w:szCs w:val="20"/>
          <w:color w:val="auto"/>
        </w:rPr>
      </w:pPr>
      <w:r>
        <w:rPr>
          <w:rFonts w:ascii="Arial" w:cs="Arial" w:eastAsia="Arial" w:hAnsi="Arial"/>
          <w:sz w:val="14"/>
          <w:szCs w:val="14"/>
          <w:color w:val="auto"/>
        </w:rPr>
        <w:t>Large accelerated filer x</w:t>
      </w:r>
      <w:r>
        <w:rPr>
          <w:sz w:val="20"/>
          <w:szCs w:val="20"/>
          <w:color w:val="auto"/>
        </w:rPr>
        <w:tab/>
      </w:r>
      <w:r>
        <w:rPr>
          <w:rFonts w:ascii="Arial" w:cs="Arial" w:eastAsia="Arial" w:hAnsi="Arial"/>
          <w:sz w:val="14"/>
          <w:szCs w:val="14"/>
          <w:color w:val="auto"/>
        </w:rPr>
        <w:t>Accelerated filer o</w:t>
      </w:r>
      <w:r>
        <w:rPr>
          <w:sz w:val="20"/>
          <w:szCs w:val="20"/>
          <w:color w:val="auto"/>
        </w:rPr>
        <w:tab/>
      </w:r>
      <w:r>
        <w:rPr>
          <w:rFonts w:ascii="Arial" w:cs="Arial" w:eastAsia="Arial" w:hAnsi="Arial"/>
          <w:sz w:val="14"/>
          <w:szCs w:val="14"/>
          <w:color w:val="auto"/>
        </w:rPr>
        <w:t>Non-accelerated filer o</w:t>
      </w:r>
      <w:r>
        <w:rPr>
          <w:sz w:val="20"/>
          <w:szCs w:val="20"/>
          <w:color w:val="auto"/>
        </w:rPr>
        <w:tab/>
      </w:r>
      <w:r>
        <w:rPr>
          <w:rFonts w:ascii="Arial" w:cs="Arial" w:eastAsia="Arial" w:hAnsi="Arial"/>
          <w:sz w:val="14"/>
          <w:szCs w:val="14"/>
          <w:color w:val="auto"/>
        </w:rPr>
        <w:t>Smaller reporting company o</w:t>
      </w:r>
      <w:r>
        <w:rPr>
          <w:sz w:val="20"/>
          <w:szCs w:val="20"/>
          <w:color w:val="auto"/>
        </w:rPr>
        <w:tab/>
      </w:r>
      <w:r>
        <w:rPr>
          <w:rFonts w:ascii="Arial" w:cs="Arial" w:eastAsia="Arial" w:hAnsi="Arial"/>
          <w:sz w:val="13"/>
          <w:szCs w:val="13"/>
          <w:color w:val="auto"/>
        </w:rPr>
        <w:t>Emerging growth company o</w:t>
      </w:r>
    </w:p>
    <w:p>
      <w:pPr>
        <w:spacing w:after="0" w:line="69" w:lineRule="exact"/>
        <w:rPr>
          <w:sz w:val="24"/>
          <w:szCs w:val="24"/>
          <w:color w:val="auto"/>
        </w:rPr>
      </w:pPr>
    </w:p>
    <w:p>
      <w:pPr>
        <w:ind w:firstLine="243"/>
        <w:spacing w:after="0" w:line="27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2" w:lineRule="exact"/>
        <w:rPr>
          <w:sz w:val="24"/>
          <w:szCs w:val="24"/>
          <w:color w:val="auto"/>
        </w:rPr>
      </w:pPr>
    </w:p>
    <w:p>
      <w:pPr>
        <w:ind w:left="260"/>
        <w:spacing w:after="0"/>
        <w:tabs>
          <w:tab w:leader="none" w:pos="6300" w:val="left"/>
          <w:tab w:leader="none" w:pos="676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tab/>
        <w:t>Yes o</w:t>
      </w:r>
      <w:r>
        <w:rPr>
          <w:sz w:val="20"/>
          <w:szCs w:val="20"/>
          <w:color w:val="auto"/>
        </w:rPr>
        <w:tab/>
      </w:r>
      <w:r>
        <w:rPr>
          <w:rFonts w:ascii="Arial" w:cs="Arial" w:eastAsia="Arial" w:hAnsi="Arial"/>
          <w:sz w:val="13"/>
          <w:szCs w:val="13"/>
          <w:color w:val="auto"/>
        </w:rPr>
        <w:t>No x</w:t>
      </w:r>
    </w:p>
    <w:p>
      <w:pPr>
        <w:spacing w:after="0" w:line="55" w:lineRule="exact"/>
        <w:rPr>
          <w:sz w:val="24"/>
          <w:szCs w:val="24"/>
          <w:color w:val="auto"/>
        </w:rPr>
      </w:pPr>
    </w:p>
    <w:p>
      <w:pPr>
        <w:ind w:firstLine="243"/>
        <w:spacing w:after="0" w:line="273" w:lineRule="auto"/>
        <w:rPr>
          <w:sz w:val="20"/>
          <w:szCs w:val="20"/>
          <w:color w:val="auto"/>
        </w:rPr>
      </w:pPr>
      <w:r>
        <w:rPr>
          <w:rFonts w:ascii="Arial" w:cs="Arial" w:eastAsia="Arial" w:hAnsi="Arial"/>
          <w:sz w:val="14"/>
          <w:szCs w:val="14"/>
          <w:color w:val="auto"/>
        </w:rPr>
        <w:t>As of the last business day of the most recently completed second fiscal quarter, the aggregate market value of the common stock of the registrant held by non-affiliates was approximately $1,771,020,875 based on the closing sale prices of such shares as reported on the New York Stock Exchange.</w:t>
      </w:r>
    </w:p>
    <w:p>
      <w:pPr>
        <w:spacing w:after="0" w:line="12" w:lineRule="exact"/>
        <w:rPr>
          <w:sz w:val="24"/>
          <w:szCs w:val="24"/>
          <w:color w:val="auto"/>
        </w:rPr>
      </w:pPr>
    </w:p>
    <w:p>
      <w:pPr>
        <w:ind w:left="260"/>
        <w:spacing w:after="0"/>
        <w:rPr>
          <w:sz w:val="20"/>
          <w:szCs w:val="20"/>
          <w:color w:val="auto"/>
        </w:rPr>
      </w:pPr>
      <w:r>
        <w:rPr>
          <w:rFonts w:ascii="Arial" w:cs="Arial" w:eastAsia="Arial" w:hAnsi="Arial"/>
          <w:sz w:val="14"/>
          <w:szCs w:val="14"/>
          <w:color w:val="auto"/>
        </w:rPr>
        <w:t>Indicate the number of shares outstanding of each of the registrant's classes of common stock as of the latest practicable date.</w:t>
      </w:r>
    </w:p>
    <w:p>
      <w:pPr>
        <w:spacing w:after="0" w:line="219" w:lineRule="exact"/>
        <w:rPr>
          <w:sz w:val="24"/>
          <w:szCs w:val="24"/>
          <w:color w:val="auto"/>
        </w:rPr>
      </w:pPr>
    </w:p>
    <w:tbl>
      <w:tblPr>
        <w:tblLayout w:type="fixed"/>
        <w:tblInd w:w="2360" w:type="dxa"/>
        <w:tblCellMar>
          <w:top w:w="0" w:type="dxa"/>
          <w:left w:w="0" w:type="dxa"/>
          <w:bottom w:w="0" w:type="dxa"/>
          <w:right w:w="0" w:type="dxa"/>
        </w:tblCellMar>
      </w:tblPr>
      <w:tr>
        <w:trPr>
          <w:trHeight w:val="198"/>
        </w:trPr>
        <w:tc>
          <w:tcPr>
            <w:tcW w:w="3700" w:type="dxa"/>
            <w:vAlign w:val="bottom"/>
          </w:tcPr>
          <w:p>
            <w:pPr>
              <w:jc w:val="center"/>
              <w:ind w:right="503"/>
              <w:spacing w:after="0"/>
              <w:rPr>
                <w:sz w:val="20"/>
                <w:szCs w:val="20"/>
                <w:color w:val="auto"/>
              </w:rPr>
            </w:pPr>
            <w:r>
              <w:rPr>
                <w:rFonts w:ascii="Arial" w:cs="Arial" w:eastAsia="Arial" w:hAnsi="Arial"/>
                <w:sz w:val="15"/>
                <w:szCs w:val="15"/>
                <w:b w:val="1"/>
                <w:bCs w:val="1"/>
                <w:color w:val="auto"/>
                <w:w w:val="89"/>
              </w:rPr>
              <w:t>Class</w:t>
            </w:r>
          </w:p>
        </w:tc>
        <w:tc>
          <w:tcPr>
            <w:tcW w:w="2700" w:type="dxa"/>
            <w:vAlign w:val="bottom"/>
          </w:tcPr>
          <w:p>
            <w:pPr>
              <w:ind w:left="580"/>
              <w:spacing w:after="0"/>
              <w:rPr>
                <w:sz w:val="20"/>
                <w:szCs w:val="20"/>
                <w:color w:val="auto"/>
              </w:rPr>
            </w:pPr>
            <w:r>
              <w:rPr>
                <w:rFonts w:ascii="Arial" w:cs="Arial" w:eastAsia="Arial" w:hAnsi="Arial"/>
                <w:sz w:val="15"/>
                <w:szCs w:val="15"/>
                <w:b w:val="1"/>
                <w:bCs w:val="1"/>
                <w:color w:val="auto"/>
                <w:w w:val="91"/>
              </w:rPr>
              <w:t>Outstanding at January 31, 2019</w:t>
            </w:r>
          </w:p>
        </w:tc>
      </w:tr>
      <w:tr>
        <w:trPr>
          <w:trHeight w:val="270"/>
        </w:trPr>
        <w:tc>
          <w:tcPr>
            <w:tcW w:w="3700" w:type="dxa"/>
            <w:vAlign w:val="bottom"/>
          </w:tcPr>
          <w:p>
            <w:pPr>
              <w:jc w:val="center"/>
              <w:ind w:right="503"/>
              <w:spacing w:after="0"/>
              <w:rPr>
                <w:sz w:val="20"/>
                <w:szCs w:val="20"/>
                <w:color w:val="auto"/>
              </w:rPr>
            </w:pPr>
            <w:r>
              <w:rPr>
                <w:rFonts w:ascii="Arial" w:cs="Arial" w:eastAsia="Arial" w:hAnsi="Arial"/>
                <w:sz w:val="15"/>
                <w:szCs w:val="15"/>
                <w:color w:val="auto"/>
                <w:w w:val="91"/>
              </w:rPr>
              <w:t>Common Stock, Class A, par value $0.01 per share</w:t>
            </w:r>
          </w:p>
        </w:tc>
        <w:tc>
          <w:tcPr>
            <w:tcW w:w="2700" w:type="dxa"/>
            <w:vAlign w:val="bottom"/>
          </w:tcPr>
          <w:p>
            <w:pPr>
              <w:jc w:val="center"/>
              <w:ind w:left="503"/>
              <w:spacing w:after="0"/>
              <w:rPr>
                <w:sz w:val="20"/>
                <w:szCs w:val="20"/>
                <w:color w:val="auto"/>
              </w:rPr>
            </w:pPr>
            <w:r>
              <w:rPr>
                <w:rFonts w:ascii="Arial" w:cs="Arial" w:eastAsia="Arial" w:hAnsi="Arial"/>
                <w:sz w:val="16"/>
                <w:szCs w:val="16"/>
                <w:color w:val="auto"/>
                <w:w w:val="89"/>
              </w:rPr>
              <w:t>34,599,645</w:t>
            </w:r>
          </w:p>
        </w:tc>
      </w:tr>
      <w:tr>
        <w:trPr>
          <w:trHeight w:val="270"/>
        </w:trPr>
        <w:tc>
          <w:tcPr>
            <w:tcW w:w="3700" w:type="dxa"/>
            <w:vAlign w:val="bottom"/>
          </w:tcPr>
          <w:p>
            <w:pPr>
              <w:jc w:val="center"/>
              <w:ind w:right="503"/>
              <w:spacing w:after="0"/>
              <w:rPr>
                <w:sz w:val="20"/>
                <w:szCs w:val="20"/>
                <w:color w:val="auto"/>
              </w:rPr>
            </w:pPr>
            <w:r>
              <w:rPr>
                <w:rFonts w:ascii="Arial" w:cs="Arial" w:eastAsia="Arial" w:hAnsi="Arial"/>
                <w:sz w:val="15"/>
                <w:szCs w:val="15"/>
                <w:color w:val="auto"/>
                <w:w w:val="91"/>
              </w:rPr>
              <w:t>Common Stock, Class B, par value $0.01 per share</w:t>
            </w:r>
          </w:p>
        </w:tc>
        <w:tc>
          <w:tcPr>
            <w:tcW w:w="2700" w:type="dxa"/>
            <w:vAlign w:val="bottom"/>
          </w:tcPr>
          <w:p>
            <w:pPr>
              <w:jc w:val="center"/>
              <w:ind w:left="503"/>
              <w:spacing w:after="0"/>
              <w:rPr>
                <w:sz w:val="20"/>
                <w:szCs w:val="20"/>
                <w:color w:val="auto"/>
              </w:rPr>
            </w:pPr>
            <w:r>
              <w:rPr>
                <w:rFonts w:ascii="Arial" w:cs="Arial" w:eastAsia="Arial" w:hAnsi="Arial"/>
                <w:sz w:val="15"/>
                <w:szCs w:val="15"/>
                <w:color w:val="auto"/>
                <w:w w:val="90"/>
              </w:rPr>
              <w:t>42,738,750</w:t>
            </w:r>
          </w:p>
        </w:tc>
      </w:tr>
      <w:tr>
        <w:trPr>
          <w:trHeight w:val="270"/>
        </w:trPr>
        <w:tc>
          <w:tcPr>
            <w:tcW w:w="3700" w:type="dxa"/>
            <w:vAlign w:val="bottom"/>
          </w:tcPr>
          <w:p>
            <w:pPr>
              <w:jc w:val="center"/>
              <w:ind w:right="503"/>
              <w:spacing w:after="0"/>
              <w:rPr>
                <w:sz w:val="20"/>
                <w:szCs w:val="20"/>
                <w:color w:val="auto"/>
              </w:rPr>
            </w:pPr>
            <w:r>
              <w:rPr>
                <w:rFonts w:ascii="Arial" w:cs="Arial" w:eastAsia="Arial" w:hAnsi="Arial"/>
                <w:sz w:val="15"/>
                <w:szCs w:val="15"/>
                <w:color w:val="auto"/>
                <w:w w:val="91"/>
              </w:rPr>
              <w:t>Common Stock, Class C, par value $0.01 per share</w:t>
            </w:r>
          </w:p>
        </w:tc>
        <w:tc>
          <w:tcPr>
            <w:tcW w:w="2700" w:type="dxa"/>
            <w:vAlign w:val="bottom"/>
          </w:tcPr>
          <w:p>
            <w:pPr>
              <w:jc w:val="center"/>
              <w:ind w:left="503"/>
              <w:spacing w:after="0"/>
              <w:rPr>
                <w:sz w:val="20"/>
                <w:szCs w:val="20"/>
                <w:color w:val="auto"/>
              </w:rPr>
            </w:pPr>
            <w:r>
              <w:rPr>
                <w:rFonts w:ascii="Arial" w:cs="Arial" w:eastAsia="Arial" w:hAnsi="Arial"/>
                <w:sz w:val="15"/>
                <w:szCs w:val="15"/>
                <w:color w:val="auto"/>
                <w:w w:val="90"/>
              </w:rPr>
              <w:t>73,323,463</w:t>
            </w:r>
          </w:p>
        </w:tc>
      </w:tr>
      <w:tr>
        <w:trPr>
          <w:trHeight w:val="270"/>
        </w:trPr>
        <w:tc>
          <w:tcPr>
            <w:tcW w:w="3700" w:type="dxa"/>
            <w:vAlign w:val="bottom"/>
          </w:tcPr>
          <w:p>
            <w:pPr>
              <w:jc w:val="center"/>
              <w:ind w:right="503"/>
              <w:spacing w:after="0"/>
              <w:rPr>
                <w:sz w:val="20"/>
                <w:szCs w:val="20"/>
                <w:color w:val="auto"/>
              </w:rPr>
            </w:pPr>
            <w:r>
              <w:rPr>
                <w:rFonts w:ascii="Arial" w:cs="Arial" w:eastAsia="Arial" w:hAnsi="Arial"/>
                <w:sz w:val="15"/>
                <w:szCs w:val="15"/>
                <w:color w:val="auto"/>
                <w:w w:val="91"/>
              </w:rPr>
              <w:t>Common Stock, Class D, par value $0.01 per share</w:t>
            </w:r>
          </w:p>
        </w:tc>
        <w:tc>
          <w:tcPr>
            <w:tcW w:w="2700" w:type="dxa"/>
            <w:vAlign w:val="bottom"/>
          </w:tcPr>
          <w:p>
            <w:pPr>
              <w:jc w:val="center"/>
              <w:ind w:left="503"/>
              <w:spacing w:after="0"/>
              <w:rPr>
                <w:sz w:val="20"/>
                <w:szCs w:val="20"/>
                <w:color w:val="auto"/>
              </w:rPr>
            </w:pPr>
            <w:r>
              <w:rPr>
                <w:rFonts w:ascii="Arial" w:cs="Arial" w:eastAsia="Arial" w:hAnsi="Arial"/>
                <w:sz w:val="15"/>
                <w:szCs w:val="15"/>
                <w:color w:val="auto"/>
                <w:w w:val="90"/>
              </w:rPr>
              <w:t>42,738,750</w:t>
            </w:r>
          </w:p>
        </w:tc>
      </w:tr>
    </w:tbl>
    <w:p>
      <w:pPr>
        <w:spacing w:after="0" w:line="45" w:lineRule="exact"/>
        <w:rPr>
          <w:sz w:val="24"/>
          <w:szCs w:val="24"/>
          <w:color w:val="auto"/>
        </w:rPr>
      </w:pPr>
    </w:p>
    <w:p>
      <w:pPr>
        <w:jc w:val="center"/>
        <w:ind w:left="260"/>
        <w:spacing w:after="0"/>
        <w:rPr>
          <w:sz w:val="20"/>
          <w:szCs w:val="20"/>
          <w:color w:val="auto"/>
        </w:rPr>
      </w:pPr>
      <w:r>
        <w:rPr>
          <w:rFonts w:ascii="Arial" w:cs="Arial" w:eastAsia="Arial" w:hAnsi="Arial"/>
          <w:sz w:val="15"/>
          <w:szCs w:val="15"/>
          <w:b w:val="1"/>
          <w:bCs w:val="1"/>
          <w:color w:val="auto"/>
        </w:rPr>
        <w:t>Documents Incorporated by Reference:</w:t>
      </w:r>
    </w:p>
    <w:p>
      <w:pPr>
        <w:spacing w:after="0" w:line="19" w:lineRule="exact"/>
        <w:rPr>
          <w:sz w:val="24"/>
          <w:szCs w:val="24"/>
          <w:color w:val="auto"/>
        </w:rPr>
      </w:pPr>
    </w:p>
    <w:p>
      <w:pPr>
        <w:jc w:val="center"/>
        <w:ind w:left="260"/>
        <w:spacing w:after="0"/>
        <w:rPr>
          <w:sz w:val="20"/>
          <w:szCs w:val="20"/>
          <w:color w:val="auto"/>
        </w:rPr>
      </w:pPr>
      <w:r>
        <w:rPr>
          <w:rFonts w:ascii="Arial" w:cs="Arial" w:eastAsia="Arial" w:hAnsi="Arial"/>
          <w:sz w:val="15"/>
          <w:szCs w:val="15"/>
          <w:b w:val="1"/>
          <w:bCs w:val="1"/>
          <w:color w:val="auto"/>
        </w:rPr>
        <w:t>Portions of the Registrant's Definitive Proxy Statement relating to its 2019 Annual Meeting of Stockholders, filed on March 19, 2019</w:t>
      </w:r>
    </w:p>
    <w:p>
      <w:pPr>
        <w:spacing w:after="0" w:line="3" w:lineRule="exact"/>
        <w:rPr>
          <w:sz w:val="24"/>
          <w:szCs w:val="24"/>
          <w:color w:val="auto"/>
        </w:rPr>
      </w:pPr>
    </w:p>
    <w:p>
      <w:pPr>
        <w:jc w:val="center"/>
        <w:ind w:left="260"/>
        <w:spacing w:after="0"/>
        <w:rPr>
          <w:sz w:val="20"/>
          <w:szCs w:val="20"/>
          <w:color w:val="auto"/>
        </w:rPr>
      </w:pPr>
      <w:r>
        <w:rPr>
          <w:rFonts w:ascii="Arial" w:cs="Arial" w:eastAsia="Arial" w:hAnsi="Arial"/>
          <w:sz w:val="15"/>
          <w:szCs w:val="15"/>
          <w:b w:val="1"/>
          <w:bCs w:val="1"/>
          <w:color w:val="auto"/>
        </w:rPr>
        <w:t>are incorporated by reference into Part III of the Registrant's Annual Report on Form 10-K, filed on February 29,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173990</wp:posOffset>
            </wp:positionV>
            <wp:extent cx="707517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75170" cy="2603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88265</wp:posOffset>
            </wp:positionV>
            <wp:extent cx="7075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420"/>
          </w:cols>
          <w:pgMar w:left="240" w:top="1111" w:right="239" w:bottom="1440" w:gutter="0" w:footer="0" w:header="0"/>
        </w:sectPr>
      </w:pPr>
    </w:p>
    <w:p>
      <w:pPr>
        <w:spacing w:after="0" w:line="200" w:lineRule="exact"/>
        <w:rPr>
          <w:sz w:val="24"/>
          <w:szCs w:val="24"/>
          <w:color w:val="auto"/>
        </w:rPr>
      </w:pPr>
    </w:p>
    <w:p>
      <w:pPr>
        <w:spacing w:after="0" w:line="344"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111" w:right="239" w:bottom="1440" w:gutter="0" w:footer="0" w:header="0"/>
          <w:type w:val="continuous"/>
        </w:sectPr>
      </w:pPr>
    </w:p>
    <w:bookmarkStart w:id="1" w:name="page2"/>
    <w:bookmarkEnd w:id="1"/>
    <w:p>
      <w:pPr>
        <w:jc w:val="center"/>
        <w:ind w:left="420"/>
        <w:spacing w:after="0"/>
        <w:rPr>
          <w:sz w:val="20"/>
          <w:szCs w:val="20"/>
          <w:color w:val="auto"/>
        </w:rPr>
      </w:pPr>
      <w:r>
        <w:rPr>
          <w:rFonts w:ascii="Arial" w:cs="Arial" w:eastAsia="Arial" w:hAnsi="Arial"/>
          <w:sz w:val="18"/>
          <w:szCs w:val="18"/>
          <w:b w:val="1"/>
          <w:bCs w:val="1"/>
          <w:color w:val="auto"/>
        </w:rPr>
        <w:t>Explanatory Note</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February 28, 2019, Clearway Energy, Inc. (the "Company") filed with the Securities and Exchange Commission its Annual Report on Form 10-K for the year ended December 31, 2018.</w:t>
      </w:r>
    </w:p>
    <w:p>
      <w:pPr>
        <w:spacing w:after="0" w:line="11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This Amendment No. 1 to Form 10-K (this "Amendment") of the Company is being filed solely to amend Item 15 of Part IV to include the consolidated financial statements of DGPV Holdco 3 LLC and Subsidiaries ("DGPV Holdco 3") as required under Rule 3-09 of Regulation S-X. The financial statements of DGPV Holdco 3 for its fiscal year ended December 31, 2018 were not available at the time the Company filed its Annual Report on Form 10-K. The required financial statements are now provided as Exhibit 99.1 to this Amendment.</w:t>
      </w:r>
    </w:p>
    <w:p>
      <w:pPr>
        <w:spacing w:after="0" w:line="13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Item 15(c) is the only portion of the Company's Annual Report on Form 10-K being supplemented or amended by this Amendment. Except as set forth herein, this Amendment does not change or update any other information set forth in the original filing of the Company's Annual Report on Form 10-K for the year ended December 31, 2018, and does not reflect events occurring after the original filing of the Company's Annual Report on Form 10-K for the year ended December 31, 2018. This Amendment consists solely of the preceding cover page, this explanatory note, the information required by Item 15(c) of Form 10-K as provided in Exhibit 99.1, an updated exhibit index, a signature page, the accountants' consent for DGPV Holdco 3 and the certifications required to be filed as exhibits hereto.</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 Exhibits, Financial Statement Schedules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(a)(1) Financial Statements</w:t>
      </w:r>
    </w:p>
    <w:p>
      <w:pPr>
        <w:spacing w:after="0" w:line="171" w:lineRule="exact"/>
        <w:rPr>
          <w:sz w:val="20"/>
          <w:szCs w:val="20"/>
          <w:color w:val="auto"/>
        </w:rPr>
      </w:pPr>
    </w:p>
    <w:p>
      <w:pPr>
        <w:ind w:left="980" w:right="360" w:hanging="242"/>
        <w:spacing w:after="0" w:line="308" w:lineRule="auto"/>
        <w:rPr>
          <w:sz w:val="20"/>
          <w:szCs w:val="20"/>
          <w:color w:val="auto"/>
        </w:rPr>
      </w:pPr>
      <w:r>
        <w:rPr>
          <w:rFonts w:ascii="Arial" w:cs="Arial" w:eastAsia="Arial" w:hAnsi="Arial"/>
          <w:sz w:val="17"/>
          <w:szCs w:val="17"/>
          <w:color w:val="auto"/>
        </w:rPr>
        <w:t>The following consolidated financial statements of Clearway Energy, Inc. and related notes thereto, together with the reports thereon of KPMG LLP, were included in Item 15 of Clearway Energy, Inc.'s Annual Report on Form 10-K filed on February 28, 2019:</w:t>
      </w:r>
    </w:p>
    <w:p>
      <w:pPr>
        <w:spacing w:after="0" w:line="9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Consolidated Statements of Operations — Years ended December 31, 2018, 2017 and 2016</w:t>
      </w:r>
    </w:p>
    <w:p>
      <w:pPr>
        <w:spacing w:after="0" w:line="17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Consolidated Statements of Comprehensive Income — Years ended December 31, 2018, 2017 and 2016</w:t>
      </w:r>
    </w:p>
    <w:p>
      <w:pPr>
        <w:spacing w:after="0" w:line="17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Consolidated Balance Sheets — As of December 31, 2018 and 2017</w:t>
      </w:r>
    </w:p>
    <w:p>
      <w:pPr>
        <w:spacing w:after="0" w:line="17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Consolidated Statements of Cash Flows — Years ended December 31, 2018, 2017 and 2016</w:t>
      </w:r>
    </w:p>
    <w:p>
      <w:pPr>
        <w:spacing w:after="0" w:line="17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Consolidated Statements of Stockholders' Equity — Years ended December 31, 2018, 2017 and 2016</w:t>
      </w:r>
    </w:p>
    <w:p>
      <w:pPr>
        <w:spacing w:after="0" w:line="17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Notes to Consolidated Financial Statements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(a)(2) Financial Statement Schedules</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following schedules of Clearway Energy, Inc. were filed as part of Item 15 of Clearway Energy, Inc.'s Annual Report on Form 10-K filed on</w:t>
      </w:r>
    </w:p>
    <w:p>
      <w:pPr>
        <w:spacing w:after="0" w:line="4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February 28, 2019 and should be read in conjunction with the Consolidated Financial Statements:</w:t>
      </w:r>
    </w:p>
    <w:p>
      <w:pPr>
        <w:spacing w:after="0" w:line="157" w:lineRule="exact"/>
        <w:rPr>
          <w:sz w:val="20"/>
          <w:szCs w:val="20"/>
          <w:color w:val="auto"/>
        </w:rPr>
      </w:pPr>
    </w:p>
    <w:p>
      <w:pPr>
        <w:ind w:left="980" w:right="300"/>
        <w:spacing w:after="0" w:line="308" w:lineRule="auto"/>
        <w:rPr>
          <w:sz w:val="20"/>
          <w:szCs w:val="20"/>
          <w:color w:val="auto"/>
        </w:rPr>
      </w:pPr>
      <w:r>
        <w:rPr>
          <w:rFonts w:ascii="Arial" w:cs="Arial" w:eastAsia="Arial" w:hAnsi="Arial"/>
          <w:sz w:val="17"/>
          <w:szCs w:val="17"/>
          <w:color w:val="auto"/>
        </w:rPr>
        <w:t>Schedule I — Clearway Energy, Inc. Financial Statements for the years ended December 31, 2018, 2017 and 2016, are included in Clearway Energy, Inc.'s Annual Report on Form 10-K pursuant to the requirements of Rule 5-04(c) of Regulation S-X</w:t>
      </w:r>
    </w:p>
    <w:p>
      <w:pPr>
        <w:spacing w:after="0" w:line="9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Schedule II — Valuation and Qualifying Accounts</w:t>
      </w:r>
    </w:p>
    <w:p>
      <w:pPr>
        <w:spacing w:after="0" w:line="171" w:lineRule="exact"/>
        <w:rPr>
          <w:sz w:val="20"/>
          <w:szCs w:val="20"/>
          <w:color w:val="auto"/>
        </w:rPr>
      </w:pPr>
    </w:p>
    <w:p>
      <w:pPr>
        <w:ind w:left="980" w:right="360"/>
        <w:spacing w:after="0" w:line="277" w:lineRule="auto"/>
        <w:rPr>
          <w:sz w:val="20"/>
          <w:szCs w:val="20"/>
          <w:color w:val="auto"/>
        </w:rPr>
      </w:pPr>
      <w:r>
        <w:rPr>
          <w:rFonts w:ascii="Arial" w:cs="Arial" w:eastAsia="Arial" w:hAnsi="Arial"/>
          <w:sz w:val="18"/>
          <w:szCs w:val="18"/>
          <w:color w:val="auto"/>
        </w:rPr>
        <w:t>All other schedules for which provision is made in the applicable accounting regulation of the Securities and Exchange Commission are not required under the related instructions or are inapplicable, and therefore, have been omitted</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(a)(3) Exhibits: See Exhibit Index submitted as a separate section of this report</w:t>
      </w:r>
    </w:p>
    <w:p>
      <w:pPr>
        <w:spacing w:after="0" w:line="171" w:lineRule="exact"/>
        <w:rPr>
          <w:sz w:val="20"/>
          <w:szCs w:val="20"/>
          <w:color w:val="auto"/>
        </w:rPr>
      </w:pPr>
    </w:p>
    <w:p>
      <w:pPr>
        <w:ind w:left="740" w:hanging="246"/>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171" w:lineRule="exact"/>
        <w:rPr>
          <w:rFonts w:ascii="Arial" w:cs="Arial" w:eastAsia="Arial" w:hAnsi="Arial"/>
          <w:sz w:val="18"/>
          <w:szCs w:val="18"/>
          <w:color w:val="auto"/>
        </w:rPr>
      </w:pPr>
    </w:p>
    <w:p>
      <w:pPr>
        <w:ind w:left="740"/>
        <w:spacing w:after="0"/>
        <w:rPr>
          <w:rFonts w:ascii="Arial" w:cs="Arial" w:eastAsia="Arial" w:hAnsi="Arial"/>
          <w:sz w:val="18"/>
          <w:szCs w:val="18"/>
          <w:color w:val="auto"/>
        </w:rPr>
      </w:pPr>
      <w:r>
        <w:rPr>
          <w:rFonts w:ascii="Arial" w:cs="Arial" w:eastAsia="Arial" w:hAnsi="Arial"/>
          <w:sz w:val="18"/>
          <w:szCs w:val="18"/>
          <w:color w:val="auto"/>
        </w:rPr>
        <w:t>See Exhibit Index submitted as a separate section of this report</w:t>
      </w:r>
    </w:p>
    <w:p>
      <w:pPr>
        <w:spacing w:after="0" w:line="171" w:lineRule="exact"/>
        <w:rPr>
          <w:rFonts w:ascii="Arial" w:cs="Arial" w:eastAsia="Arial" w:hAnsi="Arial"/>
          <w:sz w:val="18"/>
          <w:szCs w:val="18"/>
          <w:color w:val="auto"/>
        </w:rPr>
      </w:pPr>
    </w:p>
    <w:p>
      <w:pPr>
        <w:ind w:left="740" w:hanging="246"/>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Separate financial statements of subsidiaries not consolidated and fifty percent or less owned persons</w:t>
      </w:r>
    </w:p>
    <w:p>
      <w:pPr>
        <w:spacing w:after="0" w:line="171" w:lineRule="exact"/>
        <w:rPr>
          <w:rFonts w:ascii="Arial" w:cs="Arial" w:eastAsia="Arial" w:hAnsi="Arial"/>
          <w:sz w:val="18"/>
          <w:szCs w:val="18"/>
          <w:color w:val="auto"/>
        </w:rPr>
      </w:pPr>
    </w:p>
    <w:p>
      <w:pPr>
        <w:ind w:left="980" w:right="200" w:hanging="243"/>
        <w:spacing w:after="0" w:line="277" w:lineRule="auto"/>
        <w:rPr>
          <w:rFonts w:ascii="Arial" w:cs="Arial" w:eastAsia="Arial" w:hAnsi="Arial"/>
          <w:sz w:val="18"/>
          <w:szCs w:val="18"/>
          <w:color w:val="auto"/>
        </w:rPr>
      </w:pPr>
      <w:r>
        <w:rPr>
          <w:rFonts w:ascii="Arial" w:cs="Arial" w:eastAsia="Arial" w:hAnsi="Arial"/>
          <w:sz w:val="18"/>
          <w:szCs w:val="18"/>
          <w:color w:val="auto"/>
        </w:rPr>
        <w:t>The following financial statements of DGPV Holdco 3 LLC are required under Rule 3-09 of Regulation S-X and are incorporated by reference to Item 15 of this report. They should be read in conjunction with the Consolidated Financial Statements:</w:t>
      </w:r>
    </w:p>
    <w:p>
      <w:pPr>
        <w:spacing w:after="0" w:line="116" w:lineRule="exact"/>
        <w:rPr>
          <w:sz w:val="20"/>
          <w:szCs w:val="20"/>
          <w:color w:val="auto"/>
        </w:rPr>
      </w:pPr>
    </w:p>
    <w:p>
      <w:pPr>
        <w:ind w:left="980" w:right="460"/>
        <w:spacing w:after="0" w:line="277" w:lineRule="auto"/>
        <w:rPr>
          <w:sz w:val="20"/>
          <w:szCs w:val="20"/>
          <w:color w:val="auto"/>
        </w:rPr>
      </w:pPr>
      <w:r>
        <w:rPr>
          <w:rFonts w:ascii="Arial" w:cs="Arial" w:eastAsia="Arial" w:hAnsi="Arial"/>
          <w:sz w:val="18"/>
          <w:szCs w:val="18"/>
          <w:color w:val="auto"/>
        </w:rPr>
        <w:t>DGPV Holdco 3 LLC Consolidated Financial Statements for the years ended December 31, 2018 and 2017 are included as Exhibit 99.1 to Amendment No. 1 to Clearway Energy, Inc.'s Annual Report on Form 10-K</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580" w:right="2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40" w:type="dxa"/>
            <w:vAlign w:val="bottom"/>
            <w:gridSpan w:val="13"/>
          </w:tcPr>
          <w:p>
            <w:pPr>
              <w:ind w:left="4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426"/>
        </w:trPr>
        <w:tc>
          <w:tcPr>
            <w:tcW w:w="1040" w:type="dxa"/>
            <w:vAlign w:val="bottom"/>
          </w:tcPr>
          <w:p>
            <w:pPr>
              <w:spacing w:after="0"/>
              <w:rPr>
                <w:sz w:val="20"/>
                <w:szCs w:val="20"/>
                <w:color w:val="auto"/>
              </w:rPr>
            </w:pPr>
            <w:r>
              <w:rPr>
                <w:rFonts w:ascii="Arial" w:cs="Arial" w:eastAsia="Arial" w:hAnsi="Arial"/>
                <w:sz w:val="16"/>
                <w:szCs w:val="16"/>
                <w:b w:val="1"/>
                <w:bCs w:val="1"/>
                <w:color w:val="auto"/>
              </w:rPr>
              <w:t>Number</w:t>
            </w:r>
          </w:p>
        </w:tc>
        <w:tc>
          <w:tcPr>
            <w:tcW w:w="5840" w:type="dxa"/>
            <w:vAlign w:val="bottom"/>
            <w:gridSpan w:val="18"/>
          </w:tcPr>
          <w:p>
            <w:pPr>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222"/>
        </w:trPr>
        <w:tc>
          <w:tcPr>
            <w:tcW w:w="1040" w:type="dxa"/>
            <w:vAlign w:val="bottom"/>
          </w:tcPr>
          <w:p>
            <w:pPr>
              <w:spacing w:after="0"/>
              <w:rPr>
                <w:sz w:val="20"/>
                <w:szCs w:val="20"/>
                <w:color w:val="auto"/>
              </w:rPr>
            </w:pPr>
            <w:r>
              <w:rPr>
                <w:rFonts w:ascii="Arial" w:cs="Arial" w:eastAsia="Arial" w:hAnsi="Arial"/>
                <w:sz w:val="16"/>
                <w:szCs w:val="16"/>
                <w:color w:val="auto"/>
              </w:rPr>
              <w:t>2.1</w:t>
            </w:r>
          </w:p>
        </w:tc>
        <w:tc>
          <w:tcPr>
            <w:tcW w:w="5360" w:type="dxa"/>
            <w:vAlign w:val="bottom"/>
            <w:tcBorders>
              <w:bottom w:val="single" w:sz="8" w:color="0000FF"/>
            </w:tcBorders>
            <w:gridSpan w:val="9"/>
          </w:tcPr>
          <w:p>
            <w:pPr>
              <w:spacing w:after="0"/>
              <w:rPr>
                <w:rFonts w:ascii="Arial" w:cs="Arial" w:eastAsia="Arial" w:hAnsi="Arial"/>
                <w:sz w:val="16"/>
                <w:szCs w:val="16"/>
                <w:color w:val="0000FF"/>
                <w:w w:val="89"/>
              </w:rPr>
            </w:pPr>
            <w:hyperlink r:id="rId12">
              <w:r>
                <w:rPr>
                  <w:rFonts w:ascii="Arial" w:cs="Arial" w:eastAsia="Arial" w:hAnsi="Arial"/>
                  <w:sz w:val="16"/>
                  <w:szCs w:val="16"/>
                  <w:color w:val="0000FF"/>
                  <w:w w:val="89"/>
                </w:rPr>
                <w:t>Purchase and Sale Agreement, dated as of May 5, 2014, by and between NRG Gas</w:t>
              </w:r>
            </w:hyperlink>
          </w:p>
        </w:tc>
        <w:tc>
          <w:tcPr>
            <w:tcW w:w="480" w:type="dxa"/>
            <w:vAlign w:val="bottom"/>
            <w:gridSpan w:val="9"/>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4040" w:type="dxa"/>
            <w:vAlign w:val="bottom"/>
            <w:tcBorders>
              <w:bottom w:val="single" w:sz="8" w:color="0000FF"/>
            </w:tcBorders>
            <w:gridSpan w:val="6"/>
          </w:tcPr>
          <w:p>
            <w:pPr>
              <w:spacing w:after="0" w:line="183" w:lineRule="exact"/>
              <w:rPr>
                <w:rFonts w:ascii="Arial" w:cs="Arial" w:eastAsia="Arial" w:hAnsi="Arial"/>
                <w:sz w:val="16"/>
                <w:szCs w:val="16"/>
                <w:color w:val="0000FF"/>
                <w:w w:val="93"/>
              </w:rPr>
            </w:pPr>
            <w:hyperlink r:id="rId12">
              <w:r>
                <w:rPr>
                  <w:rFonts w:ascii="Arial" w:cs="Arial" w:eastAsia="Arial" w:hAnsi="Arial"/>
                  <w:sz w:val="16"/>
                  <w:szCs w:val="16"/>
                  <w:color w:val="0000FF"/>
                  <w:w w:val="93"/>
                </w:rPr>
                <w:t>Development Company, LLC and NRG Yield Operating LLC.</w:t>
              </w:r>
            </w:hyperlink>
          </w:p>
        </w:tc>
        <w:tc>
          <w:tcPr>
            <w:tcW w:w="1800" w:type="dxa"/>
            <w:vAlign w:val="bottom"/>
            <w:gridSpan w:val="12"/>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6"/>
                <w:szCs w:val="16"/>
                <w:color w:val="auto"/>
              </w:rPr>
              <w:t>2.2</w:t>
            </w:r>
          </w:p>
        </w:tc>
        <w:tc>
          <w:tcPr>
            <w:tcW w:w="5700" w:type="dxa"/>
            <w:vAlign w:val="bottom"/>
            <w:tcBorders>
              <w:bottom w:val="single" w:sz="8" w:color="0000FF"/>
            </w:tcBorders>
            <w:gridSpan w:val="15"/>
          </w:tcPr>
          <w:p>
            <w:pPr>
              <w:spacing w:after="0"/>
              <w:rPr>
                <w:rFonts w:ascii="Arial" w:cs="Arial" w:eastAsia="Arial" w:hAnsi="Arial"/>
                <w:sz w:val="16"/>
                <w:szCs w:val="16"/>
                <w:color w:val="0000FF"/>
                <w:w w:val="90"/>
              </w:rPr>
            </w:pPr>
            <w:hyperlink r:id="rId13">
              <w:r>
                <w:rPr>
                  <w:rFonts w:ascii="Arial" w:cs="Arial" w:eastAsia="Arial" w:hAnsi="Arial"/>
                  <w:sz w:val="16"/>
                  <w:szCs w:val="16"/>
                  <w:color w:val="0000FF"/>
                  <w:w w:val="90"/>
                </w:rPr>
                <w:t>Purchase and Sale Agreement, dated as of May 5, 2014, by and between NRG Solar PV</w:t>
              </w:r>
            </w:hyperlink>
          </w:p>
        </w:tc>
        <w:tc>
          <w:tcPr>
            <w:tcW w:w="140" w:type="dxa"/>
            <w:vAlign w:val="bottom"/>
            <w:gridSpan w:val="3"/>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840" w:type="dxa"/>
            <w:vAlign w:val="bottom"/>
            <w:gridSpan w:val="18"/>
          </w:tcPr>
          <w:p>
            <w:pPr>
              <w:spacing w:after="0" w:line="183" w:lineRule="exact"/>
              <w:rPr>
                <w:rFonts w:ascii="Arial" w:cs="Arial" w:eastAsia="Arial" w:hAnsi="Arial"/>
                <w:sz w:val="16"/>
                <w:szCs w:val="16"/>
                <w:color w:val="0000FF"/>
              </w:rPr>
            </w:pPr>
            <w:hyperlink r:id="rId13">
              <w:r>
                <w:rPr>
                  <w:rFonts w:ascii="Arial" w:cs="Arial" w:eastAsia="Arial" w:hAnsi="Arial"/>
                  <w:sz w:val="16"/>
                  <w:szCs w:val="16"/>
                  <w:color w:val="0000FF"/>
                </w:rPr>
                <w:t>LLC and NRG Yield Operating LLC.</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6"/>
                <w:szCs w:val="16"/>
                <w:color w:val="auto"/>
              </w:rPr>
              <w:t>2.3</w:t>
            </w:r>
          </w:p>
        </w:tc>
        <w:tc>
          <w:tcPr>
            <w:tcW w:w="5700" w:type="dxa"/>
            <w:vAlign w:val="bottom"/>
            <w:tcBorders>
              <w:bottom w:val="single" w:sz="8" w:color="0000FF"/>
            </w:tcBorders>
            <w:gridSpan w:val="15"/>
          </w:tcPr>
          <w:p>
            <w:pPr>
              <w:spacing w:after="0"/>
              <w:rPr>
                <w:rFonts w:ascii="Arial" w:cs="Arial" w:eastAsia="Arial" w:hAnsi="Arial"/>
                <w:sz w:val="16"/>
                <w:szCs w:val="16"/>
                <w:color w:val="0000FF"/>
                <w:w w:val="90"/>
              </w:rPr>
            </w:pPr>
            <w:hyperlink r:id="rId14">
              <w:r>
                <w:rPr>
                  <w:rFonts w:ascii="Arial" w:cs="Arial" w:eastAsia="Arial" w:hAnsi="Arial"/>
                  <w:sz w:val="16"/>
                  <w:szCs w:val="16"/>
                  <w:color w:val="0000FF"/>
                  <w:w w:val="90"/>
                </w:rPr>
                <w:t>Purchase and Sale Agreement, dated as of May 5, 2014, by and between NRG Solar PV</w:t>
              </w:r>
            </w:hyperlink>
          </w:p>
        </w:tc>
        <w:tc>
          <w:tcPr>
            <w:tcW w:w="140" w:type="dxa"/>
            <w:vAlign w:val="bottom"/>
            <w:gridSpan w:val="3"/>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840" w:type="dxa"/>
            <w:vAlign w:val="bottom"/>
            <w:gridSpan w:val="18"/>
          </w:tcPr>
          <w:p>
            <w:pPr>
              <w:spacing w:after="0" w:line="183" w:lineRule="exact"/>
              <w:rPr>
                <w:rFonts w:ascii="Arial" w:cs="Arial" w:eastAsia="Arial" w:hAnsi="Arial"/>
                <w:sz w:val="16"/>
                <w:szCs w:val="16"/>
                <w:color w:val="0000FF"/>
              </w:rPr>
            </w:pPr>
            <w:hyperlink r:id="rId14">
              <w:r>
                <w:rPr>
                  <w:rFonts w:ascii="Arial" w:cs="Arial" w:eastAsia="Arial" w:hAnsi="Arial"/>
                  <w:sz w:val="16"/>
                  <w:szCs w:val="16"/>
                  <w:color w:val="0000FF"/>
                </w:rPr>
                <w:t>LLC and NRG Yield Operating LLC.</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6"/>
                <w:szCs w:val="16"/>
                <w:color w:val="auto"/>
              </w:rPr>
              <w:t>2.4</w:t>
            </w:r>
          </w:p>
        </w:tc>
        <w:tc>
          <w:tcPr>
            <w:tcW w:w="5760" w:type="dxa"/>
            <w:vAlign w:val="bottom"/>
            <w:tcBorders>
              <w:bottom w:val="single" w:sz="8" w:color="0000FF"/>
            </w:tcBorders>
            <w:gridSpan w:val="17"/>
          </w:tcPr>
          <w:p>
            <w:pPr>
              <w:spacing w:after="0"/>
              <w:rPr>
                <w:rFonts w:ascii="Arial" w:cs="Arial" w:eastAsia="Arial" w:hAnsi="Arial"/>
                <w:sz w:val="16"/>
                <w:szCs w:val="16"/>
                <w:color w:val="0000FF"/>
                <w:w w:val="90"/>
              </w:rPr>
            </w:pPr>
            <w:hyperlink r:id="rId15">
              <w:r>
                <w:rPr>
                  <w:rFonts w:ascii="Arial" w:cs="Arial" w:eastAsia="Arial" w:hAnsi="Arial"/>
                  <w:sz w:val="16"/>
                  <w:szCs w:val="16"/>
                  <w:color w:val="0000FF"/>
                  <w:w w:val="90"/>
                </w:rPr>
                <w:t>Purchase and Sale Agreement, dated June 3, 2014, by and among NRG Yield, Inc., NRG</w:t>
              </w:r>
            </w:hyperlink>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840" w:type="dxa"/>
            <w:vAlign w:val="bottom"/>
            <w:gridSpan w:val="18"/>
          </w:tcPr>
          <w:p>
            <w:pPr>
              <w:spacing w:after="0" w:line="183" w:lineRule="exact"/>
              <w:rPr>
                <w:rFonts w:ascii="Arial" w:cs="Arial" w:eastAsia="Arial" w:hAnsi="Arial"/>
                <w:sz w:val="16"/>
                <w:szCs w:val="16"/>
                <w:color w:val="0000FF"/>
                <w:w w:val="96"/>
              </w:rPr>
            </w:pPr>
            <w:hyperlink r:id="rId15">
              <w:r>
                <w:rPr>
                  <w:rFonts w:ascii="Arial" w:cs="Arial" w:eastAsia="Arial" w:hAnsi="Arial"/>
                  <w:sz w:val="16"/>
                  <w:szCs w:val="16"/>
                  <w:color w:val="0000FF"/>
                  <w:w w:val="96"/>
                </w:rPr>
                <w:t>Yield Operating LLC, Terra-Gen Finance Company, LLC, NTD AWAM Holdings, LLC,</w:t>
              </w:r>
            </w:hyperlink>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220" w:type="dxa"/>
            <w:vAlign w:val="bottom"/>
            <w:tcBorders>
              <w:top w:val="single" w:sz="8" w:color="0000FF"/>
              <w:bottom w:val="single" w:sz="8" w:color="0000FF"/>
            </w:tcBorders>
            <w:gridSpan w:val="8"/>
          </w:tcPr>
          <w:p>
            <w:pPr>
              <w:spacing w:after="0" w:line="183" w:lineRule="exact"/>
              <w:rPr>
                <w:rFonts w:ascii="Arial" w:cs="Arial" w:eastAsia="Arial" w:hAnsi="Arial"/>
                <w:sz w:val="16"/>
                <w:szCs w:val="16"/>
                <w:color w:val="0000FF"/>
                <w:w w:val="95"/>
              </w:rPr>
            </w:pPr>
            <w:hyperlink r:id="rId15">
              <w:r>
                <w:rPr>
                  <w:rFonts w:ascii="Arial" w:cs="Arial" w:eastAsia="Arial" w:hAnsi="Arial"/>
                  <w:sz w:val="16"/>
                  <w:szCs w:val="16"/>
                  <w:color w:val="0000FF"/>
                  <w:w w:val="95"/>
                </w:rPr>
                <w:t>CHIPS Alta Wind X Holding Company, LLC and CHIPS Alta Wind XI Holding</w:t>
              </w:r>
            </w:hyperlink>
          </w:p>
        </w:tc>
        <w:tc>
          <w:tcPr>
            <w:tcW w:w="520" w:type="dxa"/>
            <w:vAlign w:val="bottom"/>
            <w:tcBorders>
              <w:top w:val="single" w:sz="8" w:color="0000FF"/>
            </w:tcBorders>
            <w:gridSpan w:val="8"/>
          </w:tcPr>
          <w:p>
            <w:pPr>
              <w:spacing w:after="0"/>
              <w:rPr>
                <w:sz w:val="15"/>
                <w:szCs w:val="15"/>
                <w:color w:val="auto"/>
              </w:rPr>
            </w:pPr>
          </w:p>
        </w:tc>
        <w:tc>
          <w:tcPr>
            <w:tcW w:w="1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840" w:type="dxa"/>
            <w:vAlign w:val="bottom"/>
            <w:gridSpan w:val="18"/>
          </w:tcPr>
          <w:p>
            <w:pPr>
              <w:spacing w:after="0" w:line="183" w:lineRule="exact"/>
              <w:rPr>
                <w:rFonts w:ascii="Arial" w:cs="Arial" w:eastAsia="Arial" w:hAnsi="Arial"/>
                <w:sz w:val="16"/>
                <w:szCs w:val="16"/>
                <w:color w:val="0000FF"/>
              </w:rPr>
            </w:pPr>
            <w:hyperlink r:id="rId15">
              <w:r>
                <w:rPr>
                  <w:rFonts w:ascii="Arial" w:cs="Arial" w:eastAsia="Arial" w:hAnsi="Arial"/>
                  <w:sz w:val="16"/>
                  <w:szCs w:val="16"/>
                  <w:color w:val="0000FF"/>
                </w:rPr>
                <w:t>Company, LLC.</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6"/>
                <w:szCs w:val="16"/>
                <w:color w:val="auto"/>
              </w:rPr>
              <w:t>2.5</w:t>
            </w:r>
          </w:p>
        </w:tc>
        <w:tc>
          <w:tcPr>
            <w:tcW w:w="5840" w:type="dxa"/>
            <w:vAlign w:val="bottom"/>
            <w:tcBorders>
              <w:bottom w:val="single" w:sz="8" w:color="0000FF"/>
            </w:tcBorders>
            <w:gridSpan w:val="18"/>
          </w:tcPr>
          <w:p>
            <w:pPr>
              <w:spacing w:after="0"/>
              <w:rPr>
                <w:rFonts w:ascii="Arial" w:cs="Arial" w:eastAsia="Arial" w:hAnsi="Arial"/>
                <w:sz w:val="16"/>
                <w:szCs w:val="16"/>
                <w:color w:val="0000FF"/>
                <w:w w:val="90"/>
              </w:rPr>
            </w:pPr>
            <w:hyperlink r:id="rId16">
              <w:r>
                <w:rPr>
                  <w:rFonts w:ascii="Arial" w:cs="Arial" w:eastAsia="Arial" w:hAnsi="Arial"/>
                  <w:sz w:val="16"/>
                  <w:szCs w:val="16"/>
                  <w:color w:val="0000FF"/>
                  <w:w w:val="90"/>
                </w:rPr>
                <w:t>Purchase and Sale Agreement, dated as of November 4, 2014, by and between NRG Wind</w:t>
              </w:r>
            </w:hyperlink>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840" w:type="dxa"/>
            <w:vAlign w:val="bottom"/>
            <w:gridSpan w:val="18"/>
          </w:tcPr>
          <w:p>
            <w:pPr>
              <w:spacing w:after="0" w:line="183" w:lineRule="exact"/>
              <w:rPr>
                <w:rFonts w:ascii="Arial" w:cs="Arial" w:eastAsia="Arial" w:hAnsi="Arial"/>
                <w:sz w:val="16"/>
                <w:szCs w:val="16"/>
                <w:color w:val="0000FF"/>
              </w:rPr>
            </w:pPr>
            <w:hyperlink r:id="rId16">
              <w:r>
                <w:rPr>
                  <w:rFonts w:ascii="Arial" w:cs="Arial" w:eastAsia="Arial" w:hAnsi="Arial"/>
                  <w:sz w:val="16"/>
                  <w:szCs w:val="16"/>
                  <w:color w:val="0000FF"/>
                </w:rPr>
                <w:t>LLC and NRG Yield Operating LLC.</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2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6"/>
                <w:szCs w:val="16"/>
                <w:color w:val="auto"/>
              </w:rPr>
              <w:t>2.6</w:t>
            </w:r>
          </w:p>
        </w:tc>
        <w:tc>
          <w:tcPr>
            <w:tcW w:w="5840" w:type="dxa"/>
            <w:vAlign w:val="bottom"/>
            <w:gridSpan w:val="18"/>
          </w:tcPr>
          <w:p>
            <w:pPr>
              <w:spacing w:after="0"/>
              <w:rPr>
                <w:rFonts w:ascii="Arial" w:cs="Arial" w:eastAsia="Arial" w:hAnsi="Arial"/>
                <w:sz w:val="16"/>
                <w:szCs w:val="16"/>
                <w:color w:val="0000FF"/>
                <w:w w:val="96"/>
              </w:rPr>
            </w:pPr>
            <w:hyperlink r:id="rId17">
              <w:r>
                <w:rPr>
                  <w:rFonts w:ascii="Arial" w:cs="Arial" w:eastAsia="Arial" w:hAnsi="Arial"/>
                  <w:sz w:val="16"/>
                  <w:szCs w:val="16"/>
                  <w:color w:val="0000FF"/>
                  <w:w w:val="96"/>
                </w:rPr>
                <w:t>Purchase and Sale Agreement, dated as of November 4, 2014, by and between NRG</w:t>
              </w:r>
            </w:hyperlink>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440" w:type="dxa"/>
            <w:vAlign w:val="bottom"/>
            <w:tcBorders>
              <w:top w:val="single" w:sz="8" w:color="0000FF"/>
            </w:tcBorders>
            <w:gridSpan w:val="10"/>
          </w:tcPr>
          <w:p>
            <w:pPr>
              <w:spacing w:after="0" w:line="183" w:lineRule="exact"/>
              <w:rPr>
                <w:rFonts w:ascii="Arial" w:cs="Arial" w:eastAsia="Arial" w:hAnsi="Arial"/>
                <w:sz w:val="16"/>
                <w:szCs w:val="16"/>
                <w:color w:val="0000FF"/>
              </w:rPr>
            </w:pPr>
            <w:hyperlink r:id="rId17">
              <w:r>
                <w:rPr>
                  <w:rFonts w:ascii="Arial" w:cs="Arial" w:eastAsia="Arial" w:hAnsi="Arial"/>
                  <w:sz w:val="16"/>
                  <w:szCs w:val="16"/>
                  <w:color w:val="0000FF"/>
                </w:rPr>
                <w:t>Arroyo Nogales LLC and NRG Yield Operating LLC.</w:t>
              </w:r>
            </w:hyperlink>
          </w:p>
        </w:tc>
        <w:tc>
          <w:tcPr>
            <w:tcW w:w="40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76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6"/>
                <w:szCs w:val="16"/>
                <w:color w:val="auto"/>
              </w:rPr>
              <w:t>2.7*^</w:t>
            </w:r>
          </w:p>
        </w:tc>
        <w:tc>
          <w:tcPr>
            <w:tcW w:w="5560" w:type="dxa"/>
            <w:vAlign w:val="bottom"/>
            <w:tcBorders>
              <w:bottom w:val="single" w:sz="8" w:color="0000FF"/>
            </w:tcBorders>
            <w:gridSpan w:val="12"/>
          </w:tcPr>
          <w:p>
            <w:pPr>
              <w:spacing w:after="0"/>
              <w:rPr>
                <w:rFonts w:ascii="Arial" w:cs="Arial" w:eastAsia="Arial" w:hAnsi="Arial"/>
                <w:sz w:val="16"/>
                <w:szCs w:val="16"/>
                <w:color w:val="0000FF"/>
                <w:w w:val="89"/>
              </w:rPr>
            </w:pPr>
            <w:hyperlink r:id="rId18">
              <w:r>
                <w:rPr>
                  <w:rFonts w:ascii="Arial" w:cs="Arial" w:eastAsia="Arial" w:hAnsi="Arial"/>
                  <w:sz w:val="16"/>
                  <w:szCs w:val="16"/>
                  <w:color w:val="0000FF"/>
                  <w:w w:val="89"/>
                </w:rPr>
                <w:t>Purchase and Sale Agreement, dated as of June 17, 2015, by and between EFS Desert</w:t>
              </w:r>
            </w:hyperlink>
          </w:p>
        </w:tc>
        <w:tc>
          <w:tcPr>
            <w:tcW w:w="280" w:type="dxa"/>
            <w:vAlign w:val="bottom"/>
            <w:gridSpan w:val="6"/>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760" w:type="dxa"/>
            <w:vAlign w:val="bottom"/>
            <w:tcBorders>
              <w:bottom w:val="single" w:sz="8" w:color="0000FF"/>
            </w:tcBorders>
            <w:gridSpan w:val="3"/>
          </w:tcPr>
          <w:p>
            <w:pPr>
              <w:spacing w:after="0" w:line="183" w:lineRule="exact"/>
              <w:rPr>
                <w:rFonts w:ascii="Arial" w:cs="Arial" w:eastAsia="Arial" w:hAnsi="Arial"/>
                <w:sz w:val="16"/>
                <w:szCs w:val="16"/>
                <w:color w:val="0000FF"/>
                <w:w w:val="94"/>
              </w:rPr>
            </w:pPr>
            <w:hyperlink r:id="rId18">
              <w:r>
                <w:rPr>
                  <w:rFonts w:ascii="Arial" w:cs="Arial" w:eastAsia="Arial" w:hAnsi="Arial"/>
                  <w:sz w:val="16"/>
                  <w:szCs w:val="16"/>
                  <w:color w:val="0000FF"/>
                  <w:w w:val="94"/>
                </w:rPr>
                <w:t>Sun, LLC and NRG Yield Operating LLC.</w:t>
              </w:r>
            </w:hyperlink>
          </w:p>
        </w:tc>
        <w:tc>
          <w:tcPr>
            <w:tcW w:w="3080" w:type="dxa"/>
            <w:vAlign w:val="bottom"/>
            <w:gridSpan w:val="15"/>
          </w:tcPr>
          <w:p>
            <w:pPr>
              <w:spacing w:after="0"/>
              <w:rPr>
                <w:sz w:val="15"/>
                <w:szCs w:val="15"/>
                <w:color w:val="auto"/>
              </w:rPr>
            </w:pPr>
          </w:p>
        </w:tc>
        <w:tc>
          <w:tcPr>
            <w:tcW w:w="0" w:type="dxa"/>
            <w:vAlign w:val="bottom"/>
          </w:tcPr>
          <w:p>
            <w:pPr>
              <w:spacing w:after="0"/>
              <w:rPr>
                <w:sz w:val="1"/>
                <w:szCs w:val="1"/>
                <w:color w:val="auto"/>
              </w:rPr>
            </w:pPr>
          </w:p>
        </w:tc>
      </w:tr>
      <w:tr>
        <w:trPr>
          <w:trHeight w:val="271"/>
        </w:trPr>
        <w:tc>
          <w:tcPr>
            <w:tcW w:w="1040" w:type="dxa"/>
            <w:vAlign w:val="bottom"/>
          </w:tcPr>
          <w:p>
            <w:pPr>
              <w:spacing w:after="0"/>
              <w:rPr>
                <w:sz w:val="20"/>
                <w:szCs w:val="20"/>
                <w:color w:val="auto"/>
              </w:rPr>
            </w:pPr>
            <w:r>
              <w:rPr>
                <w:rFonts w:ascii="Arial" w:cs="Arial" w:eastAsia="Arial" w:hAnsi="Arial"/>
                <w:sz w:val="16"/>
                <w:szCs w:val="16"/>
                <w:color w:val="auto"/>
              </w:rPr>
              <w:t>2.8</w:t>
            </w:r>
          </w:p>
        </w:tc>
        <w:tc>
          <w:tcPr>
            <w:tcW w:w="5540" w:type="dxa"/>
            <w:vAlign w:val="bottom"/>
            <w:gridSpan w:val="11"/>
            <w:vMerge w:val="restart"/>
          </w:tcPr>
          <w:p>
            <w:pPr>
              <w:spacing w:after="0"/>
              <w:rPr>
                <w:rFonts w:ascii="Arial" w:cs="Arial" w:eastAsia="Arial" w:hAnsi="Arial"/>
                <w:sz w:val="16"/>
                <w:szCs w:val="16"/>
                <w:color w:val="0000FF"/>
                <w:w w:val="89"/>
              </w:rPr>
            </w:pPr>
            <w:hyperlink r:id="rId19">
              <w:r>
                <w:rPr>
                  <w:rFonts w:ascii="Arial" w:cs="Arial" w:eastAsia="Arial" w:hAnsi="Arial"/>
                  <w:sz w:val="16"/>
                  <w:szCs w:val="16"/>
                  <w:color w:val="0000FF"/>
                  <w:w w:val="89"/>
                </w:rPr>
                <w:t>Purchase and Sale Agreement, dated as of September 17, 2015, by and between NRG</w:t>
              </w:r>
            </w:hyperlink>
          </w:p>
        </w:tc>
        <w:tc>
          <w:tcPr>
            <w:tcW w:w="300" w:type="dxa"/>
            <w:vAlign w:val="bottom"/>
            <w:gridSpan w:val="7"/>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52"/>
        </w:trPr>
        <w:tc>
          <w:tcPr>
            <w:tcW w:w="1040" w:type="dxa"/>
            <w:vAlign w:val="bottom"/>
          </w:tcPr>
          <w:p>
            <w:pPr>
              <w:spacing w:after="0"/>
              <w:rPr>
                <w:sz w:val="4"/>
                <w:szCs w:val="4"/>
                <w:color w:val="auto"/>
              </w:rPr>
            </w:pPr>
          </w:p>
        </w:tc>
        <w:tc>
          <w:tcPr>
            <w:tcW w:w="5540" w:type="dxa"/>
            <w:vAlign w:val="bottom"/>
            <w:tcBorders>
              <w:bottom w:val="single" w:sz="8" w:color="0000FF"/>
            </w:tcBorders>
            <w:gridSpan w:val="11"/>
            <w:vMerge w:val="continue"/>
          </w:tcPr>
          <w:p>
            <w:pPr>
              <w:spacing w:after="0"/>
              <w:rPr>
                <w:sz w:val="4"/>
                <w:szCs w:val="4"/>
                <w:color w:val="auto"/>
              </w:rPr>
            </w:pPr>
          </w:p>
        </w:tc>
        <w:tc>
          <w:tcPr>
            <w:tcW w:w="30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840" w:type="dxa"/>
            <w:vAlign w:val="bottom"/>
            <w:gridSpan w:val="18"/>
          </w:tcPr>
          <w:p>
            <w:pPr>
              <w:spacing w:after="0" w:line="183" w:lineRule="exact"/>
              <w:rPr>
                <w:rFonts w:ascii="Arial" w:cs="Arial" w:eastAsia="Arial" w:hAnsi="Arial"/>
                <w:sz w:val="16"/>
                <w:szCs w:val="16"/>
                <w:color w:val="0000FF"/>
              </w:rPr>
            </w:pPr>
            <w:hyperlink r:id="rId19">
              <w:r>
                <w:rPr>
                  <w:rFonts w:ascii="Arial" w:cs="Arial" w:eastAsia="Arial" w:hAnsi="Arial"/>
                  <w:sz w:val="16"/>
                  <w:szCs w:val="16"/>
                  <w:color w:val="0000FF"/>
                </w:rPr>
                <w:t>Energy Gas &amp; Wind Holdings, Inc. and NRG Yield Operating LLC.</w:t>
              </w:r>
            </w:hyperlink>
          </w:p>
        </w:tc>
        <w:tc>
          <w:tcPr>
            <w:tcW w:w="0" w:type="dxa"/>
            <w:vAlign w:val="bottom"/>
          </w:tcPr>
          <w:p>
            <w:pPr>
              <w:spacing w:after="0"/>
              <w:rPr>
                <w:sz w:val="1"/>
                <w:szCs w:val="1"/>
                <w:color w:val="auto"/>
              </w:rPr>
            </w:pPr>
          </w:p>
        </w:tc>
      </w:tr>
      <w:tr>
        <w:trPr>
          <w:trHeight w:val="20"/>
        </w:trPr>
        <w:tc>
          <w:tcPr>
            <w:tcW w:w="1040" w:type="dxa"/>
            <w:vAlign w:val="bottom"/>
            <w:vMerge w:val="restart"/>
          </w:tcPr>
          <w:p>
            <w:pPr>
              <w:spacing w:after="0"/>
              <w:rPr>
                <w:sz w:val="20"/>
                <w:szCs w:val="20"/>
                <w:color w:val="auto"/>
              </w:rPr>
            </w:pPr>
            <w:r>
              <w:rPr>
                <w:rFonts w:ascii="Arial" w:cs="Arial" w:eastAsia="Arial" w:hAnsi="Arial"/>
                <w:sz w:val="16"/>
                <w:szCs w:val="16"/>
                <w:color w:val="auto"/>
              </w:rPr>
              <w:t>2.9</w:t>
            </w:r>
          </w:p>
        </w:tc>
        <w:tc>
          <w:tcPr>
            <w:tcW w:w="104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5"/>
        </w:trPr>
        <w:tc>
          <w:tcPr>
            <w:tcW w:w="1040" w:type="dxa"/>
            <w:vAlign w:val="bottom"/>
            <w:vMerge w:val="continue"/>
          </w:tcPr>
          <w:p>
            <w:pPr>
              <w:spacing w:after="0"/>
              <w:rPr>
                <w:sz w:val="24"/>
                <w:szCs w:val="24"/>
                <w:color w:val="auto"/>
              </w:rPr>
            </w:pPr>
          </w:p>
        </w:tc>
        <w:tc>
          <w:tcPr>
            <w:tcW w:w="5840" w:type="dxa"/>
            <w:vAlign w:val="bottom"/>
            <w:gridSpan w:val="18"/>
            <w:vMerge w:val="restart"/>
          </w:tcPr>
          <w:p>
            <w:pPr>
              <w:spacing w:after="0"/>
              <w:rPr>
                <w:rFonts w:ascii="Arial" w:cs="Arial" w:eastAsia="Arial" w:hAnsi="Arial"/>
                <w:sz w:val="16"/>
                <w:szCs w:val="16"/>
                <w:color w:val="0000FF"/>
                <w:w w:val="94"/>
              </w:rPr>
            </w:pPr>
            <w:hyperlink r:id="rId20">
              <w:r>
                <w:rPr>
                  <w:rFonts w:ascii="Arial" w:cs="Arial" w:eastAsia="Arial" w:hAnsi="Arial"/>
                  <w:sz w:val="16"/>
                  <w:szCs w:val="16"/>
                  <w:color w:val="0000FF"/>
                  <w:w w:val="94"/>
                </w:rPr>
                <w:t>Purchase and Sale Agreement, dated as of August 8, 2016, between NRG Solar CVSR</w:t>
              </w:r>
            </w:hyperlink>
          </w:p>
        </w:tc>
        <w:tc>
          <w:tcPr>
            <w:tcW w:w="0" w:type="dxa"/>
            <w:vAlign w:val="bottom"/>
          </w:tcPr>
          <w:p>
            <w:pPr>
              <w:spacing w:after="0"/>
              <w:rPr>
                <w:sz w:val="1"/>
                <w:szCs w:val="1"/>
                <w:color w:val="auto"/>
              </w:rPr>
            </w:pPr>
          </w:p>
        </w:tc>
      </w:tr>
      <w:tr>
        <w:trPr>
          <w:trHeight w:val="47"/>
        </w:trPr>
        <w:tc>
          <w:tcPr>
            <w:tcW w:w="1040" w:type="dxa"/>
            <w:vAlign w:val="bottom"/>
          </w:tcPr>
          <w:p>
            <w:pPr>
              <w:spacing w:after="0"/>
              <w:rPr>
                <w:sz w:val="4"/>
                <w:szCs w:val="4"/>
                <w:color w:val="auto"/>
              </w:rPr>
            </w:pPr>
          </w:p>
        </w:tc>
        <w:tc>
          <w:tcPr>
            <w:tcW w:w="5840" w:type="dxa"/>
            <w:vAlign w:val="bottom"/>
            <w:gridSpan w:val="1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600" w:type="dxa"/>
            <w:vAlign w:val="bottom"/>
            <w:tcBorders>
              <w:top w:val="single" w:sz="8" w:color="0000FF"/>
            </w:tcBorders>
            <w:gridSpan w:val="13"/>
          </w:tcPr>
          <w:p>
            <w:pPr>
              <w:spacing w:after="0" w:line="183" w:lineRule="exact"/>
              <w:rPr>
                <w:rFonts w:ascii="Arial" w:cs="Arial" w:eastAsia="Arial" w:hAnsi="Arial"/>
                <w:sz w:val="16"/>
                <w:szCs w:val="16"/>
                <w:color w:val="0000FF"/>
              </w:rPr>
            </w:pPr>
            <w:hyperlink r:id="rId20">
              <w:r>
                <w:rPr>
                  <w:rFonts w:ascii="Arial" w:cs="Arial" w:eastAsia="Arial" w:hAnsi="Arial"/>
                  <w:sz w:val="16"/>
                  <w:szCs w:val="16"/>
                  <w:color w:val="0000FF"/>
                </w:rPr>
                <w:t>Holdings 2 LLC and NRG Yield Operating LLC.</w:t>
              </w:r>
            </w:hyperlink>
          </w:p>
        </w:tc>
        <w:tc>
          <w:tcPr>
            <w:tcW w:w="24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180" w:type="dxa"/>
            <w:vAlign w:val="bottom"/>
            <w:gridSpan w:val="4"/>
            <w:shd w:val="clear" w:color="auto" w:fill="0000FF"/>
          </w:tcPr>
          <w:p>
            <w:pPr>
              <w:spacing w:after="0" w:line="20" w:lineRule="exact"/>
              <w:rPr>
                <w:sz w:val="1"/>
                <w:szCs w:val="1"/>
                <w:color w:val="auto"/>
              </w:rPr>
            </w:pPr>
          </w:p>
        </w:tc>
        <w:tc>
          <w:tcPr>
            <w:tcW w:w="2460" w:type="dxa"/>
            <w:vAlign w:val="bottom"/>
            <w:gridSpan w:val="10"/>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040" w:type="dxa"/>
            <w:vAlign w:val="bottom"/>
          </w:tcPr>
          <w:p>
            <w:pPr>
              <w:spacing w:after="0"/>
              <w:rPr>
                <w:sz w:val="20"/>
                <w:szCs w:val="20"/>
                <w:color w:val="auto"/>
              </w:rPr>
            </w:pPr>
            <w:r>
              <w:rPr>
                <w:rFonts w:ascii="Arial" w:cs="Arial" w:eastAsia="Arial" w:hAnsi="Arial"/>
                <w:sz w:val="16"/>
                <w:szCs w:val="16"/>
                <w:color w:val="auto"/>
              </w:rPr>
              <w:t>2.10*</w:t>
            </w:r>
          </w:p>
        </w:tc>
        <w:tc>
          <w:tcPr>
            <w:tcW w:w="5840" w:type="dxa"/>
            <w:vAlign w:val="bottom"/>
            <w:gridSpan w:val="18"/>
          </w:tcPr>
          <w:p>
            <w:pPr>
              <w:spacing w:after="0"/>
              <w:rPr>
                <w:rFonts w:ascii="Arial" w:cs="Arial" w:eastAsia="Arial" w:hAnsi="Arial"/>
                <w:sz w:val="16"/>
                <w:szCs w:val="16"/>
                <w:color w:val="0000FF"/>
                <w:w w:val="92"/>
              </w:rPr>
            </w:pPr>
            <w:hyperlink r:id="rId21">
              <w:r>
                <w:rPr>
                  <w:rFonts w:ascii="Arial" w:cs="Arial" w:eastAsia="Arial" w:hAnsi="Arial"/>
                  <w:sz w:val="16"/>
                  <w:szCs w:val="16"/>
                  <w:color w:val="0000FF"/>
                  <w:w w:val="92"/>
                </w:rPr>
                <w:t>Purchase and Sale Agreement, dated as of February 6, 2018, by and between NRG Gas</w:t>
              </w:r>
            </w:hyperlink>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4040" w:type="dxa"/>
            <w:vAlign w:val="bottom"/>
            <w:tcBorders>
              <w:top w:val="single" w:sz="8" w:color="0000FF"/>
              <w:bottom w:val="single" w:sz="8" w:color="0000FF"/>
            </w:tcBorders>
            <w:gridSpan w:val="6"/>
          </w:tcPr>
          <w:p>
            <w:pPr>
              <w:spacing w:after="0" w:line="183" w:lineRule="exact"/>
              <w:rPr>
                <w:rFonts w:ascii="Arial" w:cs="Arial" w:eastAsia="Arial" w:hAnsi="Arial"/>
                <w:sz w:val="16"/>
                <w:szCs w:val="16"/>
                <w:color w:val="0000FF"/>
                <w:w w:val="93"/>
              </w:rPr>
            </w:pPr>
            <w:hyperlink r:id="rId21">
              <w:r>
                <w:rPr>
                  <w:rFonts w:ascii="Arial" w:cs="Arial" w:eastAsia="Arial" w:hAnsi="Arial"/>
                  <w:sz w:val="16"/>
                  <w:szCs w:val="16"/>
                  <w:color w:val="0000FF"/>
                  <w:w w:val="93"/>
                </w:rPr>
                <w:t>Development Company, LLC and NRG Yield Operating LLC.</w:t>
              </w:r>
            </w:hyperlink>
          </w:p>
        </w:tc>
        <w:tc>
          <w:tcPr>
            <w:tcW w:w="1600" w:type="dxa"/>
            <w:vAlign w:val="bottom"/>
            <w:tcBorders>
              <w:top w:val="single" w:sz="8" w:color="0000FF"/>
            </w:tcBorders>
            <w:gridSpan w:val="8"/>
          </w:tcPr>
          <w:p>
            <w:pPr>
              <w:spacing w:after="0"/>
              <w:rPr>
                <w:sz w:val="15"/>
                <w:szCs w:val="15"/>
                <w:color w:val="auto"/>
              </w:rPr>
            </w:pPr>
          </w:p>
        </w:tc>
        <w:tc>
          <w:tcPr>
            <w:tcW w:w="20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Method of Filing</w:t>
      </w:r>
    </w:p>
    <w:p>
      <w:pPr>
        <w:spacing w:after="0" w:line="77" w:lineRule="exact"/>
        <w:rPr>
          <w:sz w:val="20"/>
          <w:szCs w:val="20"/>
          <w:color w:val="auto"/>
        </w:rPr>
      </w:pPr>
    </w:p>
    <w:p>
      <w:pPr>
        <w:ind w:right="20"/>
        <w:spacing w:after="0" w:line="319" w:lineRule="auto"/>
        <w:rPr>
          <w:sz w:val="20"/>
          <w:szCs w:val="20"/>
          <w:color w:val="auto"/>
        </w:rPr>
      </w:pPr>
      <w:r>
        <w:rPr>
          <w:rFonts w:ascii="Arial" w:cs="Arial" w:eastAsia="Arial" w:hAnsi="Arial"/>
          <w:sz w:val="15"/>
          <w:szCs w:val="15"/>
          <w:color w:val="auto"/>
        </w:rPr>
        <w:t>Incorporated herein by reference to Exhibit 2.1 to the Company’s Current Report on Form 8-K filed on May 9, 2014.</w:t>
      </w:r>
    </w:p>
    <w:p>
      <w:pPr>
        <w:spacing w:after="0" w:line="1" w:lineRule="exact"/>
        <w:rPr>
          <w:sz w:val="20"/>
          <w:szCs w:val="20"/>
          <w:color w:val="auto"/>
        </w:rPr>
      </w:pPr>
    </w:p>
    <w:p>
      <w:pPr>
        <w:ind w:right="20"/>
        <w:spacing w:after="0" w:line="319" w:lineRule="auto"/>
        <w:rPr>
          <w:sz w:val="20"/>
          <w:szCs w:val="20"/>
          <w:color w:val="auto"/>
        </w:rPr>
      </w:pPr>
      <w:r>
        <w:rPr>
          <w:rFonts w:ascii="Arial" w:cs="Arial" w:eastAsia="Arial" w:hAnsi="Arial"/>
          <w:sz w:val="15"/>
          <w:szCs w:val="15"/>
          <w:color w:val="auto"/>
        </w:rPr>
        <w:t>Incorporated herein by reference to Exhibit 2.2 to the Company’s Current Report on Form 8-K filed on May 9, 2014.</w:t>
      </w:r>
    </w:p>
    <w:p>
      <w:pPr>
        <w:spacing w:after="0" w:line="1" w:lineRule="exact"/>
        <w:rPr>
          <w:sz w:val="20"/>
          <w:szCs w:val="20"/>
          <w:color w:val="auto"/>
        </w:rPr>
      </w:pPr>
    </w:p>
    <w:p>
      <w:pPr>
        <w:ind w:right="20"/>
        <w:spacing w:after="0" w:line="319" w:lineRule="auto"/>
        <w:rPr>
          <w:sz w:val="20"/>
          <w:szCs w:val="20"/>
          <w:color w:val="auto"/>
        </w:rPr>
      </w:pPr>
      <w:r>
        <w:rPr>
          <w:rFonts w:ascii="Arial" w:cs="Arial" w:eastAsia="Arial" w:hAnsi="Arial"/>
          <w:sz w:val="15"/>
          <w:szCs w:val="15"/>
          <w:color w:val="auto"/>
        </w:rPr>
        <w:t>Incorporated herein by reference to Exhibit 2.3 to the Company’s Current Report on Form 8-K filed on May 9, 2014.</w:t>
      </w:r>
    </w:p>
    <w:p>
      <w:pPr>
        <w:spacing w:after="0" w:line="1" w:lineRule="exact"/>
        <w:rPr>
          <w:sz w:val="20"/>
          <w:szCs w:val="20"/>
          <w:color w:val="auto"/>
        </w:rPr>
      </w:pPr>
    </w:p>
    <w:p>
      <w:pPr>
        <w:ind w:right="160"/>
        <w:spacing w:after="0" w:line="369" w:lineRule="auto"/>
        <w:rPr>
          <w:sz w:val="20"/>
          <w:szCs w:val="20"/>
          <w:color w:val="auto"/>
        </w:rPr>
      </w:pPr>
      <w:r>
        <w:rPr>
          <w:rFonts w:ascii="Arial" w:cs="Arial" w:eastAsia="Arial" w:hAnsi="Arial"/>
          <w:sz w:val="14"/>
          <w:szCs w:val="14"/>
          <w:color w:val="auto"/>
        </w:rPr>
        <w:t>Incorporated herein by reference to Exhibit 10.1 to the Company’s Current Report on Form 8-K filed on June 9, 2014.</w:t>
      </w:r>
    </w:p>
    <w:p>
      <w:pPr>
        <w:spacing w:after="0" w:line="369" w:lineRule="exact"/>
        <w:rPr>
          <w:sz w:val="20"/>
          <w:szCs w:val="20"/>
          <w:color w:val="auto"/>
        </w:rPr>
      </w:pPr>
    </w:p>
    <w:p>
      <w:pPr>
        <w:ind w:right="40"/>
        <w:spacing w:after="0" w:line="342" w:lineRule="auto"/>
        <w:rPr>
          <w:sz w:val="20"/>
          <w:szCs w:val="20"/>
          <w:color w:val="auto"/>
        </w:rPr>
      </w:pPr>
      <w:r>
        <w:rPr>
          <w:rFonts w:ascii="Arial" w:cs="Arial" w:eastAsia="Arial" w:hAnsi="Arial"/>
          <w:sz w:val="14"/>
          <w:szCs w:val="14"/>
          <w:color w:val="auto"/>
        </w:rPr>
        <w:t>Incorporated herein by reference to Exhibit 2.1 to the Company's Current Report on Form 8-K filed on November 7, 2014.</w:t>
      </w:r>
    </w:p>
    <w:p>
      <w:pPr>
        <w:ind w:right="40"/>
        <w:spacing w:after="0" w:line="342" w:lineRule="auto"/>
        <w:rPr>
          <w:sz w:val="20"/>
          <w:szCs w:val="20"/>
          <w:color w:val="auto"/>
        </w:rPr>
      </w:pPr>
      <w:r>
        <w:rPr>
          <w:rFonts w:ascii="Arial" w:cs="Arial" w:eastAsia="Arial" w:hAnsi="Arial"/>
          <w:sz w:val="14"/>
          <w:szCs w:val="14"/>
          <w:color w:val="auto"/>
        </w:rPr>
        <w:t>Incorporated herein by reference to Exhibit 2.2 to the Company's Current Report on Form 8-K filed on November 7, 2014.</w:t>
      </w:r>
    </w:p>
    <w:p>
      <w:pPr>
        <w:ind w:right="40"/>
        <w:spacing w:after="0" w:line="369" w:lineRule="auto"/>
        <w:rPr>
          <w:sz w:val="20"/>
          <w:szCs w:val="20"/>
          <w:color w:val="auto"/>
        </w:rPr>
      </w:pPr>
      <w:r>
        <w:rPr>
          <w:rFonts w:ascii="Arial" w:cs="Arial" w:eastAsia="Arial" w:hAnsi="Arial"/>
          <w:sz w:val="14"/>
          <w:szCs w:val="14"/>
          <w:color w:val="auto"/>
        </w:rPr>
        <w:t>Incorporated herein by reference to Exhibit 2.1 to the Company's Quarterly Report on Form 10-Q filed on August 4, 2015.</w:t>
      </w:r>
    </w:p>
    <w:p>
      <w:pPr>
        <w:spacing w:after="0" w:line="45" w:lineRule="exact"/>
        <w:rPr>
          <w:sz w:val="20"/>
          <w:szCs w:val="20"/>
          <w:color w:val="auto"/>
        </w:rPr>
      </w:pPr>
    </w:p>
    <w:p>
      <w:pPr>
        <w:ind w:right="40"/>
        <w:spacing w:after="0" w:line="369" w:lineRule="auto"/>
        <w:rPr>
          <w:sz w:val="20"/>
          <w:szCs w:val="20"/>
          <w:color w:val="auto"/>
        </w:rPr>
      </w:pPr>
      <w:r>
        <w:rPr>
          <w:rFonts w:ascii="Arial" w:cs="Arial" w:eastAsia="Arial" w:hAnsi="Arial"/>
          <w:sz w:val="14"/>
          <w:szCs w:val="14"/>
          <w:color w:val="auto"/>
        </w:rPr>
        <w:t>Incorporated herein by reference to Exhibit 2.1 to the Company's Current Report on Form 8-K filed on September 21, 2015.</w:t>
      </w:r>
    </w:p>
    <w:p>
      <w:pPr>
        <w:spacing w:after="0" w:line="329" w:lineRule="exact"/>
        <w:rPr>
          <w:sz w:val="20"/>
          <w:szCs w:val="20"/>
          <w:color w:val="auto"/>
        </w:rPr>
      </w:pPr>
    </w:p>
    <w:p>
      <w:pPr>
        <w:spacing w:after="0" w:line="369" w:lineRule="auto"/>
        <w:rPr>
          <w:sz w:val="20"/>
          <w:szCs w:val="20"/>
          <w:color w:val="auto"/>
        </w:rPr>
      </w:pPr>
      <w:r>
        <w:rPr>
          <w:rFonts w:ascii="Arial" w:cs="Arial" w:eastAsia="Arial" w:hAnsi="Arial"/>
          <w:sz w:val="14"/>
          <w:szCs w:val="14"/>
          <w:color w:val="auto"/>
        </w:rPr>
        <w:t>Incorporated herein by reference to Exhibit 2.1 to the Registrant's Current Report on Form 8-K, filed on August 9, 2016.</w:t>
      </w:r>
    </w:p>
    <w:p>
      <w:pPr>
        <w:spacing w:after="0" w:line="329" w:lineRule="exact"/>
        <w:rPr>
          <w:sz w:val="20"/>
          <w:szCs w:val="20"/>
          <w:color w:val="auto"/>
        </w:rPr>
      </w:pPr>
    </w:p>
    <w:p>
      <w:pPr>
        <w:ind w:right="320"/>
        <w:spacing w:after="0" w:line="278" w:lineRule="auto"/>
        <w:rPr>
          <w:sz w:val="20"/>
          <w:szCs w:val="20"/>
          <w:color w:val="auto"/>
        </w:rPr>
      </w:pPr>
      <w:r>
        <w:rPr>
          <w:rFonts w:ascii="Arial" w:cs="Arial" w:eastAsia="Arial" w:hAnsi="Arial"/>
          <w:sz w:val="16"/>
          <w:szCs w:val="16"/>
          <w:color w:val="auto"/>
        </w:rPr>
        <w:t>Incorporated herein by reference to Exhibit 2.10 to the Registrant's Annual Report on Form 10-K, filed on March 1, 2018.</w:t>
      </w:r>
    </w:p>
    <w:p>
      <w:pPr>
        <w:spacing w:after="0" w:line="91" w:lineRule="exact"/>
        <w:rPr>
          <w:sz w:val="20"/>
          <w:szCs w:val="20"/>
          <w:color w:val="auto"/>
        </w:rPr>
      </w:pPr>
    </w:p>
    <w:p>
      <w:pPr>
        <w:sectPr>
          <w:pgSz w:w="11900" w:h="16838" w:orient="portrait"/>
          <w:cols w:equalWidth="0" w:num="2">
            <w:col w:w="6880" w:space="200"/>
            <w:col w:w="4240"/>
          </w:cols>
          <w:pgMar w:left="280" w:top="580" w:right="299" w:bottom="1440" w:gutter="0" w:footer="0" w:header="0"/>
        </w:sectPr>
      </w:pPr>
    </w:p>
    <w:tbl>
      <w:tblPr>
        <w:tblLayout w:type="fixed"/>
        <w:tblInd w:w="0" w:type="dxa"/>
        <w:tblCellMar>
          <w:top w:w="0" w:type="dxa"/>
          <w:left w:w="0" w:type="dxa"/>
          <w:bottom w:w="0" w:type="dxa"/>
          <w:right w:w="0" w:type="dxa"/>
        </w:tblCellMar>
      </w:tblPr>
      <w:tr>
        <w:trPr>
          <w:trHeight w:val="184"/>
        </w:trPr>
        <w:tc>
          <w:tcPr>
            <w:tcW w:w="1040" w:type="dxa"/>
            <w:vAlign w:val="bottom"/>
          </w:tcPr>
          <w:p>
            <w:pPr>
              <w:jc w:val="right"/>
              <w:ind w:right="759"/>
              <w:spacing w:after="0"/>
              <w:rPr>
                <w:sz w:val="20"/>
                <w:szCs w:val="20"/>
                <w:color w:val="auto"/>
              </w:rPr>
            </w:pPr>
            <w:r>
              <w:rPr>
                <w:rFonts w:ascii="Arial" w:cs="Arial" w:eastAsia="Arial" w:hAnsi="Arial"/>
                <w:sz w:val="16"/>
                <w:szCs w:val="16"/>
                <w:color w:val="auto"/>
                <w:w w:val="80"/>
              </w:rPr>
              <w:t>3.1</w:t>
            </w:r>
          </w:p>
        </w:tc>
        <w:tc>
          <w:tcPr>
            <w:tcW w:w="5760" w:type="dxa"/>
            <w:vAlign w:val="bottom"/>
            <w:gridSpan w:val="13"/>
          </w:tcPr>
          <w:p>
            <w:pPr>
              <w:spacing w:after="0"/>
              <w:rPr>
                <w:rFonts w:ascii="Arial" w:cs="Arial" w:eastAsia="Arial" w:hAnsi="Arial"/>
                <w:sz w:val="16"/>
                <w:szCs w:val="16"/>
                <w:color w:val="0000FF"/>
              </w:rPr>
            </w:pPr>
            <w:hyperlink r:id="rId22">
              <w:r>
                <w:rPr>
                  <w:rFonts w:ascii="Arial" w:cs="Arial" w:eastAsia="Arial" w:hAnsi="Arial"/>
                  <w:sz w:val="16"/>
                  <w:szCs w:val="16"/>
                  <w:color w:val="0000FF"/>
                </w:rPr>
                <w:t>Restated Certificate of Incorporation of NRG Yield, Inc., dated as of May 2, 2016.</w:t>
              </w:r>
            </w:hyperlink>
          </w:p>
        </w:tc>
      </w:tr>
      <w:tr>
        <w:trPr>
          <w:trHeight w:val="20"/>
        </w:trPr>
        <w:tc>
          <w:tcPr>
            <w:tcW w:w="104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040" w:type="dxa"/>
            <w:vAlign w:val="bottom"/>
          </w:tcPr>
          <w:p>
            <w:pPr>
              <w:jc w:val="right"/>
              <w:ind w:right="759"/>
              <w:spacing w:after="0"/>
              <w:rPr>
                <w:sz w:val="20"/>
                <w:szCs w:val="20"/>
                <w:color w:val="auto"/>
              </w:rPr>
            </w:pPr>
            <w:r>
              <w:rPr>
                <w:rFonts w:ascii="Arial" w:cs="Arial" w:eastAsia="Arial" w:hAnsi="Arial"/>
                <w:sz w:val="16"/>
                <w:szCs w:val="16"/>
                <w:color w:val="auto"/>
                <w:w w:val="80"/>
              </w:rPr>
              <w:t>3.2</w:t>
            </w:r>
          </w:p>
        </w:tc>
        <w:tc>
          <w:tcPr>
            <w:tcW w:w="5760" w:type="dxa"/>
            <w:vAlign w:val="bottom"/>
            <w:gridSpan w:val="13"/>
          </w:tcPr>
          <w:p>
            <w:pPr>
              <w:spacing w:after="0"/>
              <w:rPr>
                <w:rFonts w:ascii="Arial" w:cs="Arial" w:eastAsia="Arial" w:hAnsi="Arial"/>
                <w:sz w:val="16"/>
                <w:szCs w:val="16"/>
                <w:color w:val="0000FF"/>
                <w:w w:val="99"/>
              </w:rPr>
            </w:pPr>
            <w:hyperlink r:id="rId23">
              <w:r>
                <w:rPr>
                  <w:rFonts w:ascii="Arial" w:cs="Arial" w:eastAsia="Arial" w:hAnsi="Arial"/>
                  <w:sz w:val="16"/>
                  <w:szCs w:val="16"/>
                  <w:color w:val="0000FF"/>
                  <w:w w:val="99"/>
                </w:rPr>
                <w:t>Certificate of Amendment for the Restated Certificate of Incorporated of Clearway</w:t>
              </w:r>
            </w:hyperlink>
          </w:p>
        </w:tc>
      </w:tr>
      <w:tr>
        <w:trPr>
          <w:trHeight w:val="183"/>
        </w:trPr>
        <w:tc>
          <w:tcPr>
            <w:tcW w:w="1040" w:type="dxa"/>
            <w:vAlign w:val="bottom"/>
          </w:tcPr>
          <w:p>
            <w:pPr>
              <w:spacing w:after="0"/>
              <w:rPr>
                <w:sz w:val="15"/>
                <w:szCs w:val="15"/>
                <w:color w:val="auto"/>
              </w:rPr>
            </w:pPr>
          </w:p>
        </w:tc>
        <w:tc>
          <w:tcPr>
            <w:tcW w:w="5360" w:type="dxa"/>
            <w:vAlign w:val="bottom"/>
            <w:tcBorders>
              <w:top w:val="single" w:sz="8" w:color="0000FF"/>
            </w:tcBorders>
            <w:gridSpan w:val="8"/>
          </w:tcPr>
          <w:p>
            <w:pPr>
              <w:spacing w:after="0" w:line="183" w:lineRule="exact"/>
              <w:rPr>
                <w:rFonts w:ascii="Arial" w:cs="Arial" w:eastAsia="Arial" w:hAnsi="Arial"/>
                <w:sz w:val="16"/>
                <w:szCs w:val="16"/>
                <w:color w:val="0000FF"/>
              </w:rPr>
            </w:pPr>
            <w:hyperlink r:id="rId23">
              <w:r>
                <w:rPr>
                  <w:rFonts w:ascii="Arial" w:cs="Arial" w:eastAsia="Arial" w:hAnsi="Arial"/>
                  <w:sz w:val="16"/>
                  <w:szCs w:val="16"/>
                  <w:color w:val="0000FF"/>
                </w:rPr>
                <w:t>Energy, Inc., dated August 31, 2018.</w:t>
              </w:r>
            </w:hyperlink>
          </w:p>
        </w:tc>
        <w:tc>
          <w:tcPr>
            <w:tcW w:w="400" w:type="dxa"/>
            <w:vAlign w:val="bottom"/>
            <w:gridSpan w:val="5"/>
          </w:tcPr>
          <w:p>
            <w:pPr>
              <w:spacing w:after="0"/>
              <w:rPr>
                <w:sz w:val="15"/>
                <w:szCs w:val="15"/>
                <w:color w:val="auto"/>
              </w:rPr>
            </w:pPr>
          </w:p>
        </w:tc>
      </w:tr>
      <w:tr>
        <w:trPr>
          <w:trHeight w:val="20"/>
        </w:trPr>
        <w:tc>
          <w:tcPr>
            <w:tcW w:w="104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40" w:type="dxa"/>
            <w:vAlign w:val="bottom"/>
          </w:tcPr>
          <w:p>
            <w:pPr>
              <w:jc w:val="right"/>
              <w:ind w:right="759"/>
              <w:spacing w:after="0"/>
              <w:rPr>
                <w:sz w:val="20"/>
                <w:szCs w:val="20"/>
                <w:color w:val="auto"/>
              </w:rPr>
            </w:pPr>
            <w:r>
              <w:rPr>
                <w:rFonts w:ascii="Arial" w:cs="Arial" w:eastAsia="Arial" w:hAnsi="Arial"/>
                <w:sz w:val="16"/>
                <w:szCs w:val="16"/>
                <w:color w:val="auto"/>
                <w:w w:val="80"/>
              </w:rPr>
              <w:t>3.3</w:t>
            </w:r>
          </w:p>
        </w:tc>
        <w:tc>
          <w:tcPr>
            <w:tcW w:w="5760" w:type="dxa"/>
            <w:vAlign w:val="bottom"/>
            <w:gridSpan w:val="13"/>
          </w:tcPr>
          <w:p>
            <w:pPr>
              <w:spacing w:after="0"/>
              <w:rPr>
                <w:rFonts w:ascii="Arial" w:cs="Arial" w:eastAsia="Arial" w:hAnsi="Arial"/>
                <w:sz w:val="16"/>
                <w:szCs w:val="16"/>
                <w:color w:val="0000FF"/>
                <w:w w:val="91"/>
              </w:rPr>
            </w:pPr>
            <w:hyperlink r:id="rId24">
              <w:r>
                <w:rPr>
                  <w:rFonts w:ascii="Arial" w:cs="Arial" w:eastAsia="Arial" w:hAnsi="Arial"/>
                  <w:sz w:val="16"/>
                  <w:szCs w:val="16"/>
                  <w:color w:val="0000FF"/>
                  <w:w w:val="91"/>
                </w:rPr>
                <w:t>Fourth Amended and Restated Bylaws of Clearway Energy, Inc., dated August 31, 2018.</w:t>
              </w:r>
            </w:hyperlink>
          </w:p>
        </w:tc>
      </w:tr>
      <w:tr>
        <w:trPr>
          <w:trHeight w:val="439"/>
        </w:trPr>
        <w:tc>
          <w:tcPr>
            <w:tcW w:w="1040" w:type="dxa"/>
            <w:vAlign w:val="bottom"/>
          </w:tcPr>
          <w:p>
            <w:pPr>
              <w:jc w:val="right"/>
              <w:ind w:right="759"/>
              <w:spacing w:after="0"/>
              <w:rPr>
                <w:sz w:val="20"/>
                <w:szCs w:val="20"/>
                <w:color w:val="auto"/>
              </w:rPr>
            </w:pPr>
            <w:r>
              <w:rPr>
                <w:rFonts w:ascii="Arial" w:cs="Arial" w:eastAsia="Arial" w:hAnsi="Arial"/>
                <w:sz w:val="16"/>
                <w:szCs w:val="16"/>
                <w:color w:val="auto"/>
                <w:w w:val="80"/>
              </w:rPr>
              <w:t>4.1</w:t>
            </w:r>
          </w:p>
        </w:tc>
        <w:tc>
          <w:tcPr>
            <w:tcW w:w="5520" w:type="dxa"/>
            <w:vAlign w:val="bottom"/>
            <w:tcBorders>
              <w:top w:val="single" w:sz="8" w:color="0000FF"/>
              <w:bottom w:val="single" w:sz="8" w:color="0000FF"/>
            </w:tcBorders>
            <w:gridSpan w:val="11"/>
          </w:tcPr>
          <w:p>
            <w:pPr>
              <w:spacing w:after="0"/>
              <w:rPr>
                <w:rFonts w:ascii="Arial" w:cs="Arial" w:eastAsia="Arial" w:hAnsi="Arial"/>
                <w:sz w:val="16"/>
                <w:szCs w:val="16"/>
                <w:color w:val="0000FF"/>
                <w:w w:val="93"/>
              </w:rPr>
            </w:pPr>
            <w:hyperlink r:id="rId25">
              <w:r>
                <w:rPr>
                  <w:rFonts w:ascii="Arial" w:cs="Arial" w:eastAsia="Arial" w:hAnsi="Arial"/>
                  <w:sz w:val="16"/>
                  <w:szCs w:val="16"/>
                  <w:color w:val="0000FF"/>
                  <w:w w:val="93"/>
                </w:rPr>
                <w:t>Fourth Amended and Restated Limited Liability Company Agreement of NRG Yield</w:t>
              </w:r>
            </w:hyperlink>
          </w:p>
        </w:tc>
        <w:tc>
          <w:tcPr>
            <w:tcW w:w="2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183"/>
        </w:trPr>
        <w:tc>
          <w:tcPr>
            <w:tcW w:w="1040" w:type="dxa"/>
            <w:vAlign w:val="bottom"/>
          </w:tcPr>
          <w:p>
            <w:pPr>
              <w:spacing w:after="0"/>
              <w:rPr>
                <w:sz w:val="15"/>
                <w:szCs w:val="15"/>
                <w:color w:val="auto"/>
              </w:rPr>
            </w:pPr>
          </w:p>
        </w:tc>
        <w:tc>
          <w:tcPr>
            <w:tcW w:w="5760" w:type="dxa"/>
            <w:vAlign w:val="bottom"/>
            <w:gridSpan w:val="13"/>
          </w:tcPr>
          <w:p>
            <w:pPr>
              <w:spacing w:after="0" w:line="183" w:lineRule="exact"/>
              <w:rPr>
                <w:rFonts w:ascii="Arial" w:cs="Arial" w:eastAsia="Arial" w:hAnsi="Arial"/>
                <w:sz w:val="16"/>
                <w:szCs w:val="16"/>
                <w:color w:val="0000FF"/>
              </w:rPr>
            </w:pPr>
            <w:hyperlink r:id="rId25">
              <w:r>
                <w:rPr>
                  <w:rFonts w:ascii="Arial" w:cs="Arial" w:eastAsia="Arial" w:hAnsi="Arial"/>
                  <w:sz w:val="16"/>
                  <w:szCs w:val="16"/>
                  <w:color w:val="0000FF"/>
                </w:rPr>
                <w:t>LLC, dated as of August 31, 2018, by and between NRG Yield, Inc. and Zephyr</w:t>
              </w:r>
            </w:hyperlink>
          </w:p>
        </w:tc>
      </w:tr>
      <w:tr>
        <w:trPr>
          <w:trHeight w:val="183"/>
        </w:trPr>
        <w:tc>
          <w:tcPr>
            <w:tcW w:w="1040" w:type="dxa"/>
            <w:vAlign w:val="bottom"/>
          </w:tcPr>
          <w:p>
            <w:pPr>
              <w:spacing w:after="0"/>
              <w:rPr>
                <w:sz w:val="15"/>
                <w:szCs w:val="15"/>
                <w:color w:val="auto"/>
              </w:rPr>
            </w:pPr>
          </w:p>
        </w:tc>
        <w:tc>
          <w:tcPr>
            <w:tcW w:w="5180" w:type="dxa"/>
            <w:vAlign w:val="bottom"/>
            <w:tcBorders>
              <w:top w:val="single" w:sz="8" w:color="0000FF"/>
            </w:tcBorders>
            <w:gridSpan w:val="6"/>
          </w:tcPr>
          <w:p>
            <w:pPr>
              <w:spacing w:after="0" w:line="183" w:lineRule="exact"/>
              <w:rPr>
                <w:rFonts w:ascii="Arial" w:cs="Arial" w:eastAsia="Arial" w:hAnsi="Arial"/>
                <w:sz w:val="16"/>
                <w:szCs w:val="16"/>
                <w:color w:val="0000FF"/>
              </w:rPr>
            </w:pPr>
            <w:hyperlink r:id="rId25">
              <w:r>
                <w:rPr>
                  <w:rFonts w:ascii="Arial" w:cs="Arial" w:eastAsia="Arial" w:hAnsi="Arial"/>
                  <w:sz w:val="16"/>
                  <w:szCs w:val="16"/>
                  <w:color w:val="0000FF"/>
                </w:rPr>
                <w:t>Renewables LLC.</w:t>
              </w:r>
            </w:hyperlink>
          </w:p>
        </w:tc>
        <w:tc>
          <w:tcPr>
            <w:tcW w:w="580" w:type="dxa"/>
            <w:vAlign w:val="bottom"/>
            <w:gridSpan w:val="7"/>
          </w:tcPr>
          <w:p>
            <w:pPr>
              <w:spacing w:after="0"/>
              <w:rPr>
                <w:sz w:val="15"/>
                <w:szCs w:val="15"/>
                <w:color w:val="auto"/>
              </w:rPr>
            </w:pPr>
          </w:p>
        </w:tc>
      </w:tr>
      <w:tr>
        <w:trPr>
          <w:trHeight w:val="20"/>
        </w:trPr>
        <w:tc>
          <w:tcPr>
            <w:tcW w:w="104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9"/>
        </w:trPr>
        <w:tc>
          <w:tcPr>
            <w:tcW w:w="1040" w:type="dxa"/>
            <w:vAlign w:val="bottom"/>
          </w:tcPr>
          <w:p>
            <w:pPr>
              <w:jc w:val="right"/>
              <w:ind w:right="759"/>
              <w:spacing w:after="0"/>
              <w:rPr>
                <w:sz w:val="20"/>
                <w:szCs w:val="20"/>
                <w:color w:val="auto"/>
              </w:rPr>
            </w:pPr>
            <w:r>
              <w:rPr>
                <w:rFonts w:ascii="Arial" w:cs="Arial" w:eastAsia="Arial" w:hAnsi="Arial"/>
                <w:sz w:val="16"/>
                <w:szCs w:val="16"/>
                <w:color w:val="auto"/>
                <w:w w:val="80"/>
              </w:rPr>
              <w:t>4.2</w:t>
            </w:r>
          </w:p>
        </w:tc>
        <w:tc>
          <w:tcPr>
            <w:tcW w:w="5760" w:type="dxa"/>
            <w:vAlign w:val="bottom"/>
            <w:gridSpan w:val="13"/>
          </w:tcPr>
          <w:p>
            <w:pPr>
              <w:spacing w:after="0"/>
              <w:rPr>
                <w:rFonts w:ascii="Arial" w:cs="Arial" w:eastAsia="Arial" w:hAnsi="Arial"/>
                <w:sz w:val="16"/>
                <w:szCs w:val="16"/>
                <w:color w:val="0000FF"/>
                <w:w w:val="92"/>
              </w:rPr>
            </w:pPr>
            <w:hyperlink r:id="rId26">
              <w:r>
                <w:rPr>
                  <w:rFonts w:ascii="Arial" w:cs="Arial" w:eastAsia="Arial" w:hAnsi="Arial"/>
                  <w:sz w:val="16"/>
                  <w:szCs w:val="16"/>
                  <w:color w:val="0000FF"/>
                  <w:w w:val="92"/>
                </w:rPr>
                <w:t>Indenture, dated February 11, 2014, among NRG Yield, Inc., NRG Yield Operating LLC</w:t>
              </w:r>
            </w:hyperlink>
          </w:p>
        </w:tc>
      </w:tr>
      <w:tr>
        <w:trPr>
          <w:trHeight w:val="183"/>
        </w:trPr>
        <w:tc>
          <w:tcPr>
            <w:tcW w:w="1040" w:type="dxa"/>
            <w:vAlign w:val="bottom"/>
          </w:tcPr>
          <w:p>
            <w:pPr>
              <w:spacing w:after="0"/>
              <w:rPr>
                <w:sz w:val="15"/>
                <w:szCs w:val="15"/>
                <w:color w:val="auto"/>
              </w:rPr>
            </w:pPr>
          </w:p>
        </w:tc>
        <w:tc>
          <w:tcPr>
            <w:tcW w:w="5500" w:type="dxa"/>
            <w:vAlign w:val="bottom"/>
            <w:tcBorders>
              <w:top w:val="single" w:sz="8" w:color="0000FF"/>
              <w:bottom w:val="single" w:sz="8" w:color="0000FF"/>
            </w:tcBorders>
            <w:gridSpan w:val="10"/>
          </w:tcPr>
          <w:p>
            <w:pPr>
              <w:spacing w:after="0" w:line="183" w:lineRule="exact"/>
              <w:rPr>
                <w:rFonts w:ascii="Arial" w:cs="Arial" w:eastAsia="Arial" w:hAnsi="Arial"/>
                <w:sz w:val="16"/>
                <w:szCs w:val="16"/>
                <w:color w:val="0000FF"/>
                <w:w w:val="92"/>
              </w:rPr>
            </w:pPr>
            <w:hyperlink r:id="rId26">
              <w:r>
                <w:rPr>
                  <w:rFonts w:ascii="Arial" w:cs="Arial" w:eastAsia="Arial" w:hAnsi="Arial"/>
                  <w:sz w:val="16"/>
                  <w:szCs w:val="16"/>
                  <w:color w:val="0000FF"/>
                  <w:w w:val="92"/>
                </w:rPr>
                <w:t>and NRG Yield LLC, as Guarantors, and Wilmington Trust, National Association, as</w:t>
              </w:r>
            </w:hyperlink>
          </w:p>
        </w:tc>
        <w:tc>
          <w:tcPr>
            <w:tcW w:w="240" w:type="dxa"/>
            <w:vAlign w:val="bottom"/>
            <w:tcBorders>
              <w:top w:val="single" w:sz="8" w:color="0000FF"/>
            </w:tcBorders>
            <w:gridSpan w:val="2"/>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040" w:type="dxa"/>
            <w:vAlign w:val="bottom"/>
          </w:tcPr>
          <w:p>
            <w:pPr>
              <w:spacing w:after="0"/>
              <w:rPr>
                <w:sz w:val="15"/>
                <w:szCs w:val="15"/>
                <w:color w:val="auto"/>
              </w:rPr>
            </w:pPr>
          </w:p>
        </w:tc>
        <w:tc>
          <w:tcPr>
            <w:tcW w:w="5760" w:type="dxa"/>
            <w:vAlign w:val="bottom"/>
            <w:gridSpan w:val="13"/>
          </w:tcPr>
          <w:p>
            <w:pPr>
              <w:spacing w:after="0" w:line="183" w:lineRule="exact"/>
              <w:rPr>
                <w:rFonts w:ascii="Arial" w:cs="Arial" w:eastAsia="Arial" w:hAnsi="Arial"/>
                <w:sz w:val="16"/>
                <w:szCs w:val="16"/>
                <w:color w:val="0000FF"/>
              </w:rPr>
            </w:pPr>
            <w:hyperlink r:id="rId26">
              <w:r>
                <w:rPr>
                  <w:rFonts w:ascii="Arial" w:cs="Arial" w:eastAsia="Arial" w:hAnsi="Arial"/>
                  <w:sz w:val="16"/>
                  <w:szCs w:val="16"/>
                  <w:color w:val="0000FF"/>
                </w:rPr>
                <w:t>trustee, re: the Company’s 3.50% Convertible Senior Notes due 2019.</w:t>
              </w:r>
            </w:hyperlink>
          </w:p>
        </w:tc>
      </w:tr>
      <w:tr>
        <w:trPr>
          <w:trHeight w:val="237"/>
        </w:trPr>
        <w:tc>
          <w:tcPr>
            <w:tcW w:w="1040" w:type="dxa"/>
            <w:vAlign w:val="bottom"/>
          </w:tcPr>
          <w:p>
            <w:pPr>
              <w:jc w:val="right"/>
              <w:ind w:right="759"/>
              <w:spacing w:after="0"/>
              <w:rPr>
                <w:sz w:val="20"/>
                <w:szCs w:val="20"/>
                <w:color w:val="auto"/>
              </w:rPr>
            </w:pPr>
            <w:r>
              <w:rPr>
                <w:rFonts w:ascii="Arial" w:cs="Arial" w:eastAsia="Arial" w:hAnsi="Arial"/>
                <w:sz w:val="16"/>
                <w:szCs w:val="16"/>
                <w:color w:val="auto"/>
                <w:w w:val="80"/>
              </w:rPr>
              <w:t>4.3</w:t>
            </w:r>
          </w:p>
        </w:tc>
        <w:tc>
          <w:tcPr>
            <w:tcW w:w="4520" w:type="dxa"/>
            <w:vAlign w:val="bottom"/>
            <w:tcBorders>
              <w:top w:val="single" w:sz="8" w:color="0000FF"/>
            </w:tcBorders>
            <w:gridSpan w:val="4"/>
          </w:tcPr>
          <w:p>
            <w:pPr>
              <w:spacing w:after="0"/>
              <w:rPr>
                <w:rFonts w:ascii="Arial" w:cs="Arial" w:eastAsia="Arial" w:hAnsi="Arial"/>
                <w:sz w:val="16"/>
                <w:szCs w:val="16"/>
                <w:color w:val="0000FF"/>
              </w:rPr>
            </w:pPr>
            <w:hyperlink r:id="rId26">
              <w:r>
                <w:rPr>
                  <w:rFonts w:ascii="Arial" w:cs="Arial" w:eastAsia="Arial" w:hAnsi="Arial"/>
                  <w:sz w:val="16"/>
                  <w:szCs w:val="16"/>
                  <w:color w:val="0000FF"/>
                </w:rPr>
                <w:t>Form of 3.50% Convertible Senior Note due 2019.</w:t>
              </w:r>
            </w:hyperlink>
          </w:p>
        </w:tc>
        <w:tc>
          <w:tcPr>
            <w:tcW w:w="1240" w:type="dxa"/>
            <w:vAlign w:val="bottom"/>
            <w:gridSpan w:val="9"/>
          </w:tcPr>
          <w:p>
            <w:pPr>
              <w:spacing w:after="0"/>
              <w:rPr>
                <w:sz w:val="20"/>
                <w:szCs w:val="20"/>
                <w:color w:val="auto"/>
              </w:rPr>
            </w:pPr>
          </w:p>
        </w:tc>
      </w:tr>
      <w:tr>
        <w:trPr>
          <w:trHeight w:val="20"/>
        </w:trPr>
        <w:tc>
          <w:tcPr>
            <w:tcW w:w="1040" w:type="dxa"/>
            <w:vAlign w:val="bottom"/>
          </w:tcPr>
          <w:p>
            <w:pPr>
              <w:spacing w:after="0" w:line="20" w:lineRule="exact"/>
              <w:rPr>
                <w:sz w:val="1"/>
                <w:szCs w:val="1"/>
                <w:color w:val="auto"/>
              </w:rPr>
            </w:pPr>
          </w:p>
        </w:tc>
        <w:tc>
          <w:tcPr>
            <w:tcW w:w="3280" w:type="dxa"/>
            <w:vAlign w:val="bottom"/>
            <w:gridSpan w:val="3"/>
            <w:shd w:val="clear" w:color="auto" w:fill="0000FF"/>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r>
      <w:tr>
        <w:trPr>
          <w:trHeight w:val="439"/>
        </w:trPr>
        <w:tc>
          <w:tcPr>
            <w:tcW w:w="1040" w:type="dxa"/>
            <w:vAlign w:val="bottom"/>
          </w:tcPr>
          <w:p>
            <w:pPr>
              <w:jc w:val="right"/>
              <w:ind w:right="759"/>
              <w:spacing w:after="0"/>
              <w:rPr>
                <w:sz w:val="20"/>
                <w:szCs w:val="20"/>
                <w:color w:val="auto"/>
              </w:rPr>
            </w:pPr>
            <w:r>
              <w:rPr>
                <w:rFonts w:ascii="Arial" w:cs="Arial" w:eastAsia="Arial" w:hAnsi="Arial"/>
                <w:sz w:val="16"/>
                <w:szCs w:val="16"/>
                <w:color w:val="auto"/>
                <w:w w:val="80"/>
              </w:rPr>
              <w:t>4.4</w:t>
            </w:r>
          </w:p>
        </w:tc>
        <w:tc>
          <w:tcPr>
            <w:tcW w:w="5420" w:type="dxa"/>
            <w:vAlign w:val="bottom"/>
            <w:tcBorders>
              <w:bottom w:val="single" w:sz="8" w:color="0000FF"/>
            </w:tcBorders>
            <w:gridSpan w:val="9"/>
          </w:tcPr>
          <w:p>
            <w:pPr>
              <w:spacing w:after="0"/>
              <w:rPr>
                <w:rFonts w:ascii="Arial" w:cs="Arial" w:eastAsia="Arial" w:hAnsi="Arial"/>
                <w:sz w:val="16"/>
                <w:szCs w:val="16"/>
                <w:color w:val="0000FF"/>
                <w:w w:val="91"/>
              </w:rPr>
            </w:pPr>
            <w:hyperlink r:id="rId27">
              <w:r>
                <w:rPr>
                  <w:rFonts w:ascii="Arial" w:cs="Arial" w:eastAsia="Arial" w:hAnsi="Arial"/>
                  <w:sz w:val="16"/>
                  <w:szCs w:val="16"/>
                  <w:color w:val="0000FF"/>
                  <w:w w:val="91"/>
                </w:rPr>
                <w:t>Indenture, dated August 5, 2014, among NRG Yield Operating LLC, the guarantors</w:t>
              </w:r>
            </w:hyperlink>
          </w:p>
        </w:tc>
        <w:tc>
          <w:tcPr>
            <w:tcW w:w="340" w:type="dxa"/>
            <w:vAlign w:val="bottom"/>
            <w:gridSpan w:val="4"/>
          </w:tcPr>
          <w:p>
            <w:pPr>
              <w:spacing w:after="0"/>
              <w:rPr>
                <w:sz w:val="24"/>
                <w:szCs w:val="24"/>
                <w:color w:val="auto"/>
              </w:rPr>
            </w:pPr>
          </w:p>
        </w:tc>
      </w:tr>
      <w:tr>
        <w:trPr>
          <w:trHeight w:val="183"/>
        </w:trPr>
        <w:tc>
          <w:tcPr>
            <w:tcW w:w="1040" w:type="dxa"/>
            <w:vAlign w:val="bottom"/>
          </w:tcPr>
          <w:p>
            <w:pPr>
              <w:spacing w:after="0"/>
              <w:rPr>
                <w:sz w:val="15"/>
                <w:szCs w:val="15"/>
                <w:color w:val="auto"/>
              </w:rPr>
            </w:pPr>
          </w:p>
        </w:tc>
        <w:tc>
          <w:tcPr>
            <w:tcW w:w="5760" w:type="dxa"/>
            <w:vAlign w:val="bottom"/>
            <w:gridSpan w:val="13"/>
          </w:tcPr>
          <w:p>
            <w:pPr>
              <w:spacing w:after="0" w:line="183" w:lineRule="exact"/>
              <w:rPr>
                <w:rFonts w:ascii="Arial" w:cs="Arial" w:eastAsia="Arial" w:hAnsi="Arial"/>
                <w:sz w:val="16"/>
                <w:szCs w:val="16"/>
                <w:color w:val="0000FF"/>
              </w:rPr>
            </w:pPr>
            <w:hyperlink r:id="rId27">
              <w:r>
                <w:rPr>
                  <w:rFonts w:ascii="Arial" w:cs="Arial" w:eastAsia="Arial" w:hAnsi="Arial"/>
                  <w:sz w:val="16"/>
                  <w:szCs w:val="16"/>
                  <w:color w:val="0000FF"/>
                </w:rPr>
                <w:t>named therein and Law Debenture Trust Company of New York, as trustee.</w:t>
              </w:r>
            </w:hyperlink>
          </w:p>
        </w:tc>
      </w:tr>
      <w:tr>
        <w:trPr>
          <w:trHeight w:val="507"/>
        </w:trPr>
        <w:tc>
          <w:tcPr>
            <w:tcW w:w="1040" w:type="dxa"/>
            <w:vAlign w:val="bottom"/>
          </w:tcPr>
          <w:p>
            <w:pPr>
              <w:spacing w:after="0"/>
              <w:rPr>
                <w:sz w:val="24"/>
                <w:szCs w:val="24"/>
                <w:color w:val="auto"/>
              </w:rPr>
            </w:pPr>
          </w:p>
        </w:tc>
        <w:tc>
          <w:tcPr>
            <w:tcW w:w="4900" w:type="dxa"/>
            <w:vAlign w:val="bottom"/>
            <w:tcBorders>
              <w:top w:val="single" w:sz="8" w:color="0000FF"/>
            </w:tcBorders>
            <w:gridSpan w:val="5"/>
          </w:tcPr>
          <w:p>
            <w:pPr>
              <w:ind w:left="4580"/>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ind w:right="40"/>
        <w:spacing w:after="0" w:line="342" w:lineRule="auto"/>
        <w:rPr>
          <w:sz w:val="20"/>
          <w:szCs w:val="20"/>
          <w:color w:val="auto"/>
        </w:rPr>
      </w:pPr>
      <w:r>
        <w:rPr>
          <w:rFonts w:ascii="Arial" w:cs="Arial" w:eastAsia="Arial" w:hAnsi="Arial"/>
          <w:sz w:val="14"/>
          <w:szCs w:val="14"/>
          <w:color w:val="auto"/>
        </w:rPr>
        <w:t>Incorporated herein by reference to Exhibit 3.1 to the Company's Quarterly Report on Form 10-Q filed on May 5, 2016.</w:t>
      </w:r>
    </w:p>
    <w:p>
      <w:pPr>
        <w:ind w:right="40"/>
        <w:spacing w:after="0" w:line="342" w:lineRule="auto"/>
        <w:rPr>
          <w:sz w:val="20"/>
          <w:szCs w:val="20"/>
          <w:color w:val="auto"/>
        </w:rPr>
      </w:pPr>
      <w:r>
        <w:rPr>
          <w:rFonts w:ascii="Arial" w:cs="Arial" w:eastAsia="Arial" w:hAnsi="Arial"/>
          <w:sz w:val="14"/>
          <w:szCs w:val="14"/>
          <w:color w:val="auto"/>
        </w:rPr>
        <w:t>Incorporated herein by reference to Exhibit 3.1 to the Company's Current Report on Form 8-K filed on September 5, 2018.</w:t>
      </w:r>
    </w:p>
    <w:p>
      <w:pPr>
        <w:ind w:right="40"/>
        <w:spacing w:after="0" w:line="369" w:lineRule="auto"/>
        <w:rPr>
          <w:sz w:val="20"/>
          <w:szCs w:val="20"/>
          <w:color w:val="auto"/>
        </w:rPr>
      </w:pPr>
      <w:r>
        <w:rPr>
          <w:rFonts w:ascii="Arial" w:cs="Arial" w:eastAsia="Arial" w:hAnsi="Arial"/>
          <w:sz w:val="14"/>
          <w:szCs w:val="14"/>
          <w:color w:val="auto"/>
        </w:rPr>
        <w:t>Incorporated herein by reference to Exhibit 3.2 to the Company's Current Report on Form 8-K filed on September 5, 2018.</w:t>
      </w:r>
    </w:p>
    <w:p>
      <w:pPr>
        <w:spacing w:after="0" w:line="45" w:lineRule="exact"/>
        <w:rPr>
          <w:sz w:val="20"/>
          <w:szCs w:val="20"/>
          <w:color w:val="auto"/>
        </w:rPr>
      </w:pPr>
    </w:p>
    <w:p>
      <w:pPr>
        <w:ind w:right="180"/>
        <w:spacing w:after="0" w:line="278" w:lineRule="auto"/>
        <w:rPr>
          <w:sz w:val="20"/>
          <w:szCs w:val="20"/>
          <w:color w:val="auto"/>
        </w:rPr>
      </w:pPr>
      <w:r>
        <w:rPr>
          <w:rFonts w:ascii="Arial" w:cs="Arial" w:eastAsia="Arial" w:hAnsi="Arial"/>
          <w:sz w:val="16"/>
          <w:szCs w:val="16"/>
          <w:color w:val="auto"/>
        </w:rPr>
        <w:t>Incorporated herein by reference to Exhibit 10.6 to the Company's Current Report on Form 8-K filed on September 5, 2018.</w:t>
      </w:r>
    </w:p>
    <w:p>
      <w:pPr>
        <w:spacing w:after="0" w:line="103" w:lineRule="exact"/>
        <w:rPr>
          <w:sz w:val="20"/>
          <w:szCs w:val="20"/>
          <w:color w:val="auto"/>
        </w:rPr>
      </w:pPr>
    </w:p>
    <w:p>
      <w:pPr>
        <w:ind w:right="20"/>
        <w:spacing w:after="0" w:line="369" w:lineRule="auto"/>
        <w:rPr>
          <w:sz w:val="20"/>
          <w:szCs w:val="20"/>
          <w:color w:val="auto"/>
        </w:rPr>
      </w:pPr>
      <w:r>
        <w:rPr>
          <w:rFonts w:ascii="Arial" w:cs="Arial" w:eastAsia="Arial" w:hAnsi="Arial"/>
          <w:sz w:val="14"/>
          <w:szCs w:val="14"/>
          <w:color w:val="auto"/>
        </w:rPr>
        <w:t>Incorporated herein by reference to Exhibit 4.1 to the Company’s Current Report on Form 8-K filed on February 11, 2014.</w:t>
      </w:r>
    </w:p>
    <w:p>
      <w:pPr>
        <w:spacing w:after="0" w:line="167" w:lineRule="exact"/>
        <w:rPr>
          <w:sz w:val="20"/>
          <w:szCs w:val="20"/>
          <w:color w:val="auto"/>
        </w:rPr>
      </w:pPr>
    </w:p>
    <w:p>
      <w:pPr>
        <w:ind w:right="20"/>
        <w:spacing w:after="0" w:line="342" w:lineRule="auto"/>
        <w:rPr>
          <w:sz w:val="20"/>
          <w:szCs w:val="20"/>
          <w:color w:val="auto"/>
        </w:rPr>
      </w:pPr>
      <w:r>
        <w:rPr>
          <w:rFonts w:ascii="Arial" w:cs="Arial" w:eastAsia="Arial" w:hAnsi="Arial"/>
          <w:sz w:val="14"/>
          <w:szCs w:val="14"/>
          <w:color w:val="auto"/>
        </w:rPr>
        <w:t>Incorporated herein by reference to Exhibit 4.2 to the Company’s Current Report on Form 8-K filed on February 11, 2014.</w:t>
      </w:r>
    </w:p>
    <w:p>
      <w:pPr>
        <w:ind w:right="40"/>
        <w:spacing w:after="0" w:line="369" w:lineRule="auto"/>
        <w:rPr>
          <w:sz w:val="20"/>
          <w:szCs w:val="20"/>
          <w:color w:val="auto"/>
        </w:rPr>
      </w:pPr>
      <w:r>
        <w:rPr>
          <w:rFonts w:ascii="Arial" w:cs="Arial" w:eastAsia="Arial" w:hAnsi="Arial"/>
          <w:sz w:val="14"/>
          <w:szCs w:val="14"/>
          <w:color w:val="auto"/>
        </w:rPr>
        <w:t>Incorporated herein by reference to Exhibit 4.1 to the Company's Current Report on Form 8-K filed on August 5, 2014.</w:t>
      </w:r>
    </w:p>
    <w:p>
      <w:pPr>
        <w:sectPr>
          <w:pgSz w:w="11900" w:h="16838" w:orient="portrait"/>
          <w:cols w:equalWidth="0" w:num="2">
            <w:col w:w="6800" w:space="280"/>
            <w:col w:w="4240"/>
          </w:cols>
          <w:pgMar w:left="280" w:top="580" w:right="29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184"/>
        </w:trPr>
        <w:tc>
          <w:tcPr>
            <w:tcW w:w="1040" w:type="dxa"/>
            <w:vAlign w:val="bottom"/>
          </w:tcPr>
          <w:p>
            <w:pPr>
              <w:jc w:val="right"/>
              <w:ind w:right="759"/>
              <w:spacing w:after="0"/>
              <w:rPr>
                <w:sz w:val="20"/>
                <w:szCs w:val="20"/>
                <w:color w:val="auto"/>
              </w:rPr>
            </w:pPr>
            <w:r>
              <w:rPr>
                <w:rFonts w:ascii="Arial" w:cs="Arial" w:eastAsia="Arial" w:hAnsi="Arial"/>
                <w:sz w:val="16"/>
                <w:szCs w:val="16"/>
                <w:color w:val="auto"/>
                <w:w w:val="80"/>
              </w:rPr>
              <w:t>4.5</w:t>
            </w:r>
          </w:p>
        </w:tc>
        <w:tc>
          <w:tcPr>
            <w:tcW w:w="5860" w:type="dxa"/>
            <w:vAlign w:val="bottom"/>
            <w:gridSpan w:val="6"/>
          </w:tcPr>
          <w:p>
            <w:pPr>
              <w:spacing w:after="0"/>
              <w:rPr>
                <w:rFonts w:ascii="Arial" w:cs="Arial" w:eastAsia="Arial" w:hAnsi="Arial"/>
                <w:sz w:val="16"/>
                <w:szCs w:val="16"/>
                <w:color w:val="0000FF"/>
              </w:rPr>
            </w:pPr>
            <w:hyperlink r:id="rId27">
              <w:r>
                <w:rPr>
                  <w:rFonts w:ascii="Arial" w:cs="Arial" w:eastAsia="Arial" w:hAnsi="Arial"/>
                  <w:sz w:val="16"/>
                  <w:szCs w:val="16"/>
                  <w:color w:val="0000FF"/>
                </w:rPr>
                <w:t>Form of 5.375% Senior Note due 2024.</w:t>
              </w:r>
            </w:hyperlink>
          </w:p>
        </w:tc>
      </w:tr>
      <w:tr>
        <w:trPr>
          <w:trHeight w:val="20"/>
        </w:trPr>
        <w:tc>
          <w:tcPr>
            <w:tcW w:w="1040" w:type="dxa"/>
            <w:vAlign w:val="bottom"/>
          </w:tcPr>
          <w:p>
            <w:pPr>
              <w:spacing w:after="0" w:line="20" w:lineRule="exact"/>
              <w:rPr>
                <w:sz w:val="1"/>
                <w:szCs w:val="1"/>
                <w:color w:val="auto"/>
              </w:rPr>
            </w:pPr>
          </w:p>
        </w:tc>
        <w:tc>
          <w:tcPr>
            <w:tcW w:w="2560" w:type="dxa"/>
            <w:vAlign w:val="bottom"/>
            <w:tcBorders>
              <w:right w:val="single" w:sz="8" w:color="0000FF"/>
            </w:tcBorders>
            <w:shd w:val="clear" w:color="auto" w:fill="0000FF"/>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1040" w:type="dxa"/>
            <w:vAlign w:val="bottom"/>
          </w:tcPr>
          <w:p>
            <w:pPr>
              <w:jc w:val="right"/>
              <w:ind w:right="759"/>
              <w:spacing w:after="0"/>
              <w:rPr>
                <w:sz w:val="20"/>
                <w:szCs w:val="20"/>
                <w:color w:val="auto"/>
              </w:rPr>
            </w:pPr>
            <w:r>
              <w:rPr>
                <w:rFonts w:ascii="Arial" w:cs="Arial" w:eastAsia="Arial" w:hAnsi="Arial"/>
                <w:sz w:val="16"/>
                <w:szCs w:val="16"/>
                <w:color w:val="auto"/>
                <w:w w:val="80"/>
              </w:rPr>
              <w:t>4.6</w:t>
            </w:r>
          </w:p>
        </w:tc>
        <w:tc>
          <w:tcPr>
            <w:tcW w:w="5860" w:type="dxa"/>
            <w:vAlign w:val="bottom"/>
            <w:tcBorders>
              <w:bottom w:val="single" w:sz="8" w:color="0000FF"/>
            </w:tcBorders>
            <w:gridSpan w:val="6"/>
          </w:tcPr>
          <w:p>
            <w:pPr>
              <w:spacing w:after="0"/>
              <w:rPr>
                <w:rFonts w:ascii="Arial" w:cs="Arial" w:eastAsia="Arial" w:hAnsi="Arial"/>
                <w:sz w:val="16"/>
                <w:szCs w:val="16"/>
                <w:color w:val="0000FF"/>
                <w:w w:val="92"/>
              </w:rPr>
            </w:pPr>
            <w:hyperlink r:id="rId28">
              <w:r>
                <w:rPr>
                  <w:rFonts w:ascii="Arial" w:cs="Arial" w:eastAsia="Arial" w:hAnsi="Arial"/>
                  <w:sz w:val="16"/>
                  <w:szCs w:val="16"/>
                  <w:color w:val="0000FF"/>
                  <w:w w:val="92"/>
                </w:rPr>
                <w:t>Registration Rights Agreement, dated August 5, 2014, among NRG Yield Operating LLC,</w:t>
              </w:r>
            </w:hyperlink>
          </w:p>
        </w:tc>
      </w:tr>
      <w:tr>
        <w:trPr>
          <w:trHeight w:val="183"/>
        </w:trPr>
        <w:tc>
          <w:tcPr>
            <w:tcW w:w="1040" w:type="dxa"/>
            <w:vAlign w:val="bottom"/>
          </w:tcPr>
          <w:p>
            <w:pPr>
              <w:spacing w:after="0"/>
              <w:rPr>
                <w:sz w:val="15"/>
                <w:szCs w:val="15"/>
                <w:color w:val="auto"/>
              </w:rPr>
            </w:pPr>
          </w:p>
        </w:tc>
        <w:tc>
          <w:tcPr>
            <w:tcW w:w="5800" w:type="dxa"/>
            <w:vAlign w:val="bottom"/>
            <w:tcBorders>
              <w:bottom w:val="single" w:sz="8" w:color="0000FF"/>
            </w:tcBorders>
            <w:gridSpan w:val="5"/>
          </w:tcPr>
          <w:p>
            <w:pPr>
              <w:spacing w:after="0" w:line="183" w:lineRule="exact"/>
              <w:rPr>
                <w:rFonts w:ascii="Arial" w:cs="Arial" w:eastAsia="Arial" w:hAnsi="Arial"/>
                <w:sz w:val="16"/>
                <w:szCs w:val="16"/>
                <w:color w:val="0000FF"/>
                <w:w w:val="91"/>
              </w:rPr>
            </w:pPr>
            <w:hyperlink r:id="rId28">
              <w:r>
                <w:rPr>
                  <w:rFonts w:ascii="Arial" w:cs="Arial" w:eastAsia="Arial" w:hAnsi="Arial"/>
                  <w:sz w:val="16"/>
                  <w:szCs w:val="16"/>
                  <w:color w:val="0000FF"/>
                  <w:w w:val="91"/>
                </w:rPr>
                <w:t>the guarantors named therein and Merrill Lynch, Pierce, Fenner &amp; Smith Incorporated, as</w:t>
              </w:r>
            </w:hyperlink>
          </w:p>
        </w:tc>
        <w:tc>
          <w:tcPr>
            <w:tcW w:w="60" w:type="dxa"/>
            <w:vAlign w:val="bottom"/>
          </w:tcPr>
          <w:p>
            <w:pPr>
              <w:spacing w:after="0"/>
              <w:rPr>
                <w:sz w:val="15"/>
                <w:szCs w:val="15"/>
                <w:color w:val="auto"/>
              </w:rPr>
            </w:pPr>
          </w:p>
        </w:tc>
      </w:tr>
      <w:tr>
        <w:trPr>
          <w:trHeight w:val="183"/>
        </w:trPr>
        <w:tc>
          <w:tcPr>
            <w:tcW w:w="1040" w:type="dxa"/>
            <w:vAlign w:val="bottom"/>
          </w:tcPr>
          <w:p>
            <w:pPr>
              <w:spacing w:after="0"/>
              <w:rPr>
                <w:sz w:val="15"/>
                <w:szCs w:val="15"/>
                <w:color w:val="auto"/>
              </w:rPr>
            </w:pPr>
          </w:p>
        </w:tc>
        <w:tc>
          <w:tcPr>
            <w:tcW w:w="2560" w:type="dxa"/>
            <w:vAlign w:val="bottom"/>
            <w:tcBorders>
              <w:bottom w:val="single" w:sz="8" w:color="0000FF"/>
            </w:tcBorders>
          </w:tcPr>
          <w:p>
            <w:pPr>
              <w:spacing w:after="0" w:line="183" w:lineRule="exact"/>
              <w:rPr>
                <w:rFonts w:ascii="Arial" w:cs="Arial" w:eastAsia="Arial" w:hAnsi="Arial"/>
                <w:sz w:val="16"/>
                <w:szCs w:val="16"/>
                <w:color w:val="0000FF"/>
                <w:w w:val="91"/>
              </w:rPr>
            </w:pPr>
            <w:hyperlink r:id="rId28">
              <w:r>
                <w:rPr>
                  <w:rFonts w:ascii="Arial" w:cs="Arial" w:eastAsia="Arial" w:hAnsi="Arial"/>
                  <w:sz w:val="16"/>
                  <w:szCs w:val="16"/>
                  <w:color w:val="0000FF"/>
                  <w:w w:val="91"/>
                </w:rPr>
                <w:t>representative of the initial purchasers.</w:t>
              </w:r>
            </w:hyperlink>
          </w:p>
        </w:tc>
        <w:tc>
          <w:tcPr>
            <w:tcW w:w="3300" w:type="dxa"/>
            <w:vAlign w:val="bottom"/>
            <w:gridSpan w:val="5"/>
          </w:tcPr>
          <w:p>
            <w:pPr>
              <w:spacing w:after="0"/>
              <w:rPr>
                <w:sz w:val="15"/>
                <w:szCs w:val="15"/>
                <w:color w:val="auto"/>
              </w:rPr>
            </w:pPr>
          </w:p>
        </w:tc>
      </w:tr>
      <w:tr>
        <w:trPr>
          <w:trHeight w:val="237"/>
        </w:trPr>
        <w:tc>
          <w:tcPr>
            <w:tcW w:w="1040" w:type="dxa"/>
            <w:vAlign w:val="bottom"/>
          </w:tcPr>
          <w:p>
            <w:pPr>
              <w:jc w:val="right"/>
              <w:ind w:right="759"/>
              <w:spacing w:after="0"/>
              <w:rPr>
                <w:sz w:val="20"/>
                <w:szCs w:val="20"/>
                <w:color w:val="auto"/>
              </w:rPr>
            </w:pPr>
            <w:r>
              <w:rPr>
                <w:rFonts w:ascii="Arial" w:cs="Arial" w:eastAsia="Arial" w:hAnsi="Arial"/>
                <w:sz w:val="16"/>
                <w:szCs w:val="16"/>
                <w:color w:val="auto"/>
                <w:w w:val="80"/>
              </w:rPr>
              <w:t>4.7</w:t>
            </w:r>
          </w:p>
        </w:tc>
        <w:tc>
          <w:tcPr>
            <w:tcW w:w="5580" w:type="dxa"/>
            <w:vAlign w:val="bottom"/>
            <w:tcBorders>
              <w:bottom w:val="single" w:sz="8" w:color="0000FF"/>
            </w:tcBorders>
            <w:gridSpan w:val="4"/>
          </w:tcPr>
          <w:p>
            <w:pPr>
              <w:spacing w:after="0"/>
              <w:rPr>
                <w:rFonts w:ascii="Arial" w:cs="Arial" w:eastAsia="Arial" w:hAnsi="Arial"/>
                <w:sz w:val="16"/>
                <w:szCs w:val="16"/>
                <w:color w:val="0000FF"/>
                <w:w w:val="91"/>
              </w:rPr>
            </w:pPr>
            <w:hyperlink r:id="rId29">
              <w:r>
                <w:rPr>
                  <w:rFonts w:ascii="Arial" w:cs="Arial" w:eastAsia="Arial" w:hAnsi="Arial"/>
                  <w:sz w:val="16"/>
                  <w:szCs w:val="16"/>
                  <w:color w:val="0000FF"/>
                  <w:w w:val="91"/>
                </w:rPr>
                <w:t>Supplemental Indenture, dated as of November 7, 2014, among NRG Yield Operating</w:t>
              </w:r>
            </w:hyperlink>
          </w:p>
        </w:tc>
        <w:tc>
          <w:tcPr>
            <w:tcW w:w="280" w:type="dxa"/>
            <w:vAlign w:val="bottom"/>
            <w:gridSpan w:val="2"/>
          </w:tcPr>
          <w:p>
            <w:pPr>
              <w:spacing w:after="0"/>
              <w:rPr>
                <w:sz w:val="20"/>
                <w:szCs w:val="20"/>
                <w:color w:val="auto"/>
              </w:rPr>
            </w:pPr>
          </w:p>
        </w:tc>
      </w:tr>
      <w:tr>
        <w:trPr>
          <w:trHeight w:val="183"/>
        </w:trPr>
        <w:tc>
          <w:tcPr>
            <w:tcW w:w="1040" w:type="dxa"/>
            <w:vAlign w:val="bottom"/>
          </w:tcPr>
          <w:p>
            <w:pPr>
              <w:spacing w:after="0"/>
              <w:rPr>
                <w:sz w:val="15"/>
                <w:szCs w:val="15"/>
                <w:color w:val="auto"/>
              </w:rPr>
            </w:pPr>
          </w:p>
        </w:tc>
        <w:tc>
          <w:tcPr>
            <w:tcW w:w="5560" w:type="dxa"/>
            <w:vAlign w:val="bottom"/>
            <w:tcBorders>
              <w:bottom w:val="single" w:sz="8" w:color="0000FF"/>
            </w:tcBorders>
            <w:gridSpan w:val="3"/>
          </w:tcPr>
          <w:p>
            <w:pPr>
              <w:spacing w:after="0" w:line="183" w:lineRule="exact"/>
              <w:rPr>
                <w:rFonts w:ascii="Arial" w:cs="Arial" w:eastAsia="Arial" w:hAnsi="Arial"/>
                <w:sz w:val="16"/>
                <w:szCs w:val="16"/>
                <w:color w:val="0000FF"/>
                <w:w w:val="92"/>
              </w:rPr>
            </w:pPr>
            <w:hyperlink r:id="rId29">
              <w:r>
                <w:rPr>
                  <w:rFonts w:ascii="Arial" w:cs="Arial" w:eastAsia="Arial" w:hAnsi="Arial"/>
                  <w:sz w:val="16"/>
                  <w:szCs w:val="16"/>
                  <w:color w:val="0000FF"/>
                  <w:w w:val="92"/>
                </w:rPr>
                <w:t>LLC, the guarantors named therein and Law Debenture Trust Company of New York.</w:t>
              </w:r>
            </w:hyperlink>
          </w:p>
        </w:tc>
        <w:tc>
          <w:tcPr>
            <w:tcW w:w="300" w:type="dxa"/>
            <w:vAlign w:val="bottom"/>
            <w:gridSpan w:val="3"/>
          </w:tcPr>
          <w:p>
            <w:pPr>
              <w:spacing w:after="0"/>
              <w:rPr>
                <w:sz w:val="15"/>
                <w:szCs w:val="15"/>
                <w:color w:val="auto"/>
              </w:rPr>
            </w:pPr>
          </w:p>
        </w:tc>
      </w:tr>
      <w:tr>
        <w:trPr>
          <w:trHeight w:val="237"/>
        </w:trPr>
        <w:tc>
          <w:tcPr>
            <w:tcW w:w="1040" w:type="dxa"/>
            <w:vAlign w:val="bottom"/>
          </w:tcPr>
          <w:p>
            <w:pPr>
              <w:jc w:val="right"/>
              <w:ind w:right="759"/>
              <w:spacing w:after="0"/>
              <w:rPr>
                <w:sz w:val="20"/>
                <w:szCs w:val="20"/>
                <w:color w:val="auto"/>
              </w:rPr>
            </w:pPr>
            <w:r>
              <w:rPr>
                <w:rFonts w:ascii="Arial" w:cs="Arial" w:eastAsia="Arial" w:hAnsi="Arial"/>
                <w:sz w:val="16"/>
                <w:szCs w:val="16"/>
                <w:color w:val="auto"/>
                <w:w w:val="80"/>
              </w:rPr>
              <w:t>4.8</w:t>
            </w:r>
          </w:p>
        </w:tc>
        <w:tc>
          <w:tcPr>
            <w:tcW w:w="5860" w:type="dxa"/>
            <w:vAlign w:val="bottom"/>
            <w:gridSpan w:val="6"/>
          </w:tcPr>
          <w:p>
            <w:pPr>
              <w:spacing w:after="0"/>
              <w:rPr>
                <w:rFonts w:ascii="Arial" w:cs="Arial" w:eastAsia="Arial" w:hAnsi="Arial"/>
                <w:sz w:val="16"/>
                <w:szCs w:val="16"/>
                <w:color w:val="0000FF"/>
                <w:w w:val="96"/>
              </w:rPr>
            </w:pPr>
            <w:hyperlink r:id="rId30">
              <w:r>
                <w:rPr>
                  <w:rFonts w:ascii="Arial" w:cs="Arial" w:eastAsia="Arial" w:hAnsi="Arial"/>
                  <w:sz w:val="16"/>
                  <w:szCs w:val="16"/>
                  <w:color w:val="0000FF"/>
                  <w:w w:val="96"/>
                </w:rPr>
                <w:t>Supplemental Indenture, dated as of February 25, 2015, among NRG Yield Operating</w:t>
              </w:r>
            </w:hyperlink>
          </w:p>
        </w:tc>
      </w:tr>
      <w:tr>
        <w:trPr>
          <w:trHeight w:val="20"/>
        </w:trPr>
        <w:tc>
          <w:tcPr>
            <w:tcW w:w="1040" w:type="dxa"/>
            <w:vAlign w:val="bottom"/>
          </w:tcPr>
          <w:p>
            <w:pPr>
              <w:spacing w:after="0" w:line="20" w:lineRule="exact"/>
              <w:rPr>
                <w:sz w:val="1"/>
                <w:szCs w:val="1"/>
                <w:color w:val="auto"/>
              </w:rPr>
            </w:pPr>
          </w:p>
        </w:tc>
        <w:tc>
          <w:tcPr>
            <w:tcW w:w="55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5580" w:type="dxa"/>
            <w:vAlign w:val="bottom"/>
            <w:tcBorders>
              <w:bottom w:val="single" w:sz="8" w:color="0000FF"/>
            </w:tcBorders>
            <w:gridSpan w:val="4"/>
          </w:tcPr>
          <w:p>
            <w:pPr>
              <w:spacing w:after="0" w:line="183" w:lineRule="exact"/>
              <w:rPr>
                <w:rFonts w:ascii="Arial" w:cs="Arial" w:eastAsia="Arial" w:hAnsi="Arial"/>
                <w:sz w:val="16"/>
                <w:szCs w:val="16"/>
                <w:color w:val="0000FF"/>
                <w:w w:val="92"/>
              </w:rPr>
            </w:pPr>
            <w:hyperlink r:id="rId30">
              <w:r>
                <w:rPr>
                  <w:rFonts w:ascii="Arial" w:cs="Arial" w:eastAsia="Arial" w:hAnsi="Arial"/>
                  <w:sz w:val="16"/>
                  <w:szCs w:val="16"/>
                  <w:color w:val="0000FF"/>
                  <w:w w:val="92"/>
                </w:rPr>
                <w:t>LLC, the guarantors named therein and Law Debenture Trust Company of New York.</w:t>
              </w:r>
            </w:hyperlink>
          </w:p>
        </w:tc>
        <w:tc>
          <w:tcPr>
            <w:tcW w:w="280" w:type="dxa"/>
            <w:vAlign w:val="bottom"/>
            <w:gridSpan w:val="2"/>
          </w:tcPr>
          <w:p>
            <w:pPr>
              <w:spacing w:after="0"/>
              <w:rPr>
                <w:sz w:val="15"/>
                <w:szCs w:val="15"/>
                <w:color w:val="auto"/>
              </w:rPr>
            </w:pPr>
          </w:p>
        </w:tc>
      </w:tr>
    </w:tbl>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040" w:type="dxa"/>
            <w:vAlign w:val="bottom"/>
          </w:tcPr>
          <w:p>
            <w:pPr>
              <w:jc w:val="right"/>
              <w:ind w:right="759"/>
              <w:spacing w:after="0"/>
              <w:rPr>
                <w:sz w:val="20"/>
                <w:szCs w:val="20"/>
                <w:color w:val="auto"/>
              </w:rPr>
            </w:pPr>
            <w:r>
              <w:rPr>
                <w:rFonts w:ascii="Arial" w:cs="Arial" w:eastAsia="Arial" w:hAnsi="Arial"/>
                <w:sz w:val="16"/>
                <w:szCs w:val="16"/>
                <w:color w:val="auto"/>
                <w:w w:val="80"/>
              </w:rPr>
              <w:t>4.9</w:t>
            </w:r>
          </w:p>
        </w:tc>
        <w:tc>
          <w:tcPr>
            <w:tcW w:w="5700" w:type="dxa"/>
            <w:vAlign w:val="bottom"/>
            <w:gridSpan w:val="3"/>
            <w:vMerge w:val="restart"/>
          </w:tcPr>
          <w:p>
            <w:pPr>
              <w:spacing w:after="0"/>
              <w:rPr>
                <w:rFonts w:ascii="Arial" w:cs="Arial" w:eastAsia="Arial" w:hAnsi="Arial"/>
                <w:sz w:val="16"/>
                <w:szCs w:val="16"/>
                <w:color w:val="0000FF"/>
                <w:w w:val="92"/>
              </w:rPr>
            </w:pPr>
            <w:hyperlink r:id="rId31">
              <w:r>
                <w:rPr>
                  <w:rFonts w:ascii="Arial" w:cs="Arial" w:eastAsia="Arial" w:hAnsi="Arial"/>
                  <w:sz w:val="16"/>
                  <w:szCs w:val="16"/>
                  <w:color w:val="0000FF"/>
                  <w:w w:val="92"/>
                </w:rPr>
                <w:t>Third Supplemental Indenture, dated as of April 10, 2015, among NRG Yield Operating</w:t>
              </w:r>
            </w:hyperlink>
          </w:p>
        </w:tc>
        <w:tc>
          <w:tcPr>
            <w:tcW w:w="0" w:type="dxa"/>
            <w:vAlign w:val="bottom"/>
          </w:tcPr>
          <w:p>
            <w:pPr>
              <w:spacing w:after="0"/>
              <w:rPr>
                <w:sz w:val="1"/>
                <w:szCs w:val="1"/>
                <w:color w:val="auto"/>
              </w:rPr>
            </w:pPr>
          </w:p>
        </w:tc>
      </w:tr>
      <w:tr>
        <w:trPr>
          <w:trHeight w:val="52"/>
        </w:trPr>
        <w:tc>
          <w:tcPr>
            <w:tcW w:w="1040" w:type="dxa"/>
            <w:vAlign w:val="bottom"/>
          </w:tcPr>
          <w:p>
            <w:pPr>
              <w:spacing w:after="0"/>
              <w:rPr>
                <w:sz w:val="4"/>
                <w:szCs w:val="4"/>
                <w:color w:val="auto"/>
              </w:rPr>
            </w:pPr>
          </w:p>
        </w:tc>
        <w:tc>
          <w:tcPr>
            <w:tcW w:w="5700" w:type="dxa"/>
            <w:vAlign w:val="bottom"/>
            <w:tcBorders>
              <w:bottom w:val="single" w:sz="8" w:color="0000FF"/>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500" w:type="dxa"/>
            <w:vAlign w:val="bottom"/>
            <w:tcBorders>
              <w:bottom w:val="single" w:sz="8" w:color="0000FF"/>
            </w:tcBorders>
            <w:gridSpan w:val="2"/>
          </w:tcPr>
          <w:p>
            <w:pPr>
              <w:spacing w:after="0" w:line="183" w:lineRule="exact"/>
              <w:rPr>
                <w:rFonts w:ascii="Arial" w:cs="Arial" w:eastAsia="Arial" w:hAnsi="Arial"/>
                <w:sz w:val="16"/>
                <w:szCs w:val="16"/>
                <w:color w:val="0000FF"/>
                <w:w w:val="92"/>
              </w:rPr>
            </w:pPr>
            <w:hyperlink r:id="rId31">
              <w:r>
                <w:rPr>
                  <w:rFonts w:ascii="Arial" w:cs="Arial" w:eastAsia="Arial" w:hAnsi="Arial"/>
                  <w:sz w:val="16"/>
                  <w:szCs w:val="16"/>
                  <w:color w:val="0000FF"/>
                  <w:w w:val="92"/>
                </w:rPr>
                <w:t>LLC, NRG Yield LLC, the other guarantors named therein and Law Debenture Trust</w:t>
              </w:r>
            </w:hyperlink>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700" w:type="dxa"/>
            <w:vAlign w:val="bottom"/>
            <w:gridSpan w:val="3"/>
          </w:tcPr>
          <w:p>
            <w:pPr>
              <w:spacing w:after="0" w:line="183" w:lineRule="exact"/>
              <w:rPr>
                <w:rFonts w:ascii="Arial" w:cs="Arial" w:eastAsia="Arial" w:hAnsi="Arial"/>
                <w:sz w:val="16"/>
                <w:szCs w:val="16"/>
                <w:color w:val="0000FF"/>
              </w:rPr>
            </w:pPr>
            <w:hyperlink r:id="rId31">
              <w:r>
                <w:rPr>
                  <w:rFonts w:ascii="Arial" w:cs="Arial" w:eastAsia="Arial" w:hAnsi="Arial"/>
                  <w:sz w:val="16"/>
                  <w:szCs w:val="16"/>
                  <w:color w:val="0000FF"/>
                </w:rPr>
                <w:t>Company of New York.</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ind w:right="40"/>
        <w:spacing w:after="0" w:line="342" w:lineRule="auto"/>
        <w:rPr>
          <w:sz w:val="20"/>
          <w:szCs w:val="20"/>
          <w:color w:val="auto"/>
        </w:rPr>
      </w:pPr>
      <w:r>
        <w:rPr>
          <w:rFonts w:ascii="Arial" w:cs="Arial" w:eastAsia="Arial" w:hAnsi="Arial"/>
          <w:sz w:val="14"/>
          <w:szCs w:val="14"/>
          <w:color w:val="auto"/>
        </w:rPr>
        <w:t>Incorporated herein by reference to Exhibit 4.2 to the Company's Current Report on Form 8-K filed on August 5, 2014.</w:t>
      </w:r>
    </w:p>
    <w:p>
      <w:pPr>
        <w:ind w:right="40"/>
        <w:spacing w:after="0" w:line="369" w:lineRule="auto"/>
        <w:rPr>
          <w:sz w:val="20"/>
          <w:szCs w:val="20"/>
          <w:color w:val="auto"/>
        </w:rPr>
      </w:pPr>
      <w:r>
        <w:rPr>
          <w:rFonts w:ascii="Arial" w:cs="Arial" w:eastAsia="Arial" w:hAnsi="Arial"/>
          <w:sz w:val="14"/>
          <w:szCs w:val="14"/>
          <w:color w:val="auto"/>
        </w:rPr>
        <w:t>Incorporated herein by reference to Exhibit 4.3 to the Company's Current Report on Form 8-K filed on August 5, 2014.</w:t>
      </w:r>
    </w:p>
    <w:p>
      <w:pPr>
        <w:spacing w:after="0" w:line="167" w:lineRule="exact"/>
        <w:rPr>
          <w:sz w:val="20"/>
          <w:szCs w:val="20"/>
          <w:color w:val="auto"/>
        </w:rPr>
      </w:pPr>
    </w:p>
    <w:p>
      <w:pPr>
        <w:ind w:right="40"/>
        <w:spacing w:after="0" w:line="369" w:lineRule="auto"/>
        <w:rPr>
          <w:sz w:val="20"/>
          <w:szCs w:val="20"/>
          <w:color w:val="auto"/>
        </w:rPr>
      </w:pPr>
      <w:r>
        <w:rPr>
          <w:rFonts w:ascii="Arial" w:cs="Arial" w:eastAsia="Arial" w:hAnsi="Arial"/>
          <w:sz w:val="14"/>
          <w:szCs w:val="14"/>
          <w:color w:val="auto"/>
        </w:rPr>
        <w:t>Incorporated herein by reference to Exhibit 4.1 to the Company's Current Report on Form 8-K filed on November 13, 2014.</w:t>
      </w:r>
    </w:p>
    <w:p>
      <w:pPr>
        <w:spacing w:after="0" w:line="45" w:lineRule="exact"/>
        <w:rPr>
          <w:sz w:val="20"/>
          <w:szCs w:val="20"/>
          <w:color w:val="auto"/>
        </w:rPr>
      </w:pPr>
    </w:p>
    <w:p>
      <w:pPr>
        <w:ind w:right="40"/>
        <w:spacing w:after="0" w:line="369" w:lineRule="auto"/>
        <w:rPr>
          <w:sz w:val="20"/>
          <w:szCs w:val="20"/>
          <w:color w:val="auto"/>
        </w:rPr>
      </w:pPr>
      <w:r>
        <w:rPr>
          <w:rFonts w:ascii="Arial" w:cs="Arial" w:eastAsia="Arial" w:hAnsi="Arial"/>
          <w:sz w:val="14"/>
          <w:szCs w:val="14"/>
          <w:color w:val="auto"/>
        </w:rPr>
        <w:t>Incorporated herein by reference to Exhibit 4.1 to the Company's Current Report on Form 8-K filed on February 27, 2015.</w:t>
      </w:r>
    </w:p>
    <w:p>
      <w:pPr>
        <w:spacing w:after="0" w:line="126" w:lineRule="exact"/>
        <w:rPr>
          <w:sz w:val="20"/>
          <w:szCs w:val="20"/>
          <w:color w:val="auto"/>
        </w:rPr>
      </w:pPr>
    </w:p>
    <w:p>
      <w:pPr>
        <w:ind w:right="40"/>
        <w:spacing w:after="0" w:line="329" w:lineRule="auto"/>
        <w:rPr>
          <w:sz w:val="20"/>
          <w:szCs w:val="20"/>
          <w:color w:val="auto"/>
        </w:rPr>
      </w:pPr>
      <w:r>
        <w:rPr>
          <w:rFonts w:ascii="Arial" w:cs="Arial" w:eastAsia="Arial" w:hAnsi="Arial"/>
          <w:sz w:val="15"/>
          <w:szCs w:val="15"/>
          <w:color w:val="auto"/>
        </w:rPr>
        <w:t>Incorporated herein by reference to Exhibit 4.1 to the Company's Current Report on Form 8-K filed on April 16, 2015.</w:t>
      </w:r>
    </w:p>
    <w:p>
      <w:pPr>
        <w:spacing w:after="0" w:line="269" w:lineRule="exact"/>
        <w:rPr>
          <w:sz w:val="20"/>
          <w:szCs w:val="20"/>
          <w:color w:val="auto"/>
        </w:rPr>
      </w:pPr>
    </w:p>
    <w:p>
      <w:pPr>
        <w:sectPr>
          <w:pgSz w:w="11900" w:h="16838" w:orient="portrait"/>
          <w:cols w:equalWidth="0" w:num="2">
            <w:col w:w="6900" w:space="180"/>
            <w:col w:w="4240"/>
          </w:cols>
          <w:pgMar w:left="280" w:top="739" w:right="299" w:bottom="1440" w:gutter="0" w:footer="0" w:header="0"/>
        </w:sectPr>
      </w:pPr>
    </w:p>
    <w:p>
      <w:pPr>
        <w:spacing w:after="0"/>
        <w:rPr>
          <w:sz w:val="20"/>
          <w:szCs w:val="20"/>
          <w:color w:val="auto"/>
        </w:rPr>
      </w:pPr>
      <w:r>
        <w:rPr>
          <w:rFonts w:ascii="Arial" w:cs="Arial" w:eastAsia="Arial" w:hAnsi="Arial"/>
          <w:sz w:val="14"/>
          <w:szCs w:val="14"/>
          <w:color w:val="auto"/>
        </w:rPr>
        <w:t>4.10</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color w:val="auto"/>
        </w:rPr>
        <w:t>4.11</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color w:val="auto"/>
        </w:rPr>
        <w:t>4.12</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color w:val="auto"/>
        </w:rPr>
        <w:t>4.13</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right="120"/>
        <w:spacing w:after="0" w:line="369" w:lineRule="auto"/>
        <w:rPr>
          <w:rFonts w:ascii="Arial" w:cs="Arial" w:eastAsia="Arial" w:hAnsi="Arial"/>
          <w:sz w:val="14"/>
          <w:szCs w:val="14"/>
          <w:u w:val="single" w:color="auto"/>
          <w:color w:val="0000FF"/>
        </w:rPr>
      </w:pPr>
      <w:hyperlink r:id="rId32">
        <w:r>
          <w:rPr>
            <w:rFonts w:ascii="Arial" w:cs="Arial" w:eastAsia="Arial" w:hAnsi="Arial"/>
            <w:sz w:val="14"/>
            <w:szCs w:val="14"/>
            <w:u w:val="single" w:color="auto"/>
            <w:color w:val="0000FF"/>
          </w:rPr>
          <w:t>Fourth Supplemental Indenture, dated as of May 8, 2015, among NRG Yield Operating</w:t>
        </w:r>
      </w:hyperlink>
      <w:r>
        <w:rPr>
          <w:rFonts w:ascii="Arial" w:cs="Arial" w:eastAsia="Arial" w:hAnsi="Arial"/>
          <w:sz w:val="14"/>
          <w:szCs w:val="14"/>
          <w:u w:val="single" w:color="auto"/>
          <w:color w:val="0000FF"/>
        </w:rPr>
        <w:t xml:space="preserve"> </w:t>
      </w:r>
      <w:hyperlink r:id="rId32">
        <w:r>
          <w:rPr>
            <w:rFonts w:ascii="Arial" w:cs="Arial" w:eastAsia="Arial" w:hAnsi="Arial"/>
            <w:sz w:val="14"/>
            <w:szCs w:val="14"/>
            <w:u w:val="single" w:color="auto"/>
            <w:color w:val="0000FF"/>
          </w:rPr>
          <w:t>LLC, the guarantors named therein and Law Debenture Trust Company of New York.</w:t>
        </w:r>
      </w:hyperlink>
    </w:p>
    <w:p>
      <w:pPr>
        <w:spacing w:after="0" w:line="126" w:lineRule="exact"/>
        <w:rPr>
          <w:sz w:val="20"/>
          <w:szCs w:val="20"/>
          <w:color w:val="auto"/>
        </w:rPr>
      </w:pPr>
    </w:p>
    <w:p>
      <w:pPr>
        <w:jc w:val="both"/>
        <w:spacing w:after="0" w:line="369" w:lineRule="auto"/>
        <w:rPr>
          <w:rFonts w:ascii="Arial" w:cs="Arial" w:eastAsia="Arial" w:hAnsi="Arial"/>
          <w:sz w:val="14"/>
          <w:szCs w:val="14"/>
          <w:u w:val="single" w:color="auto"/>
          <w:color w:val="0000FF"/>
        </w:rPr>
      </w:pPr>
      <w:hyperlink r:id="rId33">
        <w:r>
          <w:rPr>
            <w:rFonts w:ascii="Arial" w:cs="Arial" w:eastAsia="Arial" w:hAnsi="Arial"/>
            <w:sz w:val="14"/>
            <w:szCs w:val="14"/>
            <w:u w:val="single" w:color="auto"/>
            <w:color w:val="0000FF"/>
          </w:rPr>
          <w:t>Indenture, dated June 29, 2015, among NRG Yield, Inc., NRG Yield Operating LLC and</w:t>
        </w:r>
      </w:hyperlink>
      <w:r>
        <w:rPr>
          <w:rFonts w:ascii="Arial" w:cs="Arial" w:eastAsia="Arial" w:hAnsi="Arial"/>
          <w:sz w:val="14"/>
          <w:szCs w:val="14"/>
          <w:u w:val="single" w:color="auto"/>
          <w:color w:val="0000FF"/>
        </w:rPr>
        <w:t xml:space="preserve"> </w:t>
      </w:r>
      <w:hyperlink r:id="rId33">
        <w:r>
          <w:rPr>
            <w:rFonts w:ascii="Arial" w:cs="Arial" w:eastAsia="Arial" w:hAnsi="Arial"/>
            <w:sz w:val="14"/>
            <w:szCs w:val="14"/>
            <w:u w:val="single" w:color="auto"/>
            <w:color w:val="0000FF"/>
          </w:rPr>
          <w:t>NRG Yield LLC, as Guarantors, and Wilmington Trust, National Association, as Trustee.</w:t>
        </w:r>
      </w:hyperlink>
    </w:p>
    <w:p>
      <w:pPr>
        <w:spacing w:after="0" w:line="126" w:lineRule="exact"/>
        <w:rPr>
          <w:sz w:val="20"/>
          <w:szCs w:val="20"/>
          <w:color w:val="auto"/>
        </w:rPr>
      </w:pPr>
    </w:p>
    <w:p>
      <w:pPr>
        <w:spacing w:after="0"/>
        <w:rPr>
          <w:rFonts w:ascii="Arial" w:cs="Arial" w:eastAsia="Arial" w:hAnsi="Arial"/>
          <w:sz w:val="16"/>
          <w:szCs w:val="16"/>
          <w:u w:val="single" w:color="auto"/>
          <w:color w:val="0000FF"/>
        </w:rPr>
      </w:pPr>
      <w:hyperlink r:id="rId33">
        <w:r>
          <w:rPr>
            <w:rFonts w:ascii="Arial" w:cs="Arial" w:eastAsia="Arial" w:hAnsi="Arial"/>
            <w:sz w:val="16"/>
            <w:szCs w:val="16"/>
            <w:u w:val="single" w:color="auto"/>
            <w:color w:val="0000FF"/>
          </w:rPr>
          <w:t>Form of 3.25% Convertible Senior Note due 2020.</w:t>
        </w:r>
      </w:hyperlink>
    </w:p>
    <w:p>
      <w:pPr>
        <w:spacing w:after="0" w:line="397" w:lineRule="exact"/>
        <w:rPr>
          <w:sz w:val="20"/>
          <w:szCs w:val="20"/>
          <w:color w:val="auto"/>
        </w:rPr>
      </w:pPr>
    </w:p>
    <w:p>
      <w:pPr>
        <w:spacing w:after="0"/>
        <w:rPr>
          <w:rFonts w:ascii="Arial" w:cs="Arial" w:eastAsia="Arial" w:hAnsi="Arial"/>
          <w:sz w:val="16"/>
          <w:szCs w:val="16"/>
          <w:u w:val="single" w:color="auto"/>
          <w:color w:val="0000FF"/>
        </w:rPr>
      </w:pPr>
      <w:hyperlink r:id="rId34">
        <w:r>
          <w:rPr>
            <w:rFonts w:ascii="Arial" w:cs="Arial" w:eastAsia="Arial" w:hAnsi="Arial"/>
            <w:sz w:val="16"/>
            <w:szCs w:val="16"/>
            <w:u w:val="single" w:color="auto"/>
            <w:color w:val="0000FF"/>
          </w:rPr>
          <w:t>Specimen Class A Common Stock Certificate.</w:t>
        </w:r>
      </w:hyperlink>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right="40"/>
        <w:spacing w:after="0" w:line="329" w:lineRule="auto"/>
        <w:rPr>
          <w:sz w:val="20"/>
          <w:szCs w:val="20"/>
          <w:color w:val="auto"/>
        </w:rPr>
      </w:pPr>
      <w:r>
        <w:rPr>
          <w:rFonts w:ascii="Arial" w:cs="Arial" w:eastAsia="Arial" w:hAnsi="Arial"/>
          <w:sz w:val="15"/>
          <w:szCs w:val="15"/>
          <w:color w:val="auto"/>
        </w:rPr>
        <w:t>Incorporated herein by reference to Exhibit 4.1 to the Company's Current Report on Form 8-K filed on May 8, 2015.</w:t>
      </w:r>
    </w:p>
    <w:p>
      <w:pPr>
        <w:spacing w:after="0" w:line="148" w:lineRule="exact"/>
        <w:rPr>
          <w:sz w:val="20"/>
          <w:szCs w:val="20"/>
          <w:color w:val="auto"/>
        </w:rPr>
      </w:pPr>
    </w:p>
    <w:p>
      <w:pPr>
        <w:ind w:right="40"/>
        <w:spacing w:after="0" w:line="369" w:lineRule="auto"/>
        <w:rPr>
          <w:sz w:val="20"/>
          <w:szCs w:val="20"/>
          <w:color w:val="auto"/>
        </w:rPr>
      </w:pPr>
      <w:r>
        <w:rPr>
          <w:rFonts w:ascii="Arial" w:cs="Arial" w:eastAsia="Arial" w:hAnsi="Arial"/>
          <w:sz w:val="14"/>
          <w:szCs w:val="14"/>
          <w:color w:val="auto"/>
        </w:rPr>
        <w:t>Incorporated herein by reference to Exhibit 4.1 to the Company's Current Report on Form 8-K filed on June 29, 2015.</w:t>
      </w:r>
    </w:p>
    <w:p>
      <w:pPr>
        <w:spacing w:after="0" w:line="126" w:lineRule="exact"/>
        <w:rPr>
          <w:sz w:val="20"/>
          <w:szCs w:val="20"/>
          <w:color w:val="auto"/>
        </w:rPr>
      </w:pPr>
    </w:p>
    <w:p>
      <w:pPr>
        <w:ind w:right="40"/>
        <w:spacing w:after="0" w:line="353" w:lineRule="auto"/>
        <w:rPr>
          <w:sz w:val="20"/>
          <w:szCs w:val="20"/>
          <w:color w:val="auto"/>
        </w:rPr>
      </w:pPr>
      <w:r>
        <w:rPr>
          <w:rFonts w:ascii="Arial" w:cs="Arial" w:eastAsia="Arial" w:hAnsi="Arial"/>
          <w:sz w:val="14"/>
          <w:szCs w:val="14"/>
          <w:color w:val="auto"/>
        </w:rPr>
        <w:t>Incorporated herein by reference to Exhibit 4.2 to the Company's Current Report on Form 8-K filed on June 29, 2015</w:t>
      </w:r>
      <w:r>
        <w:rPr>
          <w:rFonts w:ascii="Arial" w:cs="Arial" w:eastAsia="Arial" w:hAnsi="Arial"/>
          <w:sz w:val="18"/>
          <w:szCs w:val="18"/>
          <w:color w:val="auto"/>
        </w:rPr>
        <w:t>.</w:t>
      </w:r>
    </w:p>
    <w:p>
      <w:pPr>
        <w:spacing w:after="0" w:line="121" w:lineRule="exact"/>
        <w:rPr>
          <w:sz w:val="20"/>
          <w:szCs w:val="20"/>
          <w:color w:val="auto"/>
        </w:rPr>
      </w:pPr>
    </w:p>
    <w:p>
      <w:pPr>
        <w:ind w:right="140"/>
        <w:spacing w:after="0" w:line="278" w:lineRule="auto"/>
        <w:rPr>
          <w:sz w:val="20"/>
          <w:szCs w:val="20"/>
          <w:color w:val="auto"/>
        </w:rPr>
      </w:pPr>
      <w:r>
        <w:rPr>
          <w:rFonts w:ascii="Arial" w:cs="Arial" w:eastAsia="Arial" w:hAnsi="Arial"/>
          <w:sz w:val="16"/>
          <w:szCs w:val="16"/>
          <w:color w:val="auto"/>
        </w:rPr>
        <w:t>Incorporated herein by reference to Exhibit 4.13 to the Company's Annual Report on Form 10-K filed on February 28, 2019.</w:t>
      </w:r>
    </w:p>
    <w:p>
      <w:pPr>
        <w:spacing w:after="0" w:line="103" w:lineRule="exact"/>
        <w:rPr>
          <w:sz w:val="20"/>
          <w:szCs w:val="20"/>
          <w:color w:val="auto"/>
        </w:rPr>
      </w:pPr>
    </w:p>
    <w:p>
      <w:pPr>
        <w:sectPr>
          <w:pgSz w:w="11900" w:h="16838" w:orient="portrait"/>
          <w:cols w:equalWidth="0" w:num="3">
            <w:col w:w="320" w:space="720"/>
            <w:col w:w="5780" w:space="260"/>
            <w:col w:w="4240"/>
          </w:cols>
          <w:pgMar w:left="280" w:top="739" w:right="299" w:bottom="1440" w:gutter="0" w:footer="0" w:header="0"/>
          <w:type w:val="continuous"/>
        </w:sectPr>
      </w:pPr>
    </w:p>
    <w:p>
      <w:pPr>
        <w:spacing w:after="0"/>
        <w:tabs>
          <w:tab w:leader="none" w:pos="1020" w:val="left"/>
        </w:tabs>
        <w:rPr>
          <w:rFonts w:ascii="Arial" w:cs="Arial" w:eastAsia="Arial" w:hAnsi="Arial"/>
          <w:sz w:val="14"/>
          <w:szCs w:val="14"/>
          <w:u w:val="single" w:color="auto"/>
          <w:color w:val="0000FF"/>
        </w:rPr>
      </w:pPr>
      <w:r>
        <w:rPr>
          <w:rFonts w:ascii="Arial" w:cs="Arial" w:eastAsia="Arial" w:hAnsi="Arial"/>
          <w:sz w:val="16"/>
          <w:szCs w:val="16"/>
          <w:color w:val="auto"/>
        </w:rPr>
        <w:t>4.14</w:t>
      </w:r>
      <w:r>
        <w:rPr>
          <w:sz w:val="20"/>
          <w:szCs w:val="20"/>
          <w:color w:val="auto"/>
        </w:rPr>
        <w:tab/>
      </w:r>
      <w:hyperlink r:id="rId35">
        <w:r>
          <w:rPr>
            <w:rFonts w:ascii="Arial" w:cs="Arial" w:eastAsia="Arial" w:hAnsi="Arial"/>
            <w:sz w:val="14"/>
            <w:szCs w:val="14"/>
            <w:u w:val="single" w:color="auto"/>
            <w:color w:val="0000FF"/>
          </w:rPr>
          <w:t>Specimen Class C Common Stock Certificate.</w:t>
        </w:r>
      </w:hyperlink>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right="140"/>
        <w:spacing w:after="0" w:line="278" w:lineRule="auto"/>
        <w:rPr>
          <w:sz w:val="20"/>
          <w:szCs w:val="20"/>
          <w:color w:val="auto"/>
        </w:rPr>
      </w:pPr>
      <w:r>
        <w:rPr>
          <w:rFonts w:ascii="Arial" w:cs="Arial" w:eastAsia="Arial" w:hAnsi="Arial"/>
          <w:sz w:val="16"/>
          <w:szCs w:val="16"/>
          <w:color w:val="auto"/>
        </w:rPr>
        <w:t>Incorporated herein by reference to Exhibit 4.14 to the Company's Annual Report on Form 10-K filed on February 28, 2019.</w:t>
      </w:r>
    </w:p>
    <w:p>
      <w:pPr>
        <w:spacing w:after="0" w:line="103" w:lineRule="exact"/>
        <w:rPr>
          <w:sz w:val="20"/>
          <w:szCs w:val="20"/>
          <w:color w:val="auto"/>
        </w:rPr>
      </w:pPr>
    </w:p>
    <w:p>
      <w:pPr>
        <w:sectPr>
          <w:pgSz w:w="11900" w:h="16838" w:orient="portrait"/>
          <w:cols w:equalWidth="0" w:num="2">
            <w:col w:w="6360" w:space="720"/>
            <w:col w:w="4240"/>
          </w:cols>
          <w:pgMar w:left="280" w:top="739" w:right="299" w:bottom="1440" w:gutter="0" w:footer="0" w:header="0"/>
          <w:type w:val="continuous"/>
        </w:sectPr>
      </w:pPr>
    </w:p>
    <w:p>
      <w:pPr>
        <w:spacing w:after="0"/>
        <w:rPr>
          <w:sz w:val="20"/>
          <w:szCs w:val="20"/>
          <w:color w:val="auto"/>
        </w:rPr>
      </w:pPr>
      <w:r>
        <w:rPr>
          <w:rFonts w:ascii="Arial" w:cs="Arial" w:eastAsia="Arial" w:hAnsi="Arial"/>
          <w:sz w:val="14"/>
          <w:szCs w:val="14"/>
          <w:color w:val="auto"/>
        </w:rPr>
        <w:t>4.15</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color w:val="auto"/>
        </w:rPr>
        <w:t>4.16</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color w:val="auto"/>
        </w:rPr>
        <w:t>4.17</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right="220"/>
        <w:spacing w:after="0" w:line="293" w:lineRule="auto"/>
        <w:rPr>
          <w:rFonts w:ascii="Arial" w:cs="Arial" w:eastAsia="Arial" w:hAnsi="Arial"/>
          <w:sz w:val="16"/>
          <w:szCs w:val="16"/>
          <w:u w:val="single" w:color="auto"/>
          <w:color w:val="0000FF"/>
        </w:rPr>
      </w:pPr>
      <w:hyperlink r:id="rId36">
        <w:r>
          <w:rPr>
            <w:rFonts w:ascii="Arial" w:cs="Arial" w:eastAsia="Arial" w:hAnsi="Arial"/>
            <w:sz w:val="16"/>
            <w:szCs w:val="16"/>
            <w:u w:val="single" w:color="auto"/>
            <w:color w:val="0000FF"/>
          </w:rPr>
          <w:t>Indenture, dated August 18, 2016, among NRG Yield Operating LLC, the guarantors</w:t>
        </w:r>
      </w:hyperlink>
      <w:r>
        <w:rPr>
          <w:rFonts w:ascii="Arial" w:cs="Arial" w:eastAsia="Arial" w:hAnsi="Arial"/>
          <w:sz w:val="16"/>
          <w:szCs w:val="16"/>
          <w:u w:val="single" w:color="auto"/>
          <w:color w:val="0000FF"/>
        </w:rPr>
        <w:t xml:space="preserve"> </w:t>
      </w:r>
      <w:hyperlink r:id="rId36">
        <w:r>
          <w:rPr>
            <w:rFonts w:ascii="Arial" w:cs="Arial" w:eastAsia="Arial" w:hAnsi="Arial"/>
            <w:sz w:val="16"/>
            <w:szCs w:val="16"/>
            <w:u w:val="single" w:color="auto"/>
            <w:color w:val="0000FF"/>
          </w:rPr>
          <w:t>named therein and Law Debenture Trust Company of New York.</w:t>
        </w:r>
      </w:hyperlink>
    </w:p>
    <w:p>
      <w:pPr>
        <w:spacing w:after="0" w:line="172" w:lineRule="exact"/>
        <w:rPr>
          <w:sz w:val="20"/>
          <w:szCs w:val="20"/>
          <w:color w:val="auto"/>
        </w:rPr>
      </w:pPr>
    </w:p>
    <w:p>
      <w:pPr>
        <w:spacing w:after="0"/>
        <w:rPr>
          <w:rFonts w:ascii="Arial" w:cs="Arial" w:eastAsia="Arial" w:hAnsi="Arial"/>
          <w:sz w:val="16"/>
          <w:szCs w:val="16"/>
          <w:u w:val="single" w:color="auto"/>
          <w:color w:val="0000FF"/>
        </w:rPr>
      </w:pPr>
      <w:hyperlink r:id="rId36">
        <w:r>
          <w:rPr>
            <w:rFonts w:ascii="Arial" w:cs="Arial" w:eastAsia="Arial" w:hAnsi="Arial"/>
            <w:sz w:val="16"/>
            <w:szCs w:val="16"/>
            <w:u w:val="single" w:color="auto"/>
            <w:color w:val="0000FF"/>
          </w:rPr>
          <w:t>Form of 5.000% Senior Note due 2026.</w:t>
        </w:r>
      </w:hyperlink>
    </w:p>
    <w:p>
      <w:pPr>
        <w:spacing w:after="0" w:line="200" w:lineRule="exact"/>
        <w:rPr>
          <w:sz w:val="20"/>
          <w:szCs w:val="20"/>
          <w:color w:val="auto"/>
        </w:rPr>
      </w:pPr>
    </w:p>
    <w:p>
      <w:pPr>
        <w:spacing w:after="0" w:line="237" w:lineRule="exact"/>
        <w:rPr>
          <w:sz w:val="20"/>
          <w:szCs w:val="20"/>
          <w:color w:val="auto"/>
        </w:rPr>
      </w:pPr>
    </w:p>
    <w:p>
      <w:pPr>
        <w:spacing w:after="0" w:line="278" w:lineRule="auto"/>
        <w:rPr>
          <w:rFonts w:ascii="Arial" w:cs="Arial" w:eastAsia="Arial" w:hAnsi="Arial"/>
          <w:sz w:val="16"/>
          <w:szCs w:val="16"/>
          <w:u w:val="single" w:color="auto"/>
          <w:color w:val="0000FF"/>
        </w:rPr>
      </w:pPr>
      <w:hyperlink r:id="rId37">
        <w:r>
          <w:rPr>
            <w:rFonts w:ascii="Arial" w:cs="Arial" w:eastAsia="Arial" w:hAnsi="Arial"/>
            <w:sz w:val="16"/>
            <w:szCs w:val="16"/>
            <w:u w:val="single" w:color="auto"/>
            <w:color w:val="0000FF"/>
          </w:rPr>
          <w:t>Registration Rights Agreement, dated August 18, 2016, among NRG Yield Operating</w:t>
        </w:r>
      </w:hyperlink>
      <w:r>
        <w:rPr>
          <w:rFonts w:ascii="Arial" w:cs="Arial" w:eastAsia="Arial" w:hAnsi="Arial"/>
          <w:sz w:val="16"/>
          <w:szCs w:val="16"/>
          <w:u w:val="single" w:color="auto"/>
          <w:color w:val="0000FF"/>
        </w:rPr>
        <w:t xml:space="preserve"> </w:t>
      </w:r>
      <w:hyperlink r:id="rId37">
        <w:r>
          <w:rPr>
            <w:rFonts w:ascii="Arial" w:cs="Arial" w:eastAsia="Arial" w:hAnsi="Arial"/>
            <w:sz w:val="16"/>
            <w:szCs w:val="16"/>
            <w:u w:val="single" w:color="auto"/>
            <w:color w:val="0000FF"/>
          </w:rPr>
          <w:t>LLC, the guarantors named therein and J.P. Morgan Securities LLC, as representative of</w:t>
        </w:r>
      </w:hyperlink>
      <w:r>
        <w:rPr>
          <w:rFonts w:ascii="Arial" w:cs="Arial" w:eastAsia="Arial" w:hAnsi="Arial"/>
          <w:sz w:val="16"/>
          <w:szCs w:val="16"/>
          <w:u w:val="single" w:color="auto"/>
          <w:color w:val="0000FF"/>
        </w:rPr>
        <w:t xml:space="preserve"> </w:t>
      </w:r>
      <w:hyperlink r:id="rId37">
        <w:r>
          <w:rPr>
            <w:rFonts w:ascii="Arial" w:cs="Arial" w:eastAsia="Arial" w:hAnsi="Arial"/>
            <w:sz w:val="16"/>
            <w:szCs w:val="16"/>
            <w:u w:val="single" w:color="auto"/>
            <w:color w:val="0000FF"/>
          </w:rPr>
          <w:t>the initial purchasers.</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spacing w:after="0" w:line="61" w:lineRule="exact"/>
        <w:rPr>
          <w:rFonts w:ascii="Arial" w:cs="Arial" w:eastAsia="Arial" w:hAnsi="Arial"/>
          <w:sz w:val="16"/>
          <w:szCs w:val="16"/>
          <w:u w:val="single" w:color="auto"/>
          <w:color w:val="0000FF"/>
        </w:rPr>
      </w:pPr>
    </w:p>
    <w:p>
      <w:pPr>
        <w:spacing w:after="0" w:line="369" w:lineRule="auto"/>
        <w:rPr>
          <w:sz w:val="20"/>
          <w:szCs w:val="20"/>
          <w:color w:val="auto"/>
        </w:rPr>
      </w:pPr>
      <w:r>
        <w:rPr>
          <w:rFonts w:ascii="Arial" w:cs="Arial" w:eastAsia="Arial" w:hAnsi="Arial"/>
          <w:sz w:val="14"/>
          <w:szCs w:val="14"/>
          <w:color w:val="auto"/>
        </w:rPr>
        <w:t>Incorporated herein by reference to Exhibit 4.1 to the Registrant's Current Report on Form 8-K, filed on August 18, 2016.</w:t>
      </w:r>
    </w:p>
    <w:p>
      <w:pPr>
        <w:spacing w:after="0" w:line="126" w:lineRule="exact"/>
        <w:rPr>
          <w:rFonts w:ascii="Arial" w:cs="Arial" w:eastAsia="Arial" w:hAnsi="Arial"/>
          <w:sz w:val="16"/>
          <w:szCs w:val="16"/>
          <w:u w:val="single" w:color="auto"/>
          <w:color w:val="0000FF"/>
        </w:rPr>
      </w:pPr>
    </w:p>
    <w:p>
      <w:pPr>
        <w:spacing w:after="0" w:line="369" w:lineRule="auto"/>
        <w:rPr>
          <w:sz w:val="20"/>
          <w:szCs w:val="20"/>
          <w:color w:val="auto"/>
        </w:rPr>
      </w:pPr>
      <w:r>
        <w:rPr>
          <w:rFonts w:ascii="Arial" w:cs="Arial" w:eastAsia="Arial" w:hAnsi="Arial"/>
          <w:sz w:val="14"/>
          <w:szCs w:val="14"/>
          <w:color w:val="auto"/>
        </w:rPr>
        <w:t>Incorporated herein by reference to Exhibit 4.2 to the Registrant's Current Report on Form 8-K, filed on August 18, 2016.</w:t>
      </w:r>
    </w:p>
    <w:p>
      <w:pPr>
        <w:spacing w:after="0" w:line="126" w:lineRule="exact"/>
        <w:rPr>
          <w:rFonts w:ascii="Arial" w:cs="Arial" w:eastAsia="Arial" w:hAnsi="Arial"/>
          <w:sz w:val="16"/>
          <w:szCs w:val="16"/>
          <w:u w:val="single" w:color="auto"/>
          <w:color w:val="0000FF"/>
        </w:rPr>
      </w:pPr>
    </w:p>
    <w:p>
      <w:pPr>
        <w:spacing w:after="0" w:line="369" w:lineRule="auto"/>
        <w:rPr>
          <w:sz w:val="20"/>
          <w:szCs w:val="20"/>
          <w:color w:val="auto"/>
        </w:rPr>
      </w:pPr>
      <w:r>
        <w:rPr>
          <w:rFonts w:ascii="Arial" w:cs="Arial" w:eastAsia="Arial" w:hAnsi="Arial"/>
          <w:sz w:val="14"/>
          <w:szCs w:val="14"/>
          <w:color w:val="auto"/>
        </w:rPr>
        <w:t>Incorporated herein by reference to Exhibit 4.3 to the Registrant's Current Report on Form 8-K, filed on August 18, 2016.</w:t>
      </w:r>
    </w:p>
    <w:p>
      <w:pPr>
        <w:spacing w:after="0" w:line="247" w:lineRule="exact"/>
        <w:rPr>
          <w:rFonts w:ascii="Arial" w:cs="Arial" w:eastAsia="Arial" w:hAnsi="Arial"/>
          <w:sz w:val="16"/>
          <w:szCs w:val="16"/>
          <w:u w:val="single" w:color="auto"/>
          <w:color w:val="0000FF"/>
        </w:rPr>
      </w:pPr>
    </w:p>
    <w:p>
      <w:pPr>
        <w:sectPr>
          <w:pgSz w:w="11900" w:h="16838" w:orient="portrait"/>
          <w:cols w:equalWidth="0" w:num="3">
            <w:col w:w="320" w:space="720"/>
            <w:col w:w="5720" w:space="320"/>
            <w:col w:w="4240"/>
          </w:cols>
          <w:pgMar w:left="280" w:top="739" w:right="299" w:bottom="1440" w:gutter="0" w:footer="0" w:header="0"/>
          <w:type w:val="continuous"/>
        </w:sectPr>
      </w:pPr>
    </w:p>
    <w:p>
      <w:pPr>
        <w:spacing w:after="0"/>
        <w:rPr>
          <w:sz w:val="20"/>
          <w:szCs w:val="20"/>
          <w:color w:val="auto"/>
        </w:rPr>
      </w:pPr>
      <w:r>
        <w:rPr>
          <w:rFonts w:ascii="Arial" w:cs="Arial" w:eastAsia="Arial" w:hAnsi="Arial"/>
          <w:sz w:val="14"/>
          <w:szCs w:val="14"/>
          <w:color w:val="auto"/>
        </w:rPr>
        <w:t>4.18</w:t>
      </w: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27" w:lineRule="exact"/>
        <w:rPr>
          <w:rFonts w:ascii="Arial" w:cs="Arial" w:eastAsia="Arial" w:hAnsi="Arial"/>
          <w:sz w:val="16"/>
          <w:szCs w:val="16"/>
          <w:u w:val="single" w:color="auto"/>
          <w:color w:val="0000FF"/>
        </w:rPr>
      </w:pPr>
    </w:p>
    <w:p>
      <w:pPr>
        <w:spacing w:after="0"/>
        <w:rPr>
          <w:sz w:val="20"/>
          <w:szCs w:val="20"/>
          <w:color w:val="auto"/>
        </w:rPr>
      </w:pPr>
      <w:r>
        <w:rPr>
          <w:rFonts w:ascii="Arial" w:cs="Arial" w:eastAsia="Arial" w:hAnsi="Arial"/>
          <w:sz w:val="14"/>
          <w:szCs w:val="14"/>
          <w:color w:val="auto"/>
        </w:rPr>
        <w:t>4.19</w:t>
      </w: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63" w:lineRule="exact"/>
        <w:rPr>
          <w:rFonts w:ascii="Arial" w:cs="Arial" w:eastAsia="Arial" w:hAnsi="Arial"/>
          <w:sz w:val="16"/>
          <w:szCs w:val="16"/>
          <w:u w:val="single" w:color="auto"/>
          <w:color w:val="0000FF"/>
        </w:rPr>
      </w:pPr>
    </w:p>
    <w:p>
      <w:pPr>
        <w:spacing w:after="0"/>
        <w:rPr>
          <w:sz w:val="20"/>
          <w:szCs w:val="20"/>
          <w:color w:val="auto"/>
        </w:rPr>
      </w:pPr>
      <w:r>
        <w:rPr>
          <w:rFonts w:ascii="Arial" w:cs="Arial" w:eastAsia="Arial" w:hAnsi="Arial"/>
          <w:sz w:val="14"/>
          <w:szCs w:val="14"/>
          <w:color w:val="auto"/>
        </w:rPr>
        <w:t>4.20</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spacing w:after="0" w:line="61" w:lineRule="exact"/>
        <w:rPr>
          <w:rFonts w:ascii="Arial" w:cs="Arial" w:eastAsia="Arial" w:hAnsi="Arial"/>
          <w:sz w:val="16"/>
          <w:szCs w:val="16"/>
          <w:u w:val="single" w:color="auto"/>
          <w:color w:val="0000FF"/>
        </w:rPr>
      </w:pPr>
    </w:p>
    <w:p>
      <w:pPr>
        <w:jc w:val="both"/>
        <w:ind w:right="40"/>
        <w:spacing w:after="0" w:line="278" w:lineRule="auto"/>
        <w:rPr>
          <w:rFonts w:ascii="Arial" w:cs="Arial" w:eastAsia="Arial" w:hAnsi="Arial"/>
          <w:sz w:val="16"/>
          <w:szCs w:val="16"/>
          <w:u w:val="single" w:color="auto"/>
          <w:color w:val="0000FF"/>
        </w:rPr>
      </w:pPr>
      <w:hyperlink r:id="rId38">
        <w:r>
          <w:rPr>
            <w:rFonts w:ascii="Arial" w:cs="Arial" w:eastAsia="Arial" w:hAnsi="Arial"/>
            <w:sz w:val="16"/>
            <w:szCs w:val="16"/>
            <w:u w:val="single" w:color="auto"/>
            <w:color w:val="0000FF"/>
          </w:rPr>
          <w:t>Fifth Supplemental Indenture, dated as of January 29, 2018, among NRG Yield Operating</w:t>
        </w:r>
      </w:hyperlink>
      <w:r>
        <w:rPr>
          <w:rFonts w:ascii="Arial" w:cs="Arial" w:eastAsia="Arial" w:hAnsi="Arial"/>
          <w:sz w:val="16"/>
          <w:szCs w:val="16"/>
          <w:u w:val="single" w:color="auto"/>
          <w:color w:val="0000FF"/>
        </w:rPr>
        <w:t xml:space="preserve"> </w:t>
      </w:r>
      <w:hyperlink r:id="rId38">
        <w:r>
          <w:rPr>
            <w:rFonts w:ascii="Arial" w:cs="Arial" w:eastAsia="Arial" w:hAnsi="Arial"/>
            <w:sz w:val="16"/>
            <w:szCs w:val="16"/>
            <w:u w:val="single" w:color="auto"/>
            <w:color w:val="0000FF"/>
          </w:rPr>
          <w:t>LLC, the guarantors named therein and Delaware Trust Company (as successor in interest</w:t>
        </w:r>
      </w:hyperlink>
      <w:r>
        <w:rPr>
          <w:rFonts w:ascii="Arial" w:cs="Arial" w:eastAsia="Arial" w:hAnsi="Arial"/>
          <w:sz w:val="16"/>
          <w:szCs w:val="16"/>
          <w:u w:val="single" w:color="auto"/>
          <w:color w:val="0000FF"/>
        </w:rPr>
        <w:t xml:space="preserve"> </w:t>
      </w:r>
      <w:hyperlink r:id="rId38">
        <w:r>
          <w:rPr>
            <w:rFonts w:ascii="Arial" w:cs="Arial" w:eastAsia="Arial" w:hAnsi="Arial"/>
            <w:sz w:val="16"/>
            <w:szCs w:val="16"/>
            <w:u w:val="single" w:color="auto"/>
            <w:color w:val="0000FF"/>
          </w:rPr>
          <w:t>to Law Debenture Trust Company of New York).</w:t>
        </w:r>
      </w:hyperlink>
    </w:p>
    <w:p>
      <w:pPr>
        <w:spacing w:after="0" w:line="200" w:lineRule="exact"/>
        <w:rPr>
          <w:rFonts w:ascii="Arial" w:cs="Arial" w:eastAsia="Arial" w:hAnsi="Arial"/>
          <w:sz w:val="16"/>
          <w:szCs w:val="16"/>
          <w:u w:val="single" w:color="auto"/>
          <w:color w:val="0000FF"/>
        </w:rPr>
      </w:pPr>
    </w:p>
    <w:p>
      <w:pPr>
        <w:spacing w:after="0" w:line="349" w:lineRule="exact"/>
        <w:rPr>
          <w:rFonts w:ascii="Arial" w:cs="Arial" w:eastAsia="Arial" w:hAnsi="Arial"/>
          <w:sz w:val="16"/>
          <w:szCs w:val="16"/>
          <w:u w:val="single" w:color="auto"/>
          <w:color w:val="0000FF"/>
        </w:rPr>
      </w:pPr>
    </w:p>
    <w:p>
      <w:pPr>
        <w:jc w:val="both"/>
        <w:spacing w:after="0" w:line="278" w:lineRule="auto"/>
        <w:rPr>
          <w:rFonts w:ascii="Arial" w:cs="Arial" w:eastAsia="Arial" w:hAnsi="Arial"/>
          <w:sz w:val="16"/>
          <w:szCs w:val="16"/>
          <w:u w:val="single" w:color="auto"/>
          <w:color w:val="0000FF"/>
        </w:rPr>
      </w:pPr>
      <w:hyperlink r:id="rId39">
        <w:r>
          <w:rPr>
            <w:rFonts w:ascii="Arial" w:cs="Arial" w:eastAsia="Arial" w:hAnsi="Arial"/>
            <w:sz w:val="16"/>
            <w:szCs w:val="16"/>
            <w:u w:val="single" w:color="auto"/>
            <w:color w:val="0000FF"/>
          </w:rPr>
          <w:t>Supplemental Indenture, dated as of January 29, 2018, among NRG Yield Operating LLC,</w:t>
        </w:r>
      </w:hyperlink>
      <w:r>
        <w:rPr>
          <w:rFonts w:ascii="Arial" w:cs="Arial" w:eastAsia="Arial" w:hAnsi="Arial"/>
          <w:sz w:val="16"/>
          <w:szCs w:val="16"/>
          <w:u w:val="single" w:color="auto"/>
          <w:color w:val="0000FF"/>
        </w:rPr>
        <w:t xml:space="preserve"> </w:t>
      </w:r>
      <w:hyperlink r:id="rId39">
        <w:r>
          <w:rPr>
            <w:rFonts w:ascii="Arial" w:cs="Arial" w:eastAsia="Arial" w:hAnsi="Arial"/>
            <w:sz w:val="16"/>
            <w:szCs w:val="16"/>
            <w:u w:val="single" w:color="auto"/>
            <w:color w:val="0000FF"/>
          </w:rPr>
          <w:t>the guarantors named therein and the Delaware Trust Company (as successor in interest to</w:t>
        </w:r>
      </w:hyperlink>
      <w:r>
        <w:rPr>
          <w:rFonts w:ascii="Arial" w:cs="Arial" w:eastAsia="Arial" w:hAnsi="Arial"/>
          <w:sz w:val="16"/>
          <w:szCs w:val="16"/>
          <w:u w:val="single" w:color="auto"/>
          <w:color w:val="0000FF"/>
        </w:rPr>
        <w:t xml:space="preserve"> </w:t>
      </w:r>
      <w:hyperlink r:id="rId39">
        <w:r>
          <w:rPr>
            <w:rFonts w:ascii="Arial" w:cs="Arial" w:eastAsia="Arial" w:hAnsi="Arial"/>
            <w:sz w:val="16"/>
            <w:szCs w:val="16"/>
            <w:u w:val="single" w:color="auto"/>
            <w:color w:val="0000FF"/>
          </w:rPr>
          <w:t>Law Debenture Trust Company of New York).</w:t>
        </w:r>
      </w:hyperlink>
    </w:p>
    <w:p>
      <w:pPr>
        <w:spacing w:after="0" w:line="184" w:lineRule="exact"/>
        <w:rPr>
          <w:rFonts w:ascii="Arial" w:cs="Arial" w:eastAsia="Arial" w:hAnsi="Arial"/>
          <w:sz w:val="16"/>
          <w:szCs w:val="16"/>
          <w:u w:val="single" w:color="auto"/>
          <w:color w:val="0000FF"/>
        </w:rPr>
      </w:pPr>
    </w:p>
    <w:p>
      <w:pPr>
        <w:ind w:right="40"/>
        <w:spacing w:after="0" w:line="278" w:lineRule="auto"/>
        <w:rPr>
          <w:rFonts w:ascii="Arial" w:cs="Arial" w:eastAsia="Arial" w:hAnsi="Arial"/>
          <w:sz w:val="16"/>
          <w:szCs w:val="16"/>
          <w:u w:val="single" w:color="auto"/>
          <w:color w:val="0000FF"/>
        </w:rPr>
      </w:pPr>
      <w:hyperlink r:id="rId40">
        <w:r>
          <w:rPr>
            <w:rFonts w:ascii="Arial" w:cs="Arial" w:eastAsia="Arial" w:hAnsi="Arial"/>
            <w:sz w:val="16"/>
            <w:szCs w:val="16"/>
            <w:u w:val="single" w:color="auto"/>
            <w:color w:val="0000FF"/>
          </w:rPr>
          <w:t>Sixth Supplemental Indenture, dated as of June 12, 2018, among NRG Yield Operating</w:t>
        </w:r>
      </w:hyperlink>
      <w:r>
        <w:rPr>
          <w:rFonts w:ascii="Arial" w:cs="Arial" w:eastAsia="Arial" w:hAnsi="Arial"/>
          <w:sz w:val="16"/>
          <w:szCs w:val="16"/>
          <w:u w:val="single" w:color="auto"/>
          <w:color w:val="0000FF"/>
        </w:rPr>
        <w:t xml:space="preserve"> </w:t>
      </w:r>
      <w:hyperlink r:id="rId40">
        <w:r>
          <w:rPr>
            <w:rFonts w:ascii="Arial" w:cs="Arial" w:eastAsia="Arial" w:hAnsi="Arial"/>
            <w:sz w:val="16"/>
            <w:szCs w:val="16"/>
            <w:u w:val="single" w:color="auto"/>
            <w:color w:val="0000FF"/>
          </w:rPr>
          <w:t>LLC, the guarantors named therein and Delaware Trust Company (as successor in interest</w:t>
        </w:r>
      </w:hyperlink>
      <w:r>
        <w:rPr>
          <w:rFonts w:ascii="Arial" w:cs="Arial" w:eastAsia="Arial" w:hAnsi="Arial"/>
          <w:sz w:val="16"/>
          <w:szCs w:val="16"/>
          <w:u w:val="single" w:color="auto"/>
          <w:color w:val="0000FF"/>
        </w:rPr>
        <w:t xml:space="preserve"> </w:t>
      </w:r>
      <w:hyperlink r:id="rId40">
        <w:r>
          <w:rPr>
            <w:rFonts w:ascii="Arial" w:cs="Arial" w:eastAsia="Arial" w:hAnsi="Arial"/>
            <w:sz w:val="16"/>
            <w:szCs w:val="16"/>
            <w:u w:val="single" w:color="auto"/>
            <w:color w:val="0000FF"/>
          </w:rPr>
          <w:t>to Law Debenture Trust Company of New York).</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spacing w:after="0" w:line="61" w:lineRule="exact"/>
        <w:rPr>
          <w:rFonts w:ascii="Arial" w:cs="Arial" w:eastAsia="Arial" w:hAnsi="Arial"/>
          <w:sz w:val="16"/>
          <w:szCs w:val="16"/>
          <w:u w:val="single" w:color="auto"/>
          <w:color w:val="0000FF"/>
        </w:rPr>
      </w:pPr>
    </w:p>
    <w:p>
      <w:pPr>
        <w:ind w:right="80"/>
        <w:spacing w:after="0" w:line="278" w:lineRule="auto"/>
        <w:rPr>
          <w:sz w:val="20"/>
          <w:szCs w:val="20"/>
          <w:color w:val="auto"/>
        </w:rPr>
      </w:pPr>
      <w:r>
        <w:rPr>
          <w:rFonts w:ascii="Arial" w:cs="Arial" w:eastAsia="Arial" w:hAnsi="Arial"/>
          <w:sz w:val="16"/>
          <w:szCs w:val="16"/>
          <w:color w:val="auto"/>
        </w:rPr>
        <w:t>Incorporated herein by reference to Exhibit 4.1 to Clearway Energy LLC's Current Report on Form 8-K, filed on January 31, 2018.</w:t>
      </w:r>
    </w:p>
    <w:p>
      <w:pPr>
        <w:spacing w:after="0" w:line="200" w:lineRule="exact"/>
        <w:rPr>
          <w:rFonts w:ascii="Arial" w:cs="Arial" w:eastAsia="Arial" w:hAnsi="Arial"/>
          <w:sz w:val="16"/>
          <w:szCs w:val="16"/>
          <w:u w:val="single" w:color="auto"/>
          <w:color w:val="0000FF"/>
        </w:rPr>
      </w:pPr>
    </w:p>
    <w:p>
      <w:pPr>
        <w:spacing w:after="0" w:line="349" w:lineRule="exact"/>
        <w:rPr>
          <w:rFonts w:ascii="Arial" w:cs="Arial" w:eastAsia="Arial" w:hAnsi="Arial"/>
          <w:sz w:val="16"/>
          <w:szCs w:val="16"/>
          <w:u w:val="single" w:color="auto"/>
          <w:color w:val="0000FF"/>
        </w:rPr>
      </w:pPr>
    </w:p>
    <w:p>
      <w:pPr>
        <w:ind w:right="80"/>
        <w:spacing w:after="0" w:line="278" w:lineRule="auto"/>
        <w:rPr>
          <w:sz w:val="20"/>
          <w:szCs w:val="20"/>
          <w:color w:val="auto"/>
        </w:rPr>
      </w:pPr>
      <w:r>
        <w:rPr>
          <w:rFonts w:ascii="Arial" w:cs="Arial" w:eastAsia="Arial" w:hAnsi="Arial"/>
          <w:sz w:val="16"/>
          <w:szCs w:val="16"/>
          <w:color w:val="auto"/>
        </w:rPr>
        <w:t>Incorporated herein by reference to Exhibit 4.2 to Clearway Energy LLC's Current Report on Form 8-K, filed on January 31, 2018.</w:t>
      </w:r>
    </w:p>
    <w:p>
      <w:pPr>
        <w:spacing w:after="0" w:line="184" w:lineRule="exact"/>
        <w:rPr>
          <w:rFonts w:ascii="Arial" w:cs="Arial" w:eastAsia="Arial" w:hAnsi="Arial"/>
          <w:sz w:val="16"/>
          <w:szCs w:val="16"/>
          <w:u w:val="single" w:color="auto"/>
          <w:color w:val="0000FF"/>
        </w:rPr>
      </w:pPr>
    </w:p>
    <w:p>
      <w:pPr>
        <w:ind w:right="40"/>
        <w:spacing w:after="0" w:line="369" w:lineRule="auto"/>
        <w:rPr>
          <w:sz w:val="20"/>
          <w:szCs w:val="20"/>
          <w:color w:val="auto"/>
        </w:rPr>
      </w:pPr>
      <w:r>
        <w:rPr>
          <w:rFonts w:ascii="Arial" w:cs="Arial" w:eastAsia="Arial" w:hAnsi="Arial"/>
          <w:sz w:val="14"/>
          <w:szCs w:val="14"/>
          <w:color w:val="auto"/>
        </w:rPr>
        <w:t>Incorporated herein by reference to Exhibit 4.1 to the Company's Current Report on Form 8-K filed on June 12, 2018.</w:t>
      </w:r>
    </w:p>
    <w:p>
      <w:pPr>
        <w:spacing w:after="0" w:line="344" w:lineRule="exact"/>
        <w:rPr>
          <w:rFonts w:ascii="Arial" w:cs="Arial" w:eastAsia="Arial" w:hAnsi="Arial"/>
          <w:sz w:val="16"/>
          <w:szCs w:val="16"/>
          <w:u w:val="single" w:color="auto"/>
          <w:color w:val="0000FF"/>
        </w:rPr>
      </w:pPr>
    </w:p>
    <w:p>
      <w:pPr>
        <w:sectPr>
          <w:pgSz w:w="11900" w:h="16838" w:orient="portrait"/>
          <w:cols w:equalWidth="0" w:num="3">
            <w:col w:w="320" w:space="720"/>
            <w:col w:w="5860" w:space="180"/>
            <w:col w:w="4240"/>
          </w:cols>
          <w:pgMar w:left="280" w:top="739" w:right="299" w:bottom="1440" w:gutter="0" w:footer="0" w:header="0"/>
          <w:type w:val="continuous"/>
        </w:sectPr>
      </w:pPr>
    </w:p>
    <w:p>
      <w:pPr>
        <w:spacing w:after="0" w:line="53" w:lineRule="exact"/>
        <w:rPr>
          <w:rFonts w:ascii="Arial" w:cs="Arial" w:eastAsia="Arial" w:hAnsi="Arial"/>
          <w:sz w:val="16"/>
          <w:szCs w:val="16"/>
          <w:u w:val="single" w:color="auto"/>
          <w:color w:val="0000FF"/>
        </w:rPr>
      </w:pPr>
    </w:p>
    <w:tbl>
      <w:tblPr>
        <w:tblLayout w:type="fixed"/>
        <w:tblInd w:w="0" w:type="dxa"/>
        <w:tblCellMar>
          <w:top w:w="0" w:type="dxa"/>
          <w:left w:w="0" w:type="dxa"/>
          <w:bottom w:w="0" w:type="dxa"/>
          <w:right w:w="0" w:type="dxa"/>
        </w:tblCellMar>
      </w:tblPr>
      <w:tr>
        <w:trPr>
          <w:trHeight w:val="184"/>
        </w:trPr>
        <w:tc>
          <w:tcPr>
            <w:tcW w:w="1040" w:type="dxa"/>
            <w:vAlign w:val="bottom"/>
          </w:tcPr>
          <w:p>
            <w:pPr>
              <w:jc w:val="right"/>
              <w:ind w:right="679"/>
              <w:spacing w:after="0"/>
              <w:rPr>
                <w:sz w:val="20"/>
                <w:szCs w:val="20"/>
                <w:color w:val="auto"/>
              </w:rPr>
            </w:pPr>
            <w:r>
              <w:rPr>
                <w:rFonts w:ascii="Arial" w:cs="Arial" w:eastAsia="Arial" w:hAnsi="Arial"/>
                <w:sz w:val="16"/>
                <w:szCs w:val="16"/>
                <w:color w:val="auto"/>
                <w:w w:val="83"/>
              </w:rPr>
              <w:t>4.21</w:t>
            </w:r>
          </w:p>
        </w:tc>
        <w:tc>
          <w:tcPr>
            <w:tcW w:w="5780" w:type="dxa"/>
            <w:vAlign w:val="bottom"/>
            <w:tcBorders>
              <w:bottom w:val="single" w:sz="8" w:color="0000FF"/>
            </w:tcBorders>
            <w:gridSpan w:val="2"/>
          </w:tcPr>
          <w:p>
            <w:pPr>
              <w:spacing w:after="0"/>
              <w:rPr>
                <w:rFonts w:ascii="Arial" w:cs="Arial" w:eastAsia="Arial" w:hAnsi="Arial"/>
                <w:sz w:val="16"/>
                <w:szCs w:val="16"/>
                <w:color w:val="0000FF"/>
                <w:w w:val="90"/>
              </w:rPr>
            </w:pPr>
            <w:hyperlink r:id="rId41">
              <w:r>
                <w:rPr>
                  <w:rFonts w:ascii="Arial" w:cs="Arial" w:eastAsia="Arial" w:hAnsi="Arial"/>
                  <w:sz w:val="16"/>
                  <w:szCs w:val="16"/>
                  <w:color w:val="0000FF"/>
                  <w:w w:val="90"/>
                </w:rPr>
                <w:t>Second Supplemental Indenture, dated as of June 12, 2018, among NRG Yield Operating</w:t>
              </w:r>
            </w:hyperlink>
          </w:p>
        </w:tc>
        <w:tc>
          <w:tcPr>
            <w:tcW w:w="40" w:type="dxa"/>
            <w:vAlign w:val="bottom"/>
          </w:tcPr>
          <w:p>
            <w:pPr>
              <w:spacing w:after="0"/>
              <w:rPr>
                <w:sz w:val="16"/>
                <w:szCs w:val="16"/>
                <w:color w:val="auto"/>
              </w:rPr>
            </w:pPr>
          </w:p>
        </w:tc>
      </w:tr>
      <w:tr>
        <w:trPr>
          <w:trHeight w:val="183"/>
        </w:trPr>
        <w:tc>
          <w:tcPr>
            <w:tcW w:w="1040" w:type="dxa"/>
            <w:vAlign w:val="bottom"/>
          </w:tcPr>
          <w:p>
            <w:pPr>
              <w:spacing w:after="0"/>
              <w:rPr>
                <w:sz w:val="15"/>
                <w:szCs w:val="15"/>
                <w:color w:val="auto"/>
              </w:rPr>
            </w:pPr>
          </w:p>
        </w:tc>
        <w:tc>
          <w:tcPr>
            <w:tcW w:w="5820" w:type="dxa"/>
            <w:vAlign w:val="bottom"/>
            <w:tcBorders>
              <w:bottom w:val="single" w:sz="8" w:color="0000FF"/>
            </w:tcBorders>
            <w:gridSpan w:val="3"/>
          </w:tcPr>
          <w:p>
            <w:pPr>
              <w:spacing w:after="0" w:line="183" w:lineRule="exact"/>
              <w:rPr>
                <w:rFonts w:ascii="Arial" w:cs="Arial" w:eastAsia="Arial" w:hAnsi="Arial"/>
                <w:sz w:val="16"/>
                <w:szCs w:val="16"/>
                <w:color w:val="0000FF"/>
                <w:w w:val="90"/>
              </w:rPr>
            </w:pPr>
            <w:hyperlink r:id="rId41">
              <w:r>
                <w:rPr>
                  <w:rFonts w:ascii="Arial" w:cs="Arial" w:eastAsia="Arial" w:hAnsi="Arial"/>
                  <w:sz w:val="16"/>
                  <w:szCs w:val="16"/>
                  <w:color w:val="0000FF"/>
                  <w:w w:val="90"/>
                </w:rPr>
                <w:t>LLC, the guarantors named therein and Delaware Trust Company (as successor in interest</w:t>
              </w:r>
            </w:hyperlink>
          </w:p>
        </w:tc>
      </w:tr>
      <w:tr>
        <w:trPr>
          <w:trHeight w:val="183"/>
        </w:trPr>
        <w:tc>
          <w:tcPr>
            <w:tcW w:w="1040" w:type="dxa"/>
            <w:vAlign w:val="bottom"/>
          </w:tcPr>
          <w:p>
            <w:pPr>
              <w:spacing w:after="0"/>
              <w:rPr>
                <w:sz w:val="15"/>
                <w:szCs w:val="15"/>
                <w:color w:val="auto"/>
              </w:rPr>
            </w:pPr>
          </w:p>
        </w:tc>
        <w:tc>
          <w:tcPr>
            <w:tcW w:w="5820" w:type="dxa"/>
            <w:vAlign w:val="bottom"/>
            <w:gridSpan w:val="3"/>
          </w:tcPr>
          <w:p>
            <w:pPr>
              <w:spacing w:after="0" w:line="183" w:lineRule="exact"/>
              <w:rPr>
                <w:rFonts w:ascii="Arial" w:cs="Arial" w:eastAsia="Arial" w:hAnsi="Arial"/>
                <w:sz w:val="16"/>
                <w:szCs w:val="16"/>
                <w:color w:val="0000FF"/>
              </w:rPr>
            </w:pPr>
            <w:hyperlink r:id="rId41">
              <w:r>
                <w:rPr>
                  <w:rFonts w:ascii="Arial" w:cs="Arial" w:eastAsia="Arial" w:hAnsi="Arial"/>
                  <w:sz w:val="16"/>
                  <w:szCs w:val="16"/>
                  <w:color w:val="0000FF"/>
                </w:rPr>
                <w:t>to Law Debenture Trust Company of New York).</w:t>
              </w:r>
            </w:hyperlink>
          </w:p>
        </w:tc>
      </w:tr>
      <w:tr>
        <w:trPr>
          <w:trHeight w:val="20"/>
        </w:trPr>
        <w:tc>
          <w:tcPr>
            <w:tcW w:w="1040" w:type="dxa"/>
            <w:vAlign w:val="bottom"/>
          </w:tcPr>
          <w:p>
            <w:pPr>
              <w:spacing w:after="0" w:line="20" w:lineRule="exact"/>
              <w:rPr>
                <w:sz w:val="1"/>
                <w:szCs w:val="1"/>
                <w:color w:val="auto"/>
              </w:rPr>
            </w:pPr>
          </w:p>
        </w:tc>
        <w:tc>
          <w:tcPr>
            <w:tcW w:w="3180" w:type="dxa"/>
            <w:vAlign w:val="bottom"/>
            <w:shd w:val="clear" w:color="auto" w:fill="0000FF"/>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ind w:right="40"/>
        <w:spacing w:after="0" w:line="369" w:lineRule="auto"/>
        <w:rPr>
          <w:sz w:val="20"/>
          <w:szCs w:val="20"/>
          <w:color w:val="auto"/>
        </w:rPr>
      </w:pPr>
      <w:r>
        <w:rPr>
          <w:rFonts w:ascii="Arial" w:cs="Arial" w:eastAsia="Arial" w:hAnsi="Arial"/>
          <w:sz w:val="14"/>
          <w:szCs w:val="14"/>
          <w:color w:val="auto"/>
        </w:rPr>
        <w:t>Incorporated herein by reference to Exhibit 4.2 to the Company's Current Report on Form 8-K filed on June 12, 2018.</w:t>
      </w:r>
    </w:p>
    <w:p>
      <w:pPr>
        <w:spacing w:after="0" w:line="214" w:lineRule="exact"/>
        <w:rPr>
          <w:sz w:val="20"/>
          <w:szCs w:val="20"/>
          <w:color w:val="auto"/>
        </w:rPr>
      </w:pPr>
    </w:p>
    <w:p>
      <w:pPr>
        <w:sectPr>
          <w:pgSz w:w="11900" w:h="16838" w:orient="portrait"/>
          <w:cols w:equalWidth="0" w:num="2">
            <w:col w:w="6860" w:space="220"/>
            <w:col w:w="4240"/>
          </w:cols>
          <w:pgMar w:left="280" w:top="739" w:right="299" w:bottom="1440" w:gutter="0" w:footer="0" w:header="0"/>
          <w:type w:val="continuous"/>
        </w:sectPr>
      </w:pP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040" w:type="dxa"/>
            <w:vAlign w:val="bottom"/>
          </w:tcPr>
          <w:p>
            <w:pPr>
              <w:jc w:val="right"/>
              <w:ind w:right="679"/>
              <w:spacing w:after="0"/>
              <w:rPr>
                <w:sz w:val="20"/>
                <w:szCs w:val="20"/>
                <w:color w:val="auto"/>
              </w:rPr>
            </w:pPr>
            <w:r>
              <w:rPr>
                <w:rFonts w:ascii="Arial" w:cs="Arial" w:eastAsia="Arial" w:hAnsi="Arial"/>
                <w:sz w:val="16"/>
                <w:szCs w:val="16"/>
                <w:color w:val="auto"/>
                <w:w w:val="83"/>
              </w:rPr>
              <w:t>4.22</w:t>
            </w:r>
          </w:p>
        </w:tc>
        <w:tc>
          <w:tcPr>
            <w:tcW w:w="5800" w:type="dxa"/>
            <w:vAlign w:val="bottom"/>
            <w:gridSpan w:val="2"/>
            <w:vMerge w:val="restart"/>
          </w:tcPr>
          <w:p>
            <w:pPr>
              <w:spacing w:after="0"/>
              <w:rPr>
                <w:rFonts w:ascii="Arial" w:cs="Arial" w:eastAsia="Arial" w:hAnsi="Arial"/>
                <w:sz w:val="16"/>
                <w:szCs w:val="16"/>
                <w:color w:val="0000FF"/>
                <w:w w:val="91"/>
              </w:rPr>
            </w:pPr>
            <w:hyperlink r:id="rId42">
              <w:r>
                <w:rPr>
                  <w:rFonts w:ascii="Arial" w:cs="Arial" w:eastAsia="Arial" w:hAnsi="Arial"/>
                  <w:sz w:val="16"/>
                  <w:szCs w:val="16"/>
                  <w:color w:val="0000FF"/>
                  <w:w w:val="91"/>
                </w:rPr>
                <w:t>Seventh Supplemental Indenture, dated as of July 17, 2018, among NRG Yield Operating</w:t>
              </w:r>
            </w:hyperlink>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1040" w:type="dxa"/>
            <w:vAlign w:val="bottom"/>
          </w:tcPr>
          <w:p>
            <w:pPr>
              <w:spacing w:after="0"/>
              <w:rPr>
                <w:sz w:val="4"/>
                <w:szCs w:val="4"/>
                <w:color w:val="auto"/>
              </w:rPr>
            </w:pPr>
          </w:p>
        </w:tc>
        <w:tc>
          <w:tcPr>
            <w:tcW w:w="5800" w:type="dxa"/>
            <w:vAlign w:val="bottom"/>
            <w:tcBorders>
              <w:bottom w:val="single" w:sz="8" w:color="0000FF"/>
            </w:tcBorders>
            <w:gridSpan w:val="2"/>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820" w:type="dxa"/>
            <w:vAlign w:val="bottom"/>
            <w:tcBorders>
              <w:bottom w:val="single" w:sz="8" w:color="0000FF"/>
            </w:tcBorders>
            <w:gridSpan w:val="3"/>
          </w:tcPr>
          <w:p>
            <w:pPr>
              <w:spacing w:after="0" w:line="183" w:lineRule="exact"/>
              <w:rPr>
                <w:rFonts w:ascii="Arial" w:cs="Arial" w:eastAsia="Arial" w:hAnsi="Arial"/>
                <w:sz w:val="16"/>
                <w:szCs w:val="16"/>
                <w:color w:val="0000FF"/>
                <w:w w:val="90"/>
              </w:rPr>
            </w:pPr>
            <w:hyperlink r:id="rId42">
              <w:r>
                <w:rPr>
                  <w:rFonts w:ascii="Arial" w:cs="Arial" w:eastAsia="Arial" w:hAnsi="Arial"/>
                  <w:sz w:val="16"/>
                  <w:szCs w:val="16"/>
                  <w:color w:val="0000FF"/>
                  <w:w w:val="90"/>
                </w:rPr>
                <w:t>LLC, the guarantors named therein and Delaware Trust Company (as successor in interest</w:t>
              </w:r>
            </w:hyperlink>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820" w:type="dxa"/>
            <w:vAlign w:val="bottom"/>
            <w:gridSpan w:val="3"/>
          </w:tcPr>
          <w:p>
            <w:pPr>
              <w:spacing w:after="0" w:line="183" w:lineRule="exact"/>
              <w:rPr>
                <w:rFonts w:ascii="Arial" w:cs="Arial" w:eastAsia="Arial" w:hAnsi="Arial"/>
                <w:sz w:val="16"/>
                <w:szCs w:val="16"/>
                <w:color w:val="0000FF"/>
              </w:rPr>
            </w:pPr>
            <w:hyperlink r:id="rId42">
              <w:r>
                <w:rPr>
                  <w:rFonts w:ascii="Arial" w:cs="Arial" w:eastAsia="Arial" w:hAnsi="Arial"/>
                  <w:sz w:val="16"/>
                  <w:szCs w:val="16"/>
                  <w:color w:val="0000FF"/>
                </w:rPr>
                <w:t>to Law Debenture Trust Company of New York).</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180" w:type="dxa"/>
            <w:vAlign w:val="bottom"/>
            <w:shd w:val="clear" w:color="auto" w:fill="0000FF"/>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ind w:right="40"/>
        <w:spacing w:after="0" w:line="369" w:lineRule="auto"/>
        <w:rPr>
          <w:sz w:val="20"/>
          <w:szCs w:val="20"/>
          <w:color w:val="auto"/>
        </w:rPr>
      </w:pPr>
      <w:r>
        <w:rPr>
          <w:rFonts w:ascii="Arial" w:cs="Arial" w:eastAsia="Arial" w:hAnsi="Arial"/>
          <w:sz w:val="14"/>
          <w:szCs w:val="14"/>
          <w:color w:val="auto"/>
        </w:rPr>
        <w:t>Incorporated herein by reference to Exhibit 4.3 to the Company's Quarterly Report on Form 10-Q filed on August 2, 2018.</w:t>
      </w:r>
    </w:p>
    <w:p>
      <w:pPr>
        <w:spacing w:after="0" w:line="295" w:lineRule="exact"/>
        <w:rPr>
          <w:sz w:val="20"/>
          <w:szCs w:val="20"/>
          <w:color w:val="auto"/>
        </w:rPr>
      </w:pPr>
    </w:p>
    <w:p>
      <w:pPr>
        <w:sectPr>
          <w:pgSz w:w="11900" w:h="16838" w:orient="portrait"/>
          <w:cols w:equalWidth="0" w:num="2">
            <w:col w:w="6860" w:space="220"/>
            <w:col w:w="4240"/>
          </w:cols>
          <w:pgMar w:left="280" w:top="739" w:right="299" w:bottom="1440" w:gutter="0" w:footer="0" w:header="0"/>
          <w:type w:val="continuous"/>
        </w:sect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320"/>
          </w:cols>
          <w:pgMar w:left="280" w:top="739" w:right="29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6"/>
        </w:trPr>
        <w:tc>
          <w:tcPr>
            <w:tcW w:w="1040" w:type="dxa"/>
            <w:vAlign w:val="bottom"/>
          </w:tcPr>
          <w:p>
            <w:pPr>
              <w:jc w:val="right"/>
              <w:ind w:right="679"/>
              <w:spacing w:after="0"/>
              <w:rPr>
                <w:sz w:val="20"/>
                <w:szCs w:val="20"/>
                <w:color w:val="auto"/>
              </w:rPr>
            </w:pPr>
            <w:r>
              <w:rPr>
                <w:rFonts w:ascii="Arial" w:cs="Arial" w:eastAsia="Arial" w:hAnsi="Arial"/>
                <w:sz w:val="16"/>
                <w:szCs w:val="16"/>
                <w:color w:val="auto"/>
                <w:w w:val="83"/>
              </w:rPr>
              <w:t>4.23</w:t>
            </w:r>
          </w:p>
        </w:tc>
        <w:tc>
          <w:tcPr>
            <w:tcW w:w="5640" w:type="dxa"/>
            <w:vAlign w:val="bottom"/>
            <w:gridSpan w:val="2"/>
            <w:vMerge w:val="restart"/>
          </w:tcPr>
          <w:p>
            <w:pPr>
              <w:spacing w:after="0"/>
              <w:rPr>
                <w:rFonts w:ascii="Arial" w:cs="Arial" w:eastAsia="Arial" w:hAnsi="Arial"/>
                <w:sz w:val="16"/>
                <w:szCs w:val="16"/>
                <w:color w:val="0000FF"/>
                <w:w w:val="91"/>
              </w:rPr>
            </w:pPr>
            <w:hyperlink r:id="rId43">
              <w:r>
                <w:rPr>
                  <w:rFonts w:ascii="Arial" w:cs="Arial" w:eastAsia="Arial" w:hAnsi="Arial"/>
                  <w:sz w:val="16"/>
                  <w:szCs w:val="16"/>
                  <w:color w:val="0000FF"/>
                  <w:w w:val="91"/>
                </w:rPr>
                <w:t>Third Supplemental Indenture, dated as of July 17, 2018, among NRG Yield Operating</w:t>
              </w:r>
            </w:hyperlink>
          </w:p>
        </w:tc>
        <w:tc>
          <w:tcPr>
            <w:tcW w:w="18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1040" w:type="dxa"/>
            <w:vAlign w:val="bottom"/>
          </w:tcPr>
          <w:p>
            <w:pPr>
              <w:spacing w:after="0"/>
              <w:rPr>
                <w:sz w:val="4"/>
                <w:szCs w:val="4"/>
                <w:color w:val="auto"/>
              </w:rPr>
            </w:pPr>
          </w:p>
        </w:tc>
        <w:tc>
          <w:tcPr>
            <w:tcW w:w="5640" w:type="dxa"/>
            <w:vAlign w:val="bottom"/>
            <w:tcBorders>
              <w:bottom w:val="single" w:sz="8" w:color="0000FF"/>
            </w:tcBorders>
            <w:gridSpan w:val="2"/>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820" w:type="dxa"/>
            <w:vAlign w:val="bottom"/>
            <w:tcBorders>
              <w:bottom w:val="single" w:sz="8" w:color="0000FF"/>
            </w:tcBorders>
            <w:gridSpan w:val="3"/>
          </w:tcPr>
          <w:p>
            <w:pPr>
              <w:spacing w:after="0" w:line="183" w:lineRule="exact"/>
              <w:rPr>
                <w:rFonts w:ascii="Arial" w:cs="Arial" w:eastAsia="Arial" w:hAnsi="Arial"/>
                <w:sz w:val="16"/>
                <w:szCs w:val="16"/>
                <w:color w:val="0000FF"/>
                <w:w w:val="90"/>
              </w:rPr>
            </w:pPr>
            <w:hyperlink r:id="rId43">
              <w:r>
                <w:rPr>
                  <w:rFonts w:ascii="Arial" w:cs="Arial" w:eastAsia="Arial" w:hAnsi="Arial"/>
                  <w:sz w:val="16"/>
                  <w:szCs w:val="16"/>
                  <w:color w:val="0000FF"/>
                  <w:w w:val="90"/>
                </w:rPr>
                <w:t>LLC, the guarantors named therein and Delaware Trust Company (as successor in interest</w:t>
              </w:r>
            </w:hyperlink>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820" w:type="dxa"/>
            <w:vAlign w:val="bottom"/>
            <w:gridSpan w:val="3"/>
          </w:tcPr>
          <w:p>
            <w:pPr>
              <w:spacing w:after="0" w:line="183" w:lineRule="exact"/>
              <w:rPr>
                <w:rFonts w:ascii="Arial" w:cs="Arial" w:eastAsia="Arial" w:hAnsi="Arial"/>
                <w:sz w:val="16"/>
                <w:szCs w:val="16"/>
                <w:color w:val="0000FF"/>
              </w:rPr>
            </w:pPr>
            <w:hyperlink r:id="rId43">
              <w:r>
                <w:rPr>
                  <w:rFonts w:ascii="Arial" w:cs="Arial" w:eastAsia="Arial" w:hAnsi="Arial"/>
                  <w:sz w:val="16"/>
                  <w:szCs w:val="16"/>
                  <w:color w:val="0000FF"/>
                </w:rPr>
                <w:t>to Law Debenture Trust Company of New York).</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180" w:type="dxa"/>
            <w:vAlign w:val="bottom"/>
            <w:shd w:val="clear" w:color="auto" w:fill="0000FF"/>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line="369" w:lineRule="auto"/>
        <w:rPr>
          <w:sz w:val="20"/>
          <w:szCs w:val="20"/>
          <w:color w:val="auto"/>
        </w:rPr>
      </w:pPr>
      <w:r>
        <w:rPr>
          <w:rFonts w:ascii="Arial" w:cs="Arial" w:eastAsia="Arial" w:hAnsi="Arial"/>
          <w:sz w:val="14"/>
          <w:szCs w:val="14"/>
          <w:color w:val="auto"/>
        </w:rPr>
        <w:t>Incorporated herein by reference to Exhibit 4.4 to the Company's Quarterly Report on Form 10-Q filed on August 2, 2018.</w:t>
      </w:r>
    </w:p>
    <w:p>
      <w:pPr>
        <w:spacing w:after="0" w:line="247" w:lineRule="exact"/>
        <w:rPr>
          <w:sz w:val="20"/>
          <w:szCs w:val="20"/>
          <w:color w:val="auto"/>
        </w:rPr>
      </w:pPr>
    </w:p>
    <w:p>
      <w:pPr>
        <w:sectPr>
          <w:pgSz w:w="11900" w:h="16838" w:orient="portrait"/>
          <w:cols w:equalWidth="0" w:num="2">
            <w:col w:w="6860" w:space="220"/>
            <w:col w:w="4200"/>
          </w:cols>
          <w:pgMar w:left="280" w:top="751" w:right="339" w:bottom="1440" w:gutter="0" w:footer="0" w:header="0"/>
        </w:sectPr>
      </w:pPr>
    </w:p>
    <w:p>
      <w:pPr>
        <w:spacing w:after="0"/>
        <w:rPr>
          <w:sz w:val="20"/>
          <w:szCs w:val="20"/>
          <w:color w:val="auto"/>
        </w:rPr>
      </w:pPr>
      <w:r>
        <w:rPr>
          <w:rFonts w:ascii="Arial" w:cs="Arial" w:eastAsia="Arial" w:hAnsi="Arial"/>
          <w:sz w:val="14"/>
          <w:szCs w:val="14"/>
          <w:color w:val="auto"/>
        </w:rPr>
        <w:t>4.24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color w:val="auto"/>
        </w:rPr>
        <w:t>4.25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color w:val="auto"/>
        </w:rPr>
        <w:t>4.26</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color w:val="auto"/>
        </w:rPr>
        <w:t>4.27</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right="20"/>
        <w:spacing w:after="0" w:line="278" w:lineRule="auto"/>
        <w:rPr>
          <w:rFonts w:ascii="Arial" w:cs="Arial" w:eastAsia="Arial" w:hAnsi="Arial"/>
          <w:sz w:val="16"/>
          <w:szCs w:val="16"/>
          <w:u w:val="single" w:color="auto"/>
          <w:color w:val="0000FF"/>
        </w:rPr>
      </w:pPr>
      <w:hyperlink r:id="rId44">
        <w:r>
          <w:rPr>
            <w:rFonts w:ascii="Arial" w:cs="Arial" w:eastAsia="Arial" w:hAnsi="Arial"/>
            <w:sz w:val="16"/>
            <w:szCs w:val="16"/>
            <w:u w:val="single" w:color="auto"/>
            <w:color w:val="0000FF"/>
          </w:rPr>
          <w:t>Eighth Supplemental Indenture, dated as of August 30, 2018, among NRG Yield</w:t>
        </w:r>
      </w:hyperlink>
      <w:r>
        <w:rPr>
          <w:rFonts w:ascii="Arial" w:cs="Arial" w:eastAsia="Arial" w:hAnsi="Arial"/>
          <w:sz w:val="16"/>
          <w:szCs w:val="16"/>
          <w:u w:val="single" w:color="auto"/>
          <w:color w:val="0000FF"/>
        </w:rPr>
        <w:t xml:space="preserve"> </w:t>
      </w:r>
      <w:hyperlink r:id="rId44">
        <w:r>
          <w:rPr>
            <w:rFonts w:ascii="Arial" w:cs="Arial" w:eastAsia="Arial" w:hAnsi="Arial"/>
            <w:sz w:val="16"/>
            <w:szCs w:val="16"/>
            <w:u w:val="single" w:color="auto"/>
            <w:color w:val="0000FF"/>
          </w:rPr>
          <w:t>Operating LLC, the guarantors named therein and Delaware Trust Company (as successor</w:t>
        </w:r>
      </w:hyperlink>
      <w:r>
        <w:rPr>
          <w:rFonts w:ascii="Arial" w:cs="Arial" w:eastAsia="Arial" w:hAnsi="Arial"/>
          <w:sz w:val="16"/>
          <w:szCs w:val="16"/>
          <w:u w:val="single" w:color="auto"/>
          <w:color w:val="0000FF"/>
        </w:rPr>
        <w:t xml:space="preserve"> </w:t>
      </w:r>
      <w:hyperlink r:id="rId44">
        <w:r>
          <w:rPr>
            <w:rFonts w:ascii="Arial" w:cs="Arial" w:eastAsia="Arial" w:hAnsi="Arial"/>
            <w:sz w:val="16"/>
            <w:szCs w:val="16"/>
            <w:u w:val="single" w:color="auto"/>
            <w:color w:val="0000FF"/>
          </w:rPr>
          <w:t>in interest to Law Debenture Trust Company of New York).</w:t>
        </w:r>
      </w:hyperlink>
    </w:p>
    <w:p>
      <w:pPr>
        <w:spacing w:after="0" w:line="347" w:lineRule="exact"/>
        <w:rPr>
          <w:rFonts w:ascii="Arial" w:cs="Arial" w:eastAsia="Arial" w:hAnsi="Arial"/>
          <w:sz w:val="16"/>
          <w:szCs w:val="16"/>
          <w:u w:val="single" w:color="auto"/>
          <w:color w:val="0000FF"/>
        </w:rPr>
      </w:pPr>
    </w:p>
    <w:p>
      <w:pPr>
        <w:ind w:right="20"/>
        <w:spacing w:after="0" w:line="278" w:lineRule="auto"/>
        <w:rPr>
          <w:rFonts w:ascii="Arial" w:cs="Arial" w:eastAsia="Arial" w:hAnsi="Arial"/>
          <w:sz w:val="16"/>
          <w:szCs w:val="16"/>
          <w:u w:val="single" w:color="auto"/>
          <w:color w:val="0000FF"/>
        </w:rPr>
      </w:pPr>
      <w:hyperlink r:id="rId45">
        <w:r>
          <w:rPr>
            <w:rFonts w:ascii="Arial" w:cs="Arial" w:eastAsia="Arial" w:hAnsi="Arial"/>
            <w:sz w:val="16"/>
            <w:szCs w:val="16"/>
            <w:u w:val="single" w:color="auto"/>
            <w:color w:val="0000FF"/>
          </w:rPr>
          <w:t>Fourth Supplemental Indenture, dated as of August 30, 2018, among NRG Yield</w:t>
        </w:r>
      </w:hyperlink>
      <w:r>
        <w:rPr>
          <w:rFonts w:ascii="Arial" w:cs="Arial" w:eastAsia="Arial" w:hAnsi="Arial"/>
          <w:sz w:val="16"/>
          <w:szCs w:val="16"/>
          <w:u w:val="single" w:color="auto"/>
          <w:color w:val="0000FF"/>
        </w:rPr>
        <w:t xml:space="preserve"> </w:t>
      </w:r>
      <w:hyperlink r:id="rId45">
        <w:r>
          <w:rPr>
            <w:rFonts w:ascii="Arial" w:cs="Arial" w:eastAsia="Arial" w:hAnsi="Arial"/>
            <w:sz w:val="16"/>
            <w:szCs w:val="16"/>
            <w:u w:val="single" w:color="auto"/>
            <w:color w:val="0000FF"/>
          </w:rPr>
          <w:t>Operating LLC, the guarantors named therein and Delaware Trust Company (as successor</w:t>
        </w:r>
      </w:hyperlink>
      <w:r>
        <w:rPr>
          <w:rFonts w:ascii="Arial" w:cs="Arial" w:eastAsia="Arial" w:hAnsi="Arial"/>
          <w:sz w:val="16"/>
          <w:szCs w:val="16"/>
          <w:u w:val="single" w:color="auto"/>
          <w:color w:val="0000FF"/>
        </w:rPr>
        <w:t xml:space="preserve"> </w:t>
      </w:r>
      <w:hyperlink r:id="rId45">
        <w:r>
          <w:rPr>
            <w:rFonts w:ascii="Arial" w:cs="Arial" w:eastAsia="Arial" w:hAnsi="Arial"/>
            <w:sz w:val="16"/>
            <w:szCs w:val="16"/>
            <w:u w:val="single" w:color="auto"/>
            <w:color w:val="0000FF"/>
          </w:rPr>
          <w:t>in interest to Law Debenture Trust Company of New York).</w:t>
        </w:r>
      </w:hyperlink>
    </w:p>
    <w:p>
      <w:pPr>
        <w:spacing w:after="0" w:line="347" w:lineRule="exact"/>
        <w:rPr>
          <w:rFonts w:ascii="Arial" w:cs="Arial" w:eastAsia="Arial" w:hAnsi="Arial"/>
          <w:sz w:val="16"/>
          <w:szCs w:val="16"/>
          <w:u w:val="single" w:color="auto"/>
          <w:color w:val="0000FF"/>
        </w:rPr>
      </w:pPr>
    </w:p>
    <w:p>
      <w:pPr>
        <w:spacing w:after="0" w:line="293" w:lineRule="auto"/>
        <w:rPr>
          <w:rFonts w:ascii="Arial" w:cs="Arial" w:eastAsia="Arial" w:hAnsi="Arial"/>
          <w:sz w:val="16"/>
          <w:szCs w:val="16"/>
          <w:u w:val="single" w:color="auto"/>
          <w:color w:val="0000FF"/>
        </w:rPr>
      </w:pPr>
      <w:hyperlink r:id="rId46">
        <w:r>
          <w:rPr>
            <w:rFonts w:ascii="Arial" w:cs="Arial" w:eastAsia="Arial" w:hAnsi="Arial"/>
            <w:sz w:val="16"/>
            <w:szCs w:val="16"/>
            <w:u w:val="single" w:color="auto"/>
            <w:color w:val="0000FF"/>
          </w:rPr>
          <w:t>Indenture, dated October 1, 2018, among Clearway Energy Operating LLC, the guarantors</w:t>
        </w:r>
      </w:hyperlink>
      <w:r>
        <w:rPr>
          <w:rFonts w:ascii="Arial" w:cs="Arial" w:eastAsia="Arial" w:hAnsi="Arial"/>
          <w:sz w:val="16"/>
          <w:szCs w:val="16"/>
          <w:u w:val="single" w:color="auto"/>
          <w:color w:val="0000FF"/>
        </w:rPr>
        <w:t xml:space="preserve"> </w:t>
      </w:r>
      <w:hyperlink r:id="rId46">
        <w:r>
          <w:rPr>
            <w:rFonts w:ascii="Arial" w:cs="Arial" w:eastAsia="Arial" w:hAnsi="Arial"/>
            <w:sz w:val="16"/>
            <w:szCs w:val="16"/>
            <w:u w:val="single" w:color="auto"/>
            <w:color w:val="0000FF"/>
          </w:rPr>
          <w:t>named therein and Delaware Trust Company, as trustee.</w:t>
        </w:r>
      </w:hyperlink>
    </w:p>
    <w:p>
      <w:pPr>
        <w:spacing w:after="0" w:line="172" w:lineRule="exact"/>
        <w:rPr>
          <w:sz w:val="20"/>
          <w:szCs w:val="20"/>
          <w:color w:val="auto"/>
        </w:rPr>
      </w:pPr>
    </w:p>
    <w:p>
      <w:pPr>
        <w:spacing w:after="0"/>
        <w:rPr>
          <w:rFonts w:ascii="Arial" w:cs="Arial" w:eastAsia="Arial" w:hAnsi="Arial"/>
          <w:sz w:val="16"/>
          <w:szCs w:val="16"/>
          <w:u w:val="single" w:color="auto"/>
          <w:color w:val="0000FF"/>
        </w:rPr>
      </w:pPr>
      <w:hyperlink r:id="rId47">
        <w:r>
          <w:rPr>
            <w:rFonts w:ascii="Arial" w:cs="Arial" w:eastAsia="Arial" w:hAnsi="Arial"/>
            <w:sz w:val="16"/>
            <w:szCs w:val="16"/>
            <w:u w:val="single" w:color="auto"/>
            <w:color w:val="0000FF"/>
          </w:rPr>
          <w:t>Form of 5.750% Senior Notes due 2025.</w:t>
        </w:r>
      </w:hyperlink>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line="369" w:lineRule="auto"/>
        <w:rPr>
          <w:sz w:val="20"/>
          <w:szCs w:val="20"/>
          <w:color w:val="auto"/>
        </w:rPr>
      </w:pPr>
      <w:r>
        <w:rPr>
          <w:rFonts w:ascii="Arial" w:cs="Arial" w:eastAsia="Arial" w:hAnsi="Arial"/>
          <w:sz w:val="14"/>
          <w:szCs w:val="14"/>
          <w:color w:val="auto"/>
        </w:rPr>
        <w:t>Incorporated herein by reference to Exhibit 4.1 to the Company's Current Report on Form 8-K filed on September 6, 2018.</w:t>
      </w:r>
    </w:p>
    <w:p>
      <w:pPr>
        <w:spacing w:after="0" w:line="200" w:lineRule="exact"/>
        <w:rPr>
          <w:sz w:val="20"/>
          <w:szCs w:val="20"/>
          <w:color w:val="auto"/>
        </w:rPr>
      </w:pPr>
    </w:p>
    <w:p>
      <w:pPr>
        <w:spacing w:after="0" w:line="291" w:lineRule="exact"/>
        <w:rPr>
          <w:sz w:val="20"/>
          <w:szCs w:val="20"/>
          <w:color w:val="auto"/>
        </w:rPr>
      </w:pPr>
    </w:p>
    <w:p>
      <w:pPr>
        <w:spacing w:after="0" w:line="369" w:lineRule="auto"/>
        <w:rPr>
          <w:sz w:val="20"/>
          <w:szCs w:val="20"/>
          <w:color w:val="auto"/>
        </w:rPr>
      </w:pPr>
      <w:r>
        <w:rPr>
          <w:rFonts w:ascii="Arial" w:cs="Arial" w:eastAsia="Arial" w:hAnsi="Arial"/>
          <w:sz w:val="14"/>
          <w:szCs w:val="14"/>
          <w:color w:val="auto"/>
        </w:rPr>
        <w:t>Incorporated herein by reference to Exhibit 4.2 to the Company's Current Report on Form 8-K filed on September 6, 2018.</w:t>
      </w:r>
    </w:p>
    <w:p>
      <w:pPr>
        <w:spacing w:after="0" w:line="200" w:lineRule="exact"/>
        <w:rPr>
          <w:sz w:val="20"/>
          <w:szCs w:val="20"/>
          <w:color w:val="auto"/>
        </w:rPr>
      </w:pPr>
    </w:p>
    <w:p>
      <w:pPr>
        <w:spacing w:after="0" w:line="291" w:lineRule="exact"/>
        <w:rPr>
          <w:sz w:val="20"/>
          <w:szCs w:val="20"/>
          <w:color w:val="auto"/>
        </w:rPr>
      </w:pPr>
    </w:p>
    <w:p>
      <w:pPr>
        <w:spacing w:after="0" w:line="369" w:lineRule="auto"/>
        <w:rPr>
          <w:sz w:val="20"/>
          <w:szCs w:val="20"/>
          <w:color w:val="auto"/>
        </w:rPr>
      </w:pPr>
      <w:r>
        <w:rPr>
          <w:rFonts w:ascii="Arial" w:cs="Arial" w:eastAsia="Arial" w:hAnsi="Arial"/>
          <w:sz w:val="14"/>
          <w:szCs w:val="14"/>
          <w:color w:val="auto"/>
        </w:rPr>
        <w:t>Incorporated herein by reference to Exhibit 4.1 to the Company's Current Report on Form 8-K filed on October 2, 2018.</w:t>
      </w:r>
    </w:p>
    <w:p>
      <w:pPr>
        <w:spacing w:after="0" w:line="126" w:lineRule="exact"/>
        <w:rPr>
          <w:sz w:val="20"/>
          <w:szCs w:val="20"/>
          <w:color w:val="auto"/>
        </w:rPr>
      </w:pPr>
    </w:p>
    <w:p>
      <w:pPr>
        <w:spacing w:after="0" w:line="369" w:lineRule="auto"/>
        <w:rPr>
          <w:sz w:val="20"/>
          <w:szCs w:val="20"/>
          <w:color w:val="auto"/>
        </w:rPr>
      </w:pPr>
      <w:r>
        <w:rPr>
          <w:rFonts w:ascii="Arial" w:cs="Arial" w:eastAsia="Arial" w:hAnsi="Arial"/>
          <w:sz w:val="14"/>
          <w:szCs w:val="14"/>
          <w:color w:val="auto"/>
        </w:rPr>
        <w:t>Incorporated herein by reference to Exhibit 4.2 to the Company's Current Report on Form 8-K filed on October 2, 2018.</w:t>
      </w:r>
    </w:p>
    <w:p>
      <w:pPr>
        <w:spacing w:after="0" w:line="45" w:lineRule="exact"/>
        <w:rPr>
          <w:sz w:val="20"/>
          <w:szCs w:val="20"/>
          <w:color w:val="auto"/>
        </w:rPr>
      </w:pPr>
    </w:p>
    <w:p>
      <w:pPr>
        <w:sectPr>
          <w:pgSz w:w="11900" w:h="16838" w:orient="portrait"/>
          <w:cols w:equalWidth="0" w:num="3">
            <w:col w:w="320" w:space="720"/>
            <w:col w:w="5860" w:space="180"/>
            <w:col w:w="4200"/>
          </w:cols>
          <w:pgMar w:left="280" w:top="751" w:right="339" w:bottom="1440" w:gutter="0" w:footer="0" w:header="0"/>
          <w:type w:val="continuous"/>
        </w:sectPr>
      </w:pPr>
    </w:p>
    <w:tbl>
      <w:tblPr>
        <w:tblLayout w:type="fixed"/>
        <w:tblInd w:w="0" w:type="dxa"/>
        <w:tblCellMar>
          <w:top w:w="0" w:type="dxa"/>
          <w:left w:w="0" w:type="dxa"/>
          <w:bottom w:w="0" w:type="dxa"/>
          <w:right w:w="0" w:type="dxa"/>
        </w:tblCellMar>
      </w:tblPr>
      <w:tr>
        <w:trPr>
          <w:trHeight w:val="206"/>
        </w:trPr>
        <w:tc>
          <w:tcPr>
            <w:tcW w:w="1040" w:type="dxa"/>
            <w:vAlign w:val="bottom"/>
          </w:tcPr>
          <w:p>
            <w:pPr>
              <w:jc w:val="right"/>
              <w:ind w:right="679"/>
              <w:spacing w:after="0"/>
              <w:rPr>
                <w:sz w:val="20"/>
                <w:szCs w:val="20"/>
                <w:color w:val="auto"/>
              </w:rPr>
            </w:pPr>
            <w:r>
              <w:rPr>
                <w:rFonts w:ascii="Arial" w:cs="Arial" w:eastAsia="Arial" w:hAnsi="Arial"/>
                <w:sz w:val="16"/>
                <w:szCs w:val="16"/>
                <w:color w:val="auto"/>
                <w:w w:val="83"/>
              </w:rPr>
              <w:t>4.28</w:t>
            </w:r>
          </w:p>
        </w:tc>
        <w:tc>
          <w:tcPr>
            <w:tcW w:w="5280" w:type="dxa"/>
            <w:vAlign w:val="bottom"/>
            <w:gridSpan w:val="3"/>
            <w:vMerge w:val="restart"/>
          </w:tcPr>
          <w:p>
            <w:pPr>
              <w:spacing w:after="0"/>
              <w:rPr>
                <w:rFonts w:ascii="Arial" w:cs="Arial" w:eastAsia="Arial" w:hAnsi="Arial"/>
                <w:sz w:val="16"/>
                <w:szCs w:val="16"/>
                <w:color w:val="0000FF"/>
                <w:w w:val="92"/>
              </w:rPr>
            </w:pPr>
            <w:hyperlink r:id="rId48">
              <w:r>
                <w:rPr>
                  <w:rFonts w:ascii="Arial" w:cs="Arial" w:eastAsia="Arial" w:hAnsi="Arial"/>
                  <w:sz w:val="16"/>
                  <w:szCs w:val="16"/>
                  <w:color w:val="0000FF"/>
                  <w:w w:val="92"/>
                </w:rPr>
                <w:t>Registration Rights Agreement, dated October 1, 2018, among Clearway Energy</w:t>
              </w:r>
            </w:hyperlink>
          </w:p>
        </w:tc>
        <w:tc>
          <w:tcPr>
            <w:tcW w:w="0" w:type="dxa"/>
            <w:vAlign w:val="bottom"/>
          </w:tcPr>
          <w:p>
            <w:pPr>
              <w:spacing w:after="0"/>
              <w:rPr>
                <w:sz w:val="1"/>
                <w:szCs w:val="1"/>
                <w:color w:val="auto"/>
              </w:rPr>
            </w:pPr>
          </w:p>
        </w:tc>
      </w:tr>
      <w:tr>
        <w:trPr>
          <w:trHeight w:val="47"/>
        </w:trPr>
        <w:tc>
          <w:tcPr>
            <w:tcW w:w="1040" w:type="dxa"/>
            <w:vAlign w:val="bottom"/>
          </w:tcPr>
          <w:p>
            <w:pPr>
              <w:spacing w:after="0"/>
              <w:rPr>
                <w:sz w:val="4"/>
                <w:szCs w:val="4"/>
                <w:color w:val="auto"/>
              </w:rPr>
            </w:pPr>
          </w:p>
        </w:tc>
        <w:tc>
          <w:tcPr>
            <w:tcW w:w="52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5280" w:type="dxa"/>
            <w:vAlign w:val="bottom"/>
            <w:tcBorders>
              <w:bottom w:val="single" w:sz="8" w:color="0000FF"/>
            </w:tcBorders>
            <w:gridSpan w:val="3"/>
          </w:tcPr>
          <w:p>
            <w:pPr>
              <w:spacing w:after="0" w:line="183" w:lineRule="exact"/>
              <w:rPr>
                <w:rFonts w:ascii="Arial" w:cs="Arial" w:eastAsia="Arial" w:hAnsi="Arial"/>
                <w:sz w:val="16"/>
                <w:szCs w:val="16"/>
                <w:color w:val="0000FF"/>
                <w:w w:val="91"/>
              </w:rPr>
            </w:pPr>
            <w:hyperlink r:id="rId48">
              <w:r>
                <w:rPr>
                  <w:rFonts w:ascii="Arial" w:cs="Arial" w:eastAsia="Arial" w:hAnsi="Arial"/>
                  <w:sz w:val="16"/>
                  <w:szCs w:val="16"/>
                  <w:color w:val="0000FF"/>
                  <w:w w:val="91"/>
                </w:rPr>
                <w:t>Operating LLC, the guarantors named therein and RBC Capital Markets, LLC, as</w:t>
              </w:r>
            </w:hyperlink>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520" w:type="dxa"/>
            <w:vAlign w:val="bottom"/>
            <w:tcBorders>
              <w:bottom w:val="single" w:sz="8" w:color="0000FF"/>
            </w:tcBorders>
          </w:tcPr>
          <w:p>
            <w:pPr>
              <w:spacing w:after="0" w:line="183" w:lineRule="exact"/>
              <w:rPr>
                <w:rFonts w:ascii="Arial" w:cs="Arial" w:eastAsia="Arial" w:hAnsi="Arial"/>
                <w:sz w:val="16"/>
                <w:szCs w:val="16"/>
                <w:color w:val="0000FF"/>
                <w:w w:val="90"/>
              </w:rPr>
            </w:pPr>
            <w:hyperlink r:id="rId48">
              <w:r>
                <w:rPr>
                  <w:rFonts w:ascii="Arial" w:cs="Arial" w:eastAsia="Arial" w:hAnsi="Arial"/>
                  <w:sz w:val="16"/>
                  <w:szCs w:val="16"/>
                  <w:color w:val="0000FF"/>
                  <w:w w:val="90"/>
                </w:rPr>
                <w:t>representative of the initial purchasers.</w:t>
              </w:r>
            </w:hyperlink>
          </w:p>
        </w:tc>
        <w:tc>
          <w:tcPr>
            <w:tcW w:w="27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69" w:lineRule="auto"/>
        <w:rPr>
          <w:sz w:val="20"/>
          <w:szCs w:val="20"/>
          <w:color w:val="auto"/>
        </w:rPr>
      </w:pPr>
      <w:r>
        <w:rPr>
          <w:rFonts w:ascii="Arial" w:cs="Arial" w:eastAsia="Arial" w:hAnsi="Arial"/>
          <w:sz w:val="14"/>
          <w:szCs w:val="14"/>
          <w:color w:val="auto"/>
        </w:rPr>
        <w:t>Incorporated herein by reference to Exhibit 4.3 to the Company's Current Report on Form 8-K filed on October 2, 2018.</w:t>
      </w:r>
    </w:p>
    <w:p>
      <w:pPr>
        <w:spacing w:after="0" w:line="328" w:lineRule="exact"/>
        <w:rPr>
          <w:sz w:val="20"/>
          <w:szCs w:val="20"/>
          <w:color w:val="auto"/>
        </w:rPr>
      </w:pPr>
    </w:p>
    <w:p>
      <w:pPr>
        <w:sectPr>
          <w:pgSz w:w="11900" w:h="16838" w:orient="portrait"/>
          <w:cols w:equalWidth="0" w:num="2">
            <w:col w:w="6360" w:space="720"/>
            <w:col w:w="4200"/>
          </w:cols>
          <w:pgMar w:left="280" w:top="751" w:right="339" w:bottom="1440" w:gutter="0" w:footer="0" w:header="0"/>
          <w:type w:val="continuous"/>
        </w:sectPr>
      </w:pPr>
    </w:p>
    <w:tbl>
      <w:tblPr>
        <w:tblLayout w:type="fixed"/>
        <w:tblInd w:w="0" w:type="dxa"/>
        <w:tblCellMar>
          <w:top w:w="0" w:type="dxa"/>
          <w:left w:w="0" w:type="dxa"/>
          <w:bottom w:w="0" w:type="dxa"/>
          <w:right w:w="0" w:type="dxa"/>
        </w:tblCellMar>
      </w:tblPr>
      <w:tr>
        <w:trPr>
          <w:trHeight w:val="206"/>
        </w:trPr>
        <w:tc>
          <w:tcPr>
            <w:tcW w:w="1040" w:type="dxa"/>
            <w:vAlign w:val="bottom"/>
          </w:tcPr>
          <w:p>
            <w:pPr>
              <w:jc w:val="right"/>
              <w:ind w:right="679"/>
              <w:spacing w:after="0"/>
              <w:rPr>
                <w:sz w:val="20"/>
                <w:szCs w:val="20"/>
                <w:color w:val="auto"/>
              </w:rPr>
            </w:pPr>
            <w:r>
              <w:rPr>
                <w:rFonts w:ascii="Arial" w:cs="Arial" w:eastAsia="Arial" w:hAnsi="Arial"/>
                <w:sz w:val="16"/>
                <w:szCs w:val="16"/>
                <w:color w:val="auto"/>
                <w:w w:val="83"/>
              </w:rPr>
              <w:t>4.29</w:t>
            </w:r>
          </w:p>
        </w:tc>
        <w:tc>
          <w:tcPr>
            <w:tcW w:w="5600" w:type="dxa"/>
            <w:vAlign w:val="bottom"/>
            <w:gridSpan w:val="2"/>
            <w:vMerge w:val="restart"/>
          </w:tcPr>
          <w:p>
            <w:pPr>
              <w:spacing w:after="0"/>
              <w:rPr>
                <w:rFonts w:ascii="Arial" w:cs="Arial" w:eastAsia="Arial" w:hAnsi="Arial"/>
                <w:sz w:val="16"/>
                <w:szCs w:val="16"/>
                <w:color w:val="0000FF"/>
                <w:w w:val="91"/>
              </w:rPr>
            </w:pPr>
            <w:hyperlink r:id="rId49">
              <w:r>
                <w:rPr>
                  <w:rFonts w:ascii="Arial" w:cs="Arial" w:eastAsia="Arial" w:hAnsi="Arial"/>
                  <w:sz w:val="16"/>
                  <w:szCs w:val="16"/>
                  <w:color w:val="0000FF"/>
                  <w:w w:val="91"/>
                </w:rPr>
                <w:t>Ninth Supplemental Indenture, dated as of October 25, 2018, among Clearway Energy</w:t>
              </w:r>
            </w:hyperlink>
          </w:p>
        </w:tc>
        <w:tc>
          <w:tcPr>
            <w:tcW w:w="24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1040" w:type="dxa"/>
            <w:vAlign w:val="bottom"/>
          </w:tcPr>
          <w:p>
            <w:pPr>
              <w:spacing w:after="0"/>
              <w:rPr>
                <w:sz w:val="4"/>
                <w:szCs w:val="4"/>
                <w:color w:val="auto"/>
              </w:rPr>
            </w:pPr>
          </w:p>
        </w:tc>
        <w:tc>
          <w:tcPr>
            <w:tcW w:w="5600" w:type="dxa"/>
            <w:vAlign w:val="bottom"/>
            <w:tcBorders>
              <w:bottom w:val="single" w:sz="8" w:color="0000FF"/>
            </w:tcBorders>
            <w:gridSpan w:val="2"/>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840" w:type="dxa"/>
            <w:vAlign w:val="bottom"/>
            <w:tcBorders>
              <w:bottom w:val="single" w:sz="8" w:color="0000FF"/>
            </w:tcBorders>
            <w:gridSpan w:val="3"/>
          </w:tcPr>
          <w:p>
            <w:pPr>
              <w:spacing w:after="0" w:line="183" w:lineRule="exact"/>
              <w:rPr>
                <w:rFonts w:ascii="Arial" w:cs="Arial" w:eastAsia="Arial" w:hAnsi="Arial"/>
                <w:sz w:val="16"/>
                <w:szCs w:val="16"/>
                <w:color w:val="0000FF"/>
                <w:w w:val="90"/>
              </w:rPr>
            </w:pPr>
            <w:hyperlink r:id="rId49">
              <w:r>
                <w:rPr>
                  <w:rFonts w:ascii="Arial" w:cs="Arial" w:eastAsia="Arial" w:hAnsi="Arial"/>
                  <w:sz w:val="16"/>
                  <w:szCs w:val="16"/>
                  <w:color w:val="0000FF"/>
                  <w:w w:val="90"/>
                </w:rPr>
                <w:t>Operating LLC, the guarantors named therein and Delaware Trust Company (as successor</w:t>
              </w:r>
            </w:hyperlink>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3880" w:type="dxa"/>
            <w:vAlign w:val="bottom"/>
            <w:tcBorders>
              <w:bottom w:val="single" w:sz="8" w:color="0000FF"/>
            </w:tcBorders>
          </w:tcPr>
          <w:p>
            <w:pPr>
              <w:spacing w:after="0" w:line="183" w:lineRule="exact"/>
              <w:rPr>
                <w:rFonts w:ascii="Arial" w:cs="Arial" w:eastAsia="Arial" w:hAnsi="Arial"/>
                <w:sz w:val="16"/>
                <w:szCs w:val="16"/>
                <w:color w:val="0000FF"/>
                <w:w w:val="92"/>
              </w:rPr>
            </w:pPr>
            <w:hyperlink r:id="rId49">
              <w:r>
                <w:rPr>
                  <w:rFonts w:ascii="Arial" w:cs="Arial" w:eastAsia="Arial" w:hAnsi="Arial"/>
                  <w:sz w:val="16"/>
                  <w:szCs w:val="16"/>
                  <w:color w:val="0000FF"/>
                  <w:w w:val="92"/>
                </w:rPr>
                <w:t>in interest to Law Debenture Trust Company of New York).</w:t>
              </w:r>
            </w:hyperlink>
          </w:p>
        </w:tc>
        <w:tc>
          <w:tcPr>
            <w:tcW w:w="19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69" w:lineRule="auto"/>
        <w:rPr>
          <w:sz w:val="20"/>
          <w:szCs w:val="20"/>
          <w:color w:val="auto"/>
        </w:rPr>
      </w:pPr>
      <w:r>
        <w:rPr>
          <w:rFonts w:ascii="Arial" w:cs="Arial" w:eastAsia="Arial" w:hAnsi="Arial"/>
          <w:sz w:val="14"/>
          <w:szCs w:val="14"/>
          <w:color w:val="auto"/>
        </w:rPr>
        <w:t>Incorporated herein by reference to Exhibit 4.1 to the Company's Current Report on Form 8-K filed on October 31, 2018.</w:t>
      </w:r>
    </w:p>
    <w:p>
      <w:pPr>
        <w:spacing w:after="0" w:line="328" w:lineRule="exact"/>
        <w:rPr>
          <w:sz w:val="20"/>
          <w:szCs w:val="20"/>
          <w:color w:val="auto"/>
        </w:rPr>
      </w:pPr>
    </w:p>
    <w:p>
      <w:pPr>
        <w:sectPr>
          <w:pgSz w:w="11900" w:h="16838" w:orient="portrait"/>
          <w:cols w:equalWidth="0" w:num="2">
            <w:col w:w="6880" w:space="200"/>
            <w:col w:w="4200"/>
          </w:cols>
          <w:pgMar w:left="280" w:top="751" w:right="339" w:bottom="1440" w:gutter="0" w:footer="0" w:header="0"/>
          <w:type w:val="continuous"/>
        </w:sectPr>
      </w:pPr>
    </w:p>
    <w:tbl>
      <w:tblPr>
        <w:tblLayout w:type="fixed"/>
        <w:tblInd w:w="0" w:type="dxa"/>
        <w:tblCellMar>
          <w:top w:w="0" w:type="dxa"/>
          <w:left w:w="0" w:type="dxa"/>
          <w:bottom w:w="0" w:type="dxa"/>
          <w:right w:w="0" w:type="dxa"/>
        </w:tblCellMar>
      </w:tblPr>
      <w:tr>
        <w:trPr>
          <w:trHeight w:val="206"/>
        </w:trPr>
        <w:tc>
          <w:tcPr>
            <w:tcW w:w="1040" w:type="dxa"/>
            <w:vAlign w:val="bottom"/>
          </w:tcPr>
          <w:p>
            <w:pPr>
              <w:jc w:val="right"/>
              <w:ind w:right="679"/>
              <w:spacing w:after="0"/>
              <w:rPr>
                <w:sz w:val="20"/>
                <w:szCs w:val="20"/>
                <w:color w:val="auto"/>
              </w:rPr>
            </w:pPr>
            <w:r>
              <w:rPr>
                <w:rFonts w:ascii="Arial" w:cs="Arial" w:eastAsia="Arial" w:hAnsi="Arial"/>
                <w:sz w:val="16"/>
                <w:szCs w:val="16"/>
                <w:color w:val="auto"/>
                <w:w w:val="83"/>
              </w:rPr>
              <w:t>4.30</w:t>
            </w:r>
          </w:p>
        </w:tc>
        <w:tc>
          <w:tcPr>
            <w:tcW w:w="5840" w:type="dxa"/>
            <w:vAlign w:val="bottom"/>
            <w:gridSpan w:val="3"/>
            <w:vMerge w:val="restart"/>
          </w:tcPr>
          <w:p>
            <w:pPr>
              <w:spacing w:after="0"/>
              <w:rPr>
                <w:rFonts w:ascii="Arial" w:cs="Arial" w:eastAsia="Arial" w:hAnsi="Arial"/>
                <w:sz w:val="16"/>
                <w:szCs w:val="16"/>
                <w:color w:val="0000FF"/>
                <w:w w:val="96"/>
              </w:rPr>
            </w:pPr>
            <w:hyperlink r:id="rId50">
              <w:r>
                <w:rPr>
                  <w:rFonts w:ascii="Arial" w:cs="Arial" w:eastAsia="Arial" w:hAnsi="Arial"/>
                  <w:sz w:val="16"/>
                  <w:szCs w:val="16"/>
                  <w:color w:val="0000FF"/>
                  <w:w w:val="96"/>
                </w:rPr>
                <w:t>Fifth Supplemental Indenture, dated as of October 25, 2018, among Clearway Energy</w:t>
              </w:r>
            </w:hyperlink>
          </w:p>
        </w:tc>
        <w:tc>
          <w:tcPr>
            <w:tcW w:w="0" w:type="dxa"/>
            <w:vAlign w:val="bottom"/>
          </w:tcPr>
          <w:p>
            <w:pPr>
              <w:spacing w:after="0"/>
              <w:rPr>
                <w:sz w:val="1"/>
                <w:szCs w:val="1"/>
                <w:color w:val="auto"/>
              </w:rPr>
            </w:pPr>
          </w:p>
        </w:tc>
      </w:tr>
      <w:tr>
        <w:trPr>
          <w:trHeight w:val="47"/>
        </w:trPr>
        <w:tc>
          <w:tcPr>
            <w:tcW w:w="1040" w:type="dxa"/>
            <w:vAlign w:val="bottom"/>
          </w:tcPr>
          <w:p>
            <w:pPr>
              <w:spacing w:after="0"/>
              <w:rPr>
                <w:sz w:val="4"/>
                <w:szCs w:val="4"/>
                <w:color w:val="auto"/>
              </w:rPr>
            </w:pPr>
          </w:p>
        </w:tc>
        <w:tc>
          <w:tcPr>
            <w:tcW w:w="5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88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5840" w:type="dxa"/>
            <w:vAlign w:val="bottom"/>
            <w:tcBorders>
              <w:bottom w:val="single" w:sz="8" w:color="0000FF"/>
            </w:tcBorders>
            <w:gridSpan w:val="3"/>
          </w:tcPr>
          <w:p>
            <w:pPr>
              <w:spacing w:after="0" w:line="183" w:lineRule="exact"/>
              <w:rPr>
                <w:rFonts w:ascii="Arial" w:cs="Arial" w:eastAsia="Arial" w:hAnsi="Arial"/>
                <w:sz w:val="16"/>
                <w:szCs w:val="16"/>
                <w:color w:val="0000FF"/>
                <w:w w:val="90"/>
              </w:rPr>
            </w:pPr>
            <w:hyperlink r:id="rId50">
              <w:r>
                <w:rPr>
                  <w:rFonts w:ascii="Arial" w:cs="Arial" w:eastAsia="Arial" w:hAnsi="Arial"/>
                  <w:sz w:val="16"/>
                  <w:szCs w:val="16"/>
                  <w:color w:val="0000FF"/>
                  <w:w w:val="90"/>
                </w:rPr>
                <w:t>Operating LLC, the guarantors named therein and Delaware Trust Company (as successor</w:t>
              </w:r>
            </w:hyperlink>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3880" w:type="dxa"/>
            <w:vAlign w:val="bottom"/>
            <w:tcBorders>
              <w:bottom w:val="single" w:sz="8" w:color="0000FF"/>
            </w:tcBorders>
          </w:tcPr>
          <w:p>
            <w:pPr>
              <w:spacing w:after="0" w:line="183" w:lineRule="exact"/>
              <w:rPr>
                <w:rFonts w:ascii="Arial" w:cs="Arial" w:eastAsia="Arial" w:hAnsi="Arial"/>
                <w:sz w:val="16"/>
                <w:szCs w:val="16"/>
                <w:color w:val="0000FF"/>
                <w:w w:val="92"/>
              </w:rPr>
            </w:pPr>
            <w:hyperlink r:id="rId50">
              <w:r>
                <w:rPr>
                  <w:rFonts w:ascii="Arial" w:cs="Arial" w:eastAsia="Arial" w:hAnsi="Arial"/>
                  <w:sz w:val="16"/>
                  <w:szCs w:val="16"/>
                  <w:color w:val="0000FF"/>
                  <w:w w:val="92"/>
                </w:rPr>
                <w:t>in interest to Law Debenture Trust Company of New York).</w:t>
              </w:r>
            </w:hyperlink>
          </w:p>
        </w:tc>
        <w:tc>
          <w:tcPr>
            <w:tcW w:w="19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line="369" w:lineRule="auto"/>
        <w:rPr>
          <w:sz w:val="20"/>
          <w:szCs w:val="20"/>
          <w:color w:val="auto"/>
        </w:rPr>
      </w:pPr>
      <w:r>
        <w:rPr>
          <w:rFonts w:ascii="Arial" w:cs="Arial" w:eastAsia="Arial" w:hAnsi="Arial"/>
          <w:sz w:val="14"/>
          <w:szCs w:val="14"/>
          <w:color w:val="auto"/>
        </w:rPr>
        <w:t>Incorporated herein by reference to Exhibit 4.2 to the Company's Current Report on Form 8-K filed on October 31, 2018.</w:t>
      </w:r>
    </w:p>
    <w:p>
      <w:pPr>
        <w:spacing w:after="0" w:line="247" w:lineRule="exact"/>
        <w:rPr>
          <w:sz w:val="20"/>
          <w:szCs w:val="20"/>
          <w:color w:val="auto"/>
        </w:rPr>
      </w:pPr>
    </w:p>
    <w:p>
      <w:pPr>
        <w:sectPr>
          <w:pgSz w:w="11900" w:h="16838" w:orient="portrait"/>
          <w:cols w:equalWidth="0" w:num="2">
            <w:col w:w="6880" w:space="200"/>
            <w:col w:w="4200"/>
          </w:cols>
          <w:pgMar w:left="280" w:top="751" w:right="339" w:bottom="1440" w:gutter="0" w:footer="0" w:header="0"/>
          <w:type w:val="continuous"/>
        </w:sectPr>
      </w:pPr>
    </w:p>
    <w:tbl>
      <w:tblPr>
        <w:tblLayout w:type="fixed"/>
        <w:tblInd w:w="0" w:type="dxa"/>
        <w:tblCellMar>
          <w:top w:w="0" w:type="dxa"/>
          <w:left w:w="0" w:type="dxa"/>
          <w:bottom w:w="0" w:type="dxa"/>
          <w:right w:w="0" w:type="dxa"/>
        </w:tblCellMar>
      </w:tblPr>
      <w:tr>
        <w:trPr>
          <w:trHeight w:val="206"/>
        </w:trPr>
        <w:tc>
          <w:tcPr>
            <w:tcW w:w="1040" w:type="dxa"/>
            <w:vAlign w:val="bottom"/>
          </w:tcPr>
          <w:p>
            <w:pPr>
              <w:jc w:val="right"/>
              <w:ind w:right="679"/>
              <w:spacing w:after="0"/>
              <w:rPr>
                <w:sz w:val="20"/>
                <w:szCs w:val="20"/>
                <w:color w:val="auto"/>
              </w:rPr>
            </w:pPr>
            <w:r>
              <w:rPr>
                <w:rFonts w:ascii="Arial" w:cs="Arial" w:eastAsia="Arial" w:hAnsi="Arial"/>
                <w:sz w:val="16"/>
                <w:szCs w:val="16"/>
                <w:color w:val="auto"/>
                <w:w w:val="83"/>
              </w:rPr>
              <w:t>4.31</w:t>
            </w:r>
          </w:p>
        </w:tc>
        <w:tc>
          <w:tcPr>
            <w:tcW w:w="5840" w:type="dxa"/>
            <w:vAlign w:val="bottom"/>
            <w:gridSpan w:val="5"/>
            <w:vMerge w:val="restart"/>
          </w:tcPr>
          <w:p>
            <w:pPr>
              <w:spacing w:after="0"/>
              <w:rPr>
                <w:rFonts w:ascii="Arial" w:cs="Arial" w:eastAsia="Arial" w:hAnsi="Arial"/>
                <w:sz w:val="16"/>
                <w:szCs w:val="16"/>
                <w:color w:val="0000FF"/>
                <w:w w:val="96"/>
              </w:rPr>
            </w:pPr>
            <w:hyperlink r:id="rId51">
              <w:r>
                <w:rPr>
                  <w:rFonts w:ascii="Arial" w:cs="Arial" w:eastAsia="Arial" w:hAnsi="Arial"/>
                  <w:sz w:val="16"/>
                  <w:szCs w:val="16"/>
                  <w:color w:val="0000FF"/>
                  <w:w w:val="96"/>
                </w:rPr>
                <w:t>First Supplemental Indenture, dated as of October 25, 2018, among Clearway Energy</w:t>
              </w:r>
            </w:hyperlink>
          </w:p>
        </w:tc>
        <w:tc>
          <w:tcPr>
            <w:tcW w:w="0" w:type="dxa"/>
            <w:vAlign w:val="bottom"/>
          </w:tcPr>
          <w:p>
            <w:pPr>
              <w:spacing w:after="0"/>
              <w:rPr>
                <w:sz w:val="1"/>
                <w:szCs w:val="1"/>
                <w:color w:val="auto"/>
              </w:rPr>
            </w:pPr>
          </w:p>
        </w:tc>
      </w:tr>
      <w:tr>
        <w:trPr>
          <w:trHeight w:val="47"/>
        </w:trPr>
        <w:tc>
          <w:tcPr>
            <w:tcW w:w="1040" w:type="dxa"/>
            <w:vAlign w:val="bottom"/>
          </w:tcPr>
          <w:p>
            <w:pPr>
              <w:spacing w:after="0"/>
              <w:rPr>
                <w:sz w:val="4"/>
                <w:szCs w:val="4"/>
                <w:color w:val="auto"/>
              </w:rPr>
            </w:pPr>
          </w:p>
        </w:tc>
        <w:tc>
          <w:tcPr>
            <w:tcW w:w="584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520" w:type="dxa"/>
            <w:vAlign w:val="bottom"/>
            <w:tcBorders>
              <w:top w:val="single" w:sz="8" w:color="0000FF"/>
            </w:tcBorders>
            <w:gridSpan w:val="3"/>
          </w:tcPr>
          <w:p>
            <w:pPr>
              <w:spacing w:after="0" w:line="183" w:lineRule="exact"/>
              <w:rPr>
                <w:rFonts w:ascii="Arial" w:cs="Arial" w:eastAsia="Arial" w:hAnsi="Arial"/>
                <w:sz w:val="16"/>
                <w:szCs w:val="16"/>
                <w:color w:val="0000FF"/>
              </w:rPr>
            </w:pPr>
            <w:hyperlink r:id="rId51">
              <w:r>
                <w:rPr>
                  <w:rFonts w:ascii="Arial" w:cs="Arial" w:eastAsia="Arial" w:hAnsi="Arial"/>
                  <w:sz w:val="16"/>
                  <w:szCs w:val="16"/>
                  <w:color w:val="0000FF"/>
                </w:rPr>
                <w:t>Operating LLC, the guarantors named therein and Delaware Trust Company.</w:t>
              </w:r>
            </w:hyperlink>
          </w:p>
        </w:tc>
        <w:tc>
          <w:tcPr>
            <w:tcW w:w="3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8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040" w:type="dxa"/>
            <w:vAlign w:val="bottom"/>
          </w:tcPr>
          <w:p>
            <w:pPr>
              <w:jc w:val="right"/>
              <w:ind w:right="679"/>
              <w:spacing w:after="0"/>
              <w:rPr>
                <w:sz w:val="20"/>
                <w:szCs w:val="20"/>
                <w:color w:val="auto"/>
              </w:rPr>
            </w:pPr>
            <w:r>
              <w:rPr>
                <w:rFonts w:ascii="Arial" w:cs="Arial" w:eastAsia="Arial" w:hAnsi="Arial"/>
                <w:sz w:val="16"/>
                <w:szCs w:val="16"/>
                <w:color w:val="auto"/>
                <w:w w:val="83"/>
              </w:rPr>
              <w:t>4.32</w:t>
            </w:r>
          </w:p>
        </w:tc>
        <w:tc>
          <w:tcPr>
            <w:tcW w:w="5660" w:type="dxa"/>
            <w:vAlign w:val="bottom"/>
            <w:tcBorders>
              <w:bottom w:val="single" w:sz="8" w:color="0000FF"/>
            </w:tcBorders>
            <w:gridSpan w:val="4"/>
          </w:tcPr>
          <w:p>
            <w:pPr>
              <w:spacing w:after="0"/>
              <w:rPr>
                <w:rFonts w:ascii="Arial" w:cs="Arial" w:eastAsia="Arial" w:hAnsi="Arial"/>
                <w:sz w:val="16"/>
                <w:szCs w:val="16"/>
                <w:color w:val="0000FF"/>
                <w:w w:val="90"/>
              </w:rPr>
            </w:pPr>
            <w:hyperlink r:id="rId52">
              <w:r>
                <w:rPr>
                  <w:rFonts w:ascii="Arial" w:cs="Arial" w:eastAsia="Arial" w:hAnsi="Arial"/>
                  <w:sz w:val="16"/>
                  <w:szCs w:val="16"/>
                  <w:color w:val="0000FF"/>
                  <w:w w:val="90"/>
                </w:rPr>
                <w:t>Tenth Supplemental Indenture, dated as of December 7, 2018, among Clearway Energy</w:t>
              </w:r>
            </w:hyperlink>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840" w:type="dxa"/>
            <w:vAlign w:val="bottom"/>
            <w:tcBorders>
              <w:bottom w:val="single" w:sz="8" w:color="0000FF"/>
            </w:tcBorders>
            <w:gridSpan w:val="5"/>
          </w:tcPr>
          <w:p>
            <w:pPr>
              <w:spacing w:after="0" w:line="183" w:lineRule="exact"/>
              <w:rPr>
                <w:rFonts w:ascii="Arial" w:cs="Arial" w:eastAsia="Arial" w:hAnsi="Arial"/>
                <w:sz w:val="16"/>
                <w:szCs w:val="16"/>
                <w:color w:val="0000FF"/>
                <w:w w:val="90"/>
              </w:rPr>
            </w:pPr>
            <w:hyperlink r:id="rId52">
              <w:r>
                <w:rPr>
                  <w:rFonts w:ascii="Arial" w:cs="Arial" w:eastAsia="Arial" w:hAnsi="Arial"/>
                  <w:sz w:val="16"/>
                  <w:szCs w:val="16"/>
                  <w:color w:val="0000FF"/>
                  <w:w w:val="90"/>
                </w:rPr>
                <w:t>Operating LLC, the guarantors named therein and Delaware Trust Company (as successor</w:t>
              </w:r>
            </w:hyperlink>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3880" w:type="dxa"/>
            <w:vAlign w:val="bottom"/>
            <w:tcBorders>
              <w:bottom w:val="single" w:sz="8" w:color="0000FF"/>
            </w:tcBorders>
          </w:tcPr>
          <w:p>
            <w:pPr>
              <w:spacing w:after="0" w:line="183" w:lineRule="exact"/>
              <w:rPr>
                <w:rFonts w:ascii="Arial" w:cs="Arial" w:eastAsia="Arial" w:hAnsi="Arial"/>
                <w:sz w:val="16"/>
                <w:szCs w:val="16"/>
                <w:color w:val="0000FF"/>
                <w:w w:val="92"/>
              </w:rPr>
            </w:pPr>
            <w:hyperlink r:id="rId52">
              <w:r>
                <w:rPr>
                  <w:rFonts w:ascii="Arial" w:cs="Arial" w:eastAsia="Arial" w:hAnsi="Arial"/>
                  <w:sz w:val="16"/>
                  <w:szCs w:val="16"/>
                  <w:color w:val="0000FF"/>
                  <w:w w:val="92"/>
                </w:rPr>
                <w:t>in interest to Law Debenture Trust Company of New York).</w:t>
              </w:r>
            </w:hyperlink>
          </w:p>
        </w:tc>
        <w:tc>
          <w:tcPr>
            <w:tcW w:w="196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040" w:type="dxa"/>
            <w:vAlign w:val="bottom"/>
          </w:tcPr>
          <w:p>
            <w:pPr>
              <w:jc w:val="right"/>
              <w:ind w:right="679"/>
              <w:spacing w:after="0"/>
              <w:rPr>
                <w:sz w:val="20"/>
                <w:szCs w:val="20"/>
                <w:color w:val="auto"/>
              </w:rPr>
            </w:pPr>
            <w:r>
              <w:rPr>
                <w:rFonts w:ascii="Arial" w:cs="Arial" w:eastAsia="Arial" w:hAnsi="Arial"/>
                <w:sz w:val="16"/>
                <w:szCs w:val="16"/>
                <w:color w:val="auto"/>
                <w:w w:val="83"/>
              </w:rPr>
              <w:t>4.33</w:t>
            </w:r>
          </w:p>
        </w:tc>
        <w:tc>
          <w:tcPr>
            <w:tcW w:w="5640" w:type="dxa"/>
            <w:vAlign w:val="bottom"/>
            <w:gridSpan w:val="2"/>
            <w:vMerge w:val="restart"/>
          </w:tcPr>
          <w:p>
            <w:pPr>
              <w:spacing w:after="0"/>
              <w:rPr>
                <w:rFonts w:ascii="Arial" w:cs="Arial" w:eastAsia="Arial" w:hAnsi="Arial"/>
                <w:sz w:val="16"/>
                <w:szCs w:val="16"/>
                <w:color w:val="0000FF"/>
                <w:w w:val="90"/>
              </w:rPr>
            </w:pPr>
            <w:hyperlink r:id="rId53">
              <w:r>
                <w:rPr>
                  <w:rFonts w:ascii="Arial" w:cs="Arial" w:eastAsia="Arial" w:hAnsi="Arial"/>
                  <w:sz w:val="16"/>
                  <w:szCs w:val="16"/>
                  <w:color w:val="0000FF"/>
                  <w:w w:val="90"/>
                </w:rPr>
                <w:t>Sixth Supplemental Indenture, dated as of December 7, 2018, among Clearway Energy</w:t>
              </w:r>
            </w:hyperlink>
          </w:p>
        </w:tc>
        <w:tc>
          <w:tcPr>
            <w:tcW w:w="20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1040" w:type="dxa"/>
            <w:vAlign w:val="bottom"/>
          </w:tcPr>
          <w:p>
            <w:pPr>
              <w:spacing w:after="0"/>
              <w:rPr>
                <w:sz w:val="4"/>
                <w:szCs w:val="4"/>
                <w:color w:val="auto"/>
              </w:rPr>
            </w:pPr>
          </w:p>
        </w:tc>
        <w:tc>
          <w:tcPr>
            <w:tcW w:w="5640" w:type="dxa"/>
            <w:vAlign w:val="bottom"/>
            <w:tcBorders>
              <w:bottom w:val="single" w:sz="8" w:color="0000FF"/>
            </w:tcBorders>
            <w:gridSpan w:val="2"/>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840" w:type="dxa"/>
            <w:vAlign w:val="bottom"/>
            <w:tcBorders>
              <w:bottom w:val="single" w:sz="8" w:color="0000FF"/>
            </w:tcBorders>
            <w:gridSpan w:val="3"/>
          </w:tcPr>
          <w:p>
            <w:pPr>
              <w:spacing w:after="0" w:line="183" w:lineRule="exact"/>
              <w:rPr>
                <w:rFonts w:ascii="Arial" w:cs="Arial" w:eastAsia="Arial" w:hAnsi="Arial"/>
                <w:sz w:val="16"/>
                <w:szCs w:val="16"/>
                <w:color w:val="0000FF"/>
                <w:w w:val="90"/>
              </w:rPr>
            </w:pPr>
            <w:hyperlink r:id="rId53">
              <w:r>
                <w:rPr>
                  <w:rFonts w:ascii="Arial" w:cs="Arial" w:eastAsia="Arial" w:hAnsi="Arial"/>
                  <w:sz w:val="16"/>
                  <w:szCs w:val="16"/>
                  <w:color w:val="0000FF"/>
                  <w:w w:val="90"/>
                </w:rPr>
                <w:t>Operating LLC, the guarantors named therein and Delaware Trust Company (as successor</w:t>
              </w:r>
            </w:hyperlink>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3880" w:type="dxa"/>
            <w:vAlign w:val="bottom"/>
            <w:tcBorders>
              <w:bottom w:val="single" w:sz="8" w:color="0000FF"/>
            </w:tcBorders>
          </w:tcPr>
          <w:p>
            <w:pPr>
              <w:spacing w:after="0" w:line="183" w:lineRule="exact"/>
              <w:rPr>
                <w:rFonts w:ascii="Arial" w:cs="Arial" w:eastAsia="Arial" w:hAnsi="Arial"/>
                <w:sz w:val="16"/>
                <w:szCs w:val="16"/>
                <w:color w:val="0000FF"/>
                <w:w w:val="92"/>
              </w:rPr>
            </w:pPr>
            <w:hyperlink r:id="rId53">
              <w:r>
                <w:rPr>
                  <w:rFonts w:ascii="Arial" w:cs="Arial" w:eastAsia="Arial" w:hAnsi="Arial"/>
                  <w:sz w:val="16"/>
                  <w:szCs w:val="16"/>
                  <w:color w:val="0000FF"/>
                  <w:w w:val="92"/>
                </w:rPr>
                <w:t>in interest to Law Debenture Trust Company of New York).</w:t>
              </w:r>
            </w:hyperlink>
          </w:p>
        </w:tc>
        <w:tc>
          <w:tcPr>
            <w:tcW w:w="19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line="369" w:lineRule="auto"/>
        <w:rPr>
          <w:sz w:val="20"/>
          <w:szCs w:val="20"/>
          <w:color w:val="auto"/>
        </w:rPr>
      </w:pPr>
      <w:r>
        <w:rPr>
          <w:rFonts w:ascii="Arial" w:cs="Arial" w:eastAsia="Arial" w:hAnsi="Arial"/>
          <w:sz w:val="14"/>
          <w:szCs w:val="14"/>
          <w:color w:val="auto"/>
        </w:rPr>
        <w:t>Incorporated herein by reference to Exhibit 4.3 to the Company's Current Report on Form 8-K filed on October 31, 2018.</w:t>
      </w:r>
    </w:p>
    <w:p>
      <w:pPr>
        <w:spacing w:after="0" w:line="329" w:lineRule="exact"/>
        <w:rPr>
          <w:sz w:val="20"/>
          <w:szCs w:val="20"/>
          <w:color w:val="auto"/>
        </w:rPr>
      </w:pPr>
    </w:p>
    <w:p>
      <w:pPr>
        <w:spacing w:after="0" w:line="369" w:lineRule="auto"/>
        <w:rPr>
          <w:sz w:val="20"/>
          <w:szCs w:val="20"/>
          <w:color w:val="auto"/>
        </w:rPr>
      </w:pPr>
      <w:r>
        <w:rPr>
          <w:rFonts w:ascii="Arial" w:cs="Arial" w:eastAsia="Arial" w:hAnsi="Arial"/>
          <w:sz w:val="14"/>
          <w:szCs w:val="14"/>
          <w:color w:val="auto"/>
        </w:rPr>
        <w:t>Incorporated herein by reference to Exhibit 4.1 to the Company's Current Report on Form 8-K filed on December 12, 2018.</w:t>
      </w:r>
    </w:p>
    <w:p>
      <w:pPr>
        <w:spacing w:after="0" w:line="167" w:lineRule="exact"/>
        <w:rPr>
          <w:sz w:val="20"/>
          <w:szCs w:val="20"/>
          <w:color w:val="auto"/>
        </w:rPr>
      </w:pPr>
    </w:p>
    <w:p>
      <w:pPr>
        <w:spacing w:after="0" w:line="369" w:lineRule="auto"/>
        <w:rPr>
          <w:sz w:val="20"/>
          <w:szCs w:val="20"/>
          <w:color w:val="auto"/>
        </w:rPr>
      </w:pPr>
      <w:r>
        <w:rPr>
          <w:rFonts w:ascii="Arial" w:cs="Arial" w:eastAsia="Arial" w:hAnsi="Arial"/>
          <w:sz w:val="14"/>
          <w:szCs w:val="14"/>
          <w:color w:val="auto"/>
        </w:rPr>
        <w:t>Incorporated herein by reference to Exhibit 4.2 to the Company's Current Report on Form 8-K filed on December 12, 2018.</w:t>
      </w:r>
    </w:p>
    <w:p>
      <w:pPr>
        <w:spacing w:after="0" w:line="247" w:lineRule="exact"/>
        <w:rPr>
          <w:sz w:val="20"/>
          <w:szCs w:val="20"/>
          <w:color w:val="auto"/>
        </w:rPr>
      </w:pPr>
    </w:p>
    <w:p>
      <w:pPr>
        <w:sectPr>
          <w:pgSz w:w="11900" w:h="16838" w:orient="portrait"/>
          <w:cols w:equalWidth="0" w:num="2">
            <w:col w:w="6880" w:space="200"/>
            <w:col w:w="4200"/>
          </w:cols>
          <w:pgMar w:left="280" w:top="751" w:right="339" w:bottom="1440" w:gutter="0" w:footer="0" w:header="0"/>
          <w:type w:val="continuous"/>
        </w:sectPr>
      </w:pPr>
    </w:p>
    <w:p>
      <w:pPr>
        <w:spacing w:after="0"/>
        <w:rPr>
          <w:sz w:val="20"/>
          <w:szCs w:val="20"/>
          <w:color w:val="auto"/>
        </w:rPr>
      </w:pPr>
      <w:r>
        <w:rPr>
          <w:rFonts w:ascii="Arial" w:cs="Arial" w:eastAsia="Arial" w:hAnsi="Arial"/>
          <w:sz w:val="14"/>
          <w:szCs w:val="14"/>
          <w:color w:val="auto"/>
        </w:rPr>
        <w:t>4.34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right="60"/>
        <w:spacing w:after="0" w:line="329" w:lineRule="auto"/>
        <w:rPr>
          <w:rFonts w:ascii="Arial" w:cs="Arial" w:eastAsia="Arial" w:hAnsi="Arial"/>
          <w:sz w:val="15"/>
          <w:szCs w:val="15"/>
          <w:u w:val="single" w:color="auto"/>
          <w:color w:val="0000FF"/>
        </w:rPr>
      </w:pPr>
      <w:hyperlink r:id="rId54">
        <w:r>
          <w:rPr>
            <w:rFonts w:ascii="Arial" w:cs="Arial" w:eastAsia="Arial" w:hAnsi="Arial"/>
            <w:sz w:val="15"/>
            <w:szCs w:val="15"/>
            <w:u w:val="single" w:color="auto"/>
            <w:color w:val="0000FF"/>
          </w:rPr>
          <w:t>Second Supplemental Indenture, dated as of December 7, 2018, among Clearway Energy</w:t>
        </w:r>
      </w:hyperlink>
      <w:r>
        <w:rPr>
          <w:rFonts w:ascii="Arial" w:cs="Arial" w:eastAsia="Arial" w:hAnsi="Arial"/>
          <w:sz w:val="15"/>
          <w:szCs w:val="15"/>
          <w:u w:val="single" w:color="auto"/>
          <w:color w:val="0000FF"/>
        </w:rPr>
        <w:t xml:space="preserve"> </w:t>
      </w:r>
      <w:hyperlink r:id="rId54">
        <w:r>
          <w:rPr>
            <w:rFonts w:ascii="Arial" w:cs="Arial" w:eastAsia="Arial" w:hAnsi="Arial"/>
            <w:sz w:val="15"/>
            <w:szCs w:val="15"/>
            <w:u w:val="single" w:color="auto"/>
            <w:color w:val="0000FF"/>
          </w:rPr>
          <w:t>Operating LLC, the guarantors named therein and Delaware Trust Company.</w:t>
        </w:r>
      </w:hyperlink>
    </w:p>
    <w:p>
      <w:pPr>
        <w:spacing w:after="0" w:line="200" w:lineRule="exact"/>
        <w:rPr>
          <w:sz w:val="20"/>
          <w:szCs w:val="20"/>
          <w:color w:val="auto"/>
        </w:rPr>
      </w:pPr>
    </w:p>
    <w:p>
      <w:pPr>
        <w:spacing w:after="0" w:line="313" w:lineRule="exact"/>
        <w:rPr>
          <w:sz w:val="20"/>
          <w:szCs w:val="20"/>
          <w:color w:val="auto"/>
        </w:rPr>
      </w:pPr>
    </w:p>
    <w:p>
      <w:pPr>
        <w:spacing w:after="0" w:line="329" w:lineRule="auto"/>
        <w:rPr>
          <w:rFonts w:ascii="Arial" w:cs="Arial" w:eastAsia="Arial" w:hAnsi="Arial"/>
          <w:sz w:val="15"/>
          <w:szCs w:val="15"/>
          <w:u w:val="single" w:color="auto"/>
          <w:color w:val="0000FF"/>
        </w:rPr>
      </w:pPr>
      <w:hyperlink r:id="rId55">
        <w:r>
          <w:rPr>
            <w:rFonts w:ascii="Arial" w:cs="Arial" w:eastAsia="Arial" w:hAnsi="Arial"/>
            <w:sz w:val="15"/>
            <w:szCs w:val="15"/>
            <w:u w:val="single" w:color="auto"/>
            <w:color w:val="0000FF"/>
          </w:rPr>
          <w:t>Master Services Agreement, dated as of August 31, 2018, by and among NRG Yield, Inc.,</w:t>
        </w:r>
      </w:hyperlink>
      <w:r>
        <w:rPr>
          <w:rFonts w:ascii="Arial" w:cs="Arial" w:eastAsia="Arial" w:hAnsi="Arial"/>
          <w:sz w:val="15"/>
          <w:szCs w:val="15"/>
          <w:u w:val="single" w:color="auto"/>
          <w:color w:val="0000FF"/>
        </w:rPr>
        <w:t xml:space="preserve"> </w:t>
      </w:r>
      <w:hyperlink r:id="rId55">
        <w:r>
          <w:rPr>
            <w:rFonts w:ascii="Arial" w:cs="Arial" w:eastAsia="Arial" w:hAnsi="Arial"/>
            <w:sz w:val="15"/>
            <w:szCs w:val="15"/>
            <w:u w:val="single" w:color="auto"/>
            <w:color w:val="0000FF"/>
          </w:rPr>
          <w:t>NRG Yield LLC, NRG Yield Operating LLC and Zephyr Renewables LLC.</w:t>
        </w:r>
      </w:hyperlink>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line="369" w:lineRule="auto"/>
        <w:rPr>
          <w:sz w:val="20"/>
          <w:szCs w:val="20"/>
          <w:color w:val="auto"/>
        </w:rPr>
      </w:pPr>
      <w:r>
        <w:rPr>
          <w:rFonts w:ascii="Arial" w:cs="Arial" w:eastAsia="Arial" w:hAnsi="Arial"/>
          <w:sz w:val="14"/>
          <w:szCs w:val="14"/>
          <w:color w:val="auto"/>
        </w:rPr>
        <w:t>Incorporated herein by reference to Exhibit 4.3 to the Company's Current Report on Form 8-K filed on December 12, 2018.</w:t>
      </w:r>
    </w:p>
    <w:p>
      <w:pPr>
        <w:spacing w:after="0" w:line="200" w:lineRule="exact"/>
        <w:rPr>
          <w:sz w:val="20"/>
          <w:szCs w:val="20"/>
          <w:color w:val="auto"/>
        </w:rPr>
      </w:pPr>
    </w:p>
    <w:p>
      <w:pPr>
        <w:spacing w:after="0" w:line="291" w:lineRule="exact"/>
        <w:rPr>
          <w:sz w:val="20"/>
          <w:szCs w:val="20"/>
          <w:color w:val="auto"/>
        </w:rPr>
      </w:pPr>
    </w:p>
    <w:p>
      <w:pPr>
        <w:ind w:right="140"/>
        <w:spacing w:after="0" w:line="278" w:lineRule="auto"/>
        <w:rPr>
          <w:sz w:val="20"/>
          <w:szCs w:val="20"/>
          <w:color w:val="auto"/>
        </w:rPr>
      </w:pPr>
      <w:r>
        <w:rPr>
          <w:rFonts w:ascii="Arial" w:cs="Arial" w:eastAsia="Arial" w:hAnsi="Arial"/>
          <w:sz w:val="16"/>
          <w:szCs w:val="16"/>
          <w:color w:val="auto"/>
        </w:rPr>
        <w:t>Incorporated herein by reference to Exhibit 10.1 to the Company's Current Report on Form 8-K filed on September 5, 2018.</w:t>
      </w:r>
    </w:p>
    <w:p>
      <w:pPr>
        <w:spacing w:after="0" w:line="103" w:lineRule="exact"/>
        <w:rPr>
          <w:sz w:val="20"/>
          <w:szCs w:val="20"/>
          <w:color w:val="auto"/>
        </w:rPr>
      </w:pPr>
    </w:p>
    <w:p>
      <w:pPr>
        <w:sectPr>
          <w:pgSz w:w="11900" w:h="16838" w:orient="portrait"/>
          <w:cols w:equalWidth="0" w:num="3">
            <w:col w:w="320" w:space="720"/>
            <w:col w:w="5840" w:space="200"/>
            <w:col w:w="4200"/>
          </w:cols>
          <w:pgMar w:left="280" w:top="751" w:right="339" w:bottom="1440" w:gutter="0" w:footer="0" w:header="0"/>
          <w:type w:val="continuous"/>
        </w:sectPr>
      </w:pPr>
    </w:p>
    <w:tbl>
      <w:tblPr>
        <w:tblLayout w:type="fixed"/>
        <w:tblInd w:w="0" w:type="dxa"/>
        <w:tblCellMar>
          <w:top w:w="0" w:type="dxa"/>
          <w:left w:w="0" w:type="dxa"/>
          <w:bottom w:w="0" w:type="dxa"/>
          <w:right w:w="0" w:type="dxa"/>
        </w:tblCellMar>
      </w:tblPr>
      <w:tr>
        <w:trPr>
          <w:trHeight w:val="206"/>
        </w:trPr>
        <w:tc>
          <w:tcPr>
            <w:tcW w:w="1040" w:type="dxa"/>
            <w:vAlign w:val="bottom"/>
          </w:tcPr>
          <w:p>
            <w:pPr>
              <w:jc w:val="right"/>
              <w:ind w:right="679"/>
              <w:spacing w:after="0"/>
              <w:rPr>
                <w:sz w:val="20"/>
                <w:szCs w:val="20"/>
                <w:color w:val="auto"/>
              </w:rPr>
            </w:pPr>
            <w:r>
              <w:rPr>
                <w:rFonts w:ascii="Arial" w:cs="Arial" w:eastAsia="Arial" w:hAnsi="Arial"/>
                <w:sz w:val="16"/>
                <w:szCs w:val="16"/>
                <w:color w:val="auto"/>
                <w:w w:val="83"/>
              </w:rPr>
              <w:t>10.2</w:t>
            </w:r>
          </w:p>
        </w:tc>
        <w:tc>
          <w:tcPr>
            <w:tcW w:w="5600" w:type="dxa"/>
            <w:vAlign w:val="bottom"/>
            <w:gridSpan w:val="2"/>
            <w:vMerge w:val="restart"/>
          </w:tcPr>
          <w:p>
            <w:pPr>
              <w:spacing w:after="0"/>
              <w:rPr>
                <w:rFonts w:ascii="Arial" w:cs="Arial" w:eastAsia="Arial" w:hAnsi="Arial"/>
                <w:sz w:val="16"/>
                <w:szCs w:val="16"/>
                <w:color w:val="0000FF"/>
                <w:w w:val="97"/>
              </w:rPr>
            </w:pPr>
            <w:hyperlink r:id="rId56">
              <w:r>
                <w:rPr>
                  <w:rFonts w:ascii="Arial" w:cs="Arial" w:eastAsia="Arial" w:hAnsi="Arial"/>
                  <w:sz w:val="16"/>
                  <w:szCs w:val="16"/>
                  <w:color w:val="0000FF"/>
                  <w:w w:val="97"/>
                </w:rPr>
                <w:t>Master Services Agreement, dated as of August 31, 2018, by and among Zephyr</w:t>
              </w:r>
            </w:hyperlink>
          </w:p>
        </w:tc>
        <w:tc>
          <w:tcPr>
            <w:tcW w:w="0" w:type="dxa"/>
            <w:vAlign w:val="bottom"/>
          </w:tcPr>
          <w:p>
            <w:pPr>
              <w:spacing w:after="0"/>
              <w:rPr>
                <w:sz w:val="1"/>
                <w:szCs w:val="1"/>
                <w:color w:val="auto"/>
              </w:rPr>
            </w:pPr>
          </w:p>
        </w:tc>
      </w:tr>
      <w:tr>
        <w:trPr>
          <w:trHeight w:val="47"/>
        </w:trPr>
        <w:tc>
          <w:tcPr>
            <w:tcW w:w="1040" w:type="dxa"/>
            <w:vAlign w:val="bottom"/>
          </w:tcPr>
          <w:p>
            <w:pPr>
              <w:spacing w:after="0"/>
              <w:rPr>
                <w:sz w:val="4"/>
                <w:szCs w:val="4"/>
                <w:color w:val="auto"/>
              </w:rPr>
            </w:pPr>
          </w:p>
        </w:tc>
        <w:tc>
          <w:tcPr>
            <w:tcW w:w="56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2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5600" w:type="dxa"/>
            <w:vAlign w:val="bottom"/>
            <w:tcBorders>
              <w:bottom w:val="single" w:sz="8" w:color="0000FF"/>
            </w:tcBorders>
            <w:gridSpan w:val="2"/>
          </w:tcPr>
          <w:p>
            <w:pPr>
              <w:spacing w:after="0" w:line="183" w:lineRule="exact"/>
              <w:rPr>
                <w:rFonts w:ascii="Arial" w:cs="Arial" w:eastAsia="Arial" w:hAnsi="Arial"/>
                <w:sz w:val="16"/>
                <w:szCs w:val="16"/>
                <w:color w:val="0000FF"/>
                <w:w w:val="94"/>
              </w:rPr>
            </w:pPr>
            <w:hyperlink r:id="rId56">
              <w:r>
                <w:rPr>
                  <w:rFonts w:ascii="Arial" w:cs="Arial" w:eastAsia="Arial" w:hAnsi="Arial"/>
                  <w:sz w:val="16"/>
                  <w:szCs w:val="16"/>
                  <w:color w:val="0000FF"/>
                  <w:w w:val="94"/>
                </w:rPr>
                <w:t>Renewables LLC, NRG Yield, Inc., NRG Yield LLC, and NRG Yield Operating LLC.</w:t>
              </w:r>
            </w:hyperlink>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right="140"/>
        <w:spacing w:after="0" w:line="278" w:lineRule="auto"/>
        <w:rPr>
          <w:sz w:val="20"/>
          <w:szCs w:val="20"/>
          <w:color w:val="auto"/>
        </w:rPr>
      </w:pPr>
      <w:r>
        <w:rPr>
          <w:rFonts w:ascii="Arial" w:cs="Arial" w:eastAsia="Arial" w:hAnsi="Arial"/>
          <w:sz w:val="16"/>
          <w:szCs w:val="16"/>
          <w:color w:val="auto"/>
        </w:rPr>
        <w:t>Incorporated herein by reference to Exhibit 10.2 to the Company's Current Report on Form 8-K filed on September 5, 2018.</w:t>
      </w:r>
    </w:p>
    <w:p>
      <w:pPr>
        <w:spacing w:after="0" w:line="103" w:lineRule="exact"/>
        <w:rPr>
          <w:sz w:val="20"/>
          <w:szCs w:val="20"/>
          <w:color w:val="auto"/>
        </w:rPr>
      </w:pPr>
    </w:p>
    <w:p>
      <w:pPr>
        <w:sectPr>
          <w:pgSz w:w="11900" w:h="16838" w:orient="portrait"/>
          <w:cols w:equalWidth="0" w:num="2">
            <w:col w:w="6640" w:space="440"/>
            <w:col w:w="4200"/>
          </w:cols>
          <w:pgMar w:left="280" w:top="751" w:right="339" w:bottom="1440" w:gutter="0" w:footer="0" w:header="0"/>
          <w:type w:val="continuous"/>
        </w:sectPr>
      </w:pPr>
    </w:p>
    <w:tbl>
      <w:tblPr>
        <w:tblLayout w:type="fixed"/>
        <w:tblInd w:w="0" w:type="dxa"/>
        <w:tblCellMar>
          <w:top w:w="0" w:type="dxa"/>
          <w:left w:w="0" w:type="dxa"/>
          <w:bottom w:w="0" w:type="dxa"/>
          <w:right w:w="0" w:type="dxa"/>
        </w:tblCellMar>
      </w:tblPr>
      <w:tr>
        <w:trPr>
          <w:trHeight w:val="206"/>
        </w:trPr>
        <w:tc>
          <w:tcPr>
            <w:tcW w:w="1040" w:type="dxa"/>
            <w:vAlign w:val="bottom"/>
          </w:tcPr>
          <w:p>
            <w:pPr>
              <w:jc w:val="right"/>
              <w:ind w:right="559"/>
              <w:spacing w:after="0"/>
              <w:rPr>
                <w:sz w:val="20"/>
                <w:szCs w:val="20"/>
                <w:color w:val="auto"/>
              </w:rPr>
            </w:pPr>
            <w:r>
              <w:rPr>
                <w:rFonts w:ascii="Arial" w:cs="Arial" w:eastAsia="Arial" w:hAnsi="Arial"/>
                <w:sz w:val="16"/>
                <w:szCs w:val="16"/>
                <w:color w:val="auto"/>
                <w:w w:val="85"/>
              </w:rPr>
              <w:t>10.3.1</w:t>
            </w:r>
          </w:p>
        </w:tc>
        <w:tc>
          <w:tcPr>
            <w:tcW w:w="5740" w:type="dxa"/>
            <w:vAlign w:val="bottom"/>
            <w:gridSpan w:val="5"/>
            <w:vMerge w:val="restart"/>
          </w:tcPr>
          <w:p>
            <w:pPr>
              <w:spacing w:after="0"/>
              <w:rPr>
                <w:rFonts w:ascii="Arial" w:cs="Arial" w:eastAsia="Arial" w:hAnsi="Arial"/>
                <w:sz w:val="16"/>
                <w:szCs w:val="16"/>
                <w:color w:val="0000FF"/>
                <w:w w:val="92"/>
              </w:rPr>
            </w:pPr>
            <w:hyperlink r:id="rId57">
              <w:r>
                <w:rPr>
                  <w:rFonts w:ascii="Arial" w:cs="Arial" w:eastAsia="Arial" w:hAnsi="Arial"/>
                  <w:sz w:val="16"/>
                  <w:szCs w:val="16"/>
                  <w:color w:val="0000FF"/>
                  <w:w w:val="92"/>
                </w:rPr>
                <w:t>Right of First Offer Agreement, dated as of August 31, 2018, by and among NRG Yield,</w:t>
              </w:r>
            </w:hyperlink>
          </w:p>
        </w:tc>
        <w:tc>
          <w:tcPr>
            <w:tcW w:w="0" w:type="dxa"/>
            <w:vAlign w:val="bottom"/>
          </w:tcPr>
          <w:p>
            <w:pPr>
              <w:spacing w:after="0"/>
              <w:rPr>
                <w:sz w:val="1"/>
                <w:szCs w:val="1"/>
                <w:color w:val="auto"/>
              </w:rPr>
            </w:pPr>
          </w:p>
        </w:tc>
      </w:tr>
      <w:tr>
        <w:trPr>
          <w:trHeight w:val="52"/>
        </w:trPr>
        <w:tc>
          <w:tcPr>
            <w:tcW w:w="1040" w:type="dxa"/>
            <w:vAlign w:val="bottom"/>
          </w:tcPr>
          <w:p>
            <w:pPr>
              <w:spacing w:after="0"/>
              <w:rPr>
                <w:sz w:val="4"/>
                <w:szCs w:val="4"/>
                <w:color w:val="auto"/>
              </w:rPr>
            </w:pPr>
          </w:p>
        </w:tc>
        <w:tc>
          <w:tcPr>
            <w:tcW w:w="5740" w:type="dxa"/>
            <w:vAlign w:val="bottom"/>
            <w:tcBorders>
              <w:bottom w:val="single" w:sz="8" w:color="0000FF"/>
            </w:tcBorders>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740" w:type="dxa"/>
            <w:vAlign w:val="bottom"/>
            <w:gridSpan w:val="5"/>
          </w:tcPr>
          <w:p>
            <w:pPr>
              <w:spacing w:after="0" w:line="183" w:lineRule="exact"/>
              <w:rPr>
                <w:rFonts w:ascii="Arial" w:cs="Arial" w:eastAsia="Arial" w:hAnsi="Arial"/>
                <w:sz w:val="16"/>
                <w:szCs w:val="16"/>
                <w:color w:val="0000FF"/>
                <w:w w:val="96"/>
              </w:rPr>
            </w:pPr>
            <w:hyperlink r:id="rId57">
              <w:r>
                <w:rPr>
                  <w:rFonts w:ascii="Arial" w:cs="Arial" w:eastAsia="Arial" w:hAnsi="Arial"/>
                  <w:sz w:val="16"/>
                  <w:szCs w:val="16"/>
                  <w:color w:val="0000FF"/>
                  <w:w w:val="96"/>
                </w:rPr>
                <w:t>Inc., Zephyr Renewables LLC and solely for purposes of Section 2.4, GIP III Zephyr</w:t>
              </w:r>
            </w:hyperlink>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660" w:type="dxa"/>
            <w:vAlign w:val="bottom"/>
            <w:tcBorders>
              <w:top w:val="single" w:sz="8" w:color="0000FF"/>
              <w:bottom w:val="single" w:sz="8" w:color="0000FF"/>
            </w:tcBorders>
          </w:tcPr>
          <w:p>
            <w:pPr>
              <w:spacing w:after="0" w:line="183" w:lineRule="exact"/>
              <w:rPr>
                <w:rFonts w:ascii="Arial" w:cs="Arial" w:eastAsia="Arial" w:hAnsi="Arial"/>
                <w:sz w:val="16"/>
                <w:szCs w:val="16"/>
                <w:color w:val="0000FF"/>
                <w:w w:val="91"/>
              </w:rPr>
            </w:pPr>
            <w:hyperlink r:id="rId57">
              <w:r>
                <w:rPr>
                  <w:rFonts w:ascii="Arial" w:cs="Arial" w:eastAsia="Arial" w:hAnsi="Arial"/>
                  <w:sz w:val="16"/>
                  <w:szCs w:val="16"/>
                  <w:color w:val="0000FF"/>
                  <w:w w:val="91"/>
                </w:rPr>
                <w:t>Acquisition Partners, L.P.</w:t>
              </w:r>
            </w:hyperlink>
          </w:p>
        </w:tc>
        <w:tc>
          <w:tcPr>
            <w:tcW w:w="3840" w:type="dxa"/>
            <w:vAlign w:val="bottom"/>
            <w:tcBorders>
              <w:top w:val="single" w:sz="8" w:color="0000FF"/>
            </w:tcBorders>
            <w:gridSpan w:val="2"/>
          </w:tcPr>
          <w:p>
            <w:pPr>
              <w:spacing w:after="0"/>
              <w:rPr>
                <w:sz w:val="15"/>
                <w:szCs w:val="15"/>
                <w:color w:val="auto"/>
              </w:rPr>
            </w:pPr>
          </w:p>
        </w:tc>
        <w:tc>
          <w:tcPr>
            <w:tcW w:w="2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1040" w:type="dxa"/>
            <w:vAlign w:val="bottom"/>
          </w:tcPr>
          <w:p>
            <w:pPr>
              <w:jc w:val="right"/>
              <w:ind w:right="559"/>
              <w:spacing w:after="0"/>
              <w:rPr>
                <w:sz w:val="20"/>
                <w:szCs w:val="20"/>
                <w:color w:val="auto"/>
              </w:rPr>
            </w:pPr>
            <w:r>
              <w:rPr>
                <w:rFonts w:ascii="Arial" w:cs="Arial" w:eastAsia="Arial" w:hAnsi="Arial"/>
                <w:sz w:val="16"/>
                <w:szCs w:val="16"/>
                <w:color w:val="auto"/>
                <w:w w:val="85"/>
              </w:rPr>
              <w:t>10.3.2</w:t>
            </w:r>
          </w:p>
        </w:tc>
        <w:tc>
          <w:tcPr>
            <w:tcW w:w="5740" w:type="dxa"/>
            <w:vAlign w:val="bottom"/>
            <w:gridSpan w:val="5"/>
          </w:tcPr>
          <w:p>
            <w:pPr>
              <w:spacing w:after="0"/>
              <w:rPr>
                <w:rFonts w:ascii="Arial" w:cs="Arial" w:eastAsia="Arial" w:hAnsi="Arial"/>
                <w:sz w:val="16"/>
                <w:szCs w:val="16"/>
                <w:color w:val="0000FF"/>
                <w:w w:val="95"/>
              </w:rPr>
            </w:pPr>
            <w:hyperlink r:id="rId58">
              <w:r>
                <w:rPr>
                  <w:rFonts w:ascii="Arial" w:cs="Arial" w:eastAsia="Arial" w:hAnsi="Arial"/>
                  <w:sz w:val="16"/>
                  <w:szCs w:val="16"/>
                  <w:color w:val="0000FF"/>
                  <w:w w:val="95"/>
                </w:rPr>
                <w:t>First Amendment to Right of First Offer Agreement, dated February 14, 2019, by and</w:t>
              </w:r>
            </w:hyperlink>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540" w:type="dxa"/>
            <w:vAlign w:val="bottom"/>
            <w:tcBorders>
              <w:top w:val="single" w:sz="8" w:color="0000FF"/>
            </w:tcBorders>
            <w:gridSpan w:val="4"/>
          </w:tcPr>
          <w:p>
            <w:pPr>
              <w:spacing w:after="0" w:line="183" w:lineRule="exact"/>
              <w:rPr>
                <w:rFonts w:ascii="Arial" w:cs="Arial" w:eastAsia="Arial" w:hAnsi="Arial"/>
                <w:sz w:val="16"/>
                <w:szCs w:val="16"/>
                <w:color w:val="0000FF"/>
              </w:rPr>
            </w:pPr>
            <w:hyperlink r:id="rId58">
              <w:r>
                <w:rPr>
                  <w:rFonts w:ascii="Arial" w:cs="Arial" w:eastAsia="Arial" w:hAnsi="Arial"/>
                  <w:sz w:val="16"/>
                  <w:szCs w:val="16"/>
                  <w:color w:val="0000FF"/>
                </w:rPr>
                <w:t>between Clearway Energy Group LLC and Clearway Energy, Inc.</w:t>
              </w:r>
            </w:hyperlink>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right="140"/>
        <w:spacing w:after="0" w:line="278" w:lineRule="auto"/>
        <w:rPr>
          <w:sz w:val="20"/>
          <w:szCs w:val="20"/>
          <w:color w:val="auto"/>
        </w:rPr>
      </w:pPr>
      <w:r>
        <w:rPr>
          <w:rFonts w:ascii="Arial" w:cs="Arial" w:eastAsia="Arial" w:hAnsi="Arial"/>
          <w:sz w:val="16"/>
          <w:szCs w:val="16"/>
          <w:color w:val="auto"/>
        </w:rPr>
        <w:t>Incorporated herein by reference to Exhibit 10.3 to the Company's Current Report on Form 8-K filed on September 5, 2018.</w:t>
      </w:r>
    </w:p>
    <w:p>
      <w:pPr>
        <w:spacing w:after="0" w:line="184" w:lineRule="exact"/>
        <w:rPr>
          <w:sz w:val="20"/>
          <w:szCs w:val="20"/>
          <w:color w:val="auto"/>
        </w:rPr>
      </w:pPr>
    </w:p>
    <w:p>
      <w:pPr>
        <w:ind w:right="180"/>
        <w:spacing w:after="0" w:line="278" w:lineRule="auto"/>
        <w:rPr>
          <w:sz w:val="20"/>
          <w:szCs w:val="20"/>
          <w:color w:val="auto"/>
        </w:rPr>
      </w:pPr>
      <w:r>
        <w:rPr>
          <w:rFonts w:ascii="Arial" w:cs="Arial" w:eastAsia="Arial" w:hAnsi="Arial"/>
          <w:sz w:val="16"/>
          <w:szCs w:val="16"/>
          <w:color w:val="auto"/>
        </w:rPr>
        <w:t>Incorporated herein by reference to Exhibit 10.1 to the Company's Current Report on Form 8-K filed on February 14, 2019.</w:t>
      </w:r>
    </w:p>
    <w:p>
      <w:pPr>
        <w:spacing w:after="0" w:line="103" w:lineRule="exact"/>
        <w:rPr>
          <w:sz w:val="20"/>
          <w:szCs w:val="20"/>
          <w:color w:val="auto"/>
        </w:rPr>
      </w:pPr>
    </w:p>
    <w:p>
      <w:pPr>
        <w:sectPr>
          <w:pgSz w:w="11900" w:h="16838" w:orient="portrait"/>
          <w:cols w:equalWidth="0" w:num="2">
            <w:col w:w="6780" w:space="300"/>
            <w:col w:w="4200"/>
          </w:cols>
          <w:pgMar w:left="280" w:top="751" w:right="339" w:bottom="1440" w:gutter="0" w:footer="0" w:header="0"/>
          <w:type w:val="continuous"/>
        </w:sectPr>
      </w:pPr>
    </w:p>
    <w:tbl>
      <w:tblPr>
        <w:tblLayout w:type="fixed"/>
        <w:tblInd w:w="0" w:type="dxa"/>
        <w:tblCellMar>
          <w:top w:w="0" w:type="dxa"/>
          <w:left w:w="0" w:type="dxa"/>
          <w:bottom w:w="0" w:type="dxa"/>
          <w:right w:w="0" w:type="dxa"/>
        </w:tblCellMar>
      </w:tblPr>
      <w:tr>
        <w:trPr>
          <w:trHeight w:val="206"/>
        </w:trPr>
        <w:tc>
          <w:tcPr>
            <w:tcW w:w="1040" w:type="dxa"/>
            <w:vAlign w:val="bottom"/>
          </w:tcPr>
          <w:p>
            <w:pPr>
              <w:jc w:val="right"/>
              <w:ind w:right="679"/>
              <w:spacing w:after="0"/>
              <w:rPr>
                <w:sz w:val="20"/>
                <w:szCs w:val="20"/>
                <w:color w:val="auto"/>
              </w:rPr>
            </w:pPr>
            <w:r>
              <w:rPr>
                <w:rFonts w:ascii="Arial" w:cs="Arial" w:eastAsia="Arial" w:hAnsi="Arial"/>
                <w:sz w:val="16"/>
                <w:szCs w:val="16"/>
                <w:color w:val="auto"/>
                <w:w w:val="83"/>
              </w:rPr>
              <w:t>10.4</w:t>
            </w:r>
          </w:p>
        </w:tc>
        <w:tc>
          <w:tcPr>
            <w:tcW w:w="5780" w:type="dxa"/>
            <w:vAlign w:val="bottom"/>
            <w:gridSpan w:val="2"/>
            <w:vMerge w:val="restart"/>
          </w:tcPr>
          <w:p>
            <w:pPr>
              <w:spacing w:after="0"/>
              <w:rPr>
                <w:rFonts w:ascii="Arial" w:cs="Arial" w:eastAsia="Arial" w:hAnsi="Arial"/>
                <w:sz w:val="16"/>
                <w:szCs w:val="16"/>
                <w:color w:val="0000FF"/>
                <w:w w:val="90"/>
              </w:rPr>
            </w:pPr>
            <w:hyperlink r:id="rId59">
              <w:r>
                <w:rPr>
                  <w:rFonts w:ascii="Arial" w:cs="Arial" w:eastAsia="Arial" w:hAnsi="Arial"/>
                  <w:sz w:val="16"/>
                  <w:szCs w:val="16"/>
                  <w:color w:val="0000FF"/>
                  <w:w w:val="90"/>
                </w:rPr>
                <w:t>Zephyr Voting and Governance Agreement, dated as of August 31, 2018, by and between</w:t>
              </w:r>
            </w:hyperlink>
          </w:p>
        </w:tc>
        <w:tc>
          <w:tcPr>
            <w:tcW w:w="0" w:type="dxa"/>
            <w:vAlign w:val="bottom"/>
          </w:tcPr>
          <w:p>
            <w:pPr>
              <w:spacing w:after="0"/>
              <w:rPr>
                <w:sz w:val="1"/>
                <w:szCs w:val="1"/>
                <w:color w:val="auto"/>
              </w:rPr>
            </w:pPr>
          </w:p>
        </w:tc>
      </w:tr>
      <w:tr>
        <w:trPr>
          <w:trHeight w:val="52"/>
        </w:trPr>
        <w:tc>
          <w:tcPr>
            <w:tcW w:w="1040" w:type="dxa"/>
            <w:vAlign w:val="bottom"/>
          </w:tcPr>
          <w:p>
            <w:pPr>
              <w:spacing w:after="0"/>
              <w:rPr>
                <w:sz w:val="4"/>
                <w:szCs w:val="4"/>
                <w:color w:val="auto"/>
              </w:rPr>
            </w:pPr>
          </w:p>
        </w:tc>
        <w:tc>
          <w:tcPr>
            <w:tcW w:w="5780" w:type="dxa"/>
            <w:vAlign w:val="bottom"/>
            <w:tcBorders>
              <w:bottom w:val="single" w:sz="8" w:color="0000FF"/>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3060" w:type="dxa"/>
            <w:vAlign w:val="bottom"/>
            <w:tcBorders>
              <w:bottom w:val="single" w:sz="8" w:color="0000FF"/>
            </w:tcBorders>
          </w:tcPr>
          <w:p>
            <w:pPr>
              <w:spacing w:after="0" w:line="183" w:lineRule="exact"/>
              <w:rPr>
                <w:rFonts w:ascii="Arial" w:cs="Arial" w:eastAsia="Arial" w:hAnsi="Arial"/>
                <w:sz w:val="16"/>
                <w:szCs w:val="16"/>
                <w:color w:val="0000FF"/>
                <w:w w:val="93"/>
              </w:rPr>
            </w:pPr>
            <w:hyperlink r:id="rId59">
              <w:r>
                <w:rPr>
                  <w:rFonts w:ascii="Arial" w:cs="Arial" w:eastAsia="Arial" w:hAnsi="Arial"/>
                  <w:sz w:val="16"/>
                  <w:szCs w:val="16"/>
                  <w:color w:val="0000FF"/>
                  <w:w w:val="93"/>
                </w:rPr>
                <w:t>NRG Yield, Inc. and Zephyr Renewables LLC.</w:t>
              </w:r>
            </w:hyperlink>
          </w:p>
        </w:tc>
        <w:tc>
          <w:tcPr>
            <w:tcW w:w="27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right="140"/>
        <w:spacing w:after="0" w:line="278" w:lineRule="auto"/>
        <w:rPr>
          <w:sz w:val="20"/>
          <w:szCs w:val="20"/>
          <w:color w:val="auto"/>
        </w:rPr>
      </w:pPr>
      <w:r>
        <w:rPr>
          <w:rFonts w:ascii="Arial" w:cs="Arial" w:eastAsia="Arial" w:hAnsi="Arial"/>
          <w:sz w:val="16"/>
          <w:szCs w:val="16"/>
          <w:color w:val="auto"/>
        </w:rPr>
        <w:t>Incorporated herein by reference to Exhibit 10.4 to the Company's Current Report on Form 8-K filed on September 5, 2018.</w:t>
      </w:r>
    </w:p>
    <w:p>
      <w:pPr>
        <w:spacing w:after="0" w:line="200" w:lineRule="exact"/>
        <w:rPr>
          <w:sz w:val="20"/>
          <w:szCs w:val="20"/>
          <w:color w:val="auto"/>
        </w:rPr>
      </w:pPr>
    </w:p>
    <w:p>
      <w:pPr>
        <w:sectPr>
          <w:pgSz w:w="11900" w:h="16838" w:orient="portrait"/>
          <w:cols w:equalWidth="0" w:num="2">
            <w:col w:w="6820" w:space="260"/>
            <w:col w:w="4200"/>
          </w:cols>
          <w:pgMar w:left="280" w:top="751" w:right="339" w:bottom="1440" w:gutter="0" w:footer="0" w:header="0"/>
          <w:type w:val="continuous"/>
        </w:sectPr>
      </w:pP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280"/>
          </w:cols>
          <w:pgMar w:left="280" w:top="751"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4"/>
          <w:szCs w:val="14"/>
          <w:color w:val="auto"/>
        </w:rPr>
        <w:t>10.5</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color w:val="auto"/>
        </w:rPr>
        <w:t>10.6</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right="260"/>
        <w:spacing w:after="0" w:line="293" w:lineRule="auto"/>
        <w:rPr>
          <w:rFonts w:ascii="Arial" w:cs="Arial" w:eastAsia="Arial" w:hAnsi="Arial"/>
          <w:sz w:val="16"/>
          <w:szCs w:val="16"/>
          <w:u w:val="single" w:color="auto"/>
          <w:color w:val="0000FF"/>
        </w:rPr>
      </w:pPr>
      <w:hyperlink r:id="rId60">
        <w:r>
          <w:rPr>
            <w:rFonts w:ascii="Arial" w:cs="Arial" w:eastAsia="Arial" w:hAnsi="Arial"/>
            <w:sz w:val="16"/>
            <w:szCs w:val="16"/>
            <w:u w:val="single" w:color="auto"/>
            <w:color w:val="0000FF"/>
          </w:rPr>
          <w:t>Third Amended and Restated Right of First Offer Agreement, dated as of August 31,</w:t>
        </w:r>
      </w:hyperlink>
      <w:r>
        <w:rPr>
          <w:rFonts w:ascii="Arial" w:cs="Arial" w:eastAsia="Arial" w:hAnsi="Arial"/>
          <w:sz w:val="16"/>
          <w:szCs w:val="16"/>
          <w:u w:val="single" w:color="auto"/>
          <w:color w:val="0000FF"/>
        </w:rPr>
        <w:t xml:space="preserve"> </w:t>
      </w:r>
      <w:hyperlink r:id="rId60">
        <w:r>
          <w:rPr>
            <w:rFonts w:ascii="Arial" w:cs="Arial" w:eastAsia="Arial" w:hAnsi="Arial"/>
            <w:sz w:val="16"/>
            <w:szCs w:val="16"/>
            <w:u w:val="single" w:color="auto"/>
            <w:color w:val="0000FF"/>
          </w:rPr>
          <w:t>2018, by and between NRG Yield, Inc. and NRG Energy, Inc.</w:t>
        </w:r>
      </w:hyperlink>
    </w:p>
    <w:p>
      <w:pPr>
        <w:spacing w:after="0" w:line="131" w:lineRule="exact"/>
        <w:rPr>
          <w:sz w:val="20"/>
          <w:szCs w:val="20"/>
          <w:color w:val="auto"/>
        </w:rPr>
      </w:pPr>
    </w:p>
    <w:p>
      <w:pPr>
        <w:spacing w:after="0"/>
        <w:rPr>
          <w:rFonts w:ascii="Arial" w:cs="Arial" w:eastAsia="Arial" w:hAnsi="Arial"/>
          <w:sz w:val="14"/>
          <w:szCs w:val="14"/>
          <w:u w:val="single" w:color="auto"/>
          <w:color w:val="0000FF"/>
        </w:rPr>
      </w:pPr>
      <w:hyperlink r:id="rId61">
        <w:r>
          <w:rPr>
            <w:rFonts w:ascii="Arial" w:cs="Arial" w:eastAsia="Arial" w:hAnsi="Arial"/>
            <w:sz w:val="14"/>
            <w:szCs w:val="14"/>
            <w:u w:val="single" w:color="auto"/>
            <w:color w:val="0000FF"/>
          </w:rPr>
          <w:t>Transition Services Agreement, dated August 31, 2018, by and between NRG Yield, Inc.</w:t>
        </w:r>
      </w:hyperlink>
    </w:p>
    <w:p>
      <w:pPr>
        <w:spacing w:after="0" w:line="45" w:lineRule="exact"/>
        <w:rPr>
          <w:sz w:val="20"/>
          <w:szCs w:val="20"/>
          <w:color w:val="auto"/>
        </w:rPr>
      </w:pPr>
    </w:p>
    <w:p>
      <w:pPr>
        <w:spacing w:after="0"/>
        <w:rPr>
          <w:rFonts w:ascii="Arial" w:cs="Arial" w:eastAsia="Arial" w:hAnsi="Arial"/>
          <w:sz w:val="16"/>
          <w:szCs w:val="16"/>
          <w:u w:val="single" w:color="auto"/>
          <w:color w:val="0000FF"/>
        </w:rPr>
      </w:pPr>
      <w:hyperlink r:id="rId61">
        <w:r>
          <w:rPr>
            <w:rFonts w:ascii="Arial" w:cs="Arial" w:eastAsia="Arial" w:hAnsi="Arial"/>
            <w:sz w:val="16"/>
            <w:szCs w:val="16"/>
            <w:u w:val="single" w:color="auto"/>
            <w:color w:val="0000FF"/>
          </w:rPr>
          <w:t>and NRG Energy, Inc.</w:t>
        </w:r>
      </w:hyperlink>
    </w:p>
    <w:p>
      <w:pPr>
        <w:spacing w:after="0" w:line="20" w:lineRule="exact"/>
        <w:rPr>
          <w:sz w:val="20"/>
          <w:szCs w:val="20"/>
          <w:color w:val="auto"/>
        </w:rPr>
      </w:pPr>
      <w:r>
        <w:rPr>
          <w:sz w:val="20"/>
          <w:szCs w:val="20"/>
          <w:color w:val="auto"/>
        </w:rPr>
        <w:br w:type="column"/>
      </w:r>
    </w:p>
    <w:p>
      <w:pPr>
        <w:ind w:right="220"/>
        <w:spacing w:after="0" w:line="278" w:lineRule="auto"/>
        <w:rPr>
          <w:sz w:val="20"/>
          <w:szCs w:val="20"/>
          <w:color w:val="auto"/>
        </w:rPr>
      </w:pPr>
      <w:r>
        <w:rPr>
          <w:rFonts w:ascii="Arial" w:cs="Arial" w:eastAsia="Arial" w:hAnsi="Arial"/>
          <w:sz w:val="16"/>
          <w:szCs w:val="16"/>
          <w:color w:val="auto"/>
        </w:rPr>
        <w:t>Incorporated herein by reference to Exhibit 10.5 to the Company's Current Report on Form 8-K filed on September 5, 2018.</w:t>
      </w:r>
    </w:p>
    <w:p>
      <w:pPr>
        <w:spacing w:after="0" w:line="103" w:lineRule="exact"/>
        <w:rPr>
          <w:sz w:val="20"/>
          <w:szCs w:val="20"/>
          <w:color w:val="auto"/>
        </w:rPr>
      </w:pPr>
    </w:p>
    <w:p>
      <w:pPr>
        <w:ind w:right="220"/>
        <w:spacing w:after="0" w:line="278" w:lineRule="auto"/>
        <w:rPr>
          <w:sz w:val="20"/>
          <w:szCs w:val="20"/>
          <w:color w:val="auto"/>
        </w:rPr>
      </w:pPr>
      <w:r>
        <w:rPr>
          <w:rFonts w:ascii="Arial" w:cs="Arial" w:eastAsia="Arial" w:hAnsi="Arial"/>
          <w:sz w:val="16"/>
          <w:szCs w:val="16"/>
          <w:color w:val="auto"/>
        </w:rPr>
        <w:t>Incorporated herein by reference to Exhibit 10.7 to the Company's Current Report on Form 8-K filed on September 5, 2018.</w:t>
      </w:r>
    </w:p>
    <w:p>
      <w:pPr>
        <w:spacing w:after="0" w:line="103" w:lineRule="exact"/>
        <w:rPr>
          <w:sz w:val="20"/>
          <w:szCs w:val="20"/>
          <w:color w:val="auto"/>
        </w:rPr>
      </w:pPr>
    </w:p>
    <w:p>
      <w:pPr>
        <w:sectPr>
          <w:pgSz w:w="11900" w:h="16838" w:orient="portrait"/>
          <w:cols w:equalWidth="0" w:num="3">
            <w:col w:w="320" w:space="720"/>
            <w:col w:w="5760" w:space="280"/>
            <w:col w:w="4280"/>
          </w:cols>
          <w:pgMar w:left="280" w:top="751" w:right="259" w:bottom="1440" w:gutter="0" w:footer="0" w:header="0"/>
        </w:sectPr>
      </w:pPr>
    </w:p>
    <w:tbl>
      <w:tblPr>
        <w:tblLayout w:type="fixed"/>
        <w:tblInd w:w="0" w:type="dxa"/>
        <w:tblCellMar>
          <w:top w:w="0" w:type="dxa"/>
          <w:left w:w="0" w:type="dxa"/>
          <w:bottom w:w="0" w:type="dxa"/>
          <w:right w:w="0" w:type="dxa"/>
        </w:tblCellMar>
      </w:tblPr>
      <w:tr>
        <w:trPr>
          <w:trHeight w:val="206"/>
        </w:trPr>
        <w:tc>
          <w:tcPr>
            <w:tcW w:w="1040" w:type="dxa"/>
            <w:vAlign w:val="bottom"/>
          </w:tcPr>
          <w:p>
            <w:pPr>
              <w:jc w:val="right"/>
              <w:ind w:right="679"/>
              <w:spacing w:after="0"/>
              <w:rPr>
                <w:sz w:val="20"/>
                <w:szCs w:val="20"/>
                <w:color w:val="auto"/>
              </w:rPr>
            </w:pPr>
            <w:r>
              <w:rPr>
                <w:rFonts w:ascii="Arial" w:cs="Arial" w:eastAsia="Arial" w:hAnsi="Arial"/>
                <w:sz w:val="16"/>
                <w:szCs w:val="16"/>
                <w:color w:val="auto"/>
                <w:w w:val="83"/>
              </w:rPr>
              <w:t>10.7</w:t>
            </w:r>
          </w:p>
        </w:tc>
        <w:tc>
          <w:tcPr>
            <w:tcW w:w="5580" w:type="dxa"/>
            <w:vAlign w:val="bottom"/>
            <w:gridSpan w:val="2"/>
            <w:vMerge w:val="restart"/>
          </w:tcPr>
          <w:p>
            <w:pPr>
              <w:spacing w:after="0"/>
              <w:rPr>
                <w:rFonts w:ascii="Arial" w:cs="Arial" w:eastAsia="Arial" w:hAnsi="Arial"/>
                <w:sz w:val="16"/>
                <w:szCs w:val="16"/>
                <w:color w:val="0000FF"/>
                <w:w w:val="91"/>
              </w:rPr>
            </w:pPr>
            <w:hyperlink r:id="rId62">
              <w:r>
                <w:rPr>
                  <w:rFonts w:ascii="Arial" w:cs="Arial" w:eastAsia="Arial" w:hAnsi="Arial"/>
                  <w:sz w:val="16"/>
                  <w:szCs w:val="16"/>
                  <w:color w:val="0000FF"/>
                  <w:w w:val="91"/>
                </w:rPr>
                <w:t>Termination Agreement, dated as of August 31, 2018, by and among NRG Yield, Inc.,</w:t>
              </w:r>
            </w:hyperlink>
          </w:p>
        </w:tc>
        <w:tc>
          <w:tcPr>
            <w:tcW w:w="0" w:type="dxa"/>
            <w:vAlign w:val="bottom"/>
          </w:tcPr>
          <w:p>
            <w:pPr>
              <w:spacing w:after="0"/>
              <w:rPr>
                <w:sz w:val="1"/>
                <w:szCs w:val="1"/>
                <w:color w:val="auto"/>
              </w:rPr>
            </w:pPr>
          </w:p>
        </w:tc>
      </w:tr>
      <w:tr>
        <w:trPr>
          <w:trHeight w:val="52"/>
        </w:trPr>
        <w:tc>
          <w:tcPr>
            <w:tcW w:w="1040" w:type="dxa"/>
            <w:vAlign w:val="bottom"/>
          </w:tcPr>
          <w:p>
            <w:pPr>
              <w:spacing w:after="0"/>
              <w:rPr>
                <w:sz w:val="4"/>
                <w:szCs w:val="4"/>
                <w:color w:val="auto"/>
              </w:rPr>
            </w:pPr>
          </w:p>
        </w:tc>
        <w:tc>
          <w:tcPr>
            <w:tcW w:w="5580" w:type="dxa"/>
            <w:vAlign w:val="bottom"/>
            <w:tcBorders>
              <w:bottom w:val="single" w:sz="8" w:color="0000FF"/>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580" w:type="dxa"/>
            <w:vAlign w:val="bottom"/>
            <w:gridSpan w:val="2"/>
          </w:tcPr>
          <w:p>
            <w:pPr>
              <w:spacing w:after="0" w:line="183" w:lineRule="exact"/>
              <w:rPr>
                <w:rFonts w:ascii="Arial" w:cs="Arial" w:eastAsia="Arial" w:hAnsi="Arial"/>
                <w:sz w:val="16"/>
                <w:szCs w:val="16"/>
                <w:color w:val="0000FF"/>
              </w:rPr>
            </w:pPr>
            <w:hyperlink r:id="rId62">
              <w:r>
                <w:rPr>
                  <w:rFonts w:ascii="Arial" w:cs="Arial" w:eastAsia="Arial" w:hAnsi="Arial"/>
                  <w:sz w:val="16"/>
                  <w:szCs w:val="16"/>
                  <w:color w:val="0000FF"/>
                </w:rPr>
                <w:t>NRG Yield LLC, NRG Yield Operating LLC and NRG Energy, Inc.</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40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right="220"/>
        <w:spacing w:after="0" w:line="278" w:lineRule="auto"/>
        <w:rPr>
          <w:sz w:val="20"/>
          <w:szCs w:val="20"/>
          <w:color w:val="auto"/>
        </w:rPr>
      </w:pPr>
      <w:r>
        <w:rPr>
          <w:rFonts w:ascii="Arial" w:cs="Arial" w:eastAsia="Arial" w:hAnsi="Arial"/>
          <w:sz w:val="16"/>
          <w:szCs w:val="16"/>
          <w:color w:val="auto"/>
        </w:rPr>
        <w:t>Incorporated herein by reference to Exhibit 10.9 to the Company's Current Report on Form 8-K filed on September 5, 2018.</w:t>
      </w:r>
    </w:p>
    <w:p>
      <w:pPr>
        <w:spacing w:after="0" w:line="91" w:lineRule="exact"/>
        <w:rPr>
          <w:sz w:val="20"/>
          <w:szCs w:val="20"/>
          <w:color w:val="auto"/>
        </w:rPr>
      </w:pPr>
    </w:p>
    <w:p>
      <w:pPr>
        <w:sectPr>
          <w:pgSz w:w="11900" w:h="16838" w:orient="portrait"/>
          <w:cols w:equalWidth="0" w:num="2">
            <w:col w:w="6620" w:space="460"/>
            <w:col w:w="4280"/>
          </w:cols>
          <w:pgMar w:left="280" w:top="751" w:right="259" w:bottom="1440" w:gutter="0" w:footer="0" w:header="0"/>
          <w:type w:val="continuous"/>
        </w:sectPr>
      </w:pPr>
    </w:p>
    <w:tbl>
      <w:tblPr>
        <w:tblLayout w:type="fixed"/>
        <w:tblInd w:w="0" w:type="dxa"/>
        <w:tblCellMar>
          <w:top w:w="0" w:type="dxa"/>
          <w:left w:w="0" w:type="dxa"/>
          <w:bottom w:w="0" w:type="dxa"/>
          <w:right w:w="0" w:type="dxa"/>
        </w:tblCellMar>
      </w:tblPr>
      <w:tr>
        <w:trPr>
          <w:trHeight w:val="184"/>
        </w:trPr>
        <w:tc>
          <w:tcPr>
            <w:tcW w:w="1040" w:type="dxa"/>
            <w:vAlign w:val="bottom"/>
          </w:tcPr>
          <w:p>
            <w:pPr>
              <w:spacing w:after="0"/>
              <w:rPr>
                <w:sz w:val="20"/>
                <w:szCs w:val="20"/>
                <w:color w:val="auto"/>
              </w:rPr>
            </w:pPr>
            <w:r>
              <w:rPr>
                <w:rFonts w:ascii="Arial" w:cs="Arial" w:eastAsia="Arial" w:hAnsi="Arial"/>
                <w:sz w:val="16"/>
                <w:szCs w:val="16"/>
                <w:color w:val="auto"/>
              </w:rPr>
              <w:t>10.8</w:t>
            </w:r>
          </w:p>
        </w:tc>
        <w:tc>
          <w:tcPr>
            <w:tcW w:w="5740" w:type="dxa"/>
            <w:vAlign w:val="bottom"/>
            <w:tcBorders>
              <w:bottom w:val="single" w:sz="8" w:color="0000FF"/>
            </w:tcBorders>
            <w:gridSpan w:val="19"/>
          </w:tcPr>
          <w:p>
            <w:pPr>
              <w:spacing w:after="0"/>
              <w:rPr>
                <w:rFonts w:ascii="Arial" w:cs="Arial" w:eastAsia="Arial" w:hAnsi="Arial"/>
                <w:sz w:val="16"/>
                <w:szCs w:val="16"/>
                <w:color w:val="0000FF"/>
                <w:w w:val="90"/>
              </w:rPr>
            </w:pPr>
            <w:hyperlink r:id="rId63">
              <w:r>
                <w:rPr>
                  <w:rFonts w:ascii="Arial" w:cs="Arial" w:eastAsia="Arial" w:hAnsi="Arial"/>
                  <w:sz w:val="16"/>
                  <w:szCs w:val="16"/>
                  <w:color w:val="0000FF"/>
                  <w:w w:val="90"/>
                </w:rPr>
                <w:t>Loan Guarantee Agreement, dated as of September 30, 2011, by and among High Plains</w:t>
              </w:r>
            </w:hyperlink>
          </w:p>
        </w:tc>
        <w:tc>
          <w:tcPr>
            <w:tcW w:w="120" w:type="dxa"/>
            <w:vAlign w:val="bottom"/>
            <w:gridSpan w:val="2"/>
          </w:tcPr>
          <w:p>
            <w:pPr>
              <w:spacing w:after="0"/>
              <w:rPr>
                <w:sz w:val="16"/>
                <w:szCs w:val="16"/>
                <w:color w:val="auto"/>
              </w:rPr>
            </w:pPr>
          </w:p>
        </w:tc>
      </w:tr>
      <w:tr>
        <w:trPr>
          <w:trHeight w:val="183"/>
        </w:trPr>
        <w:tc>
          <w:tcPr>
            <w:tcW w:w="1040" w:type="dxa"/>
            <w:vAlign w:val="bottom"/>
          </w:tcPr>
          <w:p>
            <w:pPr>
              <w:spacing w:after="0"/>
              <w:rPr>
                <w:sz w:val="15"/>
                <w:szCs w:val="15"/>
                <w:color w:val="auto"/>
              </w:rPr>
            </w:pPr>
          </w:p>
        </w:tc>
        <w:tc>
          <w:tcPr>
            <w:tcW w:w="5860" w:type="dxa"/>
            <w:vAlign w:val="bottom"/>
            <w:gridSpan w:val="21"/>
          </w:tcPr>
          <w:p>
            <w:pPr>
              <w:spacing w:after="0" w:line="183" w:lineRule="exact"/>
              <w:rPr>
                <w:rFonts w:ascii="Arial" w:cs="Arial" w:eastAsia="Arial" w:hAnsi="Arial"/>
                <w:sz w:val="16"/>
                <w:szCs w:val="16"/>
                <w:color w:val="0000FF"/>
                <w:w w:val="94"/>
              </w:rPr>
            </w:pPr>
            <w:hyperlink r:id="rId63">
              <w:r>
                <w:rPr>
                  <w:rFonts w:ascii="Arial" w:cs="Arial" w:eastAsia="Arial" w:hAnsi="Arial"/>
                  <w:sz w:val="16"/>
                  <w:szCs w:val="16"/>
                  <w:color w:val="0000FF"/>
                  <w:w w:val="94"/>
                </w:rPr>
                <w:t>Ranch II, LLC, as borrower, the U.S. Department of Energy, as guarantor, and the U.S.</w:t>
              </w:r>
            </w:hyperlink>
          </w:p>
        </w:tc>
      </w:tr>
      <w:tr>
        <w:trPr>
          <w:trHeight w:val="183"/>
        </w:trPr>
        <w:tc>
          <w:tcPr>
            <w:tcW w:w="1040" w:type="dxa"/>
            <w:vAlign w:val="bottom"/>
          </w:tcPr>
          <w:p>
            <w:pPr>
              <w:spacing w:after="0"/>
              <w:rPr>
                <w:sz w:val="15"/>
                <w:szCs w:val="15"/>
                <w:color w:val="auto"/>
              </w:rPr>
            </w:pPr>
          </w:p>
        </w:tc>
        <w:tc>
          <w:tcPr>
            <w:tcW w:w="2560" w:type="dxa"/>
            <w:vAlign w:val="bottom"/>
            <w:tcBorders>
              <w:top w:val="single" w:sz="8" w:color="0000FF"/>
              <w:bottom w:val="single" w:sz="8" w:color="0000FF"/>
            </w:tcBorders>
            <w:gridSpan w:val="5"/>
          </w:tcPr>
          <w:p>
            <w:pPr>
              <w:spacing w:after="0" w:line="183" w:lineRule="exact"/>
              <w:rPr>
                <w:rFonts w:ascii="Arial" w:cs="Arial" w:eastAsia="Arial" w:hAnsi="Arial"/>
                <w:sz w:val="16"/>
                <w:szCs w:val="16"/>
                <w:color w:val="0000FF"/>
                <w:w w:val="90"/>
              </w:rPr>
            </w:pPr>
            <w:hyperlink r:id="rId63">
              <w:r>
                <w:rPr>
                  <w:rFonts w:ascii="Arial" w:cs="Arial" w:eastAsia="Arial" w:hAnsi="Arial"/>
                  <w:sz w:val="16"/>
                  <w:szCs w:val="16"/>
                  <w:color w:val="0000FF"/>
                  <w:w w:val="90"/>
                </w:rPr>
                <w:t>Department of Energy, as loan servicer.</w:t>
              </w:r>
            </w:hyperlink>
          </w:p>
        </w:tc>
        <w:tc>
          <w:tcPr>
            <w:tcW w:w="3060" w:type="dxa"/>
            <w:vAlign w:val="bottom"/>
            <w:tcBorders>
              <w:top w:val="single" w:sz="8" w:color="0000FF"/>
            </w:tcBorders>
            <w:gridSpan w:val="10"/>
          </w:tcPr>
          <w:p>
            <w:pPr>
              <w:spacing w:after="0"/>
              <w:rPr>
                <w:sz w:val="15"/>
                <w:szCs w:val="15"/>
                <w:color w:val="auto"/>
              </w:rPr>
            </w:pPr>
          </w:p>
        </w:tc>
        <w:tc>
          <w:tcPr>
            <w:tcW w:w="240" w:type="dxa"/>
            <w:vAlign w:val="bottom"/>
            <w:gridSpan w:val="6"/>
          </w:tcPr>
          <w:p>
            <w:pPr>
              <w:spacing w:after="0"/>
              <w:rPr>
                <w:sz w:val="15"/>
                <w:szCs w:val="15"/>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6"/>
                <w:szCs w:val="16"/>
                <w:color w:val="auto"/>
              </w:rPr>
              <w:t>10.9†</w:t>
            </w:r>
          </w:p>
        </w:tc>
        <w:tc>
          <w:tcPr>
            <w:tcW w:w="4840" w:type="dxa"/>
            <w:vAlign w:val="bottom"/>
            <w:tcBorders>
              <w:bottom w:val="single" w:sz="8" w:color="0000FF"/>
            </w:tcBorders>
            <w:gridSpan w:val="8"/>
          </w:tcPr>
          <w:p>
            <w:pPr>
              <w:spacing w:after="0"/>
              <w:rPr>
                <w:rFonts w:ascii="Arial" w:cs="Arial" w:eastAsia="Arial" w:hAnsi="Arial"/>
                <w:sz w:val="16"/>
                <w:szCs w:val="16"/>
                <w:color w:val="0000FF"/>
                <w:w w:val="91"/>
              </w:rPr>
            </w:pPr>
            <w:hyperlink r:id="rId64">
              <w:r>
                <w:rPr>
                  <w:rFonts w:ascii="Arial" w:cs="Arial" w:eastAsia="Arial" w:hAnsi="Arial"/>
                  <w:sz w:val="16"/>
                  <w:szCs w:val="16"/>
                  <w:color w:val="0000FF"/>
                  <w:w w:val="91"/>
                </w:rPr>
                <w:t>Clearway Energy, Inc. Amended and Restated 2013 Equity Incentive Plan.</w:t>
              </w:r>
            </w:hyperlink>
          </w:p>
        </w:tc>
        <w:tc>
          <w:tcPr>
            <w:tcW w:w="1020" w:type="dxa"/>
            <w:vAlign w:val="bottom"/>
            <w:gridSpan w:val="13"/>
          </w:tcPr>
          <w:p>
            <w:pPr>
              <w:spacing w:after="0"/>
              <w:rPr>
                <w:sz w:val="20"/>
                <w:szCs w:val="20"/>
                <w:color w:val="auto"/>
              </w:rPr>
            </w:pPr>
          </w:p>
        </w:tc>
      </w:tr>
      <w:tr>
        <w:trPr>
          <w:trHeight w:val="642"/>
        </w:trPr>
        <w:tc>
          <w:tcPr>
            <w:tcW w:w="1040" w:type="dxa"/>
            <w:vAlign w:val="bottom"/>
          </w:tcPr>
          <w:p>
            <w:pPr>
              <w:spacing w:after="0"/>
              <w:rPr>
                <w:sz w:val="20"/>
                <w:szCs w:val="20"/>
                <w:color w:val="auto"/>
              </w:rPr>
            </w:pPr>
            <w:r>
              <w:rPr>
                <w:rFonts w:ascii="Arial" w:cs="Arial" w:eastAsia="Arial" w:hAnsi="Arial"/>
                <w:sz w:val="16"/>
                <w:szCs w:val="16"/>
                <w:color w:val="auto"/>
              </w:rPr>
              <w:t>10.10</w:t>
            </w:r>
          </w:p>
        </w:tc>
        <w:tc>
          <w:tcPr>
            <w:tcW w:w="2400" w:type="dxa"/>
            <w:vAlign w:val="bottom"/>
            <w:tcBorders>
              <w:bottom w:val="single" w:sz="8" w:color="0000FF"/>
            </w:tcBorders>
            <w:gridSpan w:val="4"/>
          </w:tcPr>
          <w:p>
            <w:pPr>
              <w:spacing w:after="0"/>
              <w:rPr>
                <w:rFonts w:ascii="Arial" w:cs="Arial" w:eastAsia="Arial" w:hAnsi="Arial"/>
                <w:sz w:val="16"/>
                <w:szCs w:val="16"/>
                <w:color w:val="0000FF"/>
                <w:w w:val="93"/>
              </w:rPr>
            </w:pPr>
            <w:hyperlink r:id="rId65">
              <w:r>
                <w:rPr>
                  <w:rFonts w:ascii="Arial" w:cs="Arial" w:eastAsia="Arial" w:hAnsi="Arial"/>
                  <w:sz w:val="16"/>
                  <w:szCs w:val="16"/>
                  <w:color w:val="0000FF"/>
                  <w:w w:val="93"/>
                </w:rPr>
                <w:t>Form of Indemnification Agreement.</w:t>
              </w:r>
            </w:hyperlink>
          </w:p>
        </w:tc>
        <w:tc>
          <w:tcPr>
            <w:tcW w:w="3460" w:type="dxa"/>
            <w:vAlign w:val="bottom"/>
            <w:gridSpan w:val="17"/>
          </w:tcPr>
          <w:p>
            <w:pPr>
              <w:spacing w:after="0"/>
              <w:rPr>
                <w:sz w:val="24"/>
                <w:szCs w:val="24"/>
                <w:color w:val="auto"/>
              </w:rPr>
            </w:pPr>
          </w:p>
        </w:tc>
      </w:tr>
      <w:tr>
        <w:trPr>
          <w:trHeight w:val="642"/>
        </w:trPr>
        <w:tc>
          <w:tcPr>
            <w:tcW w:w="1040" w:type="dxa"/>
            <w:vAlign w:val="bottom"/>
          </w:tcPr>
          <w:p>
            <w:pPr>
              <w:spacing w:after="0"/>
              <w:rPr>
                <w:sz w:val="20"/>
                <w:szCs w:val="20"/>
                <w:color w:val="auto"/>
              </w:rPr>
            </w:pPr>
            <w:r>
              <w:rPr>
                <w:rFonts w:ascii="Arial" w:cs="Arial" w:eastAsia="Arial" w:hAnsi="Arial"/>
                <w:sz w:val="16"/>
                <w:szCs w:val="16"/>
                <w:color w:val="auto"/>
              </w:rPr>
              <w:t>10.11.1</w:t>
            </w:r>
          </w:p>
        </w:tc>
        <w:tc>
          <w:tcPr>
            <w:tcW w:w="5860" w:type="dxa"/>
            <w:vAlign w:val="bottom"/>
            <w:gridSpan w:val="21"/>
          </w:tcPr>
          <w:p>
            <w:pPr>
              <w:spacing w:after="0"/>
              <w:rPr>
                <w:rFonts w:ascii="Arial" w:cs="Arial" w:eastAsia="Arial" w:hAnsi="Arial"/>
                <w:sz w:val="16"/>
                <w:szCs w:val="16"/>
                <w:color w:val="0000FF"/>
                <w:w w:val="97"/>
              </w:rPr>
            </w:pPr>
            <w:hyperlink r:id="rId66">
              <w:r>
                <w:rPr>
                  <w:rFonts w:ascii="Arial" w:cs="Arial" w:eastAsia="Arial" w:hAnsi="Arial"/>
                  <w:sz w:val="16"/>
                  <w:szCs w:val="16"/>
                  <w:color w:val="0000FF"/>
                  <w:w w:val="97"/>
                </w:rPr>
                <w:t>Amended and Restated Credit Agreement, dated April 25, 2014, by and among NRG</w:t>
              </w:r>
            </w:hyperlink>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1480" w:type="dxa"/>
            <w:vAlign w:val="bottom"/>
            <w:gridSpan w:val="3"/>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5860" w:type="dxa"/>
            <w:vAlign w:val="bottom"/>
            <w:gridSpan w:val="21"/>
          </w:tcPr>
          <w:p>
            <w:pPr>
              <w:spacing w:after="0" w:line="183" w:lineRule="exact"/>
              <w:rPr>
                <w:rFonts w:ascii="Arial" w:cs="Arial" w:eastAsia="Arial" w:hAnsi="Arial"/>
                <w:sz w:val="16"/>
                <w:szCs w:val="16"/>
                <w:color w:val="0000FF"/>
                <w:w w:val="95"/>
              </w:rPr>
            </w:pPr>
            <w:hyperlink r:id="rId66">
              <w:r>
                <w:rPr>
                  <w:rFonts w:ascii="Arial" w:cs="Arial" w:eastAsia="Arial" w:hAnsi="Arial"/>
                  <w:sz w:val="16"/>
                  <w:szCs w:val="16"/>
                  <w:color w:val="0000FF"/>
                  <w:w w:val="95"/>
                </w:rPr>
                <w:t>Yield Operating LLC, NRG Yield LLC, Royal Bank of Canada, as Administrative Agent,</w:t>
              </w:r>
            </w:hyperlink>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1480" w:type="dxa"/>
            <w:vAlign w:val="bottom"/>
            <w:gridSpan w:val="3"/>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5860" w:type="dxa"/>
            <w:vAlign w:val="bottom"/>
            <w:gridSpan w:val="21"/>
          </w:tcPr>
          <w:p>
            <w:pPr>
              <w:spacing w:after="0" w:line="183" w:lineRule="exact"/>
              <w:rPr>
                <w:rFonts w:ascii="Arial" w:cs="Arial" w:eastAsia="Arial" w:hAnsi="Arial"/>
                <w:sz w:val="16"/>
                <w:szCs w:val="16"/>
                <w:color w:val="0000FF"/>
                <w:w w:val="92"/>
              </w:rPr>
            </w:pPr>
            <w:hyperlink r:id="rId66">
              <w:r>
                <w:rPr>
                  <w:rFonts w:ascii="Arial" w:cs="Arial" w:eastAsia="Arial" w:hAnsi="Arial"/>
                  <w:sz w:val="16"/>
                  <w:szCs w:val="16"/>
                  <w:color w:val="0000FF"/>
                  <w:w w:val="92"/>
                </w:rPr>
                <w:t>the lenders party thereto, Royal Bank of Canada, Goldman Sachs Bank USA and Bank of</w:t>
              </w:r>
            </w:hyperlink>
          </w:p>
        </w:tc>
      </w:tr>
      <w:tr>
        <w:trPr>
          <w:trHeight w:val="183"/>
        </w:trPr>
        <w:tc>
          <w:tcPr>
            <w:tcW w:w="1040" w:type="dxa"/>
            <w:vAlign w:val="bottom"/>
          </w:tcPr>
          <w:p>
            <w:pPr>
              <w:spacing w:after="0"/>
              <w:rPr>
                <w:sz w:val="15"/>
                <w:szCs w:val="15"/>
                <w:color w:val="auto"/>
              </w:rPr>
            </w:pPr>
          </w:p>
        </w:tc>
        <w:tc>
          <w:tcPr>
            <w:tcW w:w="5740" w:type="dxa"/>
            <w:vAlign w:val="bottom"/>
            <w:tcBorders>
              <w:top w:val="single" w:sz="8" w:color="0000FF"/>
            </w:tcBorders>
            <w:gridSpan w:val="19"/>
          </w:tcPr>
          <w:p>
            <w:pPr>
              <w:spacing w:after="0" w:line="183" w:lineRule="exact"/>
              <w:rPr>
                <w:rFonts w:ascii="Arial" w:cs="Arial" w:eastAsia="Arial" w:hAnsi="Arial"/>
                <w:sz w:val="16"/>
                <w:szCs w:val="16"/>
                <w:color w:val="0000FF"/>
                <w:w w:val="91"/>
              </w:rPr>
            </w:pPr>
            <w:hyperlink r:id="rId66">
              <w:r>
                <w:rPr>
                  <w:rFonts w:ascii="Arial" w:cs="Arial" w:eastAsia="Arial" w:hAnsi="Arial"/>
                  <w:sz w:val="16"/>
                  <w:szCs w:val="16"/>
                  <w:color w:val="0000FF"/>
                  <w:w w:val="91"/>
                </w:rPr>
                <w:t>America, N.A., as L/C Issuers and RBC Capital Markets as Sole Left Lead Arranger and</w:t>
              </w:r>
            </w:hyperlink>
          </w:p>
        </w:tc>
        <w:tc>
          <w:tcPr>
            <w:tcW w:w="120" w:type="dxa"/>
            <w:vAlign w:val="bottom"/>
            <w:gridSpan w:val="2"/>
          </w:tcPr>
          <w:p>
            <w:pPr>
              <w:spacing w:after="0"/>
              <w:rPr>
                <w:sz w:val="15"/>
                <w:szCs w:val="15"/>
                <w:color w:val="auto"/>
              </w:rPr>
            </w:pPr>
          </w:p>
        </w:tc>
      </w:tr>
      <w:tr>
        <w:trPr>
          <w:trHeight w:val="183"/>
        </w:trPr>
        <w:tc>
          <w:tcPr>
            <w:tcW w:w="1040" w:type="dxa"/>
            <w:vAlign w:val="bottom"/>
          </w:tcPr>
          <w:p>
            <w:pPr>
              <w:spacing w:after="0"/>
              <w:rPr>
                <w:sz w:val="15"/>
                <w:szCs w:val="15"/>
                <w:color w:val="auto"/>
              </w:rPr>
            </w:pPr>
          </w:p>
        </w:tc>
        <w:tc>
          <w:tcPr>
            <w:tcW w:w="1900" w:type="dxa"/>
            <w:vAlign w:val="bottom"/>
            <w:tcBorders>
              <w:top w:val="single" w:sz="8" w:color="0000FF"/>
              <w:bottom w:val="single" w:sz="8" w:color="0000FF"/>
            </w:tcBorders>
            <w:gridSpan w:val="3"/>
          </w:tcPr>
          <w:p>
            <w:pPr>
              <w:spacing w:after="0" w:line="183" w:lineRule="exact"/>
              <w:rPr>
                <w:rFonts w:ascii="Arial" w:cs="Arial" w:eastAsia="Arial" w:hAnsi="Arial"/>
                <w:sz w:val="16"/>
                <w:szCs w:val="16"/>
                <w:color w:val="0000FF"/>
                <w:w w:val="91"/>
              </w:rPr>
            </w:pPr>
            <w:hyperlink r:id="rId66">
              <w:r>
                <w:rPr>
                  <w:rFonts w:ascii="Arial" w:cs="Arial" w:eastAsia="Arial" w:hAnsi="Arial"/>
                  <w:sz w:val="16"/>
                  <w:szCs w:val="16"/>
                  <w:color w:val="0000FF"/>
                  <w:w w:val="91"/>
                </w:rPr>
                <w:t>Sole Left Lead Book Runner.</w:t>
              </w:r>
            </w:hyperlink>
          </w:p>
        </w:tc>
        <w:tc>
          <w:tcPr>
            <w:tcW w:w="3840" w:type="dxa"/>
            <w:vAlign w:val="bottom"/>
            <w:tcBorders>
              <w:top w:val="single" w:sz="8" w:color="0000FF"/>
            </w:tcBorders>
            <w:gridSpan w:val="16"/>
          </w:tcPr>
          <w:p>
            <w:pPr>
              <w:spacing w:after="0"/>
              <w:rPr>
                <w:sz w:val="15"/>
                <w:szCs w:val="15"/>
                <w:color w:val="auto"/>
              </w:rPr>
            </w:pPr>
          </w:p>
        </w:tc>
        <w:tc>
          <w:tcPr>
            <w:tcW w:w="120" w:type="dxa"/>
            <w:vAlign w:val="bottom"/>
            <w:gridSpan w:val="2"/>
          </w:tcPr>
          <w:p>
            <w:pPr>
              <w:spacing w:after="0"/>
              <w:rPr>
                <w:sz w:val="15"/>
                <w:szCs w:val="15"/>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6"/>
                <w:szCs w:val="16"/>
                <w:color w:val="auto"/>
              </w:rPr>
              <w:t>10.11.2</w:t>
            </w:r>
          </w:p>
        </w:tc>
        <w:tc>
          <w:tcPr>
            <w:tcW w:w="5840" w:type="dxa"/>
            <w:vAlign w:val="bottom"/>
            <w:tcBorders>
              <w:bottom w:val="single" w:sz="8" w:color="0000FF"/>
            </w:tcBorders>
            <w:gridSpan w:val="20"/>
          </w:tcPr>
          <w:p>
            <w:pPr>
              <w:spacing w:after="0"/>
              <w:rPr>
                <w:rFonts w:ascii="Arial" w:cs="Arial" w:eastAsia="Arial" w:hAnsi="Arial"/>
                <w:sz w:val="16"/>
                <w:szCs w:val="16"/>
                <w:color w:val="0000FF"/>
                <w:w w:val="91"/>
              </w:rPr>
            </w:pPr>
            <w:hyperlink r:id="rId67">
              <w:r>
                <w:rPr>
                  <w:rFonts w:ascii="Arial" w:cs="Arial" w:eastAsia="Arial" w:hAnsi="Arial"/>
                  <w:sz w:val="16"/>
                  <w:szCs w:val="16"/>
                  <w:color w:val="0000FF"/>
                  <w:w w:val="91"/>
                </w:rPr>
                <w:t>First Amendment to Amended &amp; Restated Credit Agreement, dated June 26, 2015, by and</w:t>
              </w:r>
            </w:hyperlink>
          </w:p>
        </w:tc>
        <w:tc>
          <w:tcPr>
            <w:tcW w:w="20" w:type="dxa"/>
            <w:vAlign w:val="bottom"/>
          </w:tcPr>
          <w:p>
            <w:pPr>
              <w:spacing w:after="0"/>
              <w:rPr>
                <w:sz w:val="20"/>
                <w:szCs w:val="20"/>
                <w:color w:val="auto"/>
              </w:rPr>
            </w:pPr>
          </w:p>
        </w:tc>
      </w:tr>
      <w:tr>
        <w:trPr>
          <w:trHeight w:val="183"/>
        </w:trPr>
        <w:tc>
          <w:tcPr>
            <w:tcW w:w="1040" w:type="dxa"/>
            <w:vAlign w:val="bottom"/>
          </w:tcPr>
          <w:p>
            <w:pPr>
              <w:spacing w:after="0"/>
              <w:rPr>
                <w:sz w:val="15"/>
                <w:szCs w:val="15"/>
                <w:color w:val="auto"/>
              </w:rPr>
            </w:pPr>
          </w:p>
        </w:tc>
        <w:tc>
          <w:tcPr>
            <w:tcW w:w="5500" w:type="dxa"/>
            <w:vAlign w:val="bottom"/>
            <w:tcBorders>
              <w:bottom w:val="single" w:sz="8" w:color="0000FF"/>
            </w:tcBorders>
            <w:gridSpan w:val="12"/>
          </w:tcPr>
          <w:p>
            <w:pPr>
              <w:spacing w:after="0" w:line="183" w:lineRule="exact"/>
              <w:rPr>
                <w:rFonts w:ascii="Arial" w:cs="Arial" w:eastAsia="Arial" w:hAnsi="Arial"/>
                <w:sz w:val="16"/>
                <w:szCs w:val="16"/>
                <w:color w:val="0000FF"/>
                <w:w w:val="93"/>
              </w:rPr>
            </w:pPr>
            <w:hyperlink r:id="rId67">
              <w:r>
                <w:rPr>
                  <w:rFonts w:ascii="Arial" w:cs="Arial" w:eastAsia="Arial" w:hAnsi="Arial"/>
                  <w:sz w:val="16"/>
                  <w:szCs w:val="16"/>
                  <w:color w:val="0000FF"/>
                  <w:w w:val="93"/>
                </w:rPr>
                <w:t>among NRG Yield Operating LLC, NRG Yield LLC, Royal Bank of Canada and the</w:t>
              </w:r>
            </w:hyperlink>
          </w:p>
        </w:tc>
        <w:tc>
          <w:tcPr>
            <w:tcW w:w="360" w:type="dxa"/>
            <w:vAlign w:val="bottom"/>
            <w:gridSpan w:val="9"/>
          </w:tcPr>
          <w:p>
            <w:pPr>
              <w:spacing w:after="0"/>
              <w:rPr>
                <w:sz w:val="15"/>
                <w:szCs w:val="15"/>
                <w:color w:val="auto"/>
              </w:rPr>
            </w:pPr>
          </w:p>
        </w:tc>
      </w:tr>
      <w:tr>
        <w:trPr>
          <w:trHeight w:val="183"/>
        </w:trPr>
        <w:tc>
          <w:tcPr>
            <w:tcW w:w="1040" w:type="dxa"/>
            <w:vAlign w:val="bottom"/>
          </w:tcPr>
          <w:p>
            <w:pPr>
              <w:spacing w:after="0"/>
              <w:rPr>
                <w:sz w:val="15"/>
                <w:szCs w:val="15"/>
                <w:color w:val="auto"/>
              </w:rPr>
            </w:pPr>
          </w:p>
        </w:tc>
        <w:tc>
          <w:tcPr>
            <w:tcW w:w="5860" w:type="dxa"/>
            <w:vAlign w:val="bottom"/>
            <w:gridSpan w:val="21"/>
          </w:tcPr>
          <w:p>
            <w:pPr>
              <w:spacing w:after="0" w:line="183" w:lineRule="exact"/>
              <w:rPr>
                <w:rFonts w:ascii="Arial" w:cs="Arial" w:eastAsia="Arial" w:hAnsi="Arial"/>
                <w:sz w:val="16"/>
                <w:szCs w:val="16"/>
                <w:color w:val="0000FF"/>
              </w:rPr>
            </w:pPr>
            <w:hyperlink r:id="rId67">
              <w:r>
                <w:rPr>
                  <w:rFonts w:ascii="Arial" w:cs="Arial" w:eastAsia="Arial" w:hAnsi="Arial"/>
                  <w:sz w:val="16"/>
                  <w:szCs w:val="16"/>
                  <w:color w:val="0000FF"/>
                </w:rPr>
                <w:t>Lenders party thereto.</w:t>
              </w:r>
            </w:hyperlink>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20" w:type="dxa"/>
            <w:vAlign w:val="bottom"/>
            <w:tcBorders>
              <w:left w:val="single" w:sz="8" w:color="0000FF"/>
            </w:tcBorders>
            <w:gridSpan w:val="4"/>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040" w:type="dxa"/>
            <w:vAlign w:val="bottom"/>
          </w:tcPr>
          <w:p>
            <w:pPr>
              <w:spacing w:after="0"/>
              <w:rPr>
                <w:sz w:val="20"/>
                <w:szCs w:val="20"/>
                <w:color w:val="auto"/>
              </w:rPr>
            </w:pPr>
            <w:r>
              <w:rPr>
                <w:rFonts w:ascii="Arial" w:cs="Arial" w:eastAsia="Arial" w:hAnsi="Arial"/>
                <w:sz w:val="16"/>
                <w:szCs w:val="16"/>
                <w:color w:val="auto"/>
              </w:rPr>
              <w:t>10.11.3</w:t>
            </w:r>
          </w:p>
        </w:tc>
        <w:tc>
          <w:tcPr>
            <w:tcW w:w="5860" w:type="dxa"/>
            <w:vAlign w:val="bottom"/>
            <w:gridSpan w:val="21"/>
          </w:tcPr>
          <w:p>
            <w:pPr>
              <w:spacing w:after="0"/>
              <w:rPr>
                <w:rFonts w:ascii="Arial" w:cs="Arial" w:eastAsia="Arial" w:hAnsi="Arial"/>
                <w:sz w:val="16"/>
                <w:szCs w:val="16"/>
                <w:color w:val="0000FF"/>
                <w:w w:val="92"/>
              </w:rPr>
            </w:pPr>
            <w:hyperlink r:id="rId68">
              <w:r>
                <w:rPr>
                  <w:rFonts w:ascii="Arial" w:cs="Arial" w:eastAsia="Arial" w:hAnsi="Arial"/>
                  <w:sz w:val="16"/>
                  <w:szCs w:val="16"/>
                  <w:color w:val="0000FF"/>
                  <w:w w:val="92"/>
                </w:rPr>
                <w:t>Second Amendment to Amended &amp; Restated Credit Agreement, dated February 6, 2018,</w:t>
              </w:r>
            </w:hyperlink>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20" w:type="dxa"/>
            <w:vAlign w:val="bottom"/>
            <w:tcBorders>
              <w:left w:val="single" w:sz="8" w:color="0000FF"/>
            </w:tcBorders>
            <w:gridSpan w:val="4"/>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5740" w:type="dxa"/>
            <w:vAlign w:val="bottom"/>
            <w:tcBorders>
              <w:bottom w:val="single" w:sz="8" w:color="0000FF"/>
            </w:tcBorders>
            <w:gridSpan w:val="19"/>
          </w:tcPr>
          <w:p>
            <w:pPr>
              <w:spacing w:after="0" w:line="183" w:lineRule="exact"/>
              <w:rPr>
                <w:rFonts w:ascii="Arial" w:cs="Arial" w:eastAsia="Arial" w:hAnsi="Arial"/>
                <w:sz w:val="16"/>
                <w:szCs w:val="16"/>
                <w:color w:val="0000FF"/>
                <w:w w:val="92"/>
              </w:rPr>
            </w:pPr>
            <w:hyperlink r:id="rId68">
              <w:r>
                <w:rPr>
                  <w:rFonts w:ascii="Arial" w:cs="Arial" w:eastAsia="Arial" w:hAnsi="Arial"/>
                  <w:sz w:val="16"/>
                  <w:szCs w:val="16"/>
                  <w:color w:val="0000FF"/>
                  <w:w w:val="92"/>
                </w:rPr>
                <w:t>by and among NRG Yield Operating LLC, NRG Yield LLC, the guarantors party thereto,</w:t>
              </w:r>
            </w:hyperlink>
          </w:p>
        </w:tc>
        <w:tc>
          <w:tcPr>
            <w:tcW w:w="120" w:type="dxa"/>
            <w:vAlign w:val="bottom"/>
            <w:gridSpan w:val="2"/>
          </w:tcPr>
          <w:p>
            <w:pPr>
              <w:spacing w:after="0"/>
              <w:rPr>
                <w:sz w:val="15"/>
                <w:szCs w:val="15"/>
                <w:color w:val="auto"/>
              </w:rPr>
            </w:pPr>
          </w:p>
        </w:tc>
      </w:tr>
      <w:tr>
        <w:trPr>
          <w:trHeight w:val="183"/>
        </w:trPr>
        <w:tc>
          <w:tcPr>
            <w:tcW w:w="1040" w:type="dxa"/>
            <w:vAlign w:val="bottom"/>
          </w:tcPr>
          <w:p>
            <w:pPr>
              <w:spacing w:after="0"/>
              <w:rPr>
                <w:sz w:val="15"/>
                <w:szCs w:val="15"/>
                <w:color w:val="auto"/>
              </w:rPr>
            </w:pPr>
          </w:p>
        </w:tc>
        <w:tc>
          <w:tcPr>
            <w:tcW w:w="5100" w:type="dxa"/>
            <w:vAlign w:val="bottom"/>
            <w:tcBorders>
              <w:bottom w:val="single" w:sz="8" w:color="0000FF"/>
            </w:tcBorders>
            <w:gridSpan w:val="9"/>
          </w:tcPr>
          <w:p>
            <w:pPr>
              <w:spacing w:after="0" w:line="183" w:lineRule="exact"/>
              <w:rPr>
                <w:rFonts w:ascii="Arial" w:cs="Arial" w:eastAsia="Arial" w:hAnsi="Arial"/>
                <w:sz w:val="16"/>
                <w:szCs w:val="16"/>
                <w:color w:val="0000FF"/>
                <w:w w:val="91"/>
              </w:rPr>
            </w:pPr>
            <w:hyperlink r:id="rId68">
              <w:r>
                <w:rPr>
                  <w:rFonts w:ascii="Arial" w:cs="Arial" w:eastAsia="Arial" w:hAnsi="Arial"/>
                  <w:sz w:val="16"/>
                  <w:szCs w:val="16"/>
                  <w:color w:val="0000FF"/>
                  <w:w w:val="91"/>
                </w:rPr>
                <w:t>Royal Bank of Canada, as Administrative Agent, and the lenders party thereto.</w:t>
              </w:r>
            </w:hyperlink>
          </w:p>
        </w:tc>
        <w:tc>
          <w:tcPr>
            <w:tcW w:w="760" w:type="dxa"/>
            <w:vAlign w:val="bottom"/>
            <w:gridSpan w:val="12"/>
          </w:tcPr>
          <w:p>
            <w:pPr>
              <w:spacing w:after="0"/>
              <w:rPr>
                <w:sz w:val="15"/>
                <w:szCs w:val="15"/>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6"/>
                <w:szCs w:val="16"/>
                <w:color w:val="auto"/>
              </w:rPr>
              <w:t>10.11.4</w:t>
            </w:r>
          </w:p>
        </w:tc>
        <w:tc>
          <w:tcPr>
            <w:tcW w:w="5840" w:type="dxa"/>
            <w:vAlign w:val="bottom"/>
            <w:tcBorders>
              <w:bottom w:val="single" w:sz="8" w:color="0000FF"/>
            </w:tcBorders>
            <w:gridSpan w:val="20"/>
          </w:tcPr>
          <w:p>
            <w:pPr>
              <w:spacing w:after="0"/>
              <w:rPr>
                <w:rFonts w:ascii="Arial" w:cs="Arial" w:eastAsia="Arial" w:hAnsi="Arial"/>
                <w:sz w:val="16"/>
                <w:szCs w:val="16"/>
                <w:color w:val="0000FF"/>
                <w:w w:val="92"/>
              </w:rPr>
            </w:pPr>
            <w:hyperlink r:id="rId69">
              <w:r>
                <w:rPr>
                  <w:rFonts w:ascii="Arial" w:cs="Arial" w:eastAsia="Arial" w:hAnsi="Arial"/>
                  <w:sz w:val="16"/>
                  <w:szCs w:val="16"/>
                  <w:color w:val="0000FF"/>
                  <w:w w:val="92"/>
                </w:rPr>
                <w:t>Third Amendment to Amended and Restated Credit Agreement and Administrative Agent</w:t>
              </w:r>
            </w:hyperlink>
          </w:p>
        </w:tc>
        <w:tc>
          <w:tcPr>
            <w:tcW w:w="20" w:type="dxa"/>
            <w:vAlign w:val="bottom"/>
          </w:tcPr>
          <w:p>
            <w:pPr>
              <w:spacing w:after="0"/>
              <w:rPr>
                <w:sz w:val="20"/>
                <w:szCs w:val="20"/>
                <w:color w:val="auto"/>
              </w:rPr>
            </w:pPr>
          </w:p>
        </w:tc>
      </w:tr>
      <w:tr>
        <w:trPr>
          <w:trHeight w:val="183"/>
        </w:trPr>
        <w:tc>
          <w:tcPr>
            <w:tcW w:w="1040" w:type="dxa"/>
            <w:vAlign w:val="bottom"/>
          </w:tcPr>
          <w:p>
            <w:pPr>
              <w:spacing w:after="0"/>
              <w:rPr>
                <w:sz w:val="15"/>
                <w:szCs w:val="15"/>
                <w:color w:val="auto"/>
              </w:rPr>
            </w:pPr>
          </w:p>
        </w:tc>
        <w:tc>
          <w:tcPr>
            <w:tcW w:w="5860" w:type="dxa"/>
            <w:vAlign w:val="bottom"/>
            <w:tcBorders>
              <w:bottom w:val="single" w:sz="8" w:color="0000FF"/>
            </w:tcBorders>
            <w:gridSpan w:val="21"/>
          </w:tcPr>
          <w:p>
            <w:pPr>
              <w:spacing w:after="0" w:line="183" w:lineRule="exact"/>
              <w:rPr>
                <w:rFonts w:ascii="Arial" w:cs="Arial" w:eastAsia="Arial" w:hAnsi="Arial"/>
                <w:sz w:val="16"/>
                <w:szCs w:val="16"/>
                <w:color w:val="0000FF"/>
                <w:w w:val="92"/>
              </w:rPr>
            </w:pPr>
            <w:hyperlink r:id="rId69">
              <w:r>
                <w:rPr>
                  <w:rFonts w:ascii="Arial" w:cs="Arial" w:eastAsia="Arial" w:hAnsi="Arial"/>
                  <w:sz w:val="16"/>
                  <w:szCs w:val="16"/>
                  <w:color w:val="0000FF"/>
                  <w:w w:val="92"/>
                </w:rPr>
                <w:t>Resignation and Appointment Agreement, dated as of April 30, 2018, by and among NRG</w:t>
              </w:r>
            </w:hyperlink>
          </w:p>
        </w:tc>
      </w:tr>
      <w:tr>
        <w:trPr>
          <w:trHeight w:val="183"/>
        </w:trPr>
        <w:tc>
          <w:tcPr>
            <w:tcW w:w="1040" w:type="dxa"/>
            <w:vAlign w:val="bottom"/>
          </w:tcPr>
          <w:p>
            <w:pPr>
              <w:spacing w:after="0"/>
              <w:rPr>
                <w:sz w:val="15"/>
                <w:szCs w:val="15"/>
                <w:color w:val="auto"/>
              </w:rPr>
            </w:pPr>
          </w:p>
        </w:tc>
        <w:tc>
          <w:tcPr>
            <w:tcW w:w="5440" w:type="dxa"/>
            <w:vAlign w:val="bottom"/>
            <w:tcBorders>
              <w:bottom w:val="single" w:sz="8" w:color="0000FF"/>
            </w:tcBorders>
            <w:gridSpan w:val="11"/>
          </w:tcPr>
          <w:p>
            <w:pPr>
              <w:spacing w:after="0" w:line="183" w:lineRule="exact"/>
              <w:rPr>
                <w:rFonts w:ascii="Arial" w:cs="Arial" w:eastAsia="Arial" w:hAnsi="Arial"/>
                <w:sz w:val="16"/>
                <w:szCs w:val="16"/>
                <w:color w:val="0000FF"/>
                <w:w w:val="93"/>
              </w:rPr>
            </w:pPr>
            <w:hyperlink r:id="rId69">
              <w:r>
                <w:rPr>
                  <w:rFonts w:ascii="Arial" w:cs="Arial" w:eastAsia="Arial" w:hAnsi="Arial"/>
                  <w:sz w:val="16"/>
                  <w:szCs w:val="16"/>
                  <w:color w:val="0000FF"/>
                  <w:w w:val="93"/>
                </w:rPr>
                <w:t>Yield Operating LLC, NRG Yield LLC, the guarantors party thereto, Royal Bank of</w:t>
              </w:r>
            </w:hyperlink>
          </w:p>
        </w:tc>
        <w:tc>
          <w:tcPr>
            <w:tcW w:w="420" w:type="dxa"/>
            <w:vAlign w:val="bottom"/>
            <w:gridSpan w:val="10"/>
          </w:tcPr>
          <w:p>
            <w:pPr>
              <w:spacing w:after="0"/>
              <w:rPr>
                <w:sz w:val="15"/>
                <w:szCs w:val="15"/>
                <w:color w:val="auto"/>
              </w:rPr>
            </w:pPr>
          </w:p>
        </w:tc>
      </w:tr>
      <w:tr>
        <w:trPr>
          <w:trHeight w:val="183"/>
        </w:trPr>
        <w:tc>
          <w:tcPr>
            <w:tcW w:w="1040" w:type="dxa"/>
            <w:vAlign w:val="bottom"/>
          </w:tcPr>
          <w:p>
            <w:pPr>
              <w:spacing w:after="0"/>
              <w:rPr>
                <w:sz w:val="15"/>
                <w:szCs w:val="15"/>
                <w:color w:val="auto"/>
              </w:rPr>
            </w:pPr>
          </w:p>
        </w:tc>
        <w:tc>
          <w:tcPr>
            <w:tcW w:w="5740" w:type="dxa"/>
            <w:vAlign w:val="bottom"/>
            <w:tcBorders>
              <w:bottom w:val="single" w:sz="8" w:color="0000FF"/>
            </w:tcBorders>
            <w:gridSpan w:val="19"/>
          </w:tcPr>
          <w:p>
            <w:pPr>
              <w:spacing w:after="0" w:line="183" w:lineRule="exact"/>
              <w:rPr>
                <w:rFonts w:ascii="Arial" w:cs="Arial" w:eastAsia="Arial" w:hAnsi="Arial"/>
                <w:sz w:val="16"/>
                <w:szCs w:val="16"/>
                <w:color w:val="0000FF"/>
                <w:w w:val="90"/>
              </w:rPr>
            </w:pPr>
            <w:hyperlink r:id="rId69">
              <w:r>
                <w:rPr>
                  <w:rFonts w:ascii="Arial" w:cs="Arial" w:eastAsia="Arial" w:hAnsi="Arial"/>
                  <w:sz w:val="16"/>
                  <w:szCs w:val="16"/>
                  <w:color w:val="0000FF"/>
                  <w:w w:val="90"/>
                </w:rPr>
                <w:t>Canada, as Resigning Administrative Agent, JPMorgan Chase Bank, N.A., as Successor</w:t>
              </w:r>
            </w:hyperlink>
          </w:p>
        </w:tc>
        <w:tc>
          <w:tcPr>
            <w:tcW w:w="120" w:type="dxa"/>
            <w:vAlign w:val="bottom"/>
            <w:gridSpan w:val="2"/>
          </w:tcPr>
          <w:p>
            <w:pPr>
              <w:spacing w:after="0"/>
              <w:rPr>
                <w:sz w:val="15"/>
                <w:szCs w:val="15"/>
                <w:color w:val="auto"/>
              </w:rPr>
            </w:pPr>
          </w:p>
        </w:tc>
      </w:tr>
      <w:tr>
        <w:trPr>
          <w:trHeight w:val="183"/>
        </w:trPr>
        <w:tc>
          <w:tcPr>
            <w:tcW w:w="1040" w:type="dxa"/>
            <w:vAlign w:val="bottom"/>
          </w:tcPr>
          <w:p>
            <w:pPr>
              <w:spacing w:after="0"/>
              <w:rPr>
                <w:sz w:val="15"/>
                <w:szCs w:val="15"/>
                <w:color w:val="auto"/>
              </w:rPr>
            </w:pPr>
          </w:p>
        </w:tc>
        <w:tc>
          <w:tcPr>
            <w:tcW w:w="3380" w:type="dxa"/>
            <w:vAlign w:val="bottom"/>
            <w:tcBorders>
              <w:bottom w:val="single" w:sz="8" w:color="0000FF"/>
            </w:tcBorders>
            <w:gridSpan w:val="6"/>
          </w:tcPr>
          <w:p>
            <w:pPr>
              <w:spacing w:after="0" w:line="183" w:lineRule="exact"/>
              <w:rPr>
                <w:rFonts w:ascii="Arial" w:cs="Arial" w:eastAsia="Arial" w:hAnsi="Arial"/>
                <w:sz w:val="16"/>
                <w:szCs w:val="16"/>
                <w:color w:val="0000FF"/>
                <w:w w:val="92"/>
              </w:rPr>
            </w:pPr>
            <w:hyperlink r:id="rId69">
              <w:r>
                <w:rPr>
                  <w:rFonts w:ascii="Arial" w:cs="Arial" w:eastAsia="Arial" w:hAnsi="Arial"/>
                  <w:sz w:val="16"/>
                  <w:szCs w:val="16"/>
                  <w:color w:val="0000FF"/>
                  <w:w w:val="92"/>
                </w:rPr>
                <w:t>Administrative Agent, and the lenders party thereto.</w:t>
              </w:r>
            </w:hyperlink>
          </w:p>
        </w:tc>
        <w:tc>
          <w:tcPr>
            <w:tcW w:w="2480" w:type="dxa"/>
            <w:vAlign w:val="bottom"/>
            <w:gridSpan w:val="15"/>
          </w:tcPr>
          <w:p>
            <w:pPr>
              <w:spacing w:after="0"/>
              <w:rPr>
                <w:sz w:val="15"/>
                <w:szCs w:val="15"/>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6"/>
                <w:szCs w:val="16"/>
                <w:color w:val="auto"/>
              </w:rPr>
              <w:t>10.11.5</w:t>
            </w:r>
          </w:p>
        </w:tc>
        <w:tc>
          <w:tcPr>
            <w:tcW w:w="5700" w:type="dxa"/>
            <w:vAlign w:val="bottom"/>
            <w:tcBorders>
              <w:bottom w:val="single" w:sz="8" w:color="0000FF"/>
            </w:tcBorders>
            <w:gridSpan w:val="18"/>
          </w:tcPr>
          <w:p>
            <w:pPr>
              <w:spacing w:after="0"/>
              <w:rPr>
                <w:rFonts w:ascii="Arial" w:cs="Arial" w:eastAsia="Arial" w:hAnsi="Arial"/>
                <w:sz w:val="16"/>
                <w:szCs w:val="16"/>
                <w:color w:val="0000FF"/>
                <w:w w:val="91"/>
              </w:rPr>
            </w:pPr>
            <w:hyperlink r:id="rId70">
              <w:r>
                <w:rPr>
                  <w:rFonts w:ascii="Arial" w:cs="Arial" w:eastAsia="Arial" w:hAnsi="Arial"/>
                  <w:sz w:val="16"/>
                  <w:szCs w:val="16"/>
                  <w:color w:val="0000FF"/>
                  <w:w w:val="91"/>
                </w:rPr>
                <w:t>Fourth Amendment to Amended and Restated Credit Agreement, dated as of November</w:t>
              </w:r>
            </w:hyperlink>
          </w:p>
        </w:tc>
        <w:tc>
          <w:tcPr>
            <w:tcW w:w="160" w:type="dxa"/>
            <w:vAlign w:val="bottom"/>
            <w:gridSpan w:val="3"/>
          </w:tcPr>
          <w:p>
            <w:pPr>
              <w:spacing w:after="0"/>
              <w:rPr>
                <w:sz w:val="20"/>
                <w:szCs w:val="20"/>
                <w:color w:val="auto"/>
              </w:rPr>
            </w:pPr>
          </w:p>
        </w:tc>
      </w:tr>
      <w:tr>
        <w:trPr>
          <w:trHeight w:val="183"/>
        </w:trPr>
        <w:tc>
          <w:tcPr>
            <w:tcW w:w="1040" w:type="dxa"/>
            <w:vAlign w:val="bottom"/>
          </w:tcPr>
          <w:p>
            <w:pPr>
              <w:spacing w:after="0"/>
              <w:rPr>
                <w:sz w:val="15"/>
                <w:szCs w:val="15"/>
                <w:color w:val="auto"/>
              </w:rPr>
            </w:pPr>
          </w:p>
        </w:tc>
        <w:tc>
          <w:tcPr>
            <w:tcW w:w="5600" w:type="dxa"/>
            <w:vAlign w:val="bottom"/>
            <w:tcBorders>
              <w:bottom w:val="single" w:sz="8" w:color="0000FF"/>
            </w:tcBorders>
            <w:gridSpan w:val="14"/>
          </w:tcPr>
          <w:p>
            <w:pPr>
              <w:spacing w:after="0" w:line="183" w:lineRule="exact"/>
              <w:rPr>
                <w:rFonts w:ascii="Arial" w:cs="Arial" w:eastAsia="Arial" w:hAnsi="Arial"/>
                <w:sz w:val="16"/>
                <w:szCs w:val="16"/>
                <w:color w:val="0000FF"/>
                <w:w w:val="92"/>
              </w:rPr>
            </w:pPr>
            <w:hyperlink r:id="rId70">
              <w:r>
                <w:rPr>
                  <w:rFonts w:ascii="Arial" w:cs="Arial" w:eastAsia="Arial" w:hAnsi="Arial"/>
                  <w:sz w:val="16"/>
                  <w:szCs w:val="16"/>
                  <w:color w:val="0000FF"/>
                  <w:w w:val="92"/>
                </w:rPr>
                <w:t>30, 2018, by and among Clearway Energy Operating LLC, Clearway Energy LLC, the</w:t>
              </w:r>
            </w:hyperlink>
          </w:p>
        </w:tc>
        <w:tc>
          <w:tcPr>
            <w:tcW w:w="260" w:type="dxa"/>
            <w:vAlign w:val="bottom"/>
            <w:gridSpan w:val="7"/>
          </w:tcPr>
          <w:p>
            <w:pPr>
              <w:spacing w:after="0"/>
              <w:rPr>
                <w:sz w:val="15"/>
                <w:szCs w:val="15"/>
                <w:color w:val="auto"/>
              </w:rPr>
            </w:pPr>
          </w:p>
        </w:tc>
      </w:tr>
      <w:tr>
        <w:trPr>
          <w:trHeight w:val="183"/>
        </w:trPr>
        <w:tc>
          <w:tcPr>
            <w:tcW w:w="1040" w:type="dxa"/>
            <w:vAlign w:val="bottom"/>
          </w:tcPr>
          <w:p>
            <w:pPr>
              <w:spacing w:after="0"/>
              <w:rPr>
                <w:sz w:val="15"/>
                <w:szCs w:val="15"/>
                <w:color w:val="auto"/>
              </w:rPr>
            </w:pPr>
          </w:p>
        </w:tc>
        <w:tc>
          <w:tcPr>
            <w:tcW w:w="5640" w:type="dxa"/>
            <w:vAlign w:val="bottom"/>
            <w:tcBorders>
              <w:bottom w:val="single" w:sz="8" w:color="0000FF"/>
            </w:tcBorders>
            <w:gridSpan w:val="16"/>
          </w:tcPr>
          <w:p>
            <w:pPr>
              <w:spacing w:after="0" w:line="183" w:lineRule="exact"/>
              <w:rPr>
                <w:rFonts w:ascii="Arial" w:cs="Arial" w:eastAsia="Arial" w:hAnsi="Arial"/>
                <w:sz w:val="16"/>
                <w:szCs w:val="16"/>
                <w:color w:val="0000FF"/>
                <w:w w:val="90"/>
              </w:rPr>
            </w:pPr>
            <w:hyperlink r:id="rId70">
              <w:r>
                <w:rPr>
                  <w:rFonts w:ascii="Arial" w:cs="Arial" w:eastAsia="Arial" w:hAnsi="Arial"/>
                  <w:sz w:val="16"/>
                  <w:szCs w:val="16"/>
                  <w:color w:val="0000FF"/>
                  <w:w w:val="90"/>
                </w:rPr>
                <w:t>guarantors party thereto, JPMorgan Chase Bank, N.A., as administrative agent, and the</w:t>
              </w:r>
            </w:hyperlink>
          </w:p>
        </w:tc>
        <w:tc>
          <w:tcPr>
            <w:tcW w:w="220" w:type="dxa"/>
            <w:vAlign w:val="bottom"/>
            <w:gridSpan w:val="5"/>
          </w:tcPr>
          <w:p>
            <w:pPr>
              <w:spacing w:after="0"/>
              <w:rPr>
                <w:sz w:val="15"/>
                <w:szCs w:val="15"/>
                <w:color w:val="auto"/>
              </w:rPr>
            </w:pPr>
          </w:p>
        </w:tc>
      </w:tr>
      <w:tr>
        <w:trPr>
          <w:trHeight w:val="183"/>
        </w:trPr>
        <w:tc>
          <w:tcPr>
            <w:tcW w:w="1040" w:type="dxa"/>
            <w:vAlign w:val="bottom"/>
          </w:tcPr>
          <w:p>
            <w:pPr>
              <w:spacing w:after="0"/>
              <w:rPr>
                <w:sz w:val="15"/>
                <w:szCs w:val="15"/>
                <w:color w:val="auto"/>
              </w:rPr>
            </w:pPr>
          </w:p>
        </w:tc>
        <w:tc>
          <w:tcPr>
            <w:tcW w:w="5860" w:type="dxa"/>
            <w:vAlign w:val="bottom"/>
            <w:gridSpan w:val="21"/>
          </w:tcPr>
          <w:p>
            <w:pPr>
              <w:spacing w:after="0" w:line="183" w:lineRule="exact"/>
              <w:rPr>
                <w:rFonts w:ascii="Arial" w:cs="Arial" w:eastAsia="Arial" w:hAnsi="Arial"/>
                <w:sz w:val="16"/>
                <w:szCs w:val="16"/>
                <w:color w:val="0000FF"/>
              </w:rPr>
            </w:pPr>
            <w:hyperlink r:id="rId70">
              <w:r>
                <w:rPr>
                  <w:rFonts w:ascii="Arial" w:cs="Arial" w:eastAsia="Arial" w:hAnsi="Arial"/>
                  <w:sz w:val="16"/>
                  <w:szCs w:val="16"/>
                  <w:color w:val="0000FF"/>
                </w:rPr>
                <w:t>lenders party thereto.</w:t>
              </w:r>
            </w:hyperlink>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420" w:type="dxa"/>
            <w:vAlign w:val="bottom"/>
            <w:gridSpan w:val="5"/>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6"/>
                <w:szCs w:val="16"/>
                <w:color w:val="auto"/>
              </w:rPr>
              <w:t>10.12.1</w:t>
            </w:r>
          </w:p>
        </w:tc>
        <w:tc>
          <w:tcPr>
            <w:tcW w:w="5860" w:type="dxa"/>
            <w:vAlign w:val="bottom"/>
            <w:gridSpan w:val="21"/>
          </w:tcPr>
          <w:p>
            <w:pPr>
              <w:spacing w:after="0"/>
              <w:rPr>
                <w:rFonts w:ascii="Arial" w:cs="Arial" w:eastAsia="Arial" w:hAnsi="Arial"/>
                <w:sz w:val="16"/>
                <w:szCs w:val="16"/>
                <w:color w:val="0000FF"/>
                <w:w w:val="95"/>
              </w:rPr>
            </w:pPr>
            <w:hyperlink r:id="rId71">
              <w:r>
                <w:rPr>
                  <w:rFonts w:ascii="Arial" w:cs="Arial" w:eastAsia="Arial" w:hAnsi="Arial"/>
                  <w:sz w:val="16"/>
                  <w:szCs w:val="16"/>
                  <w:color w:val="0000FF"/>
                  <w:w w:val="95"/>
                </w:rPr>
                <w:t>Credit Agreement, dated as of August 23, 2011, among NRG West Holdings LLC, ING</w:t>
              </w:r>
            </w:hyperlink>
          </w:p>
        </w:tc>
      </w:tr>
      <w:tr>
        <w:trPr>
          <w:trHeight w:val="183"/>
        </w:trPr>
        <w:tc>
          <w:tcPr>
            <w:tcW w:w="1040" w:type="dxa"/>
            <w:vAlign w:val="bottom"/>
          </w:tcPr>
          <w:p>
            <w:pPr>
              <w:spacing w:after="0"/>
              <w:rPr>
                <w:sz w:val="15"/>
                <w:szCs w:val="15"/>
                <w:color w:val="auto"/>
              </w:rPr>
            </w:pPr>
          </w:p>
        </w:tc>
        <w:tc>
          <w:tcPr>
            <w:tcW w:w="5500" w:type="dxa"/>
            <w:vAlign w:val="bottom"/>
            <w:tcBorders>
              <w:top w:val="single" w:sz="8" w:color="0000FF"/>
              <w:bottom w:val="single" w:sz="8" w:color="0000FF"/>
            </w:tcBorders>
            <w:gridSpan w:val="12"/>
          </w:tcPr>
          <w:p>
            <w:pPr>
              <w:spacing w:after="0" w:line="183" w:lineRule="exact"/>
              <w:rPr>
                <w:rFonts w:ascii="Arial" w:cs="Arial" w:eastAsia="Arial" w:hAnsi="Arial"/>
                <w:sz w:val="16"/>
                <w:szCs w:val="16"/>
                <w:color w:val="0000FF"/>
                <w:w w:val="94"/>
              </w:rPr>
            </w:pPr>
            <w:hyperlink r:id="rId71">
              <w:r>
                <w:rPr>
                  <w:rFonts w:ascii="Arial" w:cs="Arial" w:eastAsia="Arial" w:hAnsi="Arial"/>
                  <w:sz w:val="16"/>
                  <w:szCs w:val="16"/>
                  <w:color w:val="0000FF"/>
                  <w:w w:val="94"/>
                </w:rPr>
                <w:t>Capital LLC, Union Bank, N.A., Mizuho Corporate Bank, Ltd., RBS Securities Inc.,</w:t>
              </w:r>
            </w:hyperlink>
          </w:p>
        </w:tc>
        <w:tc>
          <w:tcPr>
            <w:tcW w:w="160" w:type="dxa"/>
            <w:vAlign w:val="bottom"/>
            <w:tcBorders>
              <w:top w:val="single" w:sz="8" w:color="0000FF"/>
            </w:tcBorders>
            <w:gridSpan w:val="5"/>
          </w:tcPr>
          <w:p>
            <w:pPr>
              <w:spacing w:after="0"/>
              <w:rPr>
                <w:sz w:val="15"/>
                <w:szCs w:val="15"/>
                <w:color w:val="auto"/>
              </w:rPr>
            </w:pPr>
          </w:p>
        </w:tc>
        <w:tc>
          <w:tcPr>
            <w:tcW w:w="200" w:type="dxa"/>
            <w:vAlign w:val="bottom"/>
            <w:gridSpan w:val="4"/>
          </w:tcPr>
          <w:p>
            <w:pPr>
              <w:spacing w:after="0"/>
              <w:rPr>
                <w:sz w:val="15"/>
                <w:szCs w:val="15"/>
                <w:color w:val="auto"/>
              </w:rPr>
            </w:pPr>
          </w:p>
        </w:tc>
      </w:tr>
      <w:tr>
        <w:trPr>
          <w:trHeight w:val="183"/>
        </w:trPr>
        <w:tc>
          <w:tcPr>
            <w:tcW w:w="1040" w:type="dxa"/>
            <w:vAlign w:val="bottom"/>
          </w:tcPr>
          <w:p>
            <w:pPr>
              <w:spacing w:after="0"/>
              <w:rPr>
                <w:sz w:val="15"/>
                <w:szCs w:val="15"/>
                <w:color w:val="auto"/>
              </w:rPr>
            </w:pPr>
          </w:p>
        </w:tc>
        <w:tc>
          <w:tcPr>
            <w:tcW w:w="5860" w:type="dxa"/>
            <w:vAlign w:val="bottom"/>
            <w:gridSpan w:val="21"/>
          </w:tcPr>
          <w:p>
            <w:pPr>
              <w:spacing w:after="0" w:line="183" w:lineRule="exact"/>
              <w:rPr>
                <w:rFonts w:ascii="Arial" w:cs="Arial" w:eastAsia="Arial" w:hAnsi="Arial"/>
                <w:sz w:val="16"/>
                <w:szCs w:val="16"/>
                <w:color w:val="0000FF"/>
                <w:w w:val="94"/>
              </w:rPr>
            </w:pPr>
            <w:hyperlink r:id="rId71">
              <w:r>
                <w:rPr>
                  <w:rFonts w:ascii="Arial" w:cs="Arial" w:eastAsia="Arial" w:hAnsi="Arial"/>
                  <w:sz w:val="16"/>
                  <w:szCs w:val="16"/>
                  <w:color w:val="0000FF"/>
                  <w:w w:val="94"/>
                </w:rPr>
                <w:t>Credit Agricole Corporate and Investment Bank, and each of lenders and issuing banks</w:t>
              </w:r>
            </w:hyperlink>
          </w:p>
        </w:tc>
      </w:tr>
      <w:tr>
        <w:trPr>
          <w:trHeight w:val="183"/>
        </w:trPr>
        <w:tc>
          <w:tcPr>
            <w:tcW w:w="1040" w:type="dxa"/>
            <w:vAlign w:val="bottom"/>
          </w:tcPr>
          <w:p>
            <w:pPr>
              <w:spacing w:after="0"/>
              <w:rPr>
                <w:sz w:val="15"/>
                <w:szCs w:val="15"/>
                <w:color w:val="auto"/>
              </w:rPr>
            </w:pPr>
          </w:p>
        </w:tc>
        <w:tc>
          <w:tcPr>
            <w:tcW w:w="5640" w:type="dxa"/>
            <w:vAlign w:val="bottom"/>
            <w:tcBorders>
              <w:top w:val="single" w:sz="8" w:color="0000FF"/>
            </w:tcBorders>
            <w:gridSpan w:val="16"/>
          </w:tcPr>
          <w:p>
            <w:pPr>
              <w:spacing w:after="0" w:line="183" w:lineRule="exact"/>
              <w:rPr>
                <w:rFonts w:ascii="Arial" w:cs="Arial" w:eastAsia="Arial" w:hAnsi="Arial"/>
                <w:sz w:val="16"/>
                <w:szCs w:val="16"/>
                <w:color w:val="0000FF"/>
              </w:rPr>
            </w:pPr>
            <w:hyperlink r:id="rId71">
              <w:r>
                <w:rPr>
                  <w:rFonts w:ascii="Arial" w:cs="Arial" w:eastAsia="Arial" w:hAnsi="Arial"/>
                  <w:sz w:val="16"/>
                  <w:szCs w:val="16"/>
                  <w:color w:val="0000FF"/>
                </w:rPr>
                <w:t>thereto.*</w:t>
              </w:r>
            </w:hyperlink>
          </w:p>
        </w:tc>
        <w:tc>
          <w:tcPr>
            <w:tcW w:w="220" w:type="dxa"/>
            <w:vAlign w:val="bottom"/>
            <w:gridSpan w:val="5"/>
          </w:tcPr>
          <w:p>
            <w:pPr>
              <w:spacing w:after="0"/>
              <w:rPr>
                <w:sz w:val="15"/>
                <w:szCs w:val="15"/>
                <w:color w:val="auto"/>
              </w:rPr>
            </w:pPr>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220" w:type="dxa"/>
            <w:vAlign w:val="bottom"/>
            <w:gridSpan w:val="6"/>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6"/>
                <w:szCs w:val="16"/>
                <w:color w:val="auto"/>
              </w:rPr>
              <w:t>10.12.2</w:t>
            </w:r>
          </w:p>
        </w:tc>
        <w:tc>
          <w:tcPr>
            <w:tcW w:w="5860" w:type="dxa"/>
            <w:vAlign w:val="bottom"/>
            <w:gridSpan w:val="21"/>
          </w:tcPr>
          <w:p>
            <w:pPr>
              <w:spacing w:after="0"/>
              <w:rPr>
                <w:rFonts w:ascii="Arial" w:cs="Arial" w:eastAsia="Arial" w:hAnsi="Arial"/>
                <w:sz w:val="16"/>
                <w:szCs w:val="16"/>
                <w:color w:val="0000FF"/>
                <w:w w:val="92"/>
              </w:rPr>
            </w:pPr>
            <w:hyperlink r:id="rId72">
              <w:r>
                <w:rPr>
                  <w:rFonts w:ascii="Arial" w:cs="Arial" w:eastAsia="Arial" w:hAnsi="Arial"/>
                  <w:sz w:val="16"/>
                  <w:szCs w:val="16"/>
                  <w:color w:val="0000FF"/>
                  <w:w w:val="92"/>
                </w:rPr>
                <w:t>Amendment No. 1 to the Credit Agreement, dated October 7, 2011, by and between NRG</w:t>
              </w:r>
            </w:hyperlink>
          </w:p>
        </w:tc>
      </w:tr>
      <w:tr>
        <w:trPr>
          <w:trHeight w:val="183"/>
        </w:trPr>
        <w:tc>
          <w:tcPr>
            <w:tcW w:w="1040" w:type="dxa"/>
            <w:vAlign w:val="bottom"/>
          </w:tcPr>
          <w:p>
            <w:pPr>
              <w:spacing w:after="0"/>
              <w:rPr>
                <w:sz w:val="15"/>
                <w:szCs w:val="15"/>
                <w:color w:val="auto"/>
              </w:rPr>
            </w:pPr>
          </w:p>
        </w:tc>
        <w:tc>
          <w:tcPr>
            <w:tcW w:w="4780" w:type="dxa"/>
            <w:vAlign w:val="bottom"/>
            <w:tcBorders>
              <w:top w:val="single" w:sz="8" w:color="0000FF"/>
              <w:bottom w:val="single" w:sz="8" w:color="0000FF"/>
            </w:tcBorders>
            <w:gridSpan w:val="7"/>
          </w:tcPr>
          <w:p>
            <w:pPr>
              <w:spacing w:after="0" w:line="183" w:lineRule="exact"/>
              <w:rPr>
                <w:rFonts w:ascii="Arial" w:cs="Arial" w:eastAsia="Arial" w:hAnsi="Arial"/>
                <w:sz w:val="16"/>
                <w:szCs w:val="16"/>
                <w:color w:val="0000FF"/>
                <w:w w:val="92"/>
              </w:rPr>
            </w:pPr>
            <w:hyperlink r:id="rId72">
              <w:r>
                <w:rPr>
                  <w:rFonts w:ascii="Arial" w:cs="Arial" w:eastAsia="Arial" w:hAnsi="Arial"/>
                  <w:sz w:val="16"/>
                  <w:szCs w:val="16"/>
                  <w:color w:val="0000FF"/>
                  <w:w w:val="92"/>
                </w:rPr>
                <w:t>West Holdings LLC and Credit Agricole Corporate and Investment Bank.</w:t>
              </w:r>
            </w:hyperlink>
          </w:p>
        </w:tc>
        <w:tc>
          <w:tcPr>
            <w:tcW w:w="960" w:type="dxa"/>
            <w:vAlign w:val="bottom"/>
            <w:tcBorders>
              <w:top w:val="single" w:sz="8" w:color="0000FF"/>
            </w:tcBorders>
            <w:gridSpan w:val="12"/>
          </w:tcPr>
          <w:p>
            <w:pPr>
              <w:spacing w:after="0"/>
              <w:rPr>
                <w:sz w:val="15"/>
                <w:szCs w:val="15"/>
                <w:color w:val="auto"/>
              </w:rPr>
            </w:pPr>
          </w:p>
        </w:tc>
        <w:tc>
          <w:tcPr>
            <w:tcW w:w="120" w:type="dxa"/>
            <w:vAlign w:val="bottom"/>
            <w:gridSpan w:val="2"/>
          </w:tcPr>
          <w:p>
            <w:pPr>
              <w:spacing w:after="0"/>
              <w:rPr>
                <w:sz w:val="15"/>
                <w:szCs w:val="15"/>
                <w:color w:val="auto"/>
              </w:rPr>
            </w:pPr>
          </w:p>
        </w:tc>
      </w:tr>
      <w:tr>
        <w:trPr>
          <w:trHeight w:val="439"/>
        </w:trPr>
        <w:tc>
          <w:tcPr>
            <w:tcW w:w="1040" w:type="dxa"/>
            <w:vAlign w:val="bottom"/>
          </w:tcPr>
          <w:p>
            <w:pPr>
              <w:spacing w:after="0"/>
              <w:rPr>
                <w:sz w:val="20"/>
                <w:szCs w:val="20"/>
                <w:color w:val="auto"/>
              </w:rPr>
            </w:pPr>
            <w:r>
              <w:rPr>
                <w:rFonts w:ascii="Arial" w:cs="Arial" w:eastAsia="Arial" w:hAnsi="Arial"/>
                <w:sz w:val="16"/>
                <w:szCs w:val="16"/>
                <w:color w:val="auto"/>
              </w:rPr>
              <w:t>10.12.3</w:t>
            </w:r>
          </w:p>
        </w:tc>
        <w:tc>
          <w:tcPr>
            <w:tcW w:w="5580" w:type="dxa"/>
            <w:vAlign w:val="bottom"/>
            <w:tcBorders>
              <w:bottom w:val="single" w:sz="8" w:color="0000FF"/>
            </w:tcBorders>
            <w:gridSpan w:val="13"/>
          </w:tcPr>
          <w:p>
            <w:pPr>
              <w:spacing w:after="0"/>
              <w:rPr>
                <w:rFonts w:ascii="Arial" w:cs="Arial" w:eastAsia="Arial" w:hAnsi="Arial"/>
                <w:sz w:val="16"/>
                <w:szCs w:val="16"/>
                <w:color w:val="0000FF"/>
                <w:w w:val="91"/>
              </w:rPr>
            </w:pPr>
            <w:hyperlink r:id="rId73">
              <w:r>
                <w:rPr>
                  <w:rFonts w:ascii="Arial" w:cs="Arial" w:eastAsia="Arial" w:hAnsi="Arial"/>
                  <w:sz w:val="16"/>
                  <w:szCs w:val="16"/>
                  <w:color w:val="0000FF"/>
                  <w:w w:val="91"/>
                </w:rPr>
                <w:t>Amendment No. 2 to the Credit Agreement, dated February 29, 2012, by and between</w:t>
              </w:r>
            </w:hyperlink>
          </w:p>
        </w:tc>
        <w:tc>
          <w:tcPr>
            <w:tcW w:w="280" w:type="dxa"/>
            <w:vAlign w:val="bottom"/>
            <w:gridSpan w:val="8"/>
          </w:tcPr>
          <w:p>
            <w:pPr>
              <w:spacing w:after="0"/>
              <w:rPr>
                <w:sz w:val="24"/>
                <w:szCs w:val="24"/>
                <w:color w:val="auto"/>
              </w:rPr>
            </w:pPr>
          </w:p>
        </w:tc>
      </w:tr>
      <w:tr>
        <w:trPr>
          <w:trHeight w:val="183"/>
        </w:trPr>
        <w:tc>
          <w:tcPr>
            <w:tcW w:w="1040" w:type="dxa"/>
            <w:vAlign w:val="bottom"/>
          </w:tcPr>
          <w:p>
            <w:pPr>
              <w:spacing w:after="0"/>
              <w:rPr>
                <w:sz w:val="15"/>
                <w:szCs w:val="15"/>
                <w:color w:val="auto"/>
              </w:rPr>
            </w:pPr>
          </w:p>
        </w:tc>
        <w:tc>
          <w:tcPr>
            <w:tcW w:w="5160" w:type="dxa"/>
            <w:vAlign w:val="bottom"/>
            <w:tcBorders>
              <w:bottom w:val="single" w:sz="8" w:color="0000FF"/>
            </w:tcBorders>
            <w:gridSpan w:val="10"/>
          </w:tcPr>
          <w:p>
            <w:pPr>
              <w:spacing w:after="0" w:line="183" w:lineRule="exact"/>
              <w:rPr>
                <w:rFonts w:ascii="Arial" w:cs="Arial" w:eastAsia="Arial" w:hAnsi="Arial"/>
                <w:sz w:val="16"/>
                <w:szCs w:val="16"/>
                <w:color w:val="0000FF"/>
                <w:w w:val="93"/>
              </w:rPr>
            </w:pPr>
            <w:hyperlink r:id="rId73">
              <w:r>
                <w:rPr>
                  <w:rFonts w:ascii="Arial" w:cs="Arial" w:eastAsia="Arial" w:hAnsi="Arial"/>
                  <w:sz w:val="16"/>
                  <w:szCs w:val="16"/>
                  <w:color w:val="0000FF"/>
                  <w:w w:val="93"/>
                </w:rPr>
                <w:t>NRG West Holdings LLC and Credit Agricole Corporate and Investment Bank.</w:t>
              </w:r>
            </w:hyperlink>
          </w:p>
        </w:tc>
        <w:tc>
          <w:tcPr>
            <w:tcW w:w="700" w:type="dxa"/>
            <w:vAlign w:val="bottom"/>
            <w:gridSpan w:val="11"/>
          </w:tcPr>
          <w:p>
            <w:pPr>
              <w:spacing w:after="0"/>
              <w:rPr>
                <w:sz w:val="15"/>
                <w:szCs w:val="15"/>
                <w:color w:val="auto"/>
              </w:rPr>
            </w:pPr>
          </w:p>
        </w:tc>
      </w:tr>
    </w:tbl>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040" w:type="dxa"/>
            <w:vAlign w:val="bottom"/>
          </w:tcPr>
          <w:p>
            <w:pPr>
              <w:jc w:val="right"/>
              <w:ind w:right="479"/>
              <w:spacing w:after="0"/>
              <w:rPr>
                <w:sz w:val="20"/>
                <w:szCs w:val="20"/>
                <w:color w:val="auto"/>
              </w:rPr>
            </w:pPr>
            <w:r>
              <w:rPr>
                <w:rFonts w:ascii="Arial" w:cs="Arial" w:eastAsia="Arial" w:hAnsi="Arial"/>
                <w:sz w:val="16"/>
                <w:szCs w:val="16"/>
                <w:color w:val="auto"/>
                <w:w w:val="86"/>
              </w:rPr>
              <w:t>10.12.4</w:t>
            </w:r>
          </w:p>
        </w:tc>
        <w:tc>
          <w:tcPr>
            <w:tcW w:w="5840" w:type="dxa"/>
            <w:vAlign w:val="bottom"/>
            <w:gridSpan w:val="5"/>
            <w:vMerge w:val="restart"/>
          </w:tcPr>
          <w:p>
            <w:pPr>
              <w:spacing w:after="0"/>
              <w:rPr>
                <w:rFonts w:ascii="Arial" w:cs="Arial" w:eastAsia="Arial" w:hAnsi="Arial"/>
                <w:sz w:val="16"/>
                <w:szCs w:val="16"/>
                <w:color w:val="0000FF"/>
                <w:w w:val="90"/>
              </w:rPr>
            </w:pPr>
            <w:hyperlink r:id="rId74">
              <w:r>
                <w:rPr>
                  <w:rFonts w:ascii="Arial" w:cs="Arial" w:eastAsia="Arial" w:hAnsi="Arial"/>
                  <w:sz w:val="16"/>
                  <w:szCs w:val="16"/>
                  <w:color w:val="0000FF"/>
                  <w:w w:val="90"/>
                </w:rPr>
                <w:t>Amendment No. 3 to the Credit Agreement, dated as of January 27, 2014, by and between</w:t>
              </w:r>
            </w:hyperlink>
          </w:p>
        </w:tc>
        <w:tc>
          <w:tcPr>
            <w:tcW w:w="0" w:type="dxa"/>
            <w:vAlign w:val="bottom"/>
          </w:tcPr>
          <w:p>
            <w:pPr>
              <w:spacing w:after="0"/>
              <w:rPr>
                <w:sz w:val="1"/>
                <w:szCs w:val="1"/>
                <w:color w:val="auto"/>
              </w:rPr>
            </w:pPr>
          </w:p>
        </w:tc>
      </w:tr>
      <w:tr>
        <w:trPr>
          <w:trHeight w:val="52"/>
        </w:trPr>
        <w:tc>
          <w:tcPr>
            <w:tcW w:w="1040" w:type="dxa"/>
            <w:vAlign w:val="bottom"/>
          </w:tcPr>
          <w:p>
            <w:pPr>
              <w:spacing w:after="0"/>
              <w:rPr>
                <w:sz w:val="4"/>
                <w:szCs w:val="4"/>
                <w:color w:val="auto"/>
              </w:rPr>
            </w:pPr>
          </w:p>
        </w:tc>
        <w:tc>
          <w:tcPr>
            <w:tcW w:w="5840" w:type="dxa"/>
            <w:vAlign w:val="bottom"/>
            <w:tcBorders>
              <w:bottom w:val="single" w:sz="8" w:color="0000FF"/>
            </w:tcBorders>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160" w:type="dxa"/>
            <w:vAlign w:val="bottom"/>
            <w:tcBorders>
              <w:bottom w:val="single" w:sz="8" w:color="0000FF"/>
            </w:tcBorders>
          </w:tcPr>
          <w:p>
            <w:pPr>
              <w:spacing w:after="0" w:line="183" w:lineRule="exact"/>
              <w:rPr>
                <w:rFonts w:ascii="Arial" w:cs="Arial" w:eastAsia="Arial" w:hAnsi="Arial"/>
                <w:sz w:val="16"/>
                <w:szCs w:val="16"/>
                <w:color w:val="0000FF"/>
                <w:w w:val="93"/>
              </w:rPr>
            </w:pPr>
            <w:hyperlink r:id="rId74">
              <w:r>
                <w:rPr>
                  <w:rFonts w:ascii="Arial" w:cs="Arial" w:eastAsia="Arial" w:hAnsi="Arial"/>
                  <w:sz w:val="16"/>
                  <w:szCs w:val="16"/>
                  <w:color w:val="0000FF"/>
                  <w:w w:val="93"/>
                </w:rPr>
                <w:t>NRG West Holdings LLC and Credit Agricole Corporate and Investment Bank.</w:t>
              </w:r>
            </w:hyperlink>
          </w:p>
        </w:tc>
        <w:tc>
          <w:tcPr>
            <w:tcW w:w="6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393"/>
        </w:trPr>
        <w:tc>
          <w:tcPr>
            <w:tcW w:w="1040" w:type="dxa"/>
            <w:vAlign w:val="bottom"/>
          </w:tcPr>
          <w:p>
            <w:pPr>
              <w:jc w:val="right"/>
              <w:ind w:right="479"/>
              <w:spacing w:after="0"/>
              <w:rPr>
                <w:sz w:val="20"/>
                <w:szCs w:val="20"/>
                <w:color w:val="auto"/>
              </w:rPr>
            </w:pPr>
            <w:r>
              <w:rPr>
                <w:rFonts w:ascii="Arial" w:cs="Arial" w:eastAsia="Arial" w:hAnsi="Arial"/>
                <w:sz w:val="16"/>
                <w:szCs w:val="16"/>
                <w:color w:val="auto"/>
                <w:w w:val="86"/>
              </w:rPr>
              <w:t>10.12.5</w:t>
            </w:r>
          </w:p>
        </w:tc>
        <w:tc>
          <w:tcPr>
            <w:tcW w:w="5420" w:type="dxa"/>
            <w:vAlign w:val="bottom"/>
            <w:gridSpan w:val="3"/>
            <w:vMerge w:val="restart"/>
          </w:tcPr>
          <w:p>
            <w:pPr>
              <w:spacing w:after="0"/>
              <w:rPr>
                <w:rFonts w:ascii="Arial" w:cs="Arial" w:eastAsia="Arial" w:hAnsi="Arial"/>
                <w:sz w:val="16"/>
                <w:szCs w:val="16"/>
                <w:color w:val="0000FF"/>
                <w:w w:val="92"/>
              </w:rPr>
            </w:pPr>
            <w:hyperlink r:id="rId75">
              <w:r>
                <w:rPr>
                  <w:rFonts w:ascii="Arial" w:cs="Arial" w:eastAsia="Arial" w:hAnsi="Arial"/>
                  <w:sz w:val="16"/>
                  <w:szCs w:val="16"/>
                  <w:color w:val="0000FF"/>
                  <w:w w:val="92"/>
                </w:rPr>
                <w:t>Amendment No. 4 to the Credit Agreement and Amendment No. 1 to the Collateral</w:t>
              </w:r>
            </w:hyperlink>
          </w:p>
        </w:tc>
        <w:tc>
          <w:tcPr>
            <w:tcW w:w="420" w:type="dxa"/>
            <w:vAlign w:val="bottom"/>
            <w:gridSpan w:val="2"/>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1040" w:type="dxa"/>
            <w:vAlign w:val="bottom"/>
          </w:tcPr>
          <w:p>
            <w:pPr>
              <w:spacing w:after="0"/>
              <w:rPr>
                <w:sz w:val="4"/>
                <w:szCs w:val="4"/>
                <w:color w:val="auto"/>
              </w:rPr>
            </w:pPr>
          </w:p>
        </w:tc>
        <w:tc>
          <w:tcPr>
            <w:tcW w:w="5420" w:type="dxa"/>
            <w:vAlign w:val="bottom"/>
            <w:tcBorders>
              <w:bottom w:val="single" w:sz="8" w:color="0000FF"/>
            </w:tcBorders>
            <w:gridSpan w:val="3"/>
            <w:vMerge w:val="continue"/>
          </w:tcPr>
          <w:p>
            <w:pPr>
              <w:spacing w:after="0"/>
              <w:rPr>
                <w:sz w:val="4"/>
                <w:szCs w:val="4"/>
                <w:color w:val="auto"/>
              </w:rPr>
            </w:pPr>
          </w:p>
        </w:tc>
        <w:tc>
          <w:tcPr>
            <w:tcW w:w="4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500" w:type="dxa"/>
            <w:vAlign w:val="bottom"/>
            <w:tcBorders>
              <w:bottom w:val="single" w:sz="8" w:color="0000FF"/>
            </w:tcBorders>
            <w:gridSpan w:val="4"/>
          </w:tcPr>
          <w:p>
            <w:pPr>
              <w:spacing w:after="0" w:line="183" w:lineRule="exact"/>
              <w:rPr>
                <w:rFonts w:ascii="Arial" w:cs="Arial" w:eastAsia="Arial" w:hAnsi="Arial"/>
                <w:sz w:val="16"/>
                <w:szCs w:val="16"/>
                <w:color w:val="0000FF"/>
                <w:w w:val="92"/>
              </w:rPr>
            </w:pPr>
            <w:hyperlink r:id="rId75">
              <w:r>
                <w:rPr>
                  <w:rFonts w:ascii="Arial" w:cs="Arial" w:eastAsia="Arial" w:hAnsi="Arial"/>
                  <w:sz w:val="16"/>
                  <w:szCs w:val="16"/>
                  <w:color w:val="0000FF"/>
                  <w:w w:val="92"/>
                </w:rPr>
                <w:t>Agreement, dated as of May 16, 2014, by and between NRG West Holdings LLC, El</w:t>
              </w:r>
            </w:hyperlink>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840" w:type="dxa"/>
            <w:vAlign w:val="bottom"/>
            <w:gridSpan w:val="5"/>
          </w:tcPr>
          <w:p>
            <w:pPr>
              <w:spacing w:after="0" w:line="183" w:lineRule="exact"/>
              <w:rPr>
                <w:rFonts w:ascii="Arial" w:cs="Arial" w:eastAsia="Arial" w:hAnsi="Arial"/>
                <w:sz w:val="16"/>
                <w:szCs w:val="16"/>
                <w:color w:val="0000FF"/>
              </w:rPr>
            </w:pPr>
            <w:hyperlink r:id="rId75">
              <w:r>
                <w:rPr>
                  <w:rFonts w:ascii="Arial" w:cs="Arial" w:eastAsia="Arial" w:hAnsi="Arial"/>
                  <w:sz w:val="16"/>
                  <w:szCs w:val="16"/>
                  <w:color w:val="0000FF"/>
                </w:rPr>
                <w:t>Segundo Energy Center LLC and Credit Agricole Corporate and Investment Bank.</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ind w:right="220"/>
        <w:spacing w:after="0" w:line="278" w:lineRule="auto"/>
        <w:rPr>
          <w:sz w:val="20"/>
          <w:szCs w:val="20"/>
          <w:color w:val="auto"/>
        </w:rPr>
      </w:pPr>
      <w:r>
        <w:rPr>
          <w:rFonts w:ascii="Arial" w:cs="Arial" w:eastAsia="Arial" w:hAnsi="Arial"/>
          <w:sz w:val="16"/>
          <w:szCs w:val="16"/>
          <w:color w:val="auto"/>
        </w:rPr>
        <w:t>Incorporated herein by reference to Exhibit 10.8 to the Company's Draft Registration Statement on Form S-1, filed on February 13, 2013.</w:t>
      </w:r>
    </w:p>
    <w:p>
      <w:pPr>
        <w:spacing w:after="0" w:line="22" w:lineRule="exact"/>
        <w:rPr>
          <w:sz w:val="20"/>
          <w:szCs w:val="20"/>
          <w:color w:val="auto"/>
        </w:rPr>
      </w:pPr>
    </w:p>
    <w:p>
      <w:pPr>
        <w:ind w:right="180"/>
        <w:spacing w:after="0" w:line="278" w:lineRule="auto"/>
        <w:rPr>
          <w:sz w:val="20"/>
          <w:szCs w:val="20"/>
          <w:color w:val="auto"/>
        </w:rPr>
      </w:pPr>
      <w:r>
        <w:rPr>
          <w:rFonts w:ascii="Arial" w:cs="Arial" w:eastAsia="Arial" w:hAnsi="Arial"/>
          <w:sz w:val="16"/>
          <w:szCs w:val="16"/>
          <w:color w:val="auto"/>
        </w:rPr>
        <w:t>Incorporated herein by reference to Exhibit 10.9 to the Company's Annual Report on Form 10-K filed on February 28, 2019.</w:t>
      </w:r>
    </w:p>
    <w:p>
      <w:pPr>
        <w:spacing w:after="0" w:line="22" w:lineRule="exact"/>
        <w:rPr>
          <w:sz w:val="20"/>
          <w:szCs w:val="20"/>
          <w:color w:val="auto"/>
        </w:rPr>
      </w:pPr>
    </w:p>
    <w:p>
      <w:pPr>
        <w:ind w:right="180"/>
        <w:spacing w:after="0" w:line="278" w:lineRule="auto"/>
        <w:rPr>
          <w:sz w:val="20"/>
          <w:szCs w:val="20"/>
          <w:color w:val="auto"/>
        </w:rPr>
      </w:pPr>
      <w:r>
        <w:rPr>
          <w:rFonts w:ascii="Arial" w:cs="Arial" w:eastAsia="Arial" w:hAnsi="Arial"/>
          <w:sz w:val="16"/>
          <w:szCs w:val="16"/>
          <w:color w:val="auto"/>
        </w:rPr>
        <w:t>Incorporated herein by reference to Exhibit 10.10 to the Company's Annual Report on Form 10-K filed on February 28, 2019.</w:t>
      </w:r>
    </w:p>
    <w:p>
      <w:pPr>
        <w:spacing w:after="0" w:line="22" w:lineRule="exact"/>
        <w:rPr>
          <w:sz w:val="20"/>
          <w:szCs w:val="20"/>
          <w:color w:val="auto"/>
        </w:rPr>
      </w:pPr>
    </w:p>
    <w:p>
      <w:pPr>
        <w:ind w:right="420"/>
        <w:spacing w:after="0" w:line="369" w:lineRule="auto"/>
        <w:rPr>
          <w:sz w:val="20"/>
          <w:szCs w:val="20"/>
          <w:color w:val="auto"/>
        </w:rPr>
      </w:pPr>
      <w:r>
        <w:rPr>
          <w:rFonts w:ascii="Arial" w:cs="Arial" w:eastAsia="Arial" w:hAnsi="Arial"/>
          <w:sz w:val="14"/>
          <w:szCs w:val="14"/>
          <w:color w:val="auto"/>
        </w:rPr>
        <w:t>Incorporated by reference to Exhibit 10.1 to the Company’s Current Report on Form 8-K filed on April 28, 2014.</w:t>
      </w:r>
    </w:p>
    <w:p>
      <w:pPr>
        <w:spacing w:after="0" w:line="200" w:lineRule="exact"/>
        <w:rPr>
          <w:sz w:val="20"/>
          <w:szCs w:val="20"/>
          <w:color w:val="auto"/>
        </w:rPr>
      </w:pPr>
    </w:p>
    <w:p>
      <w:pPr>
        <w:spacing w:after="0" w:line="372" w:lineRule="exact"/>
        <w:rPr>
          <w:sz w:val="20"/>
          <w:szCs w:val="20"/>
          <w:color w:val="auto"/>
        </w:rPr>
      </w:pPr>
    </w:p>
    <w:p>
      <w:pPr>
        <w:ind w:right="240"/>
        <w:spacing w:after="0" w:line="278" w:lineRule="auto"/>
        <w:rPr>
          <w:sz w:val="20"/>
          <w:szCs w:val="20"/>
          <w:color w:val="auto"/>
        </w:rPr>
      </w:pPr>
      <w:r>
        <w:rPr>
          <w:rFonts w:ascii="Arial" w:cs="Arial" w:eastAsia="Arial" w:hAnsi="Arial"/>
          <w:sz w:val="16"/>
          <w:szCs w:val="16"/>
          <w:color w:val="auto"/>
        </w:rPr>
        <w:t>Incorporated herein by reference to Exhibit 10.9 to the Company's Quarterly Report on Form 10-Q filed on August 4, 2015.</w:t>
      </w:r>
    </w:p>
    <w:p>
      <w:pPr>
        <w:spacing w:after="0" w:line="225" w:lineRule="exact"/>
        <w:rPr>
          <w:sz w:val="20"/>
          <w:szCs w:val="20"/>
          <w:color w:val="auto"/>
        </w:rPr>
      </w:pPr>
    </w:p>
    <w:p>
      <w:pPr>
        <w:ind w:right="260"/>
        <w:spacing w:after="0" w:line="278" w:lineRule="auto"/>
        <w:rPr>
          <w:sz w:val="20"/>
          <w:szCs w:val="20"/>
          <w:color w:val="auto"/>
        </w:rPr>
      </w:pPr>
      <w:r>
        <w:rPr>
          <w:rFonts w:ascii="Arial" w:cs="Arial" w:eastAsia="Arial" w:hAnsi="Arial"/>
          <w:sz w:val="16"/>
          <w:szCs w:val="16"/>
          <w:color w:val="auto"/>
        </w:rPr>
        <w:t>Incorporated herein by reference to Exhibit 10.1 to the Company's Current Report on Form 8-K filed on February 12, 2018.</w:t>
      </w:r>
    </w:p>
    <w:p>
      <w:pPr>
        <w:spacing w:after="0" w:line="22" w:lineRule="exact"/>
        <w:rPr>
          <w:sz w:val="20"/>
          <w:szCs w:val="20"/>
          <w:color w:val="auto"/>
        </w:rPr>
      </w:pPr>
    </w:p>
    <w:p>
      <w:pPr>
        <w:spacing w:after="0" w:line="369" w:lineRule="auto"/>
        <w:rPr>
          <w:sz w:val="20"/>
          <w:szCs w:val="20"/>
          <w:color w:val="auto"/>
        </w:rPr>
      </w:pPr>
      <w:r>
        <w:rPr>
          <w:rFonts w:ascii="Arial" w:cs="Arial" w:eastAsia="Arial" w:hAnsi="Arial"/>
          <w:sz w:val="14"/>
          <w:szCs w:val="14"/>
          <w:color w:val="auto"/>
        </w:rPr>
        <w:t>Incorporated herein by reference to Exhibit 10.1 to the Company's Quarterly Report on Form 10-Q filed on May 3, 2018.</w:t>
      </w:r>
    </w:p>
    <w:p>
      <w:pPr>
        <w:spacing w:after="0" w:line="200" w:lineRule="exact"/>
        <w:rPr>
          <w:sz w:val="20"/>
          <w:szCs w:val="20"/>
          <w:color w:val="auto"/>
        </w:rPr>
      </w:pPr>
    </w:p>
    <w:p>
      <w:pPr>
        <w:spacing w:after="0" w:line="372" w:lineRule="exact"/>
        <w:rPr>
          <w:sz w:val="20"/>
          <w:szCs w:val="20"/>
          <w:color w:val="auto"/>
        </w:rPr>
      </w:pPr>
    </w:p>
    <w:p>
      <w:pPr>
        <w:ind w:right="260"/>
        <w:spacing w:after="0" w:line="278" w:lineRule="auto"/>
        <w:rPr>
          <w:sz w:val="20"/>
          <w:szCs w:val="20"/>
          <w:color w:val="auto"/>
        </w:rPr>
      </w:pPr>
      <w:r>
        <w:rPr>
          <w:rFonts w:ascii="Arial" w:cs="Arial" w:eastAsia="Arial" w:hAnsi="Arial"/>
          <w:sz w:val="16"/>
          <w:szCs w:val="16"/>
          <w:color w:val="auto"/>
        </w:rPr>
        <w:t>Incorporated herein by reference to Exhibit 10.1 to the Company's Current Report on Form 8-K filed on December 6, 2018.</w:t>
      </w:r>
    </w:p>
    <w:p>
      <w:pPr>
        <w:spacing w:after="0" w:line="225" w:lineRule="exact"/>
        <w:rPr>
          <w:sz w:val="20"/>
          <w:szCs w:val="20"/>
          <w:color w:val="auto"/>
        </w:rPr>
      </w:pPr>
    </w:p>
    <w:p>
      <w:pPr>
        <w:ind w:right="240"/>
        <w:spacing w:after="0" w:line="278" w:lineRule="auto"/>
        <w:rPr>
          <w:sz w:val="20"/>
          <w:szCs w:val="20"/>
          <w:color w:val="auto"/>
        </w:rPr>
      </w:pPr>
      <w:r>
        <w:rPr>
          <w:rFonts w:ascii="Arial" w:cs="Arial" w:eastAsia="Arial" w:hAnsi="Arial"/>
          <w:sz w:val="16"/>
          <w:szCs w:val="16"/>
          <w:color w:val="auto"/>
        </w:rPr>
        <w:t>Incorporated herein by reference to Exhibit 10.2 to the Company's Quarterly Report on Form 10-Q filed on August 7, 2014.</w:t>
      </w:r>
    </w:p>
    <w:p>
      <w:pPr>
        <w:spacing w:after="0" w:line="225" w:lineRule="exact"/>
        <w:rPr>
          <w:sz w:val="20"/>
          <w:szCs w:val="20"/>
          <w:color w:val="auto"/>
        </w:rPr>
      </w:pPr>
    </w:p>
    <w:p>
      <w:pPr>
        <w:ind w:right="240"/>
        <w:spacing w:after="0" w:line="278" w:lineRule="auto"/>
        <w:rPr>
          <w:sz w:val="20"/>
          <w:szCs w:val="20"/>
          <w:color w:val="auto"/>
        </w:rPr>
      </w:pPr>
      <w:r>
        <w:rPr>
          <w:rFonts w:ascii="Arial" w:cs="Arial" w:eastAsia="Arial" w:hAnsi="Arial"/>
          <w:sz w:val="16"/>
          <w:szCs w:val="16"/>
          <w:color w:val="auto"/>
        </w:rPr>
        <w:t>Incorporated herein by reference to Exhibit 10.3 to the Company's Quarterly Report on Form 10-Q filed on August 7, 2014.</w:t>
      </w:r>
    </w:p>
    <w:p>
      <w:pPr>
        <w:spacing w:after="0" w:line="22" w:lineRule="exact"/>
        <w:rPr>
          <w:sz w:val="20"/>
          <w:szCs w:val="20"/>
          <w:color w:val="auto"/>
        </w:rPr>
      </w:pPr>
    </w:p>
    <w:p>
      <w:pPr>
        <w:ind w:right="240"/>
        <w:spacing w:after="0" w:line="278" w:lineRule="auto"/>
        <w:rPr>
          <w:sz w:val="20"/>
          <w:szCs w:val="20"/>
          <w:color w:val="auto"/>
        </w:rPr>
      </w:pPr>
      <w:r>
        <w:rPr>
          <w:rFonts w:ascii="Arial" w:cs="Arial" w:eastAsia="Arial" w:hAnsi="Arial"/>
          <w:sz w:val="16"/>
          <w:szCs w:val="16"/>
          <w:color w:val="auto"/>
        </w:rPr>
        <w:t>Incorporated herein by reference to Exhibit 10.4 to the Company's Quarterly Report on Form 10-Q filed on August 7, 2014.</w:t>
      </w:r>
    </w:p>
    <w:p>
      <w:pPr>
        <w:spacing w:after="0" w:line="22" w:lineRule="exact"/>
        <w:rPr>
          <w:sz w:val="20"/>
          <w:szCs w:val="20"/>
          <w:color w:val="auto"/>
        </w:rPr>
      </w:pPr>
    </w:p>
    <w:p>
      <w:pPr>
        <w:ind w:right="240"/>
        <w:spacing w:after="0" w:line="278" w:lineRule="auto"/>
        <w:rPr>
          <w:sz w:val="20"/>
          <w:szCs w:val="20"/>
          <w:color w:val="auto"/>
        </w:rPr>
      </w:pPr>
      <w:r>
        <w:rPr>
          <w:rFonts w:ascii="Arial" w:cs="Arial" w:eastAsia="Arial" w:hAnsi="Arial"/>
          <w:sz w:val="16"/>
          <w:szCs w:val="16"/>
          <w:color w:val="auto"/>
        </w:rPr>
        <w:t>Incorporated herein by reference to Exhibit 10.6 to the Company's Quarterly Report on Form 10-Q filed on August 4, 2015.</w:t>
      </w:r>
    </w:p>
    <w:p>
      <w:pPr>
        <w:spacing w:after="0" w:line="22" w:lineRule="exact"/>
        <w:rPr>
          <w:sz w:val="20"/>
          <w:szCs w:val="20"/>
          <w:color w:val="auto"/>
        </w:rPr>
      </w:pPr>
    </w:p>
    <w:p>
      <w:pPr>
        <w:ind w:right="240"/>
        <w:spacing w:after="0" w:line="278" w:lineRule="auto"/>
        <w:rPr>
          <w:sz w:val="20"/>
          <w:szCs w:val="20"/>
          <w:color w:val="auto"/>
        </w:rPr>
      </w:pPr>
      <w:r>
        <w:rPr>
          <w:rFonts w:ascii="Arial" w:cs="Arial" w:eastAsia="Arial" w:hAnsi="Arial"/>
          <w:sz w:val="16"/>
          <w:szCs w:val="16"/>
          <w:color w:val="auto"/>
        </w:rPr>
        <w:t>Incorporated herein by reference to Exhibit 10.7 to the Company's Quarterly Report on Form 10-Q filed on August 4, 2015.</w:t>
      </w:r>
    </w:p>
    <w:p>
      <w:pPr>
        <w:spacing w:after="0" w:line="232" w:lineRule="exact"/>
        <w:rPr>
          <w:sz w:val="20"/>
          <w:szCs w:val="20"/>
          <w:color w:val="auto"/>
        </w:rPr>
      </w:pPr>
    </w:p>
    <w:p>
      <w:pPr>
        <w:sectPr>
          <w:pgSz w:w="11900" w:h="16838" w:orient="portrait"/>
          <w:cols w:equalWidth="0" w:num="2">
            <w:col w:w="6900" w:space="180"/>
            <w:col w:w="4280"/>
          </w:cols>
          <w:pgMar w:left="280" w:top="751" w:right="259" w:bottom="1440" w:gutter="0" w:footer="0" w:header="0"/>
          <w:type w:val="continuous"/>
        </w:sect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360"/>
          </w:cols>
          <w:pgMar w:left="280" w:top="751" w:right="25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4"/>
          <w:szCs w:val="14"/>
          <w:color w:val="auto"/>
        </w:rPr>
        <w:t>10.12.6</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color w:val="auto"/>
        </w:rPr>
        <w:t>10.13.1</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color w:val="auto"/>
        </w:rPr>
        <w:t>10.13.2</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color w:val="auto"/>
        </w:rPr>
        <w:t>10.14^</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10.15^</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10.16^</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10.17^</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10.18^</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10.19</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5"/>
          <w:szCs w:val="15"/>
          <w:color w:val="auto"/>
        </w:rPr>
        <w:t>10.20†</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5"/>
          <w:szCs w:val="15"/>
          <w:color w:val="auto"/>
        </w:rPr>
        <w:t>10.21†</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5"/>
          <w:szCs w:val="15"/>
          <w:color w:val="auto"/>
        </w:rPr>
        <w:t>10.22†</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5"/>
          <w:szCs w:val="15"/>
          <w:color w:val="auto"/>
        </w:rPr>
        <w:t>10.23†</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5"/>
          <w:szCs w:val="15"/>
          <w:color w:val="auto"/>
        </w:rPr>
        <w:t>10.24†</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5"/>
          <w:szCs w:val="15"/>
          <w:color w:val="auto"/>
        </w:rPr>
        <w:t>10.25†</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right="200"/>
        <w:spacing w:after="0" w:line="293" w:lineRule="auto"/>
        <w:rPr>
          <w:rFonts w:ascii="Arial" w:cs="Arial" w:eastAsia="Arial" w:hAnsi="Arial"/>
          <w:sz w:val="16"/>
          <w:szCs w:val="16"/>
          <w:u w:val="single" w:color="auto"/>
          <w:color w:val="0000FF"/>
        </w:rPr>
      </w:pPr>
      <w:hyperlink r:id="rId76">
        <w:r>
          <w:rPr>
            <w:rFonts w:ascii="Arial" w:cs="Arial" w:eastAsia="Arial" w:hAnsi="Arial"/>
            <w:sz w:val="16"/>
            <w:szCs w:val="16"/>
            <w:u w:val="single" w:color="auto"/>
            <w:color w:val="0000FF"/>
          </w:rPr>
          <w:t>Amendment No. 5 to the Credit Agreement, dated as of May 29, 2015, by and between</w:t>
        </w:r>
      </w:hyperlink>
      <w:r>
        <w:rPr>
          <w:rFonts w:ascii="Arial" w:cs="Arial" w:eastAsia="Arial" w:hAnsi="Arial"/>
          <w:sz w:val="16"/>
          <w:szCs w:val="16"/>
          <w:u w:val="single" w:color="auto"/>
          <w:color w:val="0000FF"/>
        </w:rPr>
        <w:t xml:space="preserve"> </w:t>
      </w:r>
      <w:hyperlink r:id="rId76">
        <w:r>
          <w:rPr>
            <w:rFonts w:ascii="Arial" w:cs="Arial" w:eastAsia="Arial" w:hAnsi="Arial"/>
            <w:sz w:val="16"/>
            <w:szCs w:val="16"/>
            <w:u w:val="single" w:color="auto"/>
            <w:color w:val="0000FF"/>
          </w:rPr>
          <w:t>NRG West Holdings LLC and ING Capital LLC.</w:t>
        </w:r>
      </w:hyperlink>
    </w:p>
    <w:p>
      <w:pPr>
        <w:spacing w:after="0" w:line="334" w:lineRule="exact"/>
        <w:rPr>
          <w:sz w:val="20"/>
          <w:szCs w:val="20"/>
          <w:color w:val="auto"/>
        </w:rPr>
      </w:pPr>
    </w:p>
    <w:p>
      <w:pPr>
        <w:ind w:right="220"/>
        <w:spacing w:after="0" w:line="278" w:lineRule="auto"/>
        <w:rPr>
          <w:rFonts w:ascii="Arial" w:cs="Arial" w:eastAsia="Arial" w:hAnsi="Arial"/>
          <w:sz w:val="16"/>
          <w:szCs w:val="16"/>
          <w:u w:val="single" w:color="auto"/>
          <w:color w:val="0000FF"/>
        </w:rPr>
      </w:pPr>
      <w:hyperlink r:id="rId77">
        <w:r>
          <w:rPr>
            <w:rFonts w:ascii="Arial" w:cs="Arial" w:eastAsia="Arial" w:hAnsi="Arial"/>
            <w:sz w:val="16"/>
            <w:szCs w:val="16"/>
            <w:u w:val="single" w:color="auto"/>
            <w:color w:val="0000FF"/>
          </w:rPr>
          <w:t>Amended and Restated Credit Agreement, dated July 17, 2014, by and among NRG</w:t>
        </w:r>
      </w:hyperlink>
      <w:r>
        <w:rPr>
          <w:rFonts w:ascii="Arial" w:cs="Arial" w:eastAsia="Arial" w:hAnsi="Arial"/>
          <w:sz w:val="16"/>
          <w:szCs w:val="16"/>
          <w:u w:val="single" w:color="auto"/>
          <w:color w:val="0000FF"/>
        </w:rPr>
        <w:t xml:space="preserve"> </w:t>
      </w:r>
      <w:hyperlink r:id="rId77">
        <w:r>
          <w:rPr>
            <w:rFonts w:ascii="Arial" w:cs="Arial" w:eastAsia="Arial" w:hAnsi="Arial"/>
            <w:sz w:val="16"/>
            <w:szCs w:val="16"/>
            <w:u w:val="single" w:color="auto"/>
            <w:color w:val="0000FF"/>
          </w:rPr>
          <w:t>Marsh Landing LLC, The Royal Bank of Scotland Plc, Deutsche Bank Trust Company</w:t>
        </w:r>
      </w:hyperlink>
      <w:r>
        <w:rPr>
          <w:rFonts w:ascii="Arial" w:cs="Arial" w:eastAsia="Arial" w:hAnsi="Arial"/>
          <w:sz w:val="16"/>
          <w:szCs w:val="16"/>
          <w:u w:val="single" w:color="auto"/>
          <w:color w:val="0000FF"/>
        </w:rPr>
        <w:t xml:space="preserve"> </w:t>
      </w:r>
      <w:hyperlink r:id="rId77">
        <w:r>
          <w:rPr>
            <w:rFonts w:ascii="Arial" w:cs="Arial" w:eastAsia="Arial" w:hAnsi="Arial"/>
            <w:sz w:val="16"/>
            <w:szCs w:val="16"/>
            <w:u w:val="single" w:color="auto"/>
            <w:color w:val="0000FF"/>
          </w:rPr>
          <w:t>Americas and the lenders party thereto.</w:t>
        </w:r>
      </w:hyperlink>
    </w:p>
    <w:p>
      <w:pPr>
        <w:spacing w:after="0" w:line="22" w:lineRule="exact"/>
        <w:rPr>
          <w:rFonts w:ascii="Arial" w:cs="Arial" w:eastAsia="Arial" w:hAnsi="Arial"/>
          <w:sz w:val="16"/>
          <w:szCs w:val="16"/>
          <w:u w:val="single" w:color="auto"/>
          <w:color w:val="0000FF"/>
        </w:rPr>
      </w:pPr>
    </w:p>
    <w:p>
      <w:pPr>
        <w:ind w:right="240"/>
        <w:spacing w:after="0" w:line="273" w:lineRule="auto"/>
        <w:rPr>
          <w:rFonts w:ascii="Arial" w:cs="Arial" w:eastAsia="Arial" w:hAnsi="Arial"/>
          <w:sz w:val="16"/>
          <w:szCs w:val="16"/>
          <w:u w:val="single" w:color="auto"/>
          <w:color w:val="0000FF"/>
        </w:rPr>
      </w:pPr>
      <w:hyperlink r:id="rId78">
        <w:r>
          <w:rPr>
            <w:rFonts w:ascii="Arial" w:cs="Arial" w:eastAsia="Arial" w:hAnsi="Arial"/>
            <w:sz w:val="16"/>
            <w:szCs w:val="16"/>
            <w:u w:val="single" w:color="auto"/>
            <w:color w:val="0000FF"/>
          </w:rPr>
          <w:t>First Amendment to the Credit Agreement and Collateral Agency and Intercreditor</w:t>
        </w:r>
      </w:hyperlink>
      <w:r>
        <w:rPr>
          <w:rFonts w:ascii="Arial" w:cs="Arial" w:eastAsia="Arial" w:hAnsi="Arial"/>
          <w:sz w:val="16"/>
          <w:szCs w:val="16"/>
          <w:u w:val="single" w:color="auto"/>
          <w:color w:val="0000FF"/>
        </w:rPr>
        <w:t xml:space="preserve"> </w:t>
      </w:r>
      <w:hyperlink r:id="rId78">
        <w:r>
          <w:rPr>
            <w:rFonts w:ascii="Arial" w:cs="Arial" w:eastAsia="Arial" w:hAnsi="Arial"/>
            <w:sz w:val="16"/>
            <w:szCs w:val="16"/>
            <w:u w:val="single" w:color="auto"/>
            <w:color w:val="0000FF"/>
          </w:rPr>
          <w:t>Agreement, dated July 17, 2014, by and among NRG Marsh Landing LLC, The Royal</w:t>
        </w:r>
      </w:hyperlink>
      <w:r>
        <w:rPr>
          <w:rFonts w:ascii="Arial" w:cs="Arial" w:eastAsia="Arial" w:hAnsi="Arial"/>
          <w:sz w:val="16"/>
          <w:szCs w:val="16"/>
          <w:u w:val="single" w:color="auto"/>
          <w:color w:val="0000FF"/>
        </w:rPr>
        <w:t xml:space="preserve"> </w:t>
      </w:r>
      <w:hyperlink r:id="rId78">
        <w:r>
          <w:rPr>
            <w:rFonts w:ascii="Arial" w:cs="Arial" w:eastAsia="Arial" w:hAnsi="Arial"/>
            <w:sz w:val="16"/>
            <w:szCs w:val="16"/>
            <w:u w:val="single" w:color="auto"/>
            <w:color w:val="0000FF"/>
          </w:rPr>
          <w:t>Bank of Scotland Plc, Deutsche Bank Trust Company Americas and the lenders party</w:t>
        </w:r>
      </w:hyperlink>
      <w:r>
        <w:rPr>
          <w:rFonts w:ascii="Arial" w:cs="Arial" w:eastAsia="Arial" w:hAnsi="Arial"/>
          <w:sz w:val="16"/>
          <w:szCs w:val="16"/>
          <w:u w:val="single" w:color="auto"/>
          <w:color w:val="0000FF"/>
        </w:rPr>
        <w:t xml:space="preserve"> </w:t>
      </w:r>
      <w:hyperlink r:id="rId78">
        <w:r>
          <w:rPr>
            <w:rFonts w:ascii="Arial" w:cs="Arial" w:eastAsia="Arial" w:hAnsi="Arial"/>
            <w:sz w:val="16"/>
            <w:szCs w:val="16"/>
            <w:u w:val="single" w:color="auto"/>
            <w:color w:val="0000FF"/>
          </w:rPr>
          <w:t>thereto.</w:t>
        </w:r>
      </w:hyperlink>
    </w:p>
    <w:p>
      <w:pPr>
        <w:spacing w:after="0" w:line="108" w:lineRule="exact"/>
        <w:rPr>
          <w:rFonts w:ascii="Arial" w:cs="Arial" w:eastAsia="Arial" w:hAnsi="Arial"/>
          <w:sz w:val="16"/>
          <w:szCs w:val="16"/>
          <w:u w:val="single" w:color="auto"/>
          <w:color w:val="0000FF"/>
        </w:rPr>
      </w:pPr>
    </w:p>
    <w:p>
      <w:pPr>
        <w:ind w:right="200"/>
        <w:spacing w:after="0" w:line="293" w:lineRule="auto"/>
        <w:rPr>
          <w:rFonts w:ascii="Arial" w:cs="Arial" w:eastAsia="Arial" w:hAnsi="Arial"/>
          <w:sz w:val="16"/>
          <w:szCs w:val="16"/>
          <w:u w:val="single" w:color="auto"/>
          <w:color w:val="0000FF"/>
        </w:rPr>
      </w:pPr>
      <w:hyperlink r:id="rId79">
        <w:r>
          <w:rPr>
            <w:rFonts w:ascii="Arial" w:cs="Arial" w:eastAsia="Arial" w:hAnsi="Arial"/>
            <w:sz w:val="16"/>
            <w:szCs w:val="16"/>
            <w:u w:val="single" w:color="auto"/>
            <w:color w:val="0000FF"/>
          </w:rPr>
          <w:t>Amended and Restated Limited Liability Company Agreement of NRG RPV Holdco 1</w:t>
        </w:r>
      </w:hyperlink>
      <w:r>
        <w:rPr>
          <w:rFonts w:ascii="Arial" w:cs="Arial" w:eastAsia="Arial" w:hAnsi="Arial"/>
          <w:sz w:val="16"/>
          <w:szCs w:val="16"/>
          <w:u w:val="single" w:color="auto"/>
          <w:color w:val="0000FF"/>
        </w:rPr>
        <w:t xml:space="preserve"> </w:t>
      </w:r>
      <w:hyperlink r:id="rId79">
        <w:r>
          <w:rPr>
            <w:rFonts w:ascii="Arial" w:cs="Arial" w:eastAsia="Arial" w:hAnsi="Arial"/>
            <w:sz w:val="16"/>
            <w:szCs w:val="16"/>
            <w:u w:val="single" w:color="auto"/>
            <w:color w:val="0000FF"/>
          </w:rPr>
          <w:t>LLC, dated as of April 9, 2015.</w:t>
        </w:r>
      </w:hyperlink>
    </w:p>
    <w:p>
      <w:pPr>
        <w:spacing w:after="0" w:line="294" w:lineRule="exact"/>
        <w:rPr>
          <w:sz w:val="20"/>
          <w:szCs w:val="20"/>
          <w:color w:val="auto"/>
        </w:rPr>
      </w:pPr>
    </w:p>
    <w:p>
      <w:pPr>
        <w:ind w:right="80"/>
        <w:spacing w:after="0" w:line="293" w:lineRule="auto"/>
        <w:rPr>
          <w:rFonts w:ascii="Arial" w:cs="Arial" w:eastAsia="Arial" w:hAnsi="Arial"/>
          <w:sz w:val="16"/>
          <w:szCs w:val="16"/>
          <w:u w:val="single" w:color="auto"/>
          <w:color w:val="0000FF"/>
        </w:rPr>
      </w:pPr>
      <w:hyperlink r:id="rId80">
        <w:r>
          <w:rPr>
            <w:rFonts w:ascii="Arial" w:cs="Arial" w:eastAsia="Arial" w:hAnsi="Arial"/>
            <w:sz w:val="16"/>
            <w:szCs w:val="16"/>
            <w:u w:val="single" w:color="auto"/>
            <w:color w:val="0000FF"/>
          </w:rPr>
          <w:t>Amended and Restated Limited Liability Company Agreement of NRG DGPV Holdco 1</w:t>
        </w:r>
      </w:hyperlink>
      <w:r>
        <w:rPr>
          <w:rFonts w:ascii="Arial" w:cs="Arial" w:eastAsia="Arial" w:hAnsi="Arial"/>
          <w:sz w:val="16"/>
          <w:szCs w:val="16"/>
          <w:u w:val="single" w:color="auto"/>
          <w:color w:val="0000FF"/>
        </w:rPr>
        <w:t xml:space="preserve"> </w:t>
      </w:r>
      <w:hyperlink r:id="rId80">
        <w:r>
          <w:rPr>
            <w:rFonts w:ascii="Arial" w:cs="Arial" w:eastAsia="Arial" w:hAnsi="Arial"/>
            <w:sz w:val="16"/>
            <w:szCs w:val="16"/>
            <w:u w:val="single" w:color="auto"/>
            <w:color w:val="0000FF"/>
          </w:rPr>
          <w:t>LLC, dated as of May 8, 2015.</w:t>
        </w:r>
      </w:hyperlink>
    </w:p>
    <w:p>
      <w:pPr>
        <w:spacing w:after="0" w:line="213" w:lineRule="exact"/>
        <w:rPr>
          <w:sz w:val="20"/>
          <w:szCs w:val="20"/>
          <w:color w:val="auto"/>
        </w:rPr>
      </w:pPr>
    </w:p>
    <w:p>
      <w:pPr>
        <w:jc w:val="both"/>
        <w:ind w:right="160"/>
        <w:spacing w:after="0" w:line="305" w:lineRule="auto"/>
        <w:rPr>
          <w:rFonts w:ascii="Arial" w:cs="Arial" w:eastAsia="Arial" w:hAnsi="Arial"/>
          <w:sz w:val="15"/>
          <w:szCs w:val="15"/>
          <w:u w:val="single" w:color="auto"/>
          <w:color w:val="0000FF"/>
        </w:rPr>
      </w:pPr>
      <w:hyperlink r:id="rId81">
        <w:r>
          <w:rPr>
            <w:rFonts w:ascii="Arial" w:cs="Arial" w:eastAsia="Arial" w:hAnsi="Arial"/>
            <w:sz w:val="15"/>
            <w:szCs w:val="15"/>
            <w:u w:val="single" w:color="auto"/>
            <w:color w:val="0000FF"/>
          </w:rPr>
          <w:t>Amendment No. 1 to Amended and Restated Limited Liability Company Agreement of</w:t>
        </w:r>
      </w:hyperlink>
      <w:r>
        <w:rPr>
          <w:rFonts w:ascii="Arial" w:cs="Arial" w:eastAsia="Arial" w:hAnsi="Arial"/>
          <w:sz w:val="15"/>
          <w:szCs w:val="15"/>
          <w:u w:val="single" w:color="auto"/>
          <w:color w:val="0000FF"/>
        </w:rPr>
        <w:t xml:space="preserve"> </w:t>
      </w:r>
      <w:hyperlink r:id="rId81">
        <w:r>
          <w:rPr>
            <w:rFonts w:ascii="Arial" w:cs="Arial" w:eastAsia="Arial" w:hAnsi="Arial"/>
            <w:sz w:val="15"/>
            <w:szCs w:val="15"/>
            <w:u w:val="single" w:color="auto"/>
            <w:color w:val="0000FF"/>
          </w:rPr>
          <w:t>NRG RPV Holdco 1 LLC, dated as of March 1, 2016, by and between NRG Yield RPV</w:t>
        </w:r>
      </w:hyperlink>
      <w:r>
        <w:rPr>
          <w:rFonts w:ascii="Arial" w:cs="Arial" w:eastAsia="Arial" w:hAnsi="Arial"/>
          <w:sz w:val="15"/>
          <w:szCs w:val="15"/>
          <w:u w:val="single" w:color="auto"/>
          <w:color w:val="0000FF"/>
        </w:rPr>
        <w:t xml:space="preserve"> </w:t>
      </w:r>
      <w:hyperlink r:id="rId81">
        <w:r>
          <w:rPr>
            <w:rFonts w:ascii="Arial" w:cs="Arial" w:eastAsia="Arial" w:hAnsi="Arial"/>
            <w:sz w:val="15"/>
            <w:szCs w:val="15"/>
            <w:u w:val="single" w:color="auto"/>
            <w:color w:val="0000FF"/>
          </w:rPr>
          <w:t>Holding LLC and NRG Residential Solar Solutions LLC.</w:t>
        </w:r>
      </w:hyperlink>
    </w:p>
    <w:p>
      <w:pPr>
        <w:spacing w:after="0" w:line="85" w:lineRule="exact"/>
        <w:rPr>
          <w:rFonts w:ascii="Arial" w:cs="Arial" w:eastAsia="Arial" w:hAnsi="Arial"/>
          <w:sz w:val="15"/>
          <w:szCs w:val="15"/>
          <w:u w:val="single" w:color="auto"/>
          <w:color w:val="0000FF"/>
        </w:rPr>
      </w:pPr>
    </w:p>
    <w:p>
      <w:pPr>
        <w:spacing w:after="0" w:line="305" w:lineRule="auto"/>
        <w:rPr>
          <w:rFonts w:ascii="Arial" w:cs="Arial" w:eastAsia="Arial" w:hAnsi="Arial"/>
          <w:sz w:val="15"/>
          <w:szCs w:val="15"/>
          <w:u w:val="single" w:color="auto"/>
          <w:color w:val="0000FF"/>
        </w:rPr>
      </w:pPr>
      <w:hyperlink r:id="rId82">
        <w:r>
          <w:rPr>
            <w:rFonts w:ascii="Arial" w:cs="Arial" w:eastAsia="Arial" w:hAnsi="Arial"/>
            <w:sz w:val="15"/>
            <w:szCs w:val="15"/>
            <w:u w:val="single" w:color="auto"/>
            <w:color w:val="0000FF"/>
          </w:rPr>
          <w:t>Amendment No. 2 to Amended and Restated Limited Liability Company Agreement of</w:t>
        </w:r>
      </w:hyperlink>
      <w:r>
        <w:rPr>
          <w:rFonts w:ascii="Arial" w:cs="Arial" w:eastAsia="Arial" w:hAnsi="Arial"/>
          <w:sz w:val="15"/>
          <w:szCs w:val="15"/>
          <w:u w:val="single" w:color="auto"/>
          <w:color w:val="0000FF"/>
        </w:rPr>
        <w:t xml:space="preserve"> </w:t>
      </w:r>
      <w:hyperlink r:id="rId82">
        <w:r>
          <w:rPr>
            <w:rFonts w:ascii="Arial" w:cs="Arial" w:eastAsia="Arial" w:hAnsi="Arial"/>
            <w:sz w:val="15"/>
            <w:szCs w:val="15"/>
            <w:u w:val="single" w:color="auto"/>
            <w:color w:val="0000FF"/>
          </w:rPr>
          <w:t>NRG DGPV Holdco 1 LLC, dated as of March 1, 2016, by and among NRG Yield DGPV</w:t>
        </w:r>
      </w:hyperlink>
      <w:r>
        <w:rPr>
          <w:rFonts w:ascii="Arial" w:cs="Arial" w:eastAsia="Arial" w:hAnsi="Arial"/>
          <w:sz w:val="15"/>
          <w:szCs w:val="15"/>
          <w:u w:val="single" w:color="auto"/>
          <w:color w:val="0000FF"/>
        </w:rPr>
        <w:t xml:space="preserve"> </w:t>
      </w:r>
      <w:hyperlink r:id="rId82">
        <w:r>
          <w:rPr>
            <w:rFonts w:ascii="Arial" w:cs="Arial" w:eastAsia="Arial" w:hAnsi="Arial"/>
            <w:sz w:val="15"/>
            <w:szCs w:val="15"/>
            <w:u w:val="single" w:color="auto"/>
            <w:color w:val="0000FF"/>
          </w:rPr>
          <w:t>Holding LLC, NRG Renew DG Holdings LLC and NRG Renew LLC.</w:t>
        </w:r>
      </w:hyperlink>
    </w:p>
    <w:p>
      <w:pPr>
        <w:spacing w:after="0" w:line="166" w:lineRule="exact"/>
        <w:rPr>
          <w:rFonts w:ascii="Arial" w:cs="Arial" w:eastAsia="Arial" w:hAnsi="Arial"/>
          <w:sz w:val="15"/>
          <w:szCs w:val="15"/>
          <w:u w:val="single" w:color="auto"/>
          <w:color w:val="0000FF"/>
        </w:rPr>
      </w:pPr>
    </w:p>
    <w:p>
      <w:pPr>
        <w:ind w:right="80"/>
        <w:spacing w:after="0" w:line="278" w:lineRule="auto"/>
        <w:rPr>
          <w:rFonts w:ascii="Arial" w:cs="Arial" w:eastAsia="Arial" w:hAnsi="Arial"/>
          <w:sz w:val="16"/>
          <w:szCs w:val="16"/>
          <w:u w:val="single" w:color="auto"/>
          <w:color w:val="0000FF"/>
        </w:rPr>
      </w:pPr>
      <w:hyperlink r:id="rId83">
        <w:r>
          <w:rPr>
            <w:rFonts w:ascii="Arial" w:cs="Arial" w:eastAsia="Arial" w:hAnsi="Arial"/>
            <w:sz w:val="16"/>
            <w:szCs w:val="16"/>
            <w:u w:val="single" w:color="auto"/>
            <w:color w:val="0000FF"/>
          </w:rPr>
          <w:t>Amended and Restated Limited Liability Company Agreement of NRG DGPV Holdco 2</w:t>
        </w:r>
      </w:hyperlink>
      <w:r>
        <w:rPr>
          <w:rFonts w:ascii="Arial" w:cs="Arial" w:eastAsia="Arial" w:hAnsi="Arial"/>
          <w:sz w:val="16"/>
          <w:szCs w:val="16"/>
          <w:u w:val="single" w:color="auto"/>
          <w:color w:val="0000FF"/>
        </w:rPr>
        <w:t xml:space="preserve"> </w:t>
      </w:r>
      <w:hyperlink r:id="rId83">
        <w:r>
          <w:rPr>
            <w:rFonts w:ascii="Arial" w:cs="Arial" w:eastAsia="Arial" w:hAnsi="Arial"/>
            <w:sz w:val="16"/>
            <w:szCs w:val="16"/>
            <w:u w:val="single" w:color="auto"/>
            <w:color w:val="0000FF"/>
          </w:rPr>
          <w:t>LLC, dated as of March 1, 2016, by and among NRG Yield DGPV Holding LLC, NRG</w:t>
        </w:r>
      </w:hyperlink>
      <w:r>
        <w:rPr>
          <w:rFonts w:ascii="Arial" w:cs="Arial" w:eastAsia="Arial" w:hAnsi="Arial"/>
          <w:sz w:val="16"/>
          <w:szCs w:val="16"/>
          <w:u w:val="single" w:color="auto"/>
          <w:color w:val="0000FF"/>
        </w:rPr>
        <w:t xml:space="preserve"> </w:t>
      </w:r>
      <w:hyperlink r:id="rId83">
        <w:r>
          <w:rPr>
            <w:rFonts w:ascii="Arial" w:cs="Arial" w:eastAsia="Arial" w:hAnsi="Arial"/>
            <w:sz w:val="16"/>
            <w:szCs w:val="16"/>
            <w:u w:val="single" w:color="auto"/>
            <w:color w:val="0000FF"/>
          </w:rPr>
          <w:t>Renew DG Holdings LLC, and NRG Renew LLC.</w:t>
        </w:r>
      </w:hyperlink>
    </w:p>
    <w:p>
      <w:pPr>
        <w:spacing w:after="0" w:line="184" w:lineRule="exact"/>
        <w:rPr>
          <w:rFonts w:ascii="Arial" w:cs="Arial" w:eastAsia="Arial" w:hAnsi="Arial"/>
          <w:sz w:val="16"/>
          <w:szCs w:val="16"/>
          <w:u w:val="single" w:color="auto"/>
          <w:color w:val="0000FF"/>
        </w:rPr>
      </w:pPr>
    </w:p>
    <w:p>
      <w:pPr>
        <w:jc w:val="both"/>
        <w:ind w:right="120"/>
        <w:spacing w:after="0" w:line="305" w:lineRule="auto"/>
        <w:rPr>
          <w:rFonts w:ascii="Arial" w:cs="Arial" w:eastAsia="Arial" w:hAnsi="Arial"/>
          <w:sz w:val="15"/>
          <w:szCs w:val="15"/>
          <w:u w:val="single" w:color="auto"/>
          <w:color w:val="0000FF"/>
        </w:rPr>
      </w:pPr>
      <w:hyperlink r:id="rId84">
        <w:r>
          <w:rPr>
            <w:rFonts w:ascii="Arial" w:cs="Arial" w:eastAsia="Arial" w:hAnsi="Arial"/>
            <w:sz w:val="15"/>
            <w:szCs w:val="15"/>
            <w:u w:val="single" w:color="auto"/>
            <w:color w:val="0000FF"/>
          </w:rPr>
          <w:t>Amendment No. 2 to Amended and Restated Limited Liability Company Agreement of</w:t>
        </w:r>
      </w:hyperlink>
      <w:r>
        <w:rPr>
          <w:rFonts w:ascii="Arial" w:cs="Arial" w:eastAsia="Arial" w:hAnsi="Arial"/>
          <w:sz w:val="15"/>
          <w:szCs w:val="15"/>
          <w:u w:val="single" w:color="auto"/>
          <w:color w:val="0000FF"/>
        </w:rPr>
        <w:t xml:space="preserve"> </w:t>
      </w:r>
      <w:hyperlink r:id="rId84">
        <w:r>
          <w:rPr>
            <w:rFonts w:ascii="Arial" w:cs="Arial" w:eastAsia="Arial" w:hAnsi="Arial"/>
            <w:sz w:val="15"/>
            <w:szCs w:val="15"/>
            <w:u w:val="single" w:color="auto"/>
            <w:color w:val="0000FF"/>
          </w:rPr>
          <w:t>NRG RPV Holdco 1 LLC, dated as of August 5, 2016, by and between NRG Yield RPV</w:t>
        </w:r>
      </w:hyperlink>
      <w:r>
        <w:rPr>
          <w:rFonts w:ascii="Arial" w:cs="Arial" w:eastAsia="Arial" w:hAnsi="Arial"/>
          <w:sz w:val="15"/>
          <w:szCs w:val="15"/>
          <w:u w:val="single" w:color="auto"/>
          <w:color w:val="0000FF"/>
        </w:rPr>
        <w:t xml:space="preserve"> </w:t>
      </w:r>
      <w:hyperlink r:id="rId84">
        <w:r>
          <w:rPr>
            <w:rFonts w:ascii="Arial" w:cs="Arial" w:eastAsia="Arial" w:hAnsi="Arial"/>
            <w:sz w:val="15"/>
            <w:szCs w:val="15"/>
            <w:u w:val="single" w:color="auto"/>
            <w:color w:val="0000FF"/>
          </w:rPr>
          <w:t>Holding LLC and NRG Residential Solar Solutions LLC.</w:t>
        </w:r>
      </w:hyperlink>
    </w:p>
    <w:p>
      <w:pPr>
        <w:spacing w:after="0" w:line="207" w:lineRule="exact"/>
        <w:rPr>
          <w:rFonts w:ascii="Arial" w:cs="Arial" w:eastAsia="Arial" w:hAnsi="Arial"/>
          <w:sz w:val="15"/>
          <w:szCs w:val="15"/>
          <w:u w:val="single" w:color="auto"/>
          <w:color w:val="0000FF"/>
        </w:rPr>
      </w:pPr>
    </w:p>
    <w:p>
      <w:pPr>
        <w:ind w:right="600"/>
        <w:spacing w:after="0" w:line="293" w:lineRule="auto"/>
        <w:rPr>
          <w:rFonts w:ascii="Arial" w:cs="Arial" w:eastAsia="Arial" w:hAnsi="Arial"/>
          <w:sz w:val="16"/>
          <w:szCs w:val="16"/>
          <w:u w:val="single" w:color="auto"/>
          <w:color w:val="0000FF"/>
        </w:rPr>
      </w:pPr>
      <w:hyperlink r:id="rId85">
        <w:r>
          <w:rPr>
            <w:rFonts w:ascii="Arial" w:cs="Arial" w:eastAsia="Arial" w:hAnsi="Arial"/>
            <w:sz w:val="16"/>
            <w:szCs w:val="16"/>
            <w:u w:val="single" w:color="auto"/>
            <w:color w:val="0000FF"/>
          </w:rPr>
          <w:t>Employment Agreement, dated as of May 6, 2016, between NRG Yield, Inc. and</w:t>
        </w:r>
      </w:hyperlink>
      <w:r>
        <w:rPr>
          <w:rFonts w:ascii="Arial" w:cs="Arial" w:eastAsia="Arial" w:hAnsi="Arial"/>
          <w:sz w:val="16"/>
          <w:szCs w:val="16"/>
          <w:u w:val="single" w:color="auto"/>
          <w:color w:val="0000FF"/>
        </w:rPr>
        <w:t xml:space="preserve"> </w:t>
      </w:r>
      <w:hyperlink r:id="rId85">
        <w:r>
          <w:rPr>
            <w:rFonts w:ascii="Arial" w:cs="Arial" w:eastAsia="Arial" w:hAnsi="Arial"/>
            <w:sz w:val="16"/>
            <w:szCs w:val="16"/>
            <w:u w:val="single" w:color="auto"/>
            <w:color w:val="0000FF"/>
          </w:rPr>
          <w:t>Christopher S. Sotos.</w:t>
        </w:r>
      </w:hyperlink>
    </w:p>
    <w:p>
      <w:pPr>
        <w:spacing w:after="0" w:line="375" w:lineRule="exact"/>
        <w:rPr>
          <w:sz w:val="20"/>
          <w:szCs w:val="20"/>
          <w:color w:val="auto"/>
        </w:rPr>
      </w:pPr>
    </w:p>
    <w:p>
      <w:pPr>
        <w:spacing w:after="0"/>
        <w:rPr>
          <w:rFonts w:ascii="Arial" w:cs="Arial" w:eastAsia="Arial" w:hAnsi="Arial"/>
          <w:sz w:val="14"/>
          <w:szCs w:val="14"/>
          <w:u w:val="single" w:color="auto"/>
          <w:color w:val="0000FF"/>
        </w:rPr>
      </w:pPr>
      <w:hyperlink r:id="rId86">
        <w:r>
          <w:rPr>
            <w:rFonts w:ascii="Arial" w:cs="Arial" w:eastAsia="Arial" w:hAnsi="Arial"/>
            <w:sz w:val="14"/>
            <w:szCs w:val="14"/>
            <w:u w:val="single" w:color="auto"/>
            <w:color w:val="0000FF"/>
          </w:rPr>
          <w:t>Amendment, dated January 1, 2018 to Employment Agreement between NRG Yield, Inc.</w:t>
        </w:r>
      </w:hyperlink>
    </w:p>
    <w:p>
      <w:pPr>
        <w:spacing w:after="0" w:line="45" w:lineRule="exact"/>
        <w:rPr>
          <w:sz w:val="20"/>
          <w:szCs w:val="20"/>
          <w:color w:val="auto"/>
        </w:rPr>
      </w:pPr>
    </w:p>
    <w:p>
      <w:pPr>
        <w:spacing w:after="0"/>
        <w:rPr>
          <w:rFonts w:ascii="Arial" w:cs="Arial" w:eastAsia="Arial" w:hAnsi="Arial"/>
          <w:sz w:val="16"/>
          <w:szCs w:val="16"/>
          <w:u w:val="single" w:color="auto"/>
          <w:color w:val="0000FF"/>
        </w:rPr>
      </w:pPr>
      <w:hyperlink r:id="rId86">
        <w:r>
          <w:rPr>
            <w:rFonts w:ascii="Arial" w:cs="Arial" w:eastAsia="Arial" w:hAnsi="Arial"/>
            <w:sz w:val="16"/>
            <w:szCs w:val="16"/>
            <w:u w:val="single" w:color="auto"/>
            <w:color w:val="0000FF"/>
          </w:rPr>
          <w:t>and Christopher Sotos.</w:t>
        </w:r>
      </w:hyperlink>
    </w:p>
    <w:p>
      <w:pPr>
        <w:spacing w:after="0" w:line="200" w:lineRule="exact"/>
        <w:rPr>
          <w:sz w:val="20"/>
          <w:szCs w:val="20"/>
          <w:color w:val="auto"/>
        </w:rPr>
      </w:pPr>
    </w:p>
    <w:p>
      <w:pPr>
        <w:spacing w:after="0" w:line="233" w:lineRule="exact"/>
        <w:rPr>
          <w:sz w:val="20"/>
          <w:szCs w:val="20"/>
          <w:color w:val="auto"/>
        </w:rPr>
      </w:pPr>
    </w:p>
    <w:p>
      <w:pPr>
        <w:ind w:right="580"/>
        <w:spacing w:after="0" w:line="293" w:lineRule="auto"/>
        <w:rPr>
          <w:rFonts w:ascii="Arial" w:cs="Arial" w:eastAsia="Arial" w:hAnsi="Arial"/>
          <w:sz w:val="16"/>
          <w:szCs w:val="16"/>
          <w:u w:val="single" w:color="auto"/>
          <w:color w:val="0000FF"/>
        </w:rPr>
      </w:pPr>
      <w:hyperlink r:id="rId87">
        <w:r>
          <w:rPr>
            <w:rFonts w:ascii="Arial" w:cs="Arial" w:eastAsia="Arial" w:hAnsi="Arial"/>
            <w:sz w:val="16"/>
            <w:szCs w:val="16"/>
            <w:u w:val="single" w:color="auto"/>
            <w:color w:val="0000FF"/>
          </w:rPr>
          <w:t>Form of Clearway Energy, Inc. 2013 Equity Incentive Plan Restricted Stock Unit</w:t>
        </w:r>
      </w:hyperlink>
      <w:r>
        <w:rPr>
          <w:rFonts w:ascii="Arial" w:cs="Arial" w:eastAsia="Arial" w:hAnsi="Arial"/>
          <w:sz w:val="16"/>
          <w:szCs w:val="16"/>
          <w:u w:val="single" w:color="auto"/>
          <w:color w:val="0000FF"/>
        </w:rPr>
        <w:t xml:space="preserve"> </w:t>
      </w:r>
      <w:hyperlink r:id="rId87">
        <w:r>
          <w:rPr>
            <w:rFonts w:ascii="Arial" w:cs="Arial" w:eastAsia="Arial" w:hAnsi="Arial"/>
            <w:sz w:val="16"/>
            <w:szCs w:val="16"/>
            <w:u w:val="single" w:color="auto"/>
            <w:color w:val="0000FF"/>
          </w:rPr>
          <w:t>Agreement for Officers.</w:t>
        </w:r>
      </w:hyperlink>
    </w:p>
    <w:p>
      <w:pPr>
        <w:spacing w:after="0" w:line="213" w:lineRule="exact"/>
        <w:rPr>
          <w:sz w:val="20"/>
          <w:szCs w:val="20"/>
          <w:color w:val="auto"/>
        </w:rPr>
      </w:pPr>
    </w:p>
    <w:p>
      <w:pPr>
        <w:ind w:right="580"/>
        <w:spacing w:after="0" w:line="293" w:lineRule="auto"/>
        <w:rPr>
          <w:rFonts w:ascii="Arial" w:cs="Arial" w:eastAsia="Arial" w:hAnsi="Arial"/>
          <w:sz w:val="16"/>
          <w:szCs w:val="16"/>
          <w:u w:val="single" w:color="auto"/>
          <w:color w:val="0000FF"/>
        </w:rPr>
      </w:pPr>
      <w:hyperlink r:id="rId88">
        <w:r>
          <w:rPr>
            <w:rFonts w:ascii="Arial" w:cs="Arial" w:eastAsia="Arial" w:hAnsi="Arial"/>
            <w:sz w:val="16"/>
            <w:szCs w:val="16"/>
            <w:u w:val="single" w:color="auto"/>
            <w:color w:val="0000FF"/>
          </w:rPr>
          <w:t>Form of Clearway Energy, Inc. 2013 Equity Incentive Plan Restricted Stock Unit</w:t>
        </w:r>
      </w:hyperlink>
      <w:r>
        <w:rPr>
          <w:rFonts w:ascii="Arial" w:cs="Arial" w:eastAsia="Arial" w:hAnsi="Arial"/>
          <w:sz w:val="16"/>
          <w:szCs w:val="16"/>
          <w:u w:val="single" w:color="auto"/>
          <w:color w:val="0000FF"/>
        </w:rPr>
        <w:t xml:space="preserve"> </w:t>
      </w:r>
      <w:hyperlink r:id="rId88">
        <w:r>
          <w:rPr>
            <w:rFonts w:ascii="Arial" w:cs="Arial" w:eastAsia="Arial" w:hAnsi="Arial"/>
            <w:sz w:val="16"/>
            <w:szCs w:val="16"/>
            <w:u w:val="single" w:color="auto"/>
            <w:color w:val="0000FF"/>
          </w:rPr>
          <w:t>Agreement for Non-officers.</w:t>
        </w:r>
      </w:hyperlink>
    </w:p>
    <w:p>
      <w:pPr>
        <w:spacing w:after="0" w:line="213" w:lineRule="exact"/>
        <w:rPr>
          <w:sz w:val="20"/>
          <w:szCs w:val="20"/>
          <w:color w:val="auto"/>
        </w:rPr>
      </w:pPr>
    </w:p>
    <w:p>
      <w:pPr>
        <w:ind w:right="160"/>
        <w:spacing w:after="0" w:line="293" w:lineRule="auto"/>
        <w:rPr>
          <w:rFonts w:ascii="Arial" w:cs="Arial" w:eastAsia="Arial" w:hAnsi="Arial"/>
          <w:sz w:val="16"/>
          <w:szCs w:val="16"/>
          <w:u w:val="single" w:color="auto"/>
          <w:color w:val="0000FF"/>
        </w:rPr>
      </w:pPr>
      <w:hyperlink r:id="rId89">
        <w:r>
          <w:rPr>
            <w:rFonts w:ascii="Arial" w:cs="Arial" w:eastAsia="Arial" w:hAnsi="Arial"/>
            <w:sz w:val="16"/>
            <w:szCs w:val="16"/>
            <w:u w:val="single" w:color="auto"/>
            <w:color w:val="0000FF"/>
          </w:rPr>
          <w:t>Form of Clearway Energy, Inc. 2013 Equity Incentive Plan Relative Performance Stock</w:t>
        </w:r>
      </w:hyperlink>
      <w:r>
        <w:rPr>
          <w:rFonts w:ascii="Arial" w:cs="Arial" w:eastAsia="Arial" w:hAnsi="Arial"/>
          <w:sz w:val="16"/>
          <w:szCs w:val="16"/>
          <w:u w:val="single" w:color="auto"/>
          <w:color w:val="0000FF"/>
        </w:rPr>
        <w:t xml:space="preserve"> </w:t>
      </w:r>
      <w:hyperlink r:id="rId89">
        <w:r>
          <w:rPr>
            <w:rFonts w:ascii="Arial" w:cs="Arial" w:eastAsia="Arial" w:hAnsi="Arial"/>
            <w:sz w:val="16"/>
            <w:szCs w:val="16"/>
            <w:u w:val="single" w:color="auto"/>
            <w:color w:val="0000FF"/>
          </w:rPr>
          <w:t>Unit Agreement.</w:t>
        </w:r>
      </w:hyperlink>
    </w:p>
    <w:p>
      <w:pPr>
        <w:spacing w:after="0" w:line="213" w:lineRule="exact"/>
        <w:rPr>
          <w:sz w:val="20"/>
          <w:szCs w:val="20"/>
          <w:color w:val="auto"/>
        </w:rPr>
      </w:pPr>
    </w:p>
    <w:p>
      <w:pPr>
        <w:spacing w:after="0"/>
        <w:rPr>
          <w:rFonts w:ascii="Arial" w:cs="Arial" w:eastAsia="Arial" w:hAnsi="Arial"/>
          <w:sz w:val="16"/>
          <w:szCs w:val="16"/>
          <w:u w:val="single" w:color="auto"/>
          <w:color w:val="0000FF"/>
        </w:rPr>
      </w:pPr>
      <w:hyperlink r:id="rId90">
        <w:r>
          <w:rPr>
            <w:rFonts w:ascii="Arial" w:cs="Arial" w:eastAsia="Arial" w:hAnsi="Arial"/>
            <w:sz w:val="16"/>
            <w:szCs w:val="16"/>
            <w:u w:val="single" w:color="auto"/>
            <w:color w:val="0000FF"/>
          </w:rPr>
          <w:t>Clearway Energy, Inc. Annual Incentive Plan.</w:t>
        </w:r>
      </w:hyperlink>
    </w:p>
    <w:p>
      <w:pPr>
        <w:spacing w:after="0" w:line="20" w:lineRule="exact"/>
        <w:rPr>
          <w:sz w:val="20"/>
          <w:szCs w:val="20"/>
          <w:color w:val="auto"/>
        </w:rPr>
      </w:pPr>
      <w:r>
        <w:rPr>
          <w:sz w:val="20"/>
          <w:szCs w:val="20"/>
          <w:color w:val="auto"/>
        </w:rPr>
        <w:br w:type="column"/>
      </w:r>
    </w:p>
    <w:p>
      <w:pPr>
        <w:ind w:right="240"/>
        <w:spacing w:after="0" w:line="278" w:lineRule="auto"/>
        <w:rPr>
          <w:sz w:val="20"/>
          <w:szCs w:val="20"/>
          <w:color w:val="auto"/>
        </w:rPr>
      </w:pPr>
      <w:r>
        <w:rPr>
          <w:rFonts w:ascii="Arial" w:cs="Arial" w:eastAsia="Arial" w:hAnsi="Arial"/>
          <w:sz w:val="16"/>
          <w:szCs w:val="16"/>
          <w:color w:val="auto"/>
        </w:rPr>
        <w:t>Incorporated herein by reference to Exhibit 10.8 to the Company's Quarterly Report on Form 10-Q filed on August 4, 2015.</w:t>
      </w:r>
    </w:p>
    <w:p>
      <w:pPr>
        <w:spacing w:after="0" w:line="225" w:lineRule="exact"/>
        <w:rPr>
          <w:sz w:val="20"/>
          <w:szCs w:val="20"/>
          <w:color w:val="auto"/>
        </w:rPr>
      </w:pPr>
    </w:p>
    <w:p>
      <w:pPr>
        <w:ind w:right="240"/>
        <w:spacing w:after="0" w:line="278" w:lineRule="auto"/>
        <w:rPr>
          <w:sz w:val="20"/>
          <w:szCs w:val="20"/>
          <w:color w:val="auto"/>
        </w:rPr>
      </w:pPr>
      <w:r>
        <w:rPr>
          <w:rFonts w:ascii="Arial" w:cs="Arial" w:eastAsia="Arial" w:hAnsi="Arial"/>
          <w:sz w:val="16"/>
          <w:szCs w:val="16"/>
          <w:color w:val="auto"/>
        </w:rPr>
        <w:t>Incorporated herein by reference to Exhibit 10.5 to the Company's Quarterly Report on Form 10-Q filed on August 7, 2014.</w:t>
      </w:r>
    </w:p>
    <w:p>
      <w:pPr>
        <w:spacing w:after="0" w:line="22" w:lineRule="exact"/>
        <w:rPr>
          <w:sz w:val="20"/>
          <w:szCs w:val="20"/>
          <w:color w:val="auto"/>
        </w:rPr>
      </w:pPr>
    </w:p>
    <w:p>
      <w:pPr>
        <w:ind w:right="240"/>
        <w:spacing w:after="0" w:line="278" w:lineRule="auto"/>
        <w:rPr>
          <w:sz w:val="20"/>
          <w:szCs w:val="20"/>
          <w:color w:val="auto"/>
        </w:rPr>
      </w:pPr>
      <w:r>
        <w:rPr>
          <w:rFonts w:ascii="Arial" w:cs="Arial" w:eastAsia="Arial" w:hAnsi="Arial"/>
          <w:sz w:val="16"/>
          <w:szCs w:val="16"/>
          <w:color w:val="auto"/>
        </w:rPr>
        <w:t>Incorporated herein by reference to Exhibit 10.6 to the Company's Quarterly Report on Form 10-Q filed on August 7, 2014.</w:t>
      </w:r>
    </w:p>
    <w:p>
      <w:pPr>
        <w:spacing w:after="0" w:line="225" w:lineRule="exact"/>
        <w:rPr>
          <w:sz w:val="20"/>
          <w:szCs w:val="20"/>
          <w:color w:val="auto"/>
        </w:rPr>
      </w:pPr>
    </w:p>
    <w:p>
      <w:pPr>
        <w:ind w:right="240"/>
        <w:spacing w:after="0" w:line="278" w:lineRule="auto"/>
        <w:rPr>
          <w:sz w:val="20"/>
          <w:szCs w:val="20"/>
          <w:color w:val="auto"/>
        </w:rPr>
      </w:pPr>
      <w:r>
        <w:rPr>
          <w:rFonts w:ascii="Arial" w:cs="Arial" w:eastAsia="Arial" w:hAnsi="Arial"/>
          <w:sz w:val="16"/>
          <w:szCs w:val="16"/>
          <w:color w:val="auto"/>
        </w:rPr>
        <w:t>Incorporated herein by reference to Exhibit 10.1 to the Company's Quarterly Report on Form 10-Q filed on August 4, 2015.</w:t>
      </w:r>
    </w:p>
    <w:p>
      <w:pPr>
        <w:spacing w:after="0" w:line="184" w:lineRule="exact"/>
        <w:rPr>
          <w:sz w:val="20"/>
          <w:szCs w:val="20"/>
          <w:color w:val="auto"/>
        </w:rPr>
      </w:pPr>
    </w:p>
    <w:p>
      <w:pPr>
        <w:ind w:right="240"/>
        <w:spacing w:after="0" w:line="278" w:lineRule="auto"/>
        <w:rPr>
          <w:sz w:val="20"/>
          <w:szCs w:val="20"/>
          <w:color w:val="auto"/>
        </w:rPr>
      </w:pPr>
      <w:r>
        <w:rPr>
          <w:rFonts w:ascii="Arial" w:cs="Arial" w:eastAsia="Arial" w:hAnsi="Arial"/>
          <w:sz w:val="16"/>
          <w:szCs w:val="16"/>
          <w:color w:val="auto"/>
        </w:rPr>
        <w:t>Incorporated herein by reference to Exhibit 10.2 to the Company's Quarterly Report on Form 10-Q filed on August 4, 2015.</w:t>
      </w:r>
    </w:p>
    <w:p>
      <w:pPr>
        <w:spacing w:after="0" w:line="22" w:lineRule="exact"/>
        <w:rPr>
          <w:sz w:val="20"/>
          <w:szCs w:val="20"/>
          <w:color w:val="auto"/>
        </w:rPr>
      </w:pPr>
    </w:p>
    <w:p>
      <w:pPr>
        <w:spacing w:after="0" w:line="369" w:lineRule="auto"/>
        <w:rPr>
          <w:sz w:val="20"/>
          <w:szCs w:val="20"/>
          <w:color w:val="auto"/>
        </w:rPr>
      </w:pPr>
      <w:r>
        <w:rPr>
          <w:rFonts w:ascii="Arial" w:cs="Arial" w:eastAsia="Arial" w:hAnsi="Arial"/>
          <w:sz w:val="14"/>
          <w:szCs w:val="14"/>
          <w:color w:val="auto"/>
        </w:rPr>
        <w:t>Incorporated herein by reference to Exhibit 10.1 to the Company's Quarterly Report on Form 10-Q filed on May 5, 2016.</w:t>
      </w:r>
    </w:p>
    <w:p>
      <w:pPr>
        <w:spacing w:after="0" w:line="167" w:lineRule="exact"/>
        <w:rPr>
          <w:sz w:val="20"/>
          <w:szCs w:val="20"/>
          <w:color w:val="auto"/>
        </w:rPr>
      </w:pPr>
    </w:p>
    <w:p>
      <w:pPr>
        <w:spacing w:after="0" w:line="369" w:lineRule="auto"/>
        <w:rPr>
          <w:sz w:val="20"/>
          <w:szCs w:val="20"/>
          <w:color w:val="auto"/>
        </w:rPr>
      </w:pPr>
      <w:r>
        <w:rPr>
          <w:rFonts w:ascii="Arial" w:cs="Arial" w:eastAsia="Arial" w:hAnsi="Arial"/>
          <w:sz w:val="14"/>
          <w:szCs w:val="14"/>
          <w:color w:val="auto"/>
        </w:rPr>
        <w:t>Incorporated herein by reference to Exhibit 10.2 to the Company's Quarterly Report on Form 10-Q filed on May 5, 2016.</w:t>
      </w:r>
    </w:p>
    <w:p>
      <w:pPr>
        <w:spacing w:after="0" w:line="329" w:lineRule="exact"/>
        <w:rPr>
          <w:sz w:val="20"/>
          <w:szCs w:val="20"/>
          <w:color w:val="auto"/>
        </w:rPr>
      </w:pPr>
    </w:p>
    <w:p>
      <w:pPr>
        <w:spacing w:after="0" w:line="369" w:lineRule="auto"/>
        <w:rPr>
          <w:sz w:val="20"/>
          <w:szCs w:val="20"/>
          <w:color w:val="auto"/>
        </w:rPr>
      </w:pPr>
      <w:r>
        <w:rPr>
          <w:rFonts w:ascii="Arial" w:cs="Arial" w:eastAsia="Arial" w:hAnsi="Arial"/>
          <w:sz w:val="14"/>
          <w:szCs w:val="14"/>
          <w:color w:val="auto"/>
        </w:rPr>
        <w:t>Incorporated herein by reference to Exhibit 10.3 to the Company's Quarterly Report on Form 10-Q filed on May 5, 2016.</w:t>
      </w:r>
    </w:p>
    <w:p>
      <w:pPr>
        <w:spacing w:after="0" w:line="329" w:lineRule="exact"/>
        <w:rPr>
          <w:sz w:val="20"/>
          <w:szCs w:val="20"/>
          <w:color w:val="auto"/>
        </w:rPr>
      </w:pPr>
    </w:p>
    <w:p>
      <w:pPr>
        <w:ind w:right="240"/>
        <w:spacing w:after="0" w:line="278" w:lineRule="auto"/>
        <w:rPr>
          <w:sz w:val="20"/>
          <w:szCs w:val="20"/>
          <w:color w:val="auto"/>
        </w:rPr>
      </w:pPr>
      <w:r>
        <w:rPr>
          <w:rFonts w:ascii="Arial" w:cs="Arial" w:eastAsia="Arial" w:hAnsi="Arial"/>
          <w:sz w:val="16"/>
          <w:szCs w:val="16"/>
          <w:color w:val="auto"/>
        </w:rPr>
        <w:t>Incorporated herein by reference to Exhibit 10.1 to the Company's Quarterly Report on Form 10-Q filed on August 9, 2016.</w:t>
      </w:r>
    </w:p>
    <w:p>
      <w:pPr>
        <w:spacing w:after="0" w:line="306" w:lineRule="exact"/>
        <w:rPr>
          <w:sz w:val="20"/>
          <w:szCs w:val="20"/>
          <w:color w:val="auto"/>
        </w:rPr>
      </w:pPr>
    </w:p>
    <w:p>
      <w:pPr>
        <w:ind w:right="240"/>
        <w:spacing w:after="0" w:line="278" w:lineRule="auto"/>
        <w:rPr>
          <w:sz w:val="20"/>
          <w:szCs w:val="20"/>
          <w:color w:val="auto"/>
        </w:rPr>
      </w:pPr>
      <w:r>
        <w:rPr>
          <w:rFonts w:ascii="Arial" w:cs="Arial" w:eastAsia="Arial" w:hAnsi="Arial"/>
          <w:sz w:val="16"/>
          <w:szCs w:val="16"/>
          <w:color w:val="auto"/>
        </w:rPr>
        <w:t>Incorporated herein by reference to Exhibit 10.1 to the Company's Current Report on Form 8-K/A, filed on August 9, 2016.</w:t>
      </w:r>
    </w:p>
    <w:p>
      <w:pPr>
        <w:spacing w:after="0" w:line="103" w:lineRule="exact"/>
        <w:rPr>
          <w:sz w:val="20"/>
          <w:szCs w:val="20"/>
          <w:color w:val="auto"/>
        </w:rPr>
      </w:pPr>
    </w:p>
    <w:p>
      <w:pPr>
        <w:ind w:right="20"/>
        <w:spacing w:after="0" w:line="369" w:lineRule="auto"/>
        <w:rPr>
          <w:sz w:val="20"/>
          <w:szCs w:val="20"/>
          <w:color w:val="auto"/>
        </w:rPr>
      </w:pPr>
      <w:r>
        <w:rPr>
          <w:rFonts w:ascii="Arial" w:cs="Arial" w:eastAsia="Arial" w:hAnsi="Arial"/>
          <w:sz w:val="14"/>
          <w:szCs w:val="14"/>
          <w:color w:val="auto"/>
        </w:rPr>
        <w:t>Incorporated herein by reference to Exhibit 10.28 to the Company's Annual Report on Form 10-K filed on March 1, 2018.</w:t>
      </w:r>
    </w:p>
    <w:p>
      <w:pPr>
        <w:spacing w:after="0" w:line="329" w:lineRule="exact"/>
        <w:rPr>
          <w:sz w:val="20"/>
          <w:szCs w:val="20"/>
          <w:color w:val="auto"/>
        </w:rPr>
      </w:pPr>
    </w:p>
    <w:p>
      <w:pPr>
        <w:ind w:right="180"/>
        <w:spacing w:after="0" w:line="278" w:lineRule="auto"/>
        <w:rPr>
          <w:sz w:val="20"/>
          <w:szCs w:val="20"/>
          <w:color w:val="auto"/>
        </w:rPr>
      </w:pPr>
      <w:r>
        <w:rPr>
          <w:rFonts w:ascii="Arial" w:cs="Arial" w:eastAsia="Arial" w:hAnsi="Arial"/>
          <w:sz w:val="16"/>
          <w:szCs w:val="16"/>
          <w:color w:val="auto"/>
        </w:rPr>
        <w:t>Incorporated herein by reference to Exhibit 10.22 to the Company's Annual Report on Form 10-K filed on February 28, 2019.</w:t>
      </w:r>
    </w:p>
    <w:p>
      <w:pPr>
        <w:spacing w:after="0" w:line="22" w:lineRule="exact"/>
        <w:rPr>
          <w:sz w:val="20"/>
          <w:szCs w:val="20"/>
          <w:color w:val="auto"/>
        </w:rPr>
      </w:pPr>
    </w:p>
    <w:p>
      <w:pPr>
        <w:ind w:right="180"/>
        <w:spacing w:after="0" w:line="278" w:lineRule="auto"/>
        <w:rPr>
          <w:sz w:val="20"/>
          <w:szCs w:val="20"/>
          <w:color w:val="auto"/>
        </w:rPr>
      </w:pPr>
      <w:r>
        <w:rPr>
          <w:rFonts w:ascii="Arial" w:cs="Arial" w:eastAsia="Arial" w:hAnsi="Arial"/>
          <w:sz w:val="16"/>
          <w:szCs w:val="16"/>
          <w:color w:val="auto"/>
        </w:rPr>
        <w:t>Incorporated herein by reference to Exhibit 10.23 to the Company's Annual Report on Form 10-K filed on February 28, 2019.</w:t>
      </w:r>
    </w:p>
    <w:p>
      <w:pPr>
        <w:spacing w:after="0" w:line="22" w:lineRule="exact"/>
        <w:rPr>
          <w:sz w:val="20"/>
          <w:szCs w:val="20"/>
          <w:color w:val="auto"/>
        </w:rPr>
      </w:pPr>
    </w:p>
    <w:p>
      <w:pPr>
        <w:ind w:right="180"/>
        <w:spacing w:after="0" w:line="278" w:lineRule="auto"/>
        <w:rPr>
          <w:sz w:val="20"/>
          <w:szCs w:val="20"/>
          <w:color w:val="auto"/>
        </w:rPr>
      </w:pPr>
      <w:r>
        <w:rPr>
          <w:rFonts w:ascii="Arial" w:cs="Arial" w:eastAsia="Arial" w:hAnsi="Arial"/>
          <w:sz w:val="16"/>
          <w:szCs w:val="16"/>
          <w:color w:val="auto"/>
        </w:rPr>
        <w:t>Incorporated herein by reference to Exhibit 10.24 to the Company's Annual Report on Form 10-K filed on February 28, 2019.</w:t>
      </w:r>
    </w:p>
    <w:p>
      <w:pPr>
        <w:spacing w:after="0" w:line="103" w:lineRule="exact"/>
        <w:rPr>
          <w:sz w:val="20"/>
          <w:szCs w:val="20"/>
          <w:color w:val="auto"/>
        </w:rPr>
      </w:pPr>
    </w:p>
    <w:p>
      <w:pPr>
        <w:ind w:right="180"/>
        <w:spacing w:after="0" w:line="278" w:lineRule="auto"/>
        <w:rPr>
          <w:sz w:val="20"/>
          <w:szCs w:val="20"/>
          <w:color w:val="auto"/>
        </w:rPr>
      </w:pPr>
      <w:r>
        <w:rPr>
          <w:rFonts w:ascii="Arial" w:cs="Arial" w:eastAsia="Arial" w:hAnsi="Arial"/>
          <w:sz w:val="16"/>
          <w:szCs w:val="16"/>
          <w:color w:val="auto"/>
        </w:rPr>
        <w:t>Incorporated herein by reference to Exhibit 10.25 to the Company's Annual Report on Form 10-K filed on February 28, 2019.</w:t>
      </w:r>
    </w:p>
    <w:p>
      <w:pPr>
        <w:spacing w:after="0" w:line="103" w:lineRule="exact"/>
        <w:rPr>
          <w:sz w:val="20"/>
          <w:szCs w:val="20"/>
          <w:color w:val="auto"/>
        </w:rPr>
      </w:pPr>
    </w:p>
    <w:p>
      <w:pPr>
        <w:sectPr>
          <w:pgSz w:w="11900" w:h="16838" w:orient="portrait"/>
          <w:cols w:equalWidth="0" w:num="3">
            <w:col w:w="480" w:space="560"/>
            <w:col w:w="5840" w:space="200"/>
            <w:col w:w="4280"/>
          </w:cols>
          <w:pgMar w:left="280" w:top="751" w:right="259" w:bottom="1138" w:gutter="0" w:footer="0" w:header="0"/>
        </w:sectPr>
      </w:pPr>
    </w:p>
    <w:p>
      <w:pPr>
        <w:spacing w:after="0"/>
        <w:rPr>
          <w:sz w:val="20"/>
          <w:szCs w:val="20"/>
          <w:color w:val="auto"/>
        </w:rPr>
      </w:pPr>
      <w:r>
        <w:rPr>
          <w:rFonts w:ascii="Arial" w:cs="Arial" w:eastAsia="Arial" w:hAnsi="Arial"/>
          <w:sz w:val="14"/>
          <w:szCs w:val="14"/>
          <w:color w:val="auto"/>
        </w:rPr>
        <w:t>10.26†</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10.27†</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10.28†</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5920" w:type="dxa"/>
            <w:vAlign w:val="bottom"/>
            <w:gridSpan w:val="6"/>
          </w:tcPr>
          <w:p>
            <w:pPr>
              <w:spacing w:after="0"/>
              <w:rPr>
                <w:rFonts w:ascii="Arial" w:cs="Arial" w:eastAsia="Arial" w:hAnsi="Arial"/>
                <w:sz w:val="16"/>
                <w:szCs w:val="16"/>
                <w:color w:val="0000FF"/>
              </w:rPr>
            </w:pPr>
            <w:hyperlink r:id="rId91">
              <w:r>
                <w:rPr>
                  <w:rFonts w:ascii="Arial" w:cs="Arial" w:eastAsia="Arial" w:hAnsi="Arial"/>
                  <w:sz w:val="16"/>
                  <w:szCs w:val="16"/>
                  <w:color w:val="0000FF"/>
                </w:rPr>
                <w:t>Clearway Energy, Inc. Involuntary Severance Plan.</w:t>
              </w:r>
            </w:hyperlink>
          </w:p>
        </w:tc>
        <w:tc>
          <w:tcPr>
            <w:tcW w:w="4220" w:type="dxa"/>
            <w:vAlign w:val="bottom"/>
          </w:tcPr>
          <w:p>
            <w:pPr>
              <w:ind w:left="120"/>
              <w:spacing w:after="0"/>
              <w:rPr>
                <w:sz w:val="20"/>
                <w:szCs w:val="20"/>
                <w:color w:val="auto"/>
              </w:rPr>
            </w:pPr>
            <w:r>
              <w:rPr>
                <w:rFonts w:ascii="Arial" w:cs="Arial" w:eastAsia="Arial" w:hAnsi="Arial"/>
                <w:sz w:val="16"/>
                <w:szCs w:val="16"/>
                <w:color w:val="auto"/>
              </w:rPr>
              <w:t>Incorporated herein by reference to Exhibit 10.26 to the</w:t>
            </w:r>
          </w:p>
        </w:tc>
      </w:tr>
      <w:tr>
        <w:trPr>
          <w:trHeight w:val="213"/>
        </w:trPr>
        <w:tc>
          <w:tcPr>
            <w:tcW w:w="1800" w:type="dxa"/>
            <w:vAlign w:val="bottom"/>
            <w:tcBorders>
              <w:top w:val="single" w:sz="8" w:color="0000FF"/>
            </w:tcBorders>
          </w:tcPr>
          <w:p>
            <w:pPr>
              <w:spacing w:after="0"/>
              <w:rPr>
                <w:sz w:val="18"/>
                <w:szCs w:val="18"/>
                <w:color w:val="auto"/>
              </w:rPr>
            </w:pPr>
          </w:p>
        </w:tc>
        <w:tc>
          <w:tcPr>
            <w:tcW w:w="15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20" w:type="dxa"/>
            <w:vAlign w:val="bottom"/>
          </w:tcPr>
          <w:p>
            <w:pPr>
              <w:ind w:left="120"/>
              <w:spacing w:after="0"/>
              <w:rPr>
                <w:sz w:val="20"/>
                <w:szCs w:val="20"/>
                <w:color w:val="auto"/>
              </w:rPr>
            </w:pPr>
            <w:r>
              <w:rPr>
                <w:rFonts w:ascii="Arial" w:cs="Arial" w:eastAsia="Arial" w:hAnsi="Arial"/>
                <w:sz w:val="16"/>
                <w:szCs w:val="16"/>
                <w:color w:val="auto"/>
                <w:w w:val="92"/>
              </w:rPr>
              <w:t>Company's Annual Report on Form 10-K filed on February 28,</w:t>
            </w:r>
          </w:p>
        </w:tc>
      </w:tr>
      <w:tr>
        <w:trPr>
          <w:trHeight w:val="206"/>
        </w:trPr>
        <w:tc>
          <w:tcPr>
            <w:tcW w:w="18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20" w:type="dxa"/>
            <w:vAlign w:val="bottom"/>
          </w:tcPr>
          <w:p>
            <w:pPr>
              <w:ind w:left="120"/>
              <w:spacing w:after="0"/>
              <w:rPr>
                <w:sz w:val="20"/>
                <w:szCs w:val="20"/>
                <w:color w:val="auto"/>
              </w:rPr>
            </w:pPr>
            <w:r>
              <w:rPr>
                <w:rFonts w:ascii="Arial" w:cs="Arial" w:eastAsia="Arial" w:hAnsi="Arial"/>
                <w:sz w:val="16"/>
                <w:szCs w:val="16"/>
                <w:color w:val="auto"/>
              </w:rPr>
              <w:t>2019.</w:t>
            </w:r>
          </w:p>
        </w:tc>
      </w:tr>
      <w:tr>
        <w:trPr>
          <w:trHeight w:val="384"/>
        </w:trPr>
        <w:tc>
          <w:tcPr>
            <w:tcW w:w="5920" w:type="dxa"/>
            <w:vAlign w:val="bottom"/>
            <w:gridSpan w:val="6"/>
          </w:tcPr>
          <w:p>
            <w:pPr>
              <w:spacing w:after="0"/>
              <w:rPr>
                <w:rFonts w:ascii="Arial" w:cs="Arial" w:eastAsia="Arial" w:hAnsi="Arial"/>
                <w:sz w:val="16"/>
                <w:szCs w:val="16"/>
                <w:color w:val="0000FF"/>
                <w:w w:val="93"/>
              </w:rPr>
            </w:pPr>
            <w:hyperlink r:id="rId92">
              <w:r>
                <w:rPr>
                  <w:rFonts w:ascii="Arial" w:cs="Arial" w:eastAsia="Arial" w:hAnsi="Arial"/>
                  <w:sz w:val="16"/>
                  <w:szCs w:val="16"/>
                  <w:color w:val="0000FF"/>
                  <w:w w:val="93"/>
                </w:rPr>
                <w:t>Clearway Energy, Inc. Executive Change-in-Control and General Severance Plan for Tier</w:t>
              </w:r>
            </w:hyperlink>
          </w:p>
        </w:tc>
        <w:tc>
          <w:tcPr>
            <w:tcW w:w="4220" w:type="dxa"/>
            <w:vAlign w:val="bottom"/>
          </w:tcPr>
          <w:p>
            <w:pPr>
              <w:ind w:left="120"/>
              <w:spacing w:after="0"/>
              <w:rPr>
                <w:sz w:val="20"/>
                <w:szCs w:val="20"/>
                <w:color w:val="auto"/>
              </w:rPr>
            </w:pPr>
            <w:r>
              <w:rPr>
                <w:rFonts w:ascii="Arial" w:cs="Arial" w:eastAsia="Arial" w:hAnsi="Arial"/>
                <w:sz w:val="16"/>
                <w:szCs w:val="16"/>
                <w:color w:val="auto"/>
              </w:rPr>
              <w:t>Incorporated herein by reference to Exhibit 10.27 to the</w:t>
            </w:r>
          </w:p>
        </w:tc>
      </w:tr>
      <w:tr>
        <w:trPr>
          <w:trHeight w:val="183"/>
        </w:trPr>
        <w:tc>
          <w:tcPr>
            <w:tcW w:w="5780" w:type="dxa"/>
            <w:vAlign w:val="bottom"/>
            <w:tcBorders>
              <w:top w:val="single" w:sz="8" w:color="0000FF"/>
            </w:tcBorders>
            <w:gridSpan w:val="5"/>
          </w:tcPr>
          <w:p>
            <w:pPr>
              <w:spacing w:after="0" w:line="183" w:lineRule="exact"/>
              <w:rPr>
                <w:rFonts w:ascii="Arial" w:cs="Arial" w:eastAsia="Arial" w:hAnsi="Arial"/>
                <w:sz w:val="16"/>
                <w:szCs w:val="16"/>
                <w:color w:val="0000FF"/>
              </w:rPr>
            </w:pPr>
            <w:hyperlink r:id="rId92">
              <w:r>
                <w:rPr>
                  <w:rFonts w:ascii="Arial" w:cs="Arial" w:eastAsia="Arial" w:hAnsi="Arial"/>
                  <w:sz w:val="16"/>
                  <w:szCs w:val="16"/>
                  <w:color w:val="0000FF"/>
                </w:rPr>
                <w:t>IA and Tier IIA Executives.</w:t>
              </w:r>
            </w:hyperlink>
          </w:p>
        </w:tc>
        <w:tc>
          <w:tcPr>
            <w:tcW w:w="140" w:type="dxa"/>
            <w:vAlign w:val="bottom"/>
          </w:tcPr>
          <w:p>
            <w:pPr>
              <w:spacing w:after="0"/>
              <w:rPr>
                <w:sz w:val="15"/>
                <w:szCs w:val="15"/>
                <w:color w:val="auto"/>
              </w:rPr>
            </w:pPr>
          </w:p>
        </w:tc>
        <w:tc>
          <w:tcPr>
            <w:tcW w:w="4220" w:type="dxa"/>
            <w:vAlign w:val="bottom"/>
          </w:tcPr>
          <w:p>
            <w:pPr>
              <w:ind w:left="120"/>
              <w:spacing w:after="0" w:line="183" w:lineRule="exact"/>
              <w:rPr>
                <w:sz w:val="20"/>
                <w:szCs w:val="20"/>
                <w:color w:val="auto"/>
              </w:rPr>
            </w:pPr>
            <w:r>
              <w:rPr>
                <w:rFonts w:ascii="Arial" w:cs="Arial" w:eastAsia="Arial" w:hAnsi="Arial"/>
                <w:sz w:val="16"/>
                <w:szCs w:val="16"/>
                <w:color w:val="auto"/>
                <w:w w:val="92"/>
              </w:rPr>
              <w:t>Company's Annual Report on Form 10-K filed on February 28,</w:t>
            </w:r>
          </w:p>
        </w:tc>
      </w:tr>
      <w:tr>
        <w:trPr>
          <w:trHeight w:val="217"/>
        </w:trPr>
        <w:tc>
          <w:tcPr>
            <w:tcW w:w="1800" w:type="dxa"/>
            <w:vAlign w:val="bottom"/>
            <w:tcBorders>
              <w:top w:val="single" w:sz="8" w:color="0000FF"/>
            </w:tcBorders>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20" w:type="dxa"/>
            <w:vAlign w:val="bottom"/>
          </w:tcPr>
          <w:p>
            <w:pPr>
              <w:ind w:left="120"/>
              <w:spacing w:after="0"/>
              <w:rPr>
                <w:sz w:val="20"/>
                <w:szCs w:val="20"/>
                <w:color w:val="auto"/>
              </w:rPr>
            </w:pPr>
            <w:r>
              <w:rPr>
                <w:rFonts w:ascii="Arial" w:cs="Arial" w:eastAsia="Arial" w:hAnsi="Arial"/>
                <w:sz w:val="16"/>
                <w:szCs w:val="16"/>
                <w:color w:val="auto"/>
              </w:rPr>
              <w:t>2019.</w:t>
            </w:r>
          </w:p>
        </w:tc>
      </w:tr>
      <w:tr>
        <w:trPr>
          <w:trHeight w:val="384"/>
        </w:trPr>
        <w:tc>
          <w:tcPr>
            <w:tcW w:w="5920" w:type="dxa"/>
            <w:vAlign w:val="bottom"/>
            <w:gridSpan w:val="6"/>
          </w:tcPr>
          <w:p>
            <w:pPr>
              <w:spacing w:after="0"/>
              <w:rPr>
                <w:rFonts w:ascii="Arial" w:cs="Arial" w:eastAsia="Arial" w:hAnsi="Arial"/>
                <w:sz w:val="16"/>
                <w:szCs w:val="16"/>
                <w:color w:val="0000FF"/>
                <w:w w:val="97"/>
              </w:rPr>
            </w:pPr>
            <w:hyperlink r:id="rId93">
              <w:r>
                <w:rPr>
                  <w:rFonts w:ascii="Arial" w:cs="Arial" w:eastAsia="Arial" w:hAnsi="Arial"/>
                  <w:sz w:val="16"/>
                  <w:szCs w:val="16"/>
                  <w:color w:val="0000FF"/>
                  <w:w w:val="97"/>
                </w:rPr>
                <w:t>Clearway Energy, Inc. Executive &amp; Key Management Change-in-Control and General</w:t>
              </w:r>
            </w:hyperlink>
          </w:p>
        </w:tc>
        <w:tc>
          <w:tcPr>
            <w:tcW w:w="4220" w:type="dxa"/>
            <w:vAlign w:val="bottom"/>
          </w:tcPr>
          <w:p>
            <w:pPr>
              <w:ind w:left="120"/>
              <w:spacing w:after="0"/>
              <w:rPr>
                <w:sz w:val="20"/>
                <w:szCs w:val="20"/>
                <w:color w:val="auto"/>
              </w:rPr>
            </w:pPr>
            <w:r>
              <w:rPr>
                <w:rFonts w:ascii="Arial" w:cs="Arial" w:eastAsia="Arial" w:hAnsi="Arial"/>
                <w:sz w:val="16"/>
                <w:szCs w:val="16"/>
                <w:color w:val="auto"/>
              </w:rPr>
              <w:t>Incorporated herein by reference to Exhibit 10.28 to the</w:t>
            </w:r>
          </w:p>
        </w:tc>
      </w:tr>
      <w:tr>
        <w:trPr>
          <w:trHeight w:val="183"/>
        </w:trPr>
        <w:tc>
          <w:tcPr>
            <w:tcW w:w="5580" w:type="dxa"/>
            <w:vAlign w:val="bottom"/>
            <w:tcBorders>
              <w:top w:val="single" w:sz="8" w:color="0000FF"/>
            </w:tcBorders>
            <w:gridSpan w:val="4"/>
          </w:tcPr>
          <w:p>
            <w:pPr>
              <w:spacing w:after="0" w:line="183" w:lineRule="exact"/>
              <w:rPr>
                <w:rFonts w:ascii="Arial" w:cs="Arial" w:eastAsia="Arial" w:hAnsi="Arial"/>
                <w:sz w:val="16"/>
                <w:szCs w:val="16"/>
                <w:color w:val="0000FF"/>
              </w:rPr>
            </w:pPr>
            <w:hyperlink r:id="rId93">
              <w:r>
                <w:rPr>
                  <w:rFonts w:ascii="Arial" w:cs="Arial" w:eastAsia="Arial" w:hAnsi="Arial"/>
                  <w:sz w:val="16"/>
                  <w:szCs w:val="16"/>
                  <w:color w:val="0000FF"/>
                </w:rPr>
                <w:t>Severance Plan for Tier III and Tier IV Executives.</w:t>
              </w:r>
            </w:hyperlink>
          </w:p>
        </w:tc>
        <w:tc>
          <w:tcPr>
            <w:tcW w:w="340" w:type="dxa"/>
            <w:vAlign w:val="bottom"/>
            <w:gridSpan w:val="2"/>
          </w:tcPr>
          <w:p>
            <w:pPr>
              <w:spacing w:after="0"/>
              <w:rPr>
                <w:sz w:val="15"/>
                <w:szCs w:val="15"/>
                <w:color w:val="auto"/>
              </w:rPr>
            </w:pPr>
          </w:p>
        </w:tc>
        <w:tc>
          <w:tcPr>
            <w:tcW w:w="4220" w:type="dxa"/>
            <w:vAlign w:val="bottom"/>
          </w:tcPr>
          <w:p>
            <w:pPr>
              <w:ind w:left="120"/>
              <w:spacing w:after="0" w:line="183" w:lineRule="exact"/>
              <w:rPr>
                <w:sz w:val="20"/>
                <w:szCs w:val="20"/>
                <w:color w:val="auto"/>
              </w:rPr>
            </w:pPr>
            <w:r>
              <w:rPr>
                <w:rFonts w:ascii="Arial" w:cs="Arial" w:eastAsia="Arial" w:hAnsi="Arial"/>
                <w:sz w:val="16"/>
                <w:szCs w:val="16"/>
                <w:color w:val="auto"/>
                <w:w w:val="92"/>
              </w:rPr>
              <w:t>Company's Annual Report on Form 10-K filed on February 28,</w:t>
            </w:r>
          </w:p>
        </w:tc>
      </w:tr>
      <w:tr>
        <w:trPr>
          <w:trHeight w:val="217"/>
        </w:trPr>
        <w:tc>
          <w:tcPr>
            <w:tcW w:w="1800" w:type="dxa"/>
            <w:vAlign w:val="bottom"/>
            <w:tcBorders>
              <w:top w:val="single" w:sz="8" w:color="0000FF"/>
            </w:tcBorders>
          </w:tcPr>
          <w:p>
            <w:pPr>
              <w:spacing w:after="0"/>
              <w:rPr>
                <w:sz w:val="18"/>
                <w:szCs w:val="18"/>
                <w:color w:val="auto"/>
              </w:rPr>
            </w:pPr>
          </w:p>
        </w:tc>
        <w:tc>
          <w:tcPr>
            <w:tcW w:w="150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20" w:type="dxa"/>
            <w:vAlign w:val="bottom"/>
          </w:tcPr>
          <w:p>
            <w:pPr>
              <w:ind w:left="120"/>
              <w:spacing w:after="0"/>
              <w:rPr>
                <w:sz w:val="20"/>
                <w:szCs w:val="20"/>
                <w:color w:val="auto"/>
              </w:rPr>
            </w:pPr>
            <w:r>
              <w:rPr>
                <w:rFonts w:ascii="Arial" w:cs="Arial" w:eastAsia="Arial" w:hAnsi="Arial"/>
                <w:sz w:val="16"/>
                <w:szCs w:val="16"/>
                <w:color w:val="auto"/>
              </w:rPr>
              <w:t>2019.</w:t>
            </w:r>
          </w:p>
        </w:tc>
      </w:tr>
    </w:tbl>
    <w:p>
      <w:pPr>
        <w:spacing w:after="0" w:line="200" w:lineRule="exact"/>
        <w:rPr>
          <w:sz w:val="20"/>
          <w:szCs w:val="20"/>
          <w:color w:val="auto"/>
        </w:rPr>
      </w:pPr>
    </w:p>
    <w:p>
      <w:pPr>
        <w:sectPr>
          <w:pgSz w:w="11900" w:h="16838" w:orient="portrait"/>
          <w:cols w:equalWidth="0" w:num="2">
            <w:col w:w="440" w:space="600"/>
            <w:col w:w="10320"/>
          </w:cols>
          <w:pgMar w:left="280" w:top="751" w:right="259" w:bottom="1138" w:gutter="0" w:footer="0" w:header="0"/>
          <w:type w:val="continuous"/>
        </w:sectPr>
      </w:pPr>
    </w:p>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360"/>
          </w:cols>
          <w:pgMar w:left="280" w:top="751" w:right="259" w:bottom="1138" w:gutter="0" w:footer="0" w:header="0"/>
          <w:type w:val="continuous"/>
        </w:sectPr>
      </w:pPr>
    </w:p>
    <w:bookmarkStart w:id="8" w:name="page9"/>
    <w:bookmarkEnd w:id="8"/>
    <w:p>
      <w:pPr>
        <w:ind w:left="5"/>
        <w:spacing w:after="0"/>
        <w:rPr>
          <w:sz w:val="20"/>
          <w:szCs w:val="20"/>
          <w:color w:val="auto"/>
        </w:rPr>
      </w:pPr>
      <w:r>
        <w:rPr>
          <w:rFonts w:ascii="Arial" w:cs="Arial" w:eastAsia="Arial" w:hAnsi="Arial"/>
          <w:sz w:val="14"/>
          <w:szCs w:val="14"/>
          <w:color w:val="auto"/>
        </w:rPr>
        <w:t>10.29^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
        <w:spacing w:after="0"/>
        <w:rPr>
          <w:sz w:val="20"/>
          <w:szCs w:val="20"/>
          <w:color w:val="auto"/>
        </w:rPr>
      </w:pPr>
      <w:r>
        <w:rPr>
          <w:rFonts w:ascii="Arial" w:cs="Arial" w:eastAsia="Arial" w:hAnsi="Arial"/>
          <w:sz w:val="16"/>
          <w:szCs w:val="16"/>
          <w:color w:val="auto"/>
        </w:rPr>
        <w:t>10.30</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5940" w:type="dxa"/>
            <w:vAlign w:val="bottom"/>
            <w:gridSpan w:val="7"/>
          </w:tcPr>
          <w:p>
            <w:pPr>
              <w:spacing w:after="0"/>
              <w:rPr>
                <w:rFonts w:ascii="Arial" w:cs="Arial" w:eastAsia="Arial" w:hAnsi="Arial"/>
                <w:sz w:val="16"/>
                <w:szCs w:val="16"/>
                <w:color w:val="0000FF"/>
                <w:w w:val="96"/>
              </w:rPr>
            </w:pPr>
            <w:hyperlink r:id="rId94">
              <w:r>
                <w:rPr>
                  <w:rFonts w:ascii="Arial" w:cs="Arial" w:eastAsia="Arial" w:hAnsi="Arial"/>
                  <w:sz w:val="16"/>
                  <w:szCs w:val="16"/>
                  <w:color w:val="0000FF"/>
                  <w:w w:val="96"/>
                </w:rPr>
                <w:t>Consent and Indemnity Agreement, dated as of February 6, 2018, by and among NRG</w:t>
              </w:r>
            </w:hyperlink>
          </w:p>
        </w:tc>
        <w:tc>
          <w:tcPr>
            <w:tcW w:w="4200" w:type="dxa"/>
            <w:vAlign w:val="bottom"/>
          </w:tcPr>
          <w:p>
            <w:pPr>
              <w:ind w:left="100"/>
              <w:spacing w:after="0"/>
              <w:rPr>
                <w:sz w:val="20"/>
                <w:szCs w:val="20"/>
                <w:color w:val="auto"/>
              </w:rPr>
            </w:pPr>
            <w:r>
              <w:rPr>
                <w:rFonts w:ascii="Arial" w:cs="Arial" w:eastAsia="Arial" w:hAnsi="Arial"/>
                <w:sz w:val="16"/>
                <w:szCs w:val="16"/>
                <w:color w:val="auto"/>
                <w:w w:val="95"/>
              </w:rPr>
              <w:t>Incorporated by reference to Exhibit 10.34 to the Company's</w:t>
            </w:r>
          </w:p>
        </w:tc>
      </w:tr>
      <w:tr>
        <w:trPr>
          <w:trHeight w:val="183"/>
        </w:trPr>
        <w:tc>
          <w:tcPr>
            <w:tcW w:w="5580" w:type="dxa"/>
            <w:vAlign w:val="bottom"/>
            <w:tcBorders>
              <w:top w:val="single" w:sz="8" w:color="0000FF"/>
            </w:tcBorders>
            <w:gridSpan w:val="5"/>
          </w:tcPr>
          <w:p>
            <w:pPr>
              <w:spacing w:after="0" w:line="183" w:lineRule="exact"/>
              <w:rPr>
                <w:rFonts w:ascii="Arial" w:cs="Arial" w:eastAsia="Arial" w:hAnsi="Arial"/>
                <w:sz w:val="16"/>
                <w:szCs w:val="16"/>
                <w:color w:val="0000FF"/>
                <w:w w:val="96"/>
              </w:rPr>
            </w:pPr>
            <w:hyperlink r:id="rId94">
              <w:r>
                <w:rPr>
                  <w:rFonts w:ascii="Arial" w:cs="Arial" w:eastAsia="Arial" w:hAnsi="Arial"/>
                  <w:sz w:val="16"/>
                  <w:szCs w:val="16"/>
                  <w:color w:val="0000FF"/>
                  <w:w w:val="96"/>
                </w:rPr>
                <w:t>Energy, Inc., NRG Repowering Holdings LLC, NRG Yield, Inc., and GIP III Zephyr</w:t>
              </w:r>
            </w:hyperlink>
          </w:p>
        </w:tc>
        <w:tc>
          <w:tcPr>
            <w:tcW w:w="360" w:type="dxa"/>
            <w:vAlign w:val="bottom"/>
            <w:gridSpan w:val="2"/>
          </w:tcPr>
          <w:p>
            <w:pPr>
              <w:spacing w:after="0"/>
              <w:rPr>
                <w:sz w:val="15"/>
                <w:szCs w:val="15"/>
                <w:color w:val="auto"/>
              </w:rPr>
            </w:pPr>
          </w:p>
        </w:tc>
        <w:tc>
          <w:tcPr>
            <w:tcW w:w="4200" w:type="dxa"/>
            <w:vAlign w:val="bottom"/>
          </w:tcPr>
          <w:p>
            <w:pPr>
              <w:ind w:left="100"/>
              <w:spacing w:after="0" w:line="183" w:lineRule="exact"/>
              <w:rPr>
                <w:sz w:val="20"/>
                <w:szCs w:val="20"/>
                <w:color w:val="auto"/>
              </w:rPr>
            </w:pPr>
            <w:r>
              <w:rPr>
                <w:rFonts w:ascii="Arial" w:cs="Arial" w:eastAsia="Arial" w:hAnsi="Arial"/>
                <w:sz w:val="16"/>
                <w:szCs w:val="16"/>
                <w:color w:val="auto"/>
              </w:rPr>
              <w:t>Annual Report on Form 10-K, filed on March 1, 2018.</w:t>
            </w:r>
          </w:p>
        </w:tc>
      </w:tr>
      <w:tr>
        <w:trPr>
          <w:trHeight w:val="20"/>
        </w:trPr>
        <w:tc>
          <w:tcPr>
            <w:tcW w:w="1240" w:type="dxa"/>
            <w:vAlign w:val="bottom"/>
            <w:shd w:val="clear" w:color="auto" w:fill="0000FF"/>
          </w:tcPr>
          <w:p>
            <w:pPr>
              <w:spacing w:after="0" w:line="20" w:lineRule="exact"/>
              <w:rPr>
                <w:sz w:val="1"/>
                <w:szCs w:val="1"/>
                <w:color w:val="auto"/>
              </w:rPr>
            </w:pPr>
          </w:p>
        </w:tc>
        <w:tc>
          <w:tcPr>
            <w:tcW w:w="38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r>
      <w:tr>
        <w:trPr>
          <w:trHeight w:val="183"/>
        </w:trPr>
        <w:tc>
          <w:tcPr>
            <w:tcW w:w="5940" w:type="dxa"/>
            <w:vAlign w:val="bottom"/>
            <w:gridSpan w:val="7"/>
          </w:tcPr>
          <w:p>
            <w:pPr>
              <w:spacing w:after="0" w:line="183" w:lineRule="exact"/>
              <w:rPr>
                <w:rFonts w:ascii="Arial" w:cs="Arial" w:eastAsia="Arial" w:hAnsi="Arial"/>
                <w:sz w:val="16"/>
                <w:szCs w:val="16"/>
                <w:color w:val="0000FF"/>
                <w:w w:val="94"/>
              </w:rPr>
            </w:pPr>
            <w:hyperlink r:id="rId94">
              <w:r>
                <w:rPr>
                  <w:rFonts w:ascii="Arial" w:cs="Arial" w:eastAsia="Arial" w:hAnsi="Arial"/>
                  <w:sz w:val="16"/>
                  <w:szCs w:val="16"/>
                  <w:color w:val="0000FF"/>
                  <w:w w:val="94"/>
                </w:rPr>
                <w:t>Acquisition Partners, L.P., and NRG Yield Operating LLC (solely with respect to Sections</w:t>
              </w:r>
            </w:hyperlink>
          </w:p>
        </w:tc>
        <w:tc>
          <w:tcPr>
            <w:tcW w:w="4200" w:type="dxa"/>
            <w:vAlign w:val="bottom"/>
          </w:tcPr>
          <w:p>
            <w:pPr>
              <w:spacing w:after="0"/>
              <w:rPr>
                <w:sz w:val="15"/>
                <w:szCs w:val="15"/>
                <w:color w:val="auto"/>
              </w:rPr>
            </w:pPr>
          </w:p>
        </w:tc>
      </w:tr>
      <w:tr>
        <w:trPr>
          <w:trHeight w:val="183"/>
        </w:trPr>
        <w:tc>
          <w:tcPr>
            <w:tcW w:w="5840" w:type="dxa"/>
            <w:vAlign w:val="bottom"/>
            <w:tcBorders>
              <w:top w:val="single" w:sz="8" w:color="0000FF"/>
            </w:tcBorders>
            <w:gridSpan w:val="6"/>
          </w:tcPr>
          <w:p>
            <w:pPr>
              <w:spacing w:after="0" w:line="183" w:lineRule="exact"/>
              <w:rPr>
                <w:rFonts w:ascii="Arial" w:cs="Arial" w:eastAsia="Arial" w:hAnsi="Arial"/>
                <w:sz w:val="16"/>
                <w:szCs w:val="16"/>
                <w:color w:val="0000FF"/>
              </w:rPr>
            </w:pPr>
            <w:hyperlink r:id="rId94">
              <w:r>
                <w:rPr>
                  <w:rFonts w:ascii="Arial" w:cs="Arial" w:eastAsia="Arial" w:hAnsi="Arial"/>
                  <w:sz w:val="16"/>
                  <w:szCs w:val="16"/>
                  <w:color w:val="0000FF"/>
                </w:rPr>
                <w:t>E.5, E.6 and G.12).</w:t>
              </w:r>
            </w:hyperlink>
          </w:p>
        </w:tc>
        <w:tc>
          <w:tcPr>
            <w:tcW w:w="100" w:type="dxa"/>
            <w:vAlign w:val="bottom"/>
          </w:tcPr>
          <w:p>
            <w:pPr>
              <w:spacing w:after="0"/>
              <w:rPr>
                <w:sz w:val="15"/>
                <w:szCs w:val="15"/>
                <w:color w:val="auto"/>
              </w:rPr>
            </w:pPr>
          </w:p>
        </w:tc>
        <w:tc>
          <w:tcPr>
            <w:tcW w:w="4200" w:type="dxa"/>
            <w:vAlign w:val="bottom"/>
          </w:tcPr>
          <w:p>
            <w:pPr>
              <w:spacing w:after="0"/>
              <w:rPr>
                <w:sz w:val="15"/>
                <w:szCs w:val="15"/>
                <w:color w:val="auto"/>
              </w:rPr>
            </w:pPr>
          </w:p>
        </w:tc>
      </w:tr>
      <w:tr>
        <w:trPr>
          <w:trHeight w:val="20"/>
        </w:trPr>
        <w:tc>
          <w:tcPr>
            <w:tcW w:w="1240" w:type="dxa"/>
            <w:vAlign w:val="bottom"/>
            <w:shd w:val="clear" w:color="auto" w:fill="0000FF"/>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r>
      <w:tr>
        <w:trPr>
          <w:trHeight w:val="399"/>
        </w:trPr>
        <w:tc>
          <w:tcPr>
            <w:tcW w:w="5380" w:type="dxa"/>
            <w:vAlign w:val="bottom"/>
            <w:tcBorders>
              <w:bottom w:val="single" w:sz="8" w:color="0000FF"/>
            </w:tcBorders>
            <w:gridSpan w:val="3"/>
          </w:tcPr>
          <w:p>
            <w:pPr>
              <w:spacing w:after="0"/>
              <w:rPr>
                <w:rFonts w:ascii="Arial" w:cs="Arial" w:eastAsia="Arial" w:hAnsi="Arial"/>
                <w:sz w:val="16"/>
                <w:szCs w:val="16"/>
                <w:color w:val="0000FF"/>
                <w:w w:val="91"/>
              </w:rPr>
            </w:pPr>
            <w:hyperlink r:id="rId95">
              <w:r>
                <w:rPr>
                  <w:rFonts w:ascii="Arial" w:cs="Arial" w:eastAsia="Arial" w:hAnsi="Arial"/>
                  <w:sz w:val="16"/>
                  <w:szCs w:val="16"/>
                  <w:color w:val="0000FF"/>
                  <w:w w:val="91"/>
                </w:rPr>
                <w:t>Assignment and Assumption Agreement, effective as of February 26, 2019, among</w:t>
              </w:r>
            </w:hyperlink>
          </w:p>
        </w:tc>
        <w:tc>
          <w:tcPr>
            <w:tcW w:w="560" w:type="dxa"/>
            <w:vAlign w:val="bottom"/>
            <w:gridSpan w:val="4"/>
          </w:tcPr>
          <w:p>
            <w:pPr>
              <w:spacing w:after="0"/>
              <w:rPr>
                <w:sz w:val="24"/>
                <w:szCs w:val="24"/>
                <w:color w:val="auto"/>
              </w:rPr>
            </w:pPr>
          </w:p>
        </w:tc>
        <w:tc>
          <w:tcPr>
            <w:tcW w:w="4200" w:type="dxa"/>
            <w:vAlign w:val="bottom"/>
          </w:tcPr>
          <w:p>
            <w:pPr>
              <w:ind w:left="100"/>
              <w:spacing w:after="0"/>
              <w:rPr>
                <w:sz w:val="20"/>
                <w:szCs w:val="20"/>
                <w:color w:val="auto"/>
              </w:rPr>
            </w:pPr>
            <w:r>
              <w:rPr>
                <w:rFonts w:ascii="Arial" w:cs="Arial" w:eastAsia="Arial" w:hAnsi="Arial"/>
                <w:sz w:val="16"/>
                <w:szCs w:val="16"/>
                <w:color w:val="auto"/>
              </w:rPr>
              <w:t>Incorporated herein by reference to Exhibit 10.30 to the</w:t>
            </w:r>
          </w:p>
        </w:tc>
      </w:tr>
      <w:tr>
        <w:trPr>
          <w:trHeight w:val="183"/>
        </w:trPr>
        <w:tc>
          <w:tcPr>
            <w:tcW w:w="5940" w:type="dxa"/>
            <w:vAlign w:val="bottom"/>
            <w:gridSpan w:val="7"/>
          </w:tcPr>
          <w:p>
            <w:pPr>
              <w:spacing w:after="0" w:line="183" w:lineRule="exact"/>
              <w:rPr>
                <w:rFonts w:ascii="Arial" w:cs="Arial" w:eastAsia="Arial" w:hAnsi="Arial"/>
                <w:sz w:val="16"/>
                <w:szCs w:val="16"/>
                <w:color w:val="0000FF"/>
              </w:rPr>
            </w:pPr>
            <w:hyperlink r:id="rId95">
              <w:r>
                <w:rPr>
                  <w:rFonts w:ascii="Arial" w:cs="Arial" w:eastAsia="Arial" w:hAnsi="Arial"/>
                  <w:sz w:val="16"/>
                  <w:szCs w:val="16"/>
                  <w:color w:val="0000FF"/>
                </w:rPr>
                <w:t>Clearway Energy Operating LLC and GIP III Zephyr Carlsbad Holdings, LLC.</w:t>
              </w:r>
            </w:hyperlink>
          </w:p>
        </w:tc>
        <w:tc>
          <w:tcPr>
            <w:tcW w:w="4200" w:type="dxa"/>
            <w:vAlign w:val="bottom"/>
          </w:tcPr>
          <w:p>
            <w:pPr>
              <w:ind w:left="100"/>
              <w:spacing w:after="0" w:line="183" w:lineRule="exact"/>
              <w:rPr>
                <w:sz w:val="20"/>
                <w:szCs w:val="20"/>
                <w:color w:val="auto"/>
              </w:rPr>
            </w:pPr>
            <w:r>
              <w:rPr>
                <w:rFonts w:ascii="Arial" w:cs="Arial" w:eastAsia="Arial" w:hAnsi="Arial"/>
                <w:sz w:val="16"/>
                <w:szCs w:val="16"/>
                <w:color w:val="auto"/>
                <w:w w:val="92"/>
              </w:rPr>
              <w:t>Company's Annual Report on Form 10-K filed on February 28,</w:t>
            </w:r>
          </w:p>
        </w:tc>
      </w:tr>
      <w:tr>
        <w:trPr>
          <w:trHeight w:val="217"/>
        </w:trPr>
        <w:tc>
          <w:tcPr>
            <w:tcW w:w="1240" w:type="dxa"/>
            <w:vAlign w:val="bottom"/>
            <w:tcBorders>
              <w:top w:val="single" w:sz="8" w:color="0000FF"/>
            </w:tcBorders>
          </w:tcPr>
          <w:p>
            <w:pPr>
              <w:spacing w:after="0"/>
              <w:rPr>
                <w:sz w:val="18"/>
                <w:szCs w:val="18"/>
                <w:color w:val="auto"/>
              </w:rPr>
            </w:pPr>
          </w:p>
        </w:tc>
        <w:tc>
          <w:tcPr>
            <w:tcW w:w="3880" w:type="dxa"/>
            <w:vAlign w:val="bottom"/>
            <w:tcBorders>
              <w:top w:val="single" w:sz="8" w:color="0000FF"/>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0" w:type="dxa"/>
            <w:vAlign w:val="bottom"/>
          </w:tcPr>
          <w:p>
            <w:pPr>
              <w:ind w:left="100"/>
              <w:spacing w:after="0"/>
              <w:rPr>
                <w:sz w:val="20"/>
                <w:szCs w:val="20"/>
                <w:color w:val="auto"/>
              </w:rPr>
            </w:pPr>
            <w:r>
              <w:rPr>
                <w:rFonts w:ascii="Arial" w:cs="Arial" w:eastAsia="Arial" w:hAnsi="Arial"/>
                <w:sz w:val="16"/>
                <w:szCs w:val="16"/>
                <w:color w:val="auto"/>
              </w:rPr>
              <w:t>2019.</w:t>
            </w:r>
          </w:p>
        </w:tc>
      </w:tr>
    </w:tbl>
    <w:p>
      <w:pPr>
        <w:spacing w:after="0" w:line="131" w:lineRule="exact"/>
        <w:rPr>
          <w:sz w:val="20"/>
          <w:szCs w:val="20"/>
          <w:color w:val="auto"/>
        </w:rPr>
      </w:pPr>
    </w:p>
    <w:p>
      <w:pPr>
        <w:sectPr>
          <w:pgSz w:w="11900" w:h="16838" w:orient="portrait"/>
          <w:cols w:equalWidth="0" w:num="2">
            <w:col w:w="445" w:space="600"/>
            <w:col w:w="10240"/>
          </w:cols>
          <w:pgMar w:left="275" w:top="751" w:right="339" w:bottom="1440" w:gutter="0" w:footer="0" w:header="0"/>
        </w:sectPr>
      </w:pPr>
    </w:p>
    <w:tbl>
      <w:tblPr>
        <w:tblLayout w:type="fixed"/>
        <w:tblInd w:w="5" w:type="dxa"/>
        <w:tblCellMar>
          <w:top w:w="0" w:type="dxa"/>
          <w:left w:w="0" w:type="dxa"/>
          <w:bottom w:w="0" w:type="dxa"/>
          <w:right w:w="0" w:type="dxa"/>
        </w:tblCellMar>
      </w:tblPr>
      <w:tr>
        <w:trPr>
          <w:trHeight w:val="206"/>
        </w:trPr>
        <w:tc>
          <w:tcPr>
            <w:tcW w:w="1040" w:type="dxa"/>
            <w:vAlign w:val="bottom"/>
          </w:tcPr>
          <w:p>
            <w:pPr>
              <w:jc w:val="right"/>
              <w:ind w:right="679"/>
              <w:spacing w:after="0"/>
              <w:rPr>
                <w:sz w:val="20"/>
                <w:szCs w:val="20"/>
                <w:color w:val="auto"/>
              </w:rPr>
            </w:pPr>
            <w:r>
              <w:rPr>
                <w:rFonts w:ascii="Arial" w:cs="Arial" w:eastAsia="Arial" w:hAnsi="Arial"/>
                <w:sz w:val="16"/>
                <w:szCs w:val="16"/>
                <w:color w:val="auto"/>
                <w:w w:val="83"/>
              </w:rPr>
              <w:t>21.1</w:t>
            </w:r>
          </w:p>
        </w:tc>
        <w:tc>
          <w:tcPr>
            <w:tcW w:w="2440" w:type="dxa"/>
            <w:vAlign w:val="bottom"/>
            <w:gridSpan w:val="2"/>
            <w:vMerge w:val="restart"/>
          </w:tcPr>
          <w:p>
            <w:pPr>
              <w:spacing w:after="0"/>
              <w:rPr>
                <w:rFonts w:ascii="Arial" w:cs="Arial" w:eastAsia="Arial" w:hAnsi="Arial"/>
                <w:sz w:val="16"/>
                <w:szCs w:val="16"/>
                <w:color w:val="0000FF"/>
                <w:w w:val="91"/>
              </w:rPr>
            </w:pPr>
            <w:hyperlink r:id="rId96">
              <w:r>
                <w:rPr>
                  <w:rFonts w:ascii="Arial" w:cs="Arial" w:eastAsia="Arial" w:hAnsi="Arial"/>
                  <w:sz w:val="16"/>
                  <w:szCs w:val="16"/>
                  <w:color w:val="0000FF"/>
                  <w:w w:val="91"/>
                </w:rPr>
                <w:t>Subsidiaries of Clearway Energy, Inc.</w:t>
              </w:r>
            </w:hyperlink>
          </w:p>
        </w:tc>
        <w:tc>
          <w:tcPr>
            <w:tcW w:w="0" w:type="dxa"/>
            <w:vAlign w:val="bottom"/>
          </w:tcPr>
          <w:p>
            <w:pPr>
              <w:spacing w:after="0"/>
              <w:rPr>
                <w:sz w:val="1"/>
                <w:szCs w:val="1"/>
                <w:color w:val="auto"/>
              </w:rPr>
            </w:pPr>
          </w:p>
        </w:tc>
      </w:tr>
      <w:tr>
        <w:trPr>
          <w:trHeight w:val="52"/>
        </w:trPr>
        <w:tc>
          <w:tcPr>
            <w:tcW w:w="1040" w:type="dxa"/>
            <w:vAlign w:val="bottom"/>
          </w:tcPr>
          <w:p>
            <w:pPr>
              <w:spacing w:after="0"/>
              <w:rPr>
                <w:sz w:val="4"/>
                <w:szCs w:val="4"/>
                <w:color w:val="auto"/>
              </w:rPr>
            </w:pPr>
          </w:p>
        </w:tc>
        <w:tc>
          <w:tcPr>
            <w:tcW w:w="2440" w:type="dxa"/>
            <w:vAlign w:val="bottom"/>
            <w:tcBorders>
              <w:bottom w:val="single" w:sz="8" w:color="0000FF"/>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95"/>
        </w:trPr>
        <w:tc>
          <w:tcPr>
            <w:tcW w:w="1040" w:type="dxa"/>
            <w:vAlign w:val="bottom"/>
          </w:tcPr>
          <w:p>
            <w:pPr>
              <w:jc w:val="right"/>
              <w:ind w:right="679"/>
              <w:spacing w:after="0"/>
              <w:rPr>
                <w:sz w:val="20"/>
                <w:szCs w:val="20"/>
                <w:color w:val="auto"/>
              </w:rPr>
            </w:pPr>
            <w:r>
              <w:rPr>
                <w:rFonts w:ascii="Arial" w:cs="Arial" w:eastAsia="Arial" w:hAnsi="Arial"/>
                <w:sz w:val="16"/>
                <w:szCs w:val="16"/>
                <w:color w:val="auto"/>
                <w:w w:val="83"/>
              </w:rPr>
              <w:t>23.1</w:t>
            </w:r>
          </w:p>
        </w:tc>
        <w:tc>
          <w:tcPr>
            <w:tcW w:w="2440" w:type="dxa"/>
            <w:vAlign w:val="bottom"/>
            <w:gridSpan w:val="2"/>
            <w:vMerge w:val="restart"/>
          </w:tcPr>
          <w:p>
            <w:pPr>
              <w:spacing w:after="0"/>
              <w:rPr>
                <w:rFonts w:ascii="Arial" w:cs="Arial" w:eastAsia="Arial" w:hAnsi="Arial"/>
                <w:sz w:val="16"/>
                <w:szCs w:val="16"/>
                <w:color w:val="0000FF"/>
              </w:rPr>
            </w:pPr>
            <w:hyperlink r:id="rId97">
              <w:r>
                <w:rPr>
                  <w:rFonts w:ascii="Arial" w:cs="Arial" w:eastAsia="Arial" w:hAnsi="Arial"/>
                  <w:sz w:val="16"/>
                  <w:szCs w:val="16"/>
                  <w:color w:val="0000FF"/>
                </w:rPr>
                <w:t>Consent of KPMG LLP.</w:t>
              </w:r>
            </w:hyperlink>
          </w:p>
        </w:tc>
        <w:tc>
          <w:tcPr>
            <w:tcW w:w="0" w:type="dxa"/>
            <w:vAlign w:val="bottom"/>
          </w:tcPr>
          <w:p>
            <w:pPr>
              <w:spacing w:after="0"/>
              <w:rPr>
                <w:sz w:val="1"/>
                <w:szCs w:val="1"/>
                <w:color w:val="auto"/>
              </w:rPr>
            </w:pPr>
          </w:p>
        </w:tc>
      </w:tr>
      <w:tr>
        <w:trPr>
          <w:trHeight w:val="47"/>
        </w:trPr>
        <w:tc>
          <w:tcPr>
            <w:tcW w:w="1040" w:type="dxa"/>
            <w:vAlign w:val="bottom"/>
          </w:tcPr>
          <w:p>
            <w:pPr>
              <w:spacing w:after="0"/>
              <w:rPr>
                <w:sz w:val="4"/>
                <w:szCs w:val="4"/>
                <w:color w:val="auto"/>
              </w:rPr>
            </w:pPr>
          </w:p>
        </w:tc>
        <w:tc>
          <w:tcPr>
            <w:tcW w:w="24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ind w:right="100"/>
        <w:spacing w:after="0" w:line="278" w:lineRule="auto"/>
        <w:rPr>
          <w:sz w:val="20"/>
          <w:szCs w:val="20"/>
          <w:color w:val="auto"/>
        </w:rPr>
      </w:pPr>
      <w:r>
        <w:rPr>
          <w:rFonts w:ascii="Arial" w:cs="Arial" w:eastAsia="Arial" w:hAnsi="Arial"/>
          <w:sz w:val="16"/>
          <w:szCs w:val="16"/>
          <w:color w:val="auto"/>
        </w:rPr>
        <w:t>Incorporated herein by reference to Exhibit 21.1 to the Company's Annual Report on Form 10-K filed on February 28, 2019.</w:t>
      </w:r>
    </w:p>
    <w:p>
      <w:pPr>
        <w:spacing w:after="0" w:line="22" w:lineRule="exact"/>
        <w:rPr>
          <w:sz w:val="20"/>
          <w:szCs w:val="20"/>
          <w:color w:val="auto"/>
        </w:rPr>
      </w:pPr>
    </w:p>
    <w:p>
      <w:pPr>
        <w:ind w:right="100"/>
        <w:spacing w:after="0" w:line="278" w:lineRule="auto"/>
        <w:rPr>
          <w:sz w:val="20"/>
          <w:szCs w:val="20"/>
          <w:color w:val="auto"/>
        </w:rPr>
      </w:pPr>
      <w:r>
        <w:rPr>
          <w:rFonts w:ascii="Arial" w:cs="Arial" w:eastAsia="Arial" w:hAnsi="Arial"/>
          <w:sz w:val="16"/>
          <w:szCs w:val="16"/>
          <w:color w:val="auto"/>
        </w:rPr>
        <w:t>Incorporated herein by reference to Exhibit 23.1 to the Company's Annual Report on Form 10-K filed on February 28, 2019.</w:t>
      </w:r>
    </w:p>
    <w:p>
      <w:pPr>
        <w:spacing w:after="0" w:line="24" w:lineRule="exact"/>
        <w:rPr>
          <w:sz w:val="20"/>
          <w:szCs w:val="20"/>
          <w:color w:val="auto"/>
        </w:rPr>
      </w:pPr>
    </w:p>
    <w:p>
      <w:pPr>
        <w:sectPr>
          <w:pgSz w:w="11900" w:h="16838" w:orient="portrait"/>
          <w:cols w:equalWidth="0" w:num="2">
            <w:col w:w="6365" w:space="720"/>
            <w:col w:w="4200"/>
          </w:cols>
          <w:pgMar w:left="275" w:top="751" w:right="339" w:bottom="1440" w:gutter="0" w:footer="0" w:header="0"/>
          <w:type w:val="continuous"/>
        </w:sectPr>
      </w:pPr>
    </w:p>
    <w:tbl>
      <w:tblPr>
        <w:tblLayout w:type="fixed"/>
        <w:tblInd w:w="5" w:type="dxa"/>
        <w:tblCellMar>
          <w:top w:w="0" w:type="dxa"/>
          <w:left w:w="0" w:type="dxa"/>
          <w:bottom w:w="0" w:type="dxa"/>
          <w:right w:w="0" w:type="dxa"/>
        </w:tblCellMar>
      </w:tblPr>
      <w:tr>
        <w:trPr>
          <w:trHeight w:val="184"/>
        </w:trPr>
        <w:tc>
          <w:tcPr>
            <w:tcW w:w="280" w:type="dxa"/>
            <w:vAlign w:val="bottom"/>
          </w:tcPr>
          <w:p>
            <w:pPr>
              <w:spacing w:after="0"/>
              <w:rPr>
                <w:sz w:val="20"/>
                <w:szCs w:val="20"/>
                <w:color w:val="auto"/>
              </w:rPr>
            </w:pPr>
            <w:r>
              <w:rPr>
                <w:rFonts w:ascii="Arial" w:cs="Arial" w:eastAsia="Arial" w:hAnsi="Arial"/>
                <w:sz w:val="16"/>
                <w:szCs w:val="16"/>
                <w:color w:val="auto"/>
                <w:w w:val="83"/>
              </w:rPr>
              <w:t>23.2</w:t>
            </w:r>
          </w:p>
        </w:tc>
        <w:tc>
          <w:tcPr>
            <w:tcW w:w="760" w:type="dxa"/>
            <w:vAlign w:val="bottom"/>
          </w:tcPr>
          <w:p>
            <w:pPr>
              <w:spacing w:after="0"/>
              <w:rPr>
                <w:sz w:val="16"/>
                <w:szCs w:val="16"/>
                <w:color w:val="auto"/>
              </w:rPr>
            </w:pPr>
          </w:p>
        </w:tc>
        <w:tc>
          <w:tcPr>
            <w:tcW w:w="5700" w:type="dxa"/>
            <w:vAlign w:val="bottom"/>
            <w:gridSpan w:val="8"/>
          </w:tcPr>
          <w:p>
            <w:pPr>
              <w:spacing w:after="0"/>
              <w:rPr>
                <w:rFonts w:ascii="Arial" w:cs="Arial" w:eastAsia="Arial" w:hAnsi="Arial"/>
                <w:sz w:val="16"/>
                <w:szCs w:val="16"/>
                <w:color w:val="0000FF"/>
              </w:rPr>
            </w:pPr>
            <w:hyperlink w:anchor="page11">
              <w:r>
                <w:rPr>
                  <w:rFonts w:ascii="Arial" w:cs="Arial" w:eastAsia="Arial" w:hAnsi="Arial"/>
                  <w:sz w:val="16"/>
                  <w:szCs w:val="16"/>
                  <w:color w:val="0000FF"/>
                </w:rPr>
                <w:t>Consent of KPMG LLP.</w:t>
              </w:r>
            </w:hyperlink>
          </w:p>
        </w:tc>
        <w:tc>
          <w:tcPr>
            <w:tcW w:w="4540" w:type="dxa"/>
            <w:vAlign w:val="bottom"/>
          </w:tcPr>
          <w:p>
            <w:pPr>
              <w:ind w:left="340"/>
              <w:spacing w:after="0"/>
              <w:rPr>
                <w:sz w:val="20"/>
                <w:szCs w:val="20"/>
                <w:color w:val="auto"/>
              </w:rPr>
            </w:pPr>
            <w:r>
              <w:rPr>
                <w:rFonts w:ascii="Arial" w:cs="Arial" w:eastAsia="Arial" w:hAnsi="Arial"/>
                <w:sz w:val="16"/>
                <w:szCs w:val="16"/>
                <w:color w:val="auto"/>
              </w:rPr>
              <w:t>Filed herewith</w:t>
            </w:r>
          </w:p>
        </w:tc>
      </w:tr>
      <w:tr>
        <w:trPr>
          <w:trHeight w:val="20"/>
        </w:trPr>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r>
      <w:tr>
        <w:trPr>
          <w:trHeight w:val="250"/>
        </w:trPr>
        <w:tc>
          <w:tcPr>
            <w:tcW w:w="280" w:type="dxa"/>
            <w:vAlign w:val="bottom"/>
          </w:tcPr>
          <w:p>
            <w:pPr>
              <w:spacing w:after="0"/>
              <w:rPr>
                <w:sz w:val="20"/>
                <w:szCs w:val="20"/>
                <w:color w:val="auto"/>
              </w:rPr>
            </w:pPr>
            <w:r>
              <w:rPr>
                <w:rFonts w:ascii="Arial" w:cs="Arial" w:eastAsia="Arial" w:hAnsi="Arial"/>
                <w:sz w:val="16"/>
                <w:szCs w:val="16"/>
                <w:color w:val="auto"/>
                <w:w w:val="83"/>
              </w:rPr>
              <w:t>31.1</w:t>
            </w:r>
          </w:p>
        </w:tc>
        <w:tc>
          <w:tcPr>
            <w:tcW w:w="760" w:type="dxa"/>
            <w:vAlign w:val="bottom"/>
          </w:tcPr>
          <w:p>
            <w:pPr>
              <w:spacing w:after="0"/>
              <w:rPr>
                <w:sz w:val="21"/>
                <w:szCs w:val="21"/>
                <w:color w:val="auto"/>
              </w:rPr>
            </w:pPr>
          </w:p>
        </w:tc>
        <w:tc>
          <w:tcPr>
            <w:tcW w:w="4080" w:type="dxa"/>
            <w:vAlign w:val="bottom"/>
            <w:tcBorders>
              <w:bottom w:val="single" w:sz="8" w:color="0000FF"/>
            </w:tcBorders>
            <w:gridSpan w:val="6"/>
          </w:tcPr>
          <w:p>
            <w:pPr>
              <w:spacing w:after="0"/>
              <w:rPr>
                <w:rFonts w:ascii="Arial" w:cs="Arial" w:eastAsia="Arial" w:hAnsi="Arial"/>
                <w:sz w:val="16"/>
                <w:szCs w:val="16"/>
                <w:color w:val="0000FF"/>
                <w:w w:val="92"/>
              </w:rPr>
            </w:pPr>
            <w:hyperlink w:anchor="page12">
              <w:r>
                <w:rPr>
                  <w:rFonts w:ascii="Arial" w:cs="Arial" w:eastAsia="Arial" w:hAnsi="Arial"/>
                  <w:sz w:val="16"/>
                  <w:szCs w:val="16"/>
                  <w:color w:val="0000FF"/>
                  <w:w w:val="92"/>
                </w:rPr>
                <w:t>Rule 13a-14(a)/15d-14(a) certification of Christopher S. Sotos.</w:t>
              </w:r>
            </w:hyperlink>
          </w:p>
        </w:tc>
        <w:tc>
          <w:tcPr>
            <w:tcW w:w="1620" w:type="dxa"/>
            <w:vAlign w:val="bottom"/>
            <w:gridSpan w:val="2"/>
          </w:tcPr>
          <w:p>
            <w:pPr>
              <w:spacing w:after="0"/>
              <w:rPr>
                <w:sz w:val="21"/>
                <w:szCs w:val="21"/>
                <w:color w:val="auto"/>
              </w:rPr>
            </w:pPr>
          </w:p>
        </w:tc>
        <w:tc>
          <w:tcPr>
            <w:tcW w:w="4540" w:type="dxa"/>
            <w:vAlign w:val="bottom"/>
          </w:tcPr>
          <w:p>
            <w:pPr>
              <w:ind w:left="340"/>
              <w:spacing w:after="0"/>
              <w:rPr>
                <w:sz w:val="20"/>
                <w:szCs w:val="20"/>
                <w:color w:val="auto"/>
              </w:rPr>
            </w:pPr>
            <w:r>
              <w:rPr>
                <w:rFonts w:ascii="Arial" w:cs="Arial" w:eastAsia="Arial" w:hAnsi="Arial"/>
                <w:sz w:val="16"/>
                <w:szCs w:val="16"/>
                <w:color w:val="auto"/>
              </w:rPr>
              <w:t>Filed herewith.</w:t>
            </w:r>
          </w:p>
        </w:tc>
      </w:tr>
      <w:tr>
        <w:trPr>
          <w:trHeight w:val="250"/>
        </w:trPr>
        <w:tc>
          <w:tcPr>
            <w:tcW w:w="280" w:type="dxa"/>
            <w:vAlign w:val="bottom"/>
          </w:tcPr>
          <w:p>
            <w:pPr>
              <w:spacing w:after="0"/>
              <w:rPr>
                <w:sz w:val="20"/>
                <w:szCs w:val="20"/>
                <w:color w:val="auto"/>
              </w:rPr>
            </w:pPr>
            <w:r>
              <w:rPr>
                <w:rFonts w:ascii="Arial" w:cs="Arial" w:eastAsia="Arial" w:hAnsi="Arial"/>
                <w:sz w:val="16"/>
                <w:szCs w:val="16"/>
                <w:color w:val="auto"/>
                <w:w w:val="83"/>
              </w:rPr>
              <w:t>31.2</w:t>
            </w:r>
          </w:p>
        </w:tc>
        <w:tc>
          <w:tcPr>
            <w:tcW w:w="760" w:type="dxa"/>
            <w:vAlign w:val="bottom"/>
          </w:tcPr>
          <w:p>
            <w:pPr>
              <w:spacing w:after="0"/>
              <w:rPr>
                <w:sz w:val="21"/>
                <w:szCs w:val="21"/>
                <w:color w:val="auto"/>
              </w:rPr>
            </w:pPr>
          </w:p>
        </w:tc>
        <w:tc>
          <w:tcPr>
            <w:tcW w:w="5700" w:type="dxa"/>
            <w:vAlign w:val="bottom"/>
            <w:gridSpan w:val="8"/>
          </w:tcPr>
          <w:p>
            <w:pPr>
              <w:spacing w:after="0"/>
              <w:rPr>
                <w:rFonts w:ascii="Arial" w:cs="Arial" w:eastAsia="Arial" w:hAnsi="Arial"/>
                <w:sz w:val="16"/>
                <w:szCs w:val="16"/>
                <w:color w:val="0000FF"/>
              </w:rPr>
            </w:pPr>
            <w:hyperlink w:anchor="page13">
              <w:r>
                <w:rPr>
                  <w:rFonts w:ascii="Arial" w:cs="Arial" w:eastAsia="Arial" w:hAnsi="Arial"/>
                  <w:sz w:val="16"/>
                  <w:szCs w:val="16"/>
                  <w:color w:val="0000FF"/>
                </w:rPr>
                <w:t>Rule 13a-14(a)/15d-14(a) certification of Chad Plotkin.</w:t>
              </w:r>
            </w:hyperlink>
          </w:p>
        </w:tc>
        <w:tc>
          <w:tcPr>
            <w:tcW w:w="4540" w:type="dxa"/>
            <w:vAlign w:val="bottom"/>
          </w:tcPr>
          <w:p>
            <w:pPr>
              <w:ind w:left="340"/>
              <w:spacing w:after="0"/>
              <w:rPr>
                <w:sz w:val="20"/>
                <w:szCs w:val="20"/>
                <w:color w:val="auto"/>
              </w:rPr>
            </w:pPr>
            <w:r>
              <w:rPr>
                <w:rFonts w:ascii="Arial" w:cs="Arial" w:eastAsia="Arial" w:hAnsi="Arial"/>
                <w:sz w:val="16"/>
                <w:szCs w:val="16"/>
                <w:color w:val="auto"/>
              </w:rPr>
              <w:t>Filed herewith.</w:t>
            </w:r>
          </w:p>
        </w:tc>
      </w:tr>
      <w:tr>
        <w:trPr>
          <w:trHeight w:val="20"/>
        </w:trPr>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r>
      <w:tr>
        <w:trPr>
          <w:trHeight w:val="250"/>
        </w:trPr>
        <w:tc>
          <w:tcPr>
            <w:tcW w:w="280" w:type="dxa"/>
            <w:vAlign w:val="bottom"/>
          </w:tcPr>
          <w:p>
            <w:pPr>
              <w:spacing w:after="0"/>
              <w:rPr>
                <w:sz w:val="20"/>
                <w:szCs w:val="20"/>
                <w:color w:val="auto"/>
              </w:rPr>
            </w:pPr>
            <w:r>
              <w:rPr>
                <w:rFonts w:ascii="Arial" w:cs="Arial" w:eastAsia="Arial" w:hAnsi="Arial"/>
                <w:sz w:val="16"/>
                <w:szCs w:val="16"/>
                <w:color w:val="auto"/>
                <w:w w:val="83"/>
              </w:rPr>
              <w:t>31.3</w:t>
            </w:r>
          </w:p>
        </w:tc>
        <w:tc>
          <w:tcPr>
            <w:tcW w:w="760" w:type="dxa"/>
            <w:vAlign w:val="bottom"/>
          </w:tcPr>
          <w:p>
            <w:pPr>
              <w:spacing w:after="0"/>
              <w:rPr>
                <w:sz w:val="21"/>
                <w:szCs w:val="21"/>
                <w:color w:val="auto"/>
              </w:rPr>
            </w:pPr>
          </w:p>
        </w:tc>
        <w:tc>
          <w:tcPr>
            <w:tcW w:w="3980" w:type="dxa"/>
            <w:vAlign w:val="bottom"/>
            <w:tcBorders>
              <w:bottom w:val="single" w:sz="8" w:color="0000FF"/>
            </w:tcBorders>
            <w:gridSpan w:val="5"/>
          </w:tcPr>
          <w:p>
            <w:pPr>
              <w:spacing w:after="0"/>
              <w:rPr>
                <w:rFonts w:ascii="Arial" w:cs="Arial" w:eastAsia="Arial" w:hAnsi="Arial"/>
                <w:sz w:val="16"/>
                <w:szCs w:val="16"/>
                <w:color w:val="0000FF"/>
                <w:w w:val="94"/>
              </w:rPr>
            </w:pPr>
            <w:hyperlink w:anchor="page14">
              <w:r>
                <w:rPr>
                  <w:rFonts w:ascii="Arial" w:cs="Arial" w:eastAsia="Arial" w:hAnsi="Arial"/>
                  <w:sz w:val="16"/>
                  <w:szCs w:val="16"/>
                  <w:color w:val="0000FF"/>
                  <w:w w:val="94"/>
                </w:rPr>
                <w:t>Rule 13a-14(a)/15d-14(a) certification of Mary-Lee Stillwell.</w:t>
              </w:r>
            </w:hyperlink>
          </w:p>
        </w:tc>
        <w:tc>
          <w:tcPr>
            <w:tcW w:w="1720" w:type="dxa"/>
            <w:vAlign w:val="bottom"/>
            <w:gridSpan w:val="3"/>
          </w:tcPr>
          <w:p>
            <w:pPr>
              <w:spacing w:after="0"/>
              <w:rPr>
                <w:sz w:val="21"/>
                <w:szCs w:val="21"/>
                <w:color w:val="auto"/>
              </w:rPr>
            </w:pPr>
          </w:p>
        </w:tc>
        <w:tc>
          <w:tcPr>
            <w:tcW w:w="4540" w:type="dxa"/>
            <w:vAlign w:val="bottom"/>
          </w:tcPr>
          <w:p>
            <w:pPr>
              <w:ind w:left="340"/>
              <w:spacing w:after="0"/>
              <w:rPr>
                <w:sz w:val="20"/>
                <w:szCs w:val="20"/>
                <w:color w:val="auto"/>
              </w:rPr>
            </w:pPr>
            <w:r>
              <w:rPr>
                <w:rFonts w:ascii="Arial" w:cs="Arial" w:eastAsia="Arial" w:hAnsi="Arial"/>
                <w:sz w:val="16"/>
                <w:szCs w:val="16"/>
                <w:color w:val="auto"/>
              </w:rPr>
              <w:t>Filed herewith.</w:t>
            </w:r>
          </w:p>
        </w:tc>
      </w:tr>
      <w:tr>
        <w:trPr>
          <w:trHeight w:val="250"/>
        </w:trPr>
        <w:tc>
          <w:tcPr>
            <w:tcW w:w="280" w:type="dxa"/>
            <w:vAlign w:val="bottom"/>
          </w:tcPr>
          <w:p>
            <w:pPr>
              <w:spacing w:after="0"/>
              <w:rPr>
                <w:sz w:val="20"/>
                <w:szCs w:val="20"/>
                <w:color w:val="auto"/>
              </w:rPr>
            </w:pPr>
            <w:r>
              <w:rPr>
                <w:rFonts w:ascii="Arial" w:cs="Arial" w:eastAsia="Arial" w:hAnsi="Arial"/>
                <w:sz w:val="16"/>
                <w:szCs w:val="16"/>
                <w:color w:val="auto"/>
              </w:rPr>
              <w:t>32</w:t>
            </w:r>
          </w:p>
        </w:tc>
        <w:tc>
          <w:tcPr>
            <w:tcW w:w="760" w:type="dxa"/>
            <w:vAlign w:val="bottom"/>
          </w:tcPr>
          <w:p>
            <w:pPr>
              <w:spacing w:after="0"/>
              <w:rPr>
                <w:sz w:val="21"/>
                <w:szCs w:val="21"/>
                <w:color w:val="auto"/>
              </w:rPr>
            </w:pPr>
          </w:p>
        </w:tc>
        <w:tc>
          <w:tcPr>
            <w:tcW w:w="5700" w:type="dxa"/>
            <w:vAlign w:val="bottom"/>
            <w:gridSpan w:val="8"/>
          </w:tcPr>
          <w:p>
            <w:pPr>
              <w:spacing w:after="0"/>
              <w:rPr>
                <w:rFonts w:ascii="Arial" w:cs="Arial" w:eastAsia="Arial" w:hAnsi="Arial"/>
                <w:sz w:val="16"/>
                <w:szCs w:val="16"/>
                <w:color w:val="0000FF"/>
              </w:rPr>
            </w:pPr>
            <w:hyperlink w:anchor="page15">
              <w:r>
                <w:rPr>
                  <w:rFonts w:ascii="Arial" w:cs="Arial" w:eastAsia="Arial" w:hAnsi="Arial"/>
                  <w:sz w:val="16"/>
                  <w:szCs w:val="16"/>
                  <w:color w:val="0000FF"/>
                </w:rPr>
                <w:t>Section 1350 Certification.</w:t>
              </w:r>
            </w:hyperlink>
          </w:p>
        </w:tc>
        <w:tc>
          <w:tcPr>
            <w:tcW w:w="4540" w:type="dxa"/>
            <w:vAlign w:val="bottom"/>
          </w:tcPr>
          <w:p>
            <w:pPr>
              <w:ind w:left="340"/>
              <w:spacing w:after="0"/>
              <w:rPr>
                <w:sz w:val="20"/>
                <w:szCs w:val="20"/>
                <w:color w:val="auto"/>
              </w:rPr>
            </w:pPr>
            <w:r>
              <w:rPr>
                <w:rFonts w:ascii="Arial" w:cs="Arial" w:eastAsia="Arial" w:hAnsi="Arial"/>
                <w:sz w:val="16"/>
                <w:szCs w:val="16"/>
                <w:color w:val="auto"/>
              </w:rPr>
              <w:t>Furnished herewith.</w:t>
            </w:r>
          </w:p>
        </w:tc>
      </w:tr>
      <w:tr>
        <w:trPr>
          <w:trHeight w:val="20"/>
        </w:trPr>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4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r>
      <w:tr>
        <w:trPr>
          <w:trHeight w:val="237"/>
        </w:trPr>
        <w:tc>
          <w:tcPr>
            <w:tcW w:w="280" w:type="dxa"/>
            <w:vAlign w:val="bottom"/>
          </w:tcPr>
          <w:p>
            <w:pPr>
              <w:spacing w:after="0"/>
              <w:rPr>
                <w:sz w:val="20"/>
                <w:szCs w:val="20"/>
                <w:color w:val="auto"/>
              </w:rPr>
            </w:pPr>
            <w:r>
              <w:rPr>
                <w:rFonts w:ascii="Arial" w:cs="Arial" w:eastAsia="Arial" w:hAnsi="Arial"/>
                <w:sz w:val="16"/>
                <w:szCs w:val="16"/>
                <w:color w:val="auto"/>
                <w:w w:val="83"/>
              </w:rPr>
              <w:t>99.1</w:t>
            </w:r>
          </w:p>
        </w:tc>
        <w:tc>
          <w:tcPr>
            <w:tcW w:w="760" w:type="dxa"/>
            <w:vAlign w:val="bottom"/>
          </w:tcPr>
          <w:p>
            <w:pPr>
              <w:spacing w:after="0"/>
              <w:rPr>
                <w:sz w:val="20"/>
                <w:szCs w:val="20"/>
                <w:color w:val="auto"/>
              </w:rPr>
            </w:pPr>
          </w:p>
        </w:tc>
        <w:tc>
          <w:tcPr>
            <w:tcW w:w="5380" w:type="dxa"/>
            <w:vAlign w:val="bottom"/>
            <w:tcBorders>
              <w:bottom w:val="single" w:sz="8" w:color="0000FF"/>
            </w:tcBorders>
            <w:gridSpan w:val="7"/>
          </w:tcPr>
          <w:p>
            <w:pPr>
              <w:spacing w:after="0"/>
              <w:rPr>
                <w:rFonts w:ascii="Arial" w:cs="Arial" w:eastAsia="Arial" w:hAnsi="Arial"/>
                <w:sz w:val="16"/>
                <w:szCs w:val="16"/>
                <w:color w:val="0000FF"/>
                <w:w w:val="91"/>
              </w:rPr>
            </w:pPr>
            <w:hyperlink w:anchor="page16">
              <w:r>
                <w:rPr>
                  <w:rFonts w:ascii="Arial" w:cs="Arial" w:eastAsia="Arial" w:hAnsi="Arial"/>
                  <w:sz w:val="16"/>
                  <w:szCs w:val="16"/>
                  <w:color w:val="0000FF"/>
                  <w:w w:val="91"/>
                </w:rPr>
                <w:t>Financial Statements of DGPV Holdco 3 LLC and Subsidiaries for the years ended</w:t>
              </w:r>
            </w:hyperlink>
          </w:p>
        </w:tc>
        <w:tc>
          <w:tcPr>
            <w:tcW w:w="320" w:type="dxa"/>
            <w:vAlign w:val="bottom"/>
          </w:tcPr>
          <w:p>
            <w:pPr>
              <w:spacing w:after="0"/>
              <w:rPr>
                <w:sz w:val="20"/>
                <w:szCs w:val="20"/>
                <w:color w:val="auto"/>
              </w:rPr>
            </w:pPr>
          </w:p>
        </w:tc>
        <w:tc>
          <w:tcPr>
            <w:tcW w:w="4540" w:type="dxa"/>
            <w:vAlign w:val="bottom"/>
          </w:tcPr>
          <w:p>
            <w:pPr>
              <w:ind w:left="340"/>
              <w:spacing w:after="0"/>
              <w:rPr>
                <w:sz w:val="20"/>
                <w:szCs w:val="20"/>
                <w:color w:val="auto"/>
              </w:rPr>
            </w:pPr>
            <w:r>
              <w:rPr>
                <w:rFonts w:ascii="Arial" w:cs="Arial" w:eastAsia="Arial" w:hAnsi="Arial"/>
                <w:sz w:val="16"/>
                <w:szCs w:val="16"/>
                <w:color w:val="auto"/>
              </w:rPr>
              <w:t>Filed herewith</w:t>
            </w:r>
          </w:p>
        </w:tc>
      </w:tr>
      <w:tr>
        <w:trPr>
          <w:trHeight w:val="183"/>
        </w:trPr>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700" w:type="dxa"/>
            <w:vAlign w:val="bottom"/>
            <w:gridSpan w:val="8"/>
          </w:tcPr>
          <w:p>
            <w:pPr>
              <w:spacing w:after="0" w:line="183" w:lineRule="exact"/>
              <w:rPr>
                <w:rFonts w:ascii="Arial" w:cs="Arial" w:eastAsia="Arial" w:hAnsi="Arial"/>
                <w:sz w:val="16"/>
                <w:szCs w:val="16"/>
                <w:color w:val="0000FF"/>
              </w:rPr>
            </w:pPr>
            <w:hyperlink w:anchor="page16">
              <w:r>
                <w:rPr>
                  <w:rFonts w:ascii="Arial" w:cs="Arial" w:eastAsia="Arial" w:hAnsi="Arial"/>
                  <w:sz w:val="16"/>
                  <w:szCs w:val="16"/>
                  <w:color w:val="0000FF"/>
                </w:rPr>
                <w:t>December 31, 2018 and 2017.</w:t>
              </w:r>
            </w:hyperlink>
          </w:p>
        </w:tc>
        <w:tc>
          <w:tcPr>
            <w:tcW w:w="4540" w:type="dxa"/>
            <w:vAlign w:val="bottom"/>
          </w:tcPr>
          <w:p>
            <w:pPr>
              <w:spacing w:after="0"/>
              <w:rPr>
                <w:sz w:val="15"/>
                <w:szCs w:val="15"/>
                <w:color w:val="auto"/>
              </w:rPr>
            </w:pPr>
          </w:p>
        </w:tc>
      </w:tr>
      <w:tr>
        <w:trPr>
          <w:trHeight w:val="267"/>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760" w:type="dxa"/>
            <w:vAlign w:val="bottom"/>
          </w:tcPr>
          <w:p>
            <w:pPr>
              <w:spacing w:after="0"/>
              <w:rPr>
                <w:sz w:val="20"/>
                <w:szCs w:val="20"/>
                <w:color w:val="auto"/>
              </w:rPr>
            </w:pPr>
            <w:r>
              <w:rPr>
                <w:rFonts w:ascii="Arial" w:cs="Arial" w:eastAsia="Arial" w:hAnsi="Arial"/>
                <w:sz w:val="16"/>
                <w:szCs w:val="16"/>
                <w:color w:val="auto"/>
              </w:rPr>
              <w:t>INS</w:t>
            </w:r>
          </w:p>
        </w:tc>
        <w:tc>
          <w:tcPr>
            <w:tcW w:w="1940" w:type="dxa"/>
            <w:vAlign w:val="bottom"/>
            <w:tcBorders>
              <w:top w:val="single" w:sz="8" w:color="0000FF"/>
            </w:tcBorders>
            <w:gridSpan w:val="3"/>
          </w:tcPr>
          <w:p>
            <w:pPr>
              <w:spacing w:after="0"/>
              <w:rPr>
                <w:sz w:val="20"/>
                <w:szCs w:val="20"/>
                <w:color w:val="auto"/>
              </w:rPr>
            </w:pPr>
            <w:r>
              <w:rPr>
                <w:rFonts w:ascii="Arial" w:cs="Arial" w:eastAsia="Arial" w:hAnsi="Arial"/>
                <w:sz w:val="16"/>
                <w:szCs w:val="16"/>
                <w:color w:val="auto"/>
              </w:rPr>
              <w:t>XBRL Instance Document.</w:t>
            </w:r>
          </w:p>
        </w:tc>
        <w:tc>
          <w:tcPr>
            <w:tcW w:w="3760" w:type="dxa"/>
            <w:vAlign w:val="bottom"/>
            <w:gridSpan w:val="5"/>
          </w:tcPr>
          <w:p>
            <w:pPr>
              <w:spacing w:after="0"/>
              <w:rPr>
                <w:sz w:val="23"/>
                <w:szCs w:val="23"/>
                <w:color w:val="auto"/>
              </w:rPr>
            </w:pPr>
          </w:p>
        </w:tc>
        <w:tc>
          <w:tcPr>
            <w:tcW w:w="4540" w:type="dxa"/>
            <w:vAlign w:val="bottom"/>
          </w:tcPr>
          <w:p>
            <w:pPr>
              <w:ind w:left="340"/>
              <w:spacing w:after="0"/>
              <w:rPr>
                <w:sz w:val="20"/>
                <w:szCs w:val="20"/>
                <w:color w:val="auto"/>
              </w:rPr>
            </w:pPr>
            <w:r>
              <w:rPr>
                <w:rFonts w:ascii="Arial" w:cs="Arial" w:eastAsia="Arial" w:hAnsi="Arial"/>
                <w:sz w:val="16"/>
                <w:szCs w:val="16"/>
                <w:color w:val="auto"/>
                <w:w w:val="92"/>
              </w:rPr>
              <w:t>Previously filed with the Company's Annual Report on Form 10-</w:t>
            </w:r>
          </w:p>
        </w:tc>
      </w:tr>
      <w:tr>
        <w:trPr>
          <w:trHeight w:val="206"/>
        </w:trPr>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540" w:type="dxa"/>
            <w:vAlign w:val="bottom"/>
          </w:tcPr>
          <w:p>
            <w:pPr>
              <w:ind w:left="340"/>
              <w:spacing w:after="0"/>
              <w:rPr>
                <w:sz w:val="20"/>
                <w:szCs w:val="20"/>
                <w:color w:val="auto"/>
              </w:rPr>
            </w:pPr>
            <w:r>
              <w:rPr>
                <w:rFonts w:ascii="Arial" w:cs="Arial" w:eastAsia="Arial" w:hAnsi="Arial"/>
                <w:sz w:val="16"/>
                <w:szCs w:val="16"/>
                <w:color w:val="auto"/>
              </w:rPr>
              <w:t>K filed on February 28, 2019</w:t>
            </w:r>
          </w:p>
        </w:tc>
      </w:tr>
      <w:tr>
        <w:trPr>
          <w:trHeight w:val="253"/>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760" w:type="dxa"/>
            <w:vAlign w:val="bottom"/>
          </w:tcPr>
          <w:p>
            <w:pPr>
              <w:spacing w:after="0"/>
              <w:rPr>
                <w:sz w:val="20"/>
                <w:szCs w:val="20"/>
                <w:color w:val="auto"/>
              </w:rPr>
            </w:pPr>
            <w:r>
              <w:rPr>
                <w:rFonts w:ascii="Arial" w:cs="Arial" w:eastAsia="Arial" w:hAnsi="Arial"/>
                <w:sz w:val="16"/>
                <w:szCs w:val="16"/>
                <w:color w:val="auto"/>
              </w:rPr>
              <w:t>SCH</w:t>
            </w:r>
          </w:p>
        </w:tc>
        <w:tc>
          <w:tcPr>
            <w:tcW w:w="5700" w:type="dxa"/>
            <w:vAlign w:val="bottom"/>
            <w:gridSpan w:val="8"/>
          </w:tcPr>
          <w:p>
            <w:pPr>
              <w:spacing w:after="0"/>
              <w:rPr>
                <w:sz w:val="20"/>
                <w:szCs w:val="20"/>
                <w:color w:val="auto"/>
              </w:rPr>
            </w:pPr>
            <w:r>
              <w:rPr>
                <w:rFonts w:ascii="Arial" w:cs="Arial" w:eastAsia="Arial" w:hAnsi="Arial"/>
                <w:sz w:val="16"/>
                <w:szCs w:val="16"/>
                <w:color w:val="auto"/>
              </w:rPr>
              <w:t>XBRL Taxonomy Extension Schema.</w:t>
            </w:r>
          </w:p>
        </w:tc>
        <w:tc>
          <w:tcPr>
            <w:tcW w:w="4540" w:type="dxa"/>
            <w:vAlign w:val="bottom"/>
          </w:tcPr>
          <w:p>
            <w:pPr>
              <w:ind w:left="340"/>
              <w:spacing w:after="0"/>
              <w:rPr>
                <w:sz w:val="20"/>
                <w:szCs w:val="20"/>
                <w:color w:val="auto"/>
              </w:rPr>
            </w:pPr>
            <w:r>
              <w:rPr>
                <w:rFonts w:ascii="Arial" w:cs="Arial" w:eastAsia="Arial" w:hAnsi="Arial"/>
                <w:sz w:val="16"/>
                <w:szCs w:val="16"/>
                <w:color w:val="auto"/>
                <w:w w:val="92"/>
              </w:rPr>
              <w:t>Previously filed with the Company's Annual Report on Form 10-</w:t>
            </w:r>
          </w:p>
        </w:tc>
      </w:tr>
      <w:tr>
        <w:trPr>
          <w:trHeight w:val="206"/>
        </w:trPr>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540" w:type="dxa"/>
            <w:vAlign w:val="bottom"/>
          </w:tcPr>
          <w:p>
            <w:pPr>
              <w:ind w:left="340"/>
              <w:spacing w:after="0"/>
              <w:rPr>
                <w:sz w:val="20"/>
                <w:szCs w:val="20"/>
                <w:color w:val="auto"/>
              </w:rPr>
            </w:pPr>
            <w:r>
              <w:rPr>
                <w:rFonts w:ascii="Arial" w:cs="Arial" w:eastAsia="Arial" w:hAnsi="Arial"/>
                <w:sz w:val="16"/>
                <w:szCs w:val="16"/>
                <w:color w:val="auto"/>
              </w:rPr>
              <w:t>K filed on February 28, 2019</w:t>
            </w:r>
          </w:p>
        </w:tc>
      </w:tr>
      <w:tr>
        <w:trPr>
          <w:trHeight w:val="253"/>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760" w:type="dxa"/>
            <w:vAlign w:val="bottom"/>
          </w:tcPr>
          <w:p>
            <w:pPr>
              <w:spacing w:after="0"/>
              <w:rPr>
                <w:sz w:val="20"/>
                <w:szCs w:val="20"/>
                <w:color w:val="auto"/>
              </w:rPr>
            </w:pPr>
            <w:r>
              <w:rPr>
                <w:rFonts w:ascii="Arial" w:cs="Arial" w:eastAsia="Arial" w:hAnsi="Arial"/>
                <w:sz w:val="16"/>
                <w:szCs w:val="16"/>
                <w:color w:val="auto"/>
              </w:rPr>
              <w:t>CAL</w:t>
            </w:r>
          </w:p>
        </w:tc>
        <w:tc>
          <w:tcPr>
            <w:tcW w:w="5700" w:type="dxa"/>
            <w:vAlign w:val="bottom"/>
            <w:gridSpan w:val="8"/>
          </w:tcPr>
          <w:p>
            <w:pPr>
              <w:spacing w:after="0"/>
              <w:rPr>
                <w:sz w:val="20"/>
                <w:szCs w:val="20"/>
                <w:color w:val="auto"/>
              </w:rPr>
            </w:pPr>
            <w:r>
              <w:rPr>
                <w:rFonts w:ascii="Arial" w:cs="Arial" w:eastAsia="Arial" w:hAnsi="Arial"/>
                <w:sz w:val="16"/>
                <w:szCs w:val="16"/>
                <w:color w:val="auto"/>
              </w:rPr>
              <w:t>XBRL Taxonomy Extension Calculation Linkbase.</w:t>
            </w:r>
          </w:p>
        </w:tc>
        <w:tc>
          <w:tcPr>
            <w:tcW w:w="4540" w:type="dxa"/>
            <w:vAlign w:val="bottom"/>
          </w:tcPr>
          <w:p>
            <w:pPr>
              <w:ind w:left="340"/>
              <w:spacing w:after="0"/>
              <w:rPr>
                <w:sz w:val="20"/>
                <w:szCs w:val="20"/>
                <w:color w:val="auto"/>
              </w:rPr>
            </w:pPr>
            <w:r>
              <w:rPr>
                <w:rFonts w:ascii="Arial" w:cs="Arial" w:eastAsia="Arial" w:hAnsi="Arial"/>
                <w:sz w:val="16"/>
                <w:szCs w:val="16"/>
                <w:color w:val="auto"/>
                <w:w w:val="92"/>
              </w:rPr>
              <w:t>Previously filed with the Company's Annual Report on Form 10-</w:t>
            </w:r>
          </w:p>
        </w:tc>
      </w:tr>
      <w:tr>
        <w:trPr>
          <w:trHeight w:val="206"/>
        </w:trPr>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540" w:type="dxa"/>
            <w:vAlign w:val="bottom"/>
          </w:tcPr>
          <w:p>
            <w:pPr>
              <w:ind w:left="340"/>
              <w:spacing w:after="0"/>
              <w:rPr>
                <w:sz w:val="20"/>
                <w:szCs w:val="20"/>
                <w:color w:val="auto"/>
              </w:rPr>
            </w:pPr>
            <w:r>
              <w:rPr>
                <w:rFonts w:ascii="Arial" w:cs="Arial" w:eastAsia="Arial" w:hAnsi="Arial"/>
                <w:sz w:val="16"/>
                <w:szCs w:val="16"/>
                <w:color w:val="auto"/>
              </w:rPr>
              <w:t>K filed on February 28, 2019</w:t>
            </w:r>
          </w:p>
        </w:tc>
      </w:tr>
      <w:tr>
        <w:trPr>
          <w:trHeight w:val="253"/>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760" w:type="dxa"/>
            <w:vAlign w:val="bottom"/>
          </w:tcPr>
          <w:p>
            <w:pPr>
              <w:spacing w:after="0"/>
              <w:rPr>
                <w:sz w:val="20"/>
                <w:szCs w:val="20"/>
                <w:color w:val="auto"/>
              </w:rPr>
            </w:pPr>
            <w:r>
              <w:rPr>
                <w:rFonts w:ascii="Arial" w:cs="Arial" w:eastAsia="Arial" w:hAnsi="Arial"/>
                <w:sz w:val="16"/>
                <w:szCs w:val="16"/>
                <w:color w:val="auto"/>
              </w:rPr>
              <w:t>DEF</w:t>
            </w:r>
          </w:p>
        </w:tc>
        <w:tc>
          <w:tcPr>
            <w:tcW w:w="5700" w:type="dxa"/>
            <w:vAlign w:val="bottom"/>
            <w:gridSpan w:val="8"/>
          </w:tcPr>
          <w:p>
            <w:pPr>
              <w:spacing w:after="0"/>
              <w:rPr>
                <w:sz w:val="20"/>
                <w:szCs w:val="20"/>
                <w:color w:val="auto"/>
              </w:rPr>
            </w:pPr>
            <w:r>
              <w:rPr>
                <w:rFonts w:ascii="Arial" w:cs="Arial" w:eastAsia="Arial" w:hAnsi="Arial"/>
                <w:sz w:val="16"/>
                <w:szCs w:val="16"/>
                <w:color w:val="auto"/>
              </w:rPr>
              <w:t>XBRL Taxonomy Extension Definition Linkbase.</w:t>
            </w:r>
          </w:p>
        </w:tc>
        <w:tc>
          <w:tcPr>
            <w:tcW w:w="4540" w:type="dxa"/>
            <w:vAlign w:val="bottom"/>
          </w:tcPr>
          <w:p>
            <w:pPr>
              <w:ind w:left="340"/>
              <w:spacing w:after="0"/>
              <w:rPr>
                <w:sz w:val="20"/>
                <w:szCs w:val="20"/>
                <w:color w:val="auto"/>
              </w:rPr>
            </w:pPr>
            <w:r>
              <w:rPr>
                <w:rFonts w:ascii="Arial" w:cs="Arial" w:eastAsia="Arial" w:hAnsi="Arial"/>
                <w:sz w:val="16"/>
                <w:szCs w:val="16"/>
                <w:color w:val="auto"/>
                <w:w w:val="92"/>
              </w:rPr>
              <w:t>Previously filed with the Company's Annual Report on Form 10-</w:t>
            </w:r>
          </w:p>
        </w:tc>
      </w:tr>
      <w:tr>
        <w:trPr>
          <w:trHeight w:val="206"/>
        </w:trPr>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540" w:type="dxa"/>
            <w:vAlign w:val="bottom"/>
          </w:tcPr>
          <w:p>
            <w:pPr>
              <w:ind w:left="340"/>
              <w:spacing w:after="0"/>
              <w:rPr>
                <w:sz w:val="20"/>
                <w:szCs w:val="20"/>
                <w:color w:val="auto"/>
              </w:rPr>
            </w:pPr>
            <w:r>
              <w:rPr>
                <w:rFonts w:ascii="Arial" w:cs="Arial" w:eastAsia="Arial" w:hAnsi="Arial"/>
                <w:sz w:val="16"/>
                <w:szCs w:val="16"/>
                <w:color w:val="auto"/>
              </w:rPr>
              <w:t>K filed on February 28, 2019</w:t>
            </w:r>
          </w:p>
        </w:tc>
      </w:tr>
      <w:tr>
        <w:trPr>
          <w:trHeight w:val="253"/>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760" w:type="dxa"/>
            <w:vAlign w:val="bottom"/>
          </w:tcPr>
          <w:p>
            <w:pPr>
              <w:spacing w:after="0"/>
              <w:rPr>
                <w:sz w:val="20"/>
                <w:szCs w:val="20"/>
                <w:color w:val="auto"/>
              </w:rPr>
            </w:pPr>
            <w:r>
              <w:rPr>
                <w:rFonts w:ascii="Arial" w:cs="Arial" w:eastAsia="Arial" w:hAnsi="Arial"/>
                <w:sz w:val="16"/>
                <w:szCs w:val="16"/>
                <w:color w:val="auto"/>
              </w:rPr>
              <w:t>LAB</w:t>
            </w:r>
          </w:p>
        </w:tc>
        <w:tc>
          <w:tcPr>
            <w:tcW w:w="5700" w:type="dxa"/>
            <w:vAlign w:val="bottom"/>
            <w:gridSpan w:val="8"/>
          </w:tcPr>
          <w:p>
            <w:pPr>
              <w:spacing w:after="0"/>
              <w:rPr>
                <w:sz w:val="20"/>
                <w:szCs w:val="20"/>
                <w:color w:val="auto"/>
              </w:rPr>
            </w:pPr>
            <w:r>
              <w:rPr>
                <w:rFonts w:ascii="Arial" w:cs="Arial" w:eastAsia="Arial" w:hAnsi="Arial"/>
                <w:sz w:val="16"/>
                <w:szCs w:val="16"/>
                <w:color w:val="auto"/>
              </w:rPr>
              <w:t>XBRL Taxonomy Extension Label Linkbase.</w:t>
            </w:r>
          </w:p>
        </w:tc>
        <w:tc>
          <w:tcPr>
            <w:tcW w:w="4540" w:type="dxa"/>
            <w:vAlign w:val="bottom"/>
          </w:tcPr>
          <w:p>
            <w:pPr>
              <w:ind w:left="340"/>
              <w:spacing w:after="0"/>
              <w:rPr>
                <w:sz w:val="20"/>
                <w:szCs w:val="20"/>
                <w:color w:val="auto"/>
              </w:rPr>
            </w:pPr>
            <w:r>
              <w:rPr>
                <w:rFonts w:ascii="Arial" w:cs="Arial" w:eastAsia="Arial" w:hAnsi="Arial"/>
                <w:sz w:val="16"/>
                <w:szCs w:val="16"/>
                <w:color w:val="auto"/>
                <w:w w:val="92"/>
              </w:rPr>
              <w:t>Previously filed with the Company's Annual Report on Form 10-</w:t>
            </w:r>
          </w:p>
        </w:tc>
      </w:tr>
      <w:tr>
        <w:trPr>
          <w:trHeight w:val="206"/>
        </w:trPr>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540" w:type="dxa"/>
            <w:vAlign w:val="bottom"/>
          </w:tcPr>
          <w:p>
            <w:pPr>
              <w:ind w:left="340"/>
              <w:spacing w:after="0"/>
              <w:rPr>
                <w:sz w:val="20"/>
                <w:szCs w:val="20"/>
                <w:color w:val="auto"/>
              </w:rPr>
            </w:pPr>
            <w:r>
              <w:rPr>
                <w:rFonts w:ascii="Arial" w:cs="Arial" w:eastAsia="Arial" w:hAnsi="Arial"/>
                <w:sz w:val="16"/>
                <w:szCs w:val="16"/>
                <w:color w:val="auto"/>
              </w:rPr>
              <w:t>K filed on February 28, 2019</w:t>
            </w:r>
          </w:p>
        </w:tc>
      </w:tr>
      <w:tr>
        <w:trPr>
          <w:trHeight w:val="253"/>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760" w:type="dxa"/>
            <w:vAlign w:val="bottom"/>
          </w:tcPr>
          <w:p>
            <w:pPr>
              <w:spacing w:after="0"/>
              <w:rPr>
                <w:sz w:val="20"/>
                <w:szCs w:val="20"/>
                <w:color w:val="auto"/>
              </w:rPr>
            </w:pPr>
            <w:r>
              <w:rPr>
                <w:rFonts w:ascii="Arial" w:cs="Arial" w:eastAsia="Arial" w:hAnsi="Arial"/>
                <w:sz w:val="16"/>
                <w:szCs w:val="16"/>
                <w:color w:val="auto"/>
              </w:rPr>
              <w:t>PRE</w:t>
            </w:r>
          </w:p>
        </w:tc>
        <w:tc>
          <w:tcPr>
            <w:tcW w:w="5700" w:type="dxa"/>
            <w:vAlign w:val="bottom"/>
            <w:gridSpan w:val="8"/>
          </w:tcPr>
          <w:p>
            <w:pPr>
              <w:spacing w:after="0"/>
              <w:rPr>
                <w:sz w:val="20"/>
                <w:szCs w:val="20"/>
                <w:color w:val="auto"/>
              </w:rPr>
            </w:pPr>
            <w:r>
              <w:rPr>
                <w:rFonts w:ascii="Arial" w:cs="Arial" w:eastAsia="Arial" w:hAnsi="Arial"/>
                <w:sz w:val="16"/>
                <w:szCs w:val="16"/>
                <w:color w:val="auto"/>
              </w:rPr>
              <w:t>XBRL Taxonomy Extension Presentation Linkbase.</w:t>
            </w:r>
          </w:p>
        </w:tc>
        <w:tc>
          <w:tcPr>
            <w:tcW w:w="4540" w:type="dxa"/>
            <w:vAlign w:val="bottom"/>
          </w:tcPr>
          <w:p>
            <w:pPr>
              <w:ind w:left="340"/>
              <w:spacing w:after="0"/>
              <w:rPr>
                <w:sz w:val="20"/>
                <w:szCs w:val="20"/>
                <w:color w:val="auto"/>
              </w:rPr>
            </w:pPr>
            <w:r>
              <w:rPr>
                <w:rFonts w:ascii="Arial" w:cs="Arial" w:eastAsia="Arial" w:hAnsi="Arial"/>
                <w:sz w:val="16"/>
                <w:szCs w:val="16"/>
                <w:color w:val="auto"/>
                <w:w w:val="92"/>
              </w:rPr>
              <w:t>Previously filed with the Company's Annual Report on Form 10-</w:t>
            </w:r>
          </w:p>
        </w:tc>
      </w:tr>
      <w:tr>
        <w:trPr>
          <w:trHeight w:val="206"/>
        </w:trPr>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540" w:type="dxa"/>
            <w:vAlign w:val="bottom"/>
          </w:tcPr>
          <w:p>
            <w:pPr>
              <w:ind w:left="340"/>
              <w:spacing w:after="0"/>
              <w:rPr>
                <w:sz w:val="20"/>
                <w:szCs w:val="20"/>
                <w:color w:val="auto"/>
              </w:rPr>
            </w:pPr>
            <w:r>
              <w:rPr>
                <w:rFonts w:ascii="Arial" w:cs="Arial" w:eastAsia="Arial" w:hAnsi="Arial"/>
                <w:sz w:val="16"/>
                <w:szCs w:val="16"/>
                <w:color w:val="auto"/>
              </w:rPr>
              <w:t>K filed on February 28, 2019</w:t>
            </w:r>
          </w:p>
        </w:tc>
      </w:tr>
    </w:tbl>
    <w:p>
      <w:pPr>
        <w:spacing w:after="0" w:line="200" w:lineRule="exact"/>
        <w:rPr>
          <w:sz w:val="20"/>
          <w:szCs w:val="20"/>
          <w:color w:val="auto"/>
        </w:rPr>
      </w:pPr>
    </w:p>
    <w:p>
      <w:pPr>
        <w:spacing w:after="0" w:line="201" w:lineRule="exact"/>
        <w:rPr>
          <w:sz w:val="20"/>
          <w:szCs w:val="20"/>
          <w:color w:val="auto"/>
        </w:rPr>
      </w:pPr>
    </w:p>
    <w:p>
      <w:pPr>
        <w:ind w:left="565" w:hanging="565"/>
        <w:spacing w:after="0"/>
        <w:tabs>
          <w:tab w:leader="none" w:pos="565" w:val="left"/>
        </w:tabs>
        <w:numPr>
          <w:ilvl w:val="0"/>
          <w:numId w:val="4"/>
        </w:numPr>
        <w:rPr>
          <w:rFonts w:ascii="Arial" w:cs="Arial" w:eastAsia="Arial" w:hAnsi="Arial"/>
          <w:sz w:val="16"/>
          <w:szCs w:val="16"/>
          <w:color w:val="auto"/>
        </w:rPr>
      </w:pPr>
      <w:r>
        <w:rPr>
          <w:rFonts w:ascii="Arial" w:cs="Arial" w:eastAsia="Arial" w:hAnsi="Arial"/>
          <w:sz w:val="16"/>
          <w:szCs w:val="16"/>
          <w:color w:val="auto"/>
        </w:rPr>
        <w:t>Indicates exhibits that constitute compensatory plans or arrangements.</w:t>
      </w:r>
    </w:p>
    <w:p>
      <w:pPr>
        <w:spacing w:after="0" w:line="86" w:lineRule="exact"/>
        <w:rPr>
          <w:sz w:val="20"/>
          <w:szCs w:val="20"/>
          <w:color w:val="auto"/>
        </w:rPr>
      </w:pPr>
    </w:p>
    <w:p>
      <w:pPr>
        <w:ind w:left="565" w:right="2120" w:hanging="565"/>
        <w:spacing w:after="0" w:line="293" w:lineRule="auto"/>
        <w:tabs>
          <w:tab w:leader="none" w:pos="565" w:val="left"/>
        </w:tabs>
        <w:numPr>
          <w:ilvl w:val="0"/>
          <w:numId w:val="5"/>
        </w:numPr>
        <w:rPr>
          <w:rFonts w:ascii="Arial" w:cs="Arial" w:eastAsia="Arial" w:hAnsi="Arial"/>
          <w:sz w:val="16"/>
          <w:szCs w:val="16"/>
          <w:color w:val="auto"/>
        </w:rPr>
      </w:pPr>
      <w:r>
        <w:rPr>
          <w:rFonts w:ascii="Arial" w:cs="Arial" w:eastAsia="Arial" w:hAnsi="Arial"/>
          <w:sz w:val="16"/>
          <w:szCs w:val="16"/>
          <w:color w:val="auto"/>
        </w:rPr>
        <w:t>This filing excludes schedules pursuant to Item 601(b)(2) of Regulation S-K, which the registrant agrees to furnish supplementary to the Securities and Exchange Commission upon request by the Commission.</w:t>
      </w:r>
    </w:p>
    <w:p>
      <w:pPr>
        <w:spacing w:after="0" w:line="10" w:lineRule="exact"/>
        <w:rPr>
          <w:sz w:val="20"/>
          <w:szCs w:val="20"/>
          <w:color w:val="auto"/>
        </w:rPr>
      </w:pPr>
    </w:p>
    <w:p>
      <w:pPr>
        <w:ind w:left="565" w:right="2120" w:hanging="565"/>
        <w:spacing w:after="0" w:line="329" w:lineRule="auto"/>
        <w:tabs>
          <w:tab w:leader="none" w:pos="565" w:val="left"/>
        </w:tabs>
        <w:numPr>
          <w:ilvl w:val="0"/>
          <w:numId w:val="6"/>
        </w:numPr>
        <w:rPr>
          <w:rFonts w:ascii="Arial" w:cs="Arial" w:eastAsia="Arial" w:hAnsi="Arial"/>
          <w:sz w:val="15"/>
          <w:szCs w:val="15"/>
          <w:color w:val="auto"/>
        </w:rPr>
      </w:pPr>
      <w:r>
        <w:rPr>
          <w:rFonts w:ascii="Arial" w:cs="Arial" w:eastAsia="Arial" w:hAnsi="Arial"/>
          <w:sz w:val="15"/>
          <w:szCs w:val="15"/>
          <w:color w:val="auto"/>
        </w:rPr>
        <w:t>Portions of this exhibit have been redacted and are subject to a confidential treatment request filed with the Secretary of the Securities and Exchange Commission pursuant to Rule 24b-2 under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64"/>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85"/>
          </w:cols>
          <w:pgMar w:left="275" w:top="751" w:right="3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CLEARWAY ENERGY, INC.</w:t>
      </w:r>
    </w:p>
    <w:p>
      <w:pPr>
        <w:spacing w:after="0" w:line="2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(Registrant)</w:t>
      </w:r>
    </w:p>
    <w:p>
      <w:pPr>
        <w:spacing w:after="0" w:line="346"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31750</wp:posOffset>
            </wp:positionV>
            <wp:extent cx="2101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8">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Christopher S. Sotos</w:t>
      </w:r>
    </w:p>
    <w:p>
      <w:pPr>
        <w:spacing w:after="0" w:line="63" w:lineRule="exact"/>
        <w:rPr>
          <w:sz w:val="20"/>
          <w:szCs w:val="20"/>
          <w:color w:val="auto"/>
        </w:rPr>
      </w:pPr>
    </w:p>
    <w:p>
      <w:pPr>
        <w:ind w:left="6900"/>
        <w:spacing w:after="0"/>
        <w:rPr>
          <w:sz w:val="20"/>
          <w:szCs w:val="20"/>
          <w:color w:val="auto"/>
        </w:rPr>
      </w:pPr>
      <w:r>
        <w:rPr>
          <w:rFonts w:ascii="Arial" w:cs="Arial" w:eastAsia="Arial" w:hAnsi="Arial"/>
          <w:sz w:val="18"/>
          <w:szCs w:val="18"/>
          <w:i w:val="1"/>
          <w:iCs w:val="1"/>
          <w:color w:val="auto"/>
        </w:rPr>
        <w:t>Chief Executive Officer</w:t>
      </w:r>
    </w:p>
    <w:p>
      <w:pPr>
        <w:spacing w:after="0" w:line="23" w:lineRule="exact"/>
        <w:rPr>
          <w:sz w:val="20"/>
          <w:szCs w:val="20"/>
          <w:color w:val="auto"/>
        </w:rPr>
      </w:pPr>
    </w:p>
    <w:p>
      <w:pPr>
        <w:ind w:left="6900"/>
        <w:spacing w:after="0"/>
        <w:rPr>
          <w:sz w:val="20"/>
          <w:szCs w:val="20"/>
          <w:color w:val="auto"/>
        </w:rPr>
      </w:pPr>
      <w:r>
        <w:rPr>
          <w:rFonts w:ascii="Arial" w:cs="Arial" w:eastAsia="Arial" w:hAnsi="Arial"/>
          <w:sz w:val="18"/>
          <w:szCs w:val="18"/>
          <w:i w:val="1"/>
          <w:iCs w:val="1"/>
          <w:color w:val="auto"/>
        </w:rPr>
        <w:t>(Principal Executive Officer)</w:t>
      </w:r>
    </w:p>
    <w:p>
      <w:pPr>
        <w:spacing w:after="0" w:line="319"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March 29, 2019</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0" w:right="2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Clearway Energy, Inc.:</w:t>
      </w:r>
    </w:p>
    <w:p>
      <w:pPr>
        <w:spacing w:after="0" w:line="18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consent to the incorporation by reference in the registration statements Numbers 333-206061 and 333-190071 on Form S-8, and Numbers 333-224684, 333-212096, 333-205140, 333-204589 on Form S-3 of Clearway Energy, Inc. of our report dated March 28, 2019, with respect to the consolidated balance sheet of DGPV HoldCo 3 LLC, as of December 31, 2018, and the related consolidated statement of operations, members’ equity (deficit), and cash flows for the year then ended, and the related notes (collectively, the financial statements), which report appears in the Form 10-K/A of Clearway Energy, Inc. dated March 29, 2019.</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(signed) KPMG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28, 2019</w:t>
      </w:r>
    </w:p>
    <w:p>
      <w:pPr>
        <w:sectPr>
          <w:pgSz w:w="11900" w:h="16838" w:orient="portrait"/>
          <w:cols w:equalWidth="0" w:num="1">
            <w:col w:w="11420"/>
          </w:cols>
          <w:pgMar w:left="240" w:top="580" w:right="239" w:bottom="1440" w:gutter="0" w:footer="0" w:header="0"/>
        </w:sectPr>
      </w:pPr>
    </w:p>
    <w:bookmarkStart w:id="11" w:name="page12"/>
    <w:bookmarkEnd w:id="11"/>
    <w:p>
      <w:pPr>
        <w:ind w:left="10280"/>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Christopher S. Sotos, certify that:</w:t>
      </w:r>
    </w:p>
    <w:p>
      <w:pPr>
        <w:spacing w:after="0" w:line="306"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Clearway Energy, Inc.;</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20" w:hanging="644"/>
        <w:spacing w:after="0" w:line="342" w:lineRule="auto"/>
        <w:tabs>
          <w:tab w:leader="none" w:pos="130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644"/>
        <w:spacing w:after="0" w:line="277"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31750</wp:posOffset>
            </wp:positionV>
            <wp:extent cx="28213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9">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Christopher S. Sotos</w:t>
      </w:r>
    </w:p>
    <w:p>
      <w:pPr>
        <w:spacing w:after="0" w:line="23" w:lineRule="exact"/>
        <w:rPr>
          <w:sz w:val="20"/>
          <w:szCs w:val="20"/>
          <w:color w:val="auto"/>
        </w:rPr>
      </w:pPr>
    </w:p>
    <w:p>
      <w:pPr>
        <w:ind w:left="5680"/>
        <w:spacing w:after="0"/>
        <w:rPr>
          <w:sz w:val="20"/>
          <w:szCs w:val="20"/>
          <w:color w:val="auto"/>
        </w:rPr>
      </w:pPr>
      <w:r>
        <w:rPr>
          <w:rFonts w:ascii="Arial" w:cs="Arial" w:eastAsia="Arial" w:hAnsi="Arial"/>
          <w:sz w:val="18"/>
          <w:szCs w:val="18"/>
          <w:i w:val="1"/>
          <w:iCs w:val="1"/>
          <w:color w:val="auto"/>
        </w:rPr>
        <w:t>Chief Executive Officer</w:t>
      </w:r>
    </w:p>
    <w:p>
      <w:pPr>
        <w:spacing w:after="0" w:line="9" w:lineRule="exact"/>
        <w:rPr>
          <w:sz w:val="20"/>
          <w:szCs w:val="20"/>
          <w:color w:val="auto"/>
        </w:rPr>
      </w:pPr>
    </w:p>
    <w:p>
      <w:pPr>
        <w:ind w:left="5680"/>
        <w:spacing w:after="0"/>
        <w:rPr>
          <w:sz w:val="20"/>
          <w:szCs w:val="20"/>
          <w:color w:val="auto"/>
        </w:rPr>
      </w:pPr>
      <w:r>
        <w:rPr>
          <w:rFonts w:ascii="Arial" w:cs="Arial" w:eastAsia="Arial" w:hAnsi="Arial"/>
          <w:sz w:val="18"/>
          <w:szCs w:val="18"/>
          <w:i w:val="1"/>
          <w:iCs w:val="1"/>
          <w:color w:val="auto"/>
        </w:rPr>
        <w:t>(Principal Executive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March 29, 2019</w:t>
      </w:r>
    </w:p>
    <w:p>
      <w:pPr>
        <w:sectPr>
          <w:pgSz w:w="11900" w:h="16838" w:orient="portrait"/>
          <w:cols w:equalWidth="0" w:num="1">
            <w:col w:w="11420"/>
          </w:cols>
          <w:pgMar w:left="240" w:top="661" w:right="239" w:bottom="1440" w:gutter="0" w:footer="0" w:header="0"/>
        </w:sectPr>
      </w:pPr>
    </w:p>
    <w:bookmarkStart w:id="12" w:name="page13"/>
    <w:bookmarkEnd w:id="12"/>
    <w:p>
      <w:pPr>
        <w:ind w:left="10280"/>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Chad Plotkin, certify that:</w:t>
      </w:r>
    </w:p>
    <w:p>
      <w:pPr>
        <w:spacing w:after="0" w:line="306"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Clearway Energy, Inc.;</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20" w:hanging="644"/>
        <w:spacing w:after="0" w:line="342" w:lineRule="auto"/>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644"/>
        <w:spacing w:after="0" w:line="277"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31750</wp:posOffset>
            </wp:positionV>
            <wp:extent cx="16205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0">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spacing w:after="0" w:line="57"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Chad Plotkin</w:t>
      </w:r>
    </w:p>
    <w:p>
      <w:pPr>
        <w:spacing w:after="0" w:line="23" w:lineRule="exact"/>
        <w:rPr>
          <w:sz w:val="20"/>
          <w:szCs w:val="20"/>
          <w:color w:val="auto"/>
        </w:rPr>
      </w:pPr>
    </w:p>
    <w:p>
      <w:pPr>
        <w:ind w:left="782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7820"/>
        <w:spacing w:after="0"/>
        <w:rPr>
          <w:sz w:val="20"/>
          <w:szCs w:val="20"/>
          <w:color w:val="auto"/>
        </w:rPr>
      </w:pPr>
      <w:r>
        <w:rPr>
          <w:rFonts w:ascii="Arial" w:cs="Arial" w:eastAsia="Arial" w:hAnsi="Arial"/>
          <w:sz w:val="18"/>
          <w:szCs w:val="18"/>
          <w:i w:val="1"/>
          <w:iCs w:val="1"/>
          <w:color w:val="auto"/>
        </w:rPr>
        <w:t>(Principal Financial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March 29, 2019</w:t>
      </w:r>
    </w:p>
    <w:p>
      <w:pPr>
        <w:sectPr>
          <w:pgSz w:w="11900" w:h="16838" w:orient="portrait"/>
          <w:cols w:equalWidth="0" w:num="1">
            <w:col w:w="11420"/>
          </w:cols>
          <w:pgMar w:left="240" w:top="661" w:right="239" w:bottom="1440" w:gutter="0" w:footer="0" w:header="0"/>
        </w:sectPr>
      </w:pPr>
    </w:p>
    <w:bookmarkStart w:id="13" w:name="page14"/>
    <w:bookmarkEnd w:id="13"/>
    <w:p>
      <w:pPr>
        <w:ind w:left="10280"/>
        <w:spacing w:after="0"/>
        <w:rPr>
          <w:sz w:val="20"/>
          <w:szCs w:val="20"/>
          <w:color w:val="auto"/>
        </w:rPr>
      </w:pPr>
      <w:r>
        <w:rPr>
          <w:rFonts w:ascii="Arial" w:cs="Arial" w:eastAsia="Arial" w:hAnsi="Arial"/>
          <w:sz w:val="18"/>
          <w:szCs w:val="18"/>
          <w:b w:val="1"/>
          <w:bCs w:val="1"/>
          <w:color w:val="auto"/>
        </w:rPr>
        <w:t>EXHIBIT 31.3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I, Mary-Lee Stillwell, certify that:</w:t>
      </w:r>
    </w:p>
    <w:p>
      <w:pPr>
        <w:spacing w:after="0" w:line="306"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Clearway Energy, Inc.;</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20" w:hanging="644"/>
        <w:spacing w:after="0" w:line="342" w:lineRule="auto"/>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644"/>
        <w:spacing w:after="0" w:line="277"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/s/ MARY-LEE STILLWELL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31750</wp:posOffset>
            </wp:positionV>
            <wp:extent cx="18440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1">
                      <a:extLst>
                        <a:ext uri="{28A0092B-C50C-407E-A947-70E740481C1C}"/>
                      </a:extLst>
                    </a:blip>
                    <a:srcRect/>
                    <a:stretch>
                      <a:fillRect/>
                    </a:stretch>
                  </pic:blipFill>
                  <pic:spPr bwMode="auto">
                    <a:xfrm>
                      <a:off x="0" y="0"/>
                      <a:ext cx="1844040" cy="8890"/>
                    </a:xfrm>
                    <a:prstGeom prst="rect">
                      <a:avLst/>
                    </a:prstGeom>
                    <a:noFill/>
                  </pic:spPr>
                </pic:pic>
              </a:graphicData>
            </a:graphic>
          </wp:anchor>
        </w:drawing>
      </w:r>
    </w:p>
    <w:p>
      <w:pPr>
        <w:spacing w:after="0" w:line="57"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Mary-Lee Stillwell</w:t>
      </w:r>
    </w:p>
    <w:p>
      <w:pPr>
        <w:spacing w:after="0" w:line="23" w:lineRule="exact"/>
        <w:rPr>
          <w:sz w:val="20"/>
          <w:szCs w:val="20"/>
          <w:color w:val="auto"/>
        </w:rPr>
      </w:pPr>
    </w:p>
    <w:p>
      <w:pPr>
        <w:ind w:left="7420"/>
        <w:spacing w:after="0"/>
        <w:rPr>
          <w:sz w:val="20"/>
          <w:szCs w:val="20"/>
          <w:color w:val="auto"/>
        </w:rPr>
      </w:pPr>
      <w:r>
        <w:rPr>
          <w:rFonts w:ascii="Arial" w:cs="Arial" w:eastAsia="Arial" w:hAnsi="Arial"/>
          <w:sz w:val="18"/>
          <w:szCs w:val="18"/>
          <w:i w:val="1"/>
          <w:iCs w:val="1"/>
          <w:color w:val="auto"/>
        </w:rPr>
        <w:t>Chief Accounting Officer</w:t>
      </w:r>
    </w:p>
    <w:p>
      <w:pPr>
        <w:spacing w:after="0" w:line="9" w:lineRule="exact"/>
        <w:rPr>
          <w:sz w:val="20"/>
          <w:szCs w:val="20"/>
          <w:color w:val="auto"/>
        </w:rPr>
      </w:pPr>
    </w:p>
    <w:p>
      <w:pPr>
        <w:ind w:left="7420"/>
        <w:spacing w:after="0"/>
        <w:rPr>
          <w:sz w:val="20"/>
          <w:szCs w:val="20"/>
          <w:color w:val="auto"/>
        </w:rPr>
      </w:pPr>
      <w:r>
        <w:rPr>
          <w:rFonts w:ascii="Arial" w:cs="Arial" w:eastAsia="Arial" w:hAnsi="Arial"/>
          <w:sz w:val="18"/>
          <w:szCs w:val="18"/>
          <w:i w:val="1"/>
          <w:iCs w:val="1"/>
          <w:color w:val="auto"/>
        </w:rPr>
        <w:t>(Principal Accounting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March 29, 2019</w:t>
      </w:r>
    </w:p>
    <w:p>
      <w:pPr>
        <w:sectPr>
          <w:pgSz w:w="11900" w:h="16838" w:orient="portrait"/>
          <w:cols w:equalWidth="0" w:num="1">
            <w:col w:w="11420"/>
          </w:cols>
          <w:pgMar w:left="240" w:top="580" w:right="23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connection with the Annual Report of Clearway Energy, Inc. on Form 10-K/A for the year ended December 31, 2018, as filed with the Securities and Exchange Commission on the date hereof (the “Form 10-K/A”), each of the undersigned officers of the Company certifies, pursuant to 18 U.S.C. Section 1350, as adopted pursuant to Section 906 of the Sarbanes-Oxley Act of 2002, that, to such officer's knowledge:</w:t>
      </w:r>
    </w:p>
    <w:p>
      <w:pPr>
        <w:spacing w:after="0" w:line="19"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Form 10-K/A fully complies with the requirements of Section 13(a) or 15(d) of the Securities Exchange Act of 1934; and</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the Form 10-K/A fairly presents, in all material respects, the financial condition and results of operations of the Company as of the dates and for the periods expressed in the Form 10-K/A.</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March 29, 2019</w:t>
      </w:r>
    </w:p>
    <w:p>
      <w:pPr>
        <w:spacing w:after="0" w:line="200" w:lineRule="exact"/>
        <w:rPr>
          <w:sz w:val="20"/>
          <w:szCs w:val="20"/>
          <w:color w:val="auto"/>
        </w:rPr>
      </w:pPr>
    </w:p>
    <w:p>
      <w:pPr>
        <w:spacing w:after="0" w:line="24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24612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2">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Christopher S. Sotos</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Chief Executive Officer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38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24612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3">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Chad Plotkin</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38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MARY-LEE STILLWELL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24612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4">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Mary-Lee Stillwell</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Chief Accounting Officer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Accounting Officer</w:t>
      </w:r>
      <w:r>
        <w:rPr>
          <w:rFonts w:ascii="Arial" w:cs="Arial" w:eastAsia="Arial" w:hAnsi="Arial"/>
          <w:sz w:val="18"/>
          <w:szCs w:val="18"/>
          <w:color w:val="auto"/>
        </w:rPr>
        <w:t>)</w:t>
      </w:r>
    </w:p>
    <w:p>
      <w:pPr>
        <w:spacing w:after="0" w:line="10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this Form 10-K/A or as a separate disclosure document.</w:t>
      </w:r>
    </w:p>
    <w:p>
      <w:pPr>
        <w:spacing w:after="0" w:line="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Clearway Energy, Inc. and will be retained by Clearway Energy, Inc. and furnished to the Securities and Exchange Commission or its staff upon request.</w:t>
      </w:r>
    </w:p>
    <w:p>
      <w:pPr>
        <w:sectPr>
          <w:pgSz w:w="11900" w:h="16838" w:orient="portrait"/>
          <w:cols w:equalWidth="0" w:num="1">
            <w:col w:w="11420"/>
          </w:cols>
          <w:pgMar w:left="240" w:top="580"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20"/>
          <w:szCs w:val="20"/>
          <w:b w:val="1"/>
          <w:bCs w:val="1"/>
          <w:color w:val="auto"/>
        </w:rPr>
        <w:t>DGPV HOLDCO 3 LLC AND SUBSIDIARIES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160" w:type="dxa"/>
        <w:tblCellMar>
          <w:top w:w="0" w:type="dxa"/>
          <w:left w:w="0" w:type="dxa"/>
          <w:bottom w:w="0" w:type="dxa"/>
          <w:right w:w="0" w:type="dxa"/>
        </w:tblCellMar>
      </w:tblPr>
      <w:tr>
        <w:trPr>
          <w:trHeight w:val="256"/>
        </w:trPr>
        <w:tc>
          <w:tcPr>
            <w:tcW w:w="7980" w:type="dxa"/>
            <w:vAlign w:val="bottom"/>
          </w:tcPr>
          <w:p>
            <w:pPr>
              <w:spacing w:after="0"/>
              <w:rPr>
                <w:sz w:val="22"/>
                <w:szCs w:val="22"/>
                <w:color w:val="auto"/>
              </w:rPr>
            </w:pPr>
          </w:p>
        </w:tc>
        <w:tc>
          <w:tcPr>
            <w:tcW w:w="620" w:type="dxa"/>
            <w:vAlign w:val="bottom"/>
          </w:tcPr>
          <w:p>
            <w:pPr>
              <w:jc w:val="center"/>
              <w:ind w:left="121"/>
              <w:spacing w:after="0"/>
              <w:rPr>
                <w:sz w:val="20"/>
                <w:szCs w:val="20"/>
                <w:color w:val="auto"/>
              </w:rPr>
            </w:pPr>
            <w:r>
              <w:rPr>
                <w:rFonts w:ascii="Arial" w:cs="Arial" w:eastAsia="Arial" w:hAnsi="Arial"/>
                <w:sz w:val="20"/>
                <w:szCs w:val="20"/>
                <w:b w:val="1"/>
                <w:bCs w:val="1"/>
                <w:color w:val="auto"/>
                <w:w w:val="83"/>
              </w:rPr>
              <w:t>Page</w:t>
            </w:r>
          </w:p>
        </w:tc>
        <w:tc>
          <w:tcPr>
            <w:tcW w:w="0" w:type="dxa"/>
            <w:vAlign w:val="bottom"/>
          </w:tcPr>
          <w:p>
            <w:pPr>
              <w:spacing w:after="0"/>
              <w:rPr>
                <w:sz w:val="1"/>
                <w:szCs w:val="1"/>
                <w:color w:val="auto"/>
              </w:rPr>
            </w:pPr>
          </w:p>
        </w:tc>
      </w:tr>
      <w:tr>
        <w:trPr>
          <w:trHeight w:val="284"/>
        </w:trPr>
        <w:tc>
          <w:tcPr>
            <w:tcW w:w="7980" w:type="dxa"/>
            <w:vAlign w:val="bottom"/>
          </w:tcPr>
          <w:p>
            <w:pPr>
              <w:spacing w:after="0"/>
              <w:rPr>
                <w:sz w:val="20"/>
                <w:szCs w:val="20"/>
                <w:color w:val="auto"/>
              </w:rPr>
            </w:pPr>
            <w:r>
              <w:rPr>
                <w:rFonts w:ascii="Arial" w:cs="Arial" w:eastAsia="Arial" w:hAnsi="Arial"/>
                <w:sz w:val="20"/>
                <w:szCs w:val="20"/>
                <w:color w:val="auto"/>
              </w:rPr>
              <w:t>Independent Auditors' Report</w:t>
            </w:r>
          </w:p>
        </w:tc>
        <w:tc>
          <w:tcPr>
            <w:tcW w:w="620" w:type="dxa"/>
            <w:vAlign w:val="bottom"/>
          </w:tcPr>
          <w:p>
            <w:pPr>
              <w:jc w:val="center"/>
              <w:ind w:left="141"/>
              <w:spacing w:after="0"/>
              <w:rPr>
                <w:sz w:val="20"/>
                <w:szCs w:val="20"/>
                <w:color w:val="auto"/>
              </w:rPr>
            </w:pPr>
            <w:r>
              <w:rPr>
                <w:rFonts w:ascii="Arial" w:cs="Arial" w:eastAsia="Arial" w:hAnsi="Arial"/>
                <w:sz w:val="20"/>
                <w:szCs w:val="20"/>
                <w:color w:val="auto"/>
                <w:w w:val="89"/>
              </w:rPr>
              <w:t>1</w:t>
            </w:r>
          </w:p>
        </w:tc>
        <w:tc>
          <w:tcPr>
            <w:tcW w:w="0" w:type="dxa"/>
            <w:vAlign w:val="bottom"/>
          </w:tcPr>
          <w:p>
            <w:pPr>
              <w:spacing w:after="0"/>
              <w:rPr>
                <w:sz w:val="1"/>
                <w:szCs w:val="1"/>
                <w:color w:val="auto"/>
              </w:rPr>
            </w:pPr>
          </w:p>
        </w:tc>
      </w:tr>
      <w:tr>
        <w:trPr>
          <w:trHeight w:val="284"/>
        </w:trPr>
        <w:tc>
          <w:tcPr>
            <w:tcW w:w="7980" w:type="dxa"/>
            <w:vAlign w:val="bottom"/>
          </w:tcPr>
          <w:p>
            <w:pPr>
              <w:spacing w:after="0"/>
              <w:rPr>
                <w:sz w:val="20"/>
                <w:szCs w:val="20"/>
                <w:color w:val="auto"/>
              </w:rPr>
            </w:pPr>
            <w:r>
              <w:rPr>
                <w:rFonts w:ascii="Arial" w:cs="Arial" w:eastAsia="Arial" w:hAnsi="Arial"/>
                <w:sz w:val="20"/>
                <w:szCs w:val="20"/>
                <w:color w:val="auto"/>
              </w:rPr>
              <w:t>Consolidated Balance Sheets — December 31, 2018 and 2017</w:t>
            </w:r>
          </w:p>
        </w:tc>
        <w:tc>
          <w:tcPr>
            <w:tcW w:w="620" w:type="dxa"/>
            <w:vAlign w:val="bottom"/>
            <w:vMerge w:val="restart"/>
          </w:tcPr>
          <w:p>
            <w:pPr>
              <w:jc w:val="center"/>
              <w:ind w:left="141"/>
              <w:spacing w:after="0"/>
              <w:rPr>
                <w:sz w:val="20"/>
                <w:szCs w:val="20"/>
                <w:color w:val="auto"/>
              </w:rPr>
            </w:pPr>
            <w:r>
              <w:rPr>
                <w:rFonts w:ascii="Arial" w:cs="Arial" w:eastAsia="Arial" w:hAnsi="Arial"/>
                <w:sz w:val="20"/>
                <w:szCs w:val="20"/>
                <w:color w:val="auto"/>
                <w:w w:val="89"/>
              </w:rPr>
              <w:t>2</w:t>
            </w:r>
          </w:p>
        </w:tc>
        <w:tc>
          <w:tcPr>
            <w:tcW w:w="0" w:type="dxa"/>
            <w:vAlign w:val="bottom"/>
          </w:tcPr>
          <w:p>
            <w:pPr>
              <w:spacing w:after="0"/>
              <w:rPr>
                <w:sz w:val="1"/>
                <w:szCs w:val="1"/>
                <w:color w:val="auto"/>
              </w:rPr>
            </w:pPr>
          </w:p>
        </w:tc>
      </w:tr>
      <w:tr>
        <w:trPr>
          <w:trHeight w:val="176"/>
        </w:trPr>
        <w:tc>
          <w:tcPr>
            <w:tcW w:w="79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7980" w:type="dxa"/>
            <w:vAlign w:val="bottom"/>
          </w:tcPr>
          <w:p>
            <w:pPr>
              <w:spacing w:after="0"/>
              <w:rPr>
                <w:sz w:val="20"/>
                <w:szCs w:val="20"/>
                <w:color w:val="auto"/>
              </w:rPr>
            </w:pPr>
            <w:r>
              <w:rPr>
                <w:rFonts w:ascii="Arial" w:cs="Arial" w:eastAsia="Arial" w:hAnsi="Arial"/>
                <w:sz w:val="20"/>
                <w:szCs w:val="20"/>
                <w:color w:val="auto"/>
                <w:w w:val="94"/>
              </w:rPr>
              <w:t>Consolidated Statements of Operations — Year ended December 31, 2018 and the period from</w:t>
            </w: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980" w:type="dxa"/>
            <w:vAlign w:val="bottom"/>
          </w:tcPr>
          <w:p>
            <w:pPr>
              <w:spacing w:after="0"/>
              <w:rPr>
                <w:sz w:val="20"/>
                <w:szCs w:val="20"/>
                <w:color w:val="auto"/>
              </w:rPr>
            </w:pPr>
            <w:r>
              <w:rPr>
                <w:rFonts w:ascii="Arial" w:cs="Arial" w:eastAsia="Arial" w:hAnsi="Arial"/>
                <w:sz w:val="20"/>
                <w:szCs w:val="20"/>
                <w:color w:val="auto"/>
              </w:rPr>
              <w:t>September 26, 2017 through December 31, 2017</w:t>
            </w:r>
          </w:p>
        </w:tc>
        <w:tc>
          <w:tcPr>
            <w:tcW w:w="620" w:type="dxa"/>
            <w:vAlign w:val="bottom"/>
          </w:tcPr>
          <w:p>
            <w:pPr>
              <w:jc w:val="center"/>
              <w:ind w:left="141"/>
              <w:spacing w:after="0"/>
              <w:rPr>
                <w:sz w:val="20"/>
                <w:szCs w:val="20"/>
                <w:color w:val="auto"/>
              </w:rPr>
            </w:pPr>
            <w:r>
              <w:rPr>
                <w:rFonts w:ascii="Arial" w:cs="Arial" w:eastAsia="Arial" w:hAnsi="Arial"/>
                <w:sz w:val="20"/>
                <w:szCs w:val="20"/>
                <w:color w:val="auto"/>
                <w:w w:val="89"/>
              </w:rPr>
              <w:t>3</w:t>
            </w:r>
          </w:p>
        </w:tc>
        <w:tc>
          <w:tcPr>
            <w:tcW w:w="0" w:type="dxa"/>
            <w:vAlign w:val="bottom"/>
          </w:tcPr>
          <w:p>
            <w:pPr>
              <w:spacing w:after="0"/>
              <w:rPr>
                <w:sz w:val="1"/>
                <w:szCs w:val="1"/>
                <w:color w:val="auto"/>
              </w:rPr>
            </w:pPr>
          </w:p>
        </w:tc>
      </w:tr>
      <w:tr>
        <w:trPr>
          <w:trHeight w:val="263"/>
        </w:trPr>
        <w:tc>
          <w:tcPr>
            <w:tcW w:w="7980" w:type="dxa"/>
            <w:vAlign w:val="bottom"/>
          </w:tcPr>
          <w:p>
            <w:pPr>
              <w:spacing w:after="0"/>
              <w:rPr>
                <w:sz w:val="20"/>
                <w:szCs w:val="20"/>
                <w:color w:val="auto"/>
              </w:rPr>
            </w:pPr>
            <w:r>
              <w:rPr>
                <w:rFonts w:ascii="Arial" w:cs="Arial" w:eastAsia="Arial" w:hAnsi="Arial"/>
                <w:sz w:val="20"/>
                <w:szCs w:val="20"/>
                <w:color w:val="auto"/>
                <w:w w:val="92"/>
              </w:rPr>
              <w:t>Consolidated Statements of Member's Equity (Deficit) — Year ended December 31, 2018 and the</w:t>
            </w: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980" w:type="dxa"/>
            <w:vAlign w:val="bottom"/>
          </w:tcPr>
          <w:p>
            <w:pPr>
              <w:spacing w:after="0"/>
              <w:rPr>
                <w:sz w:val="20"/>
                <w:szCs w:val="20"/>
                <w:color w:val="auto"/>
              </w:rPr>
            </w:pPr>
            <w:r>
              <w:rPr>
                <w:rFonts w:ascii="Arial" w:cs="Arial" w:eastAsia="Arial" w:hAnsi="Arial"/>
                <w:sz w:val="20"/>
                <w:szCs w:val="20"/>
                <w:color w:val="auto"/>
              </w:rPr>
              <w:t>period from September 26, 2017 through December 31, 2017</w:t>
            </w:r>
          </w:p>
        </w:tc>
        <w:tc>
          <w:tcPr>
            <w:tcW w:w="620" w:type="dxa"/>
            <w:vAlign w:val="bottom"/>
          </w:tcPr>
          <w:p>
            <w:pPr>
              <w:jc w:val="center"/>
              <w:ind w:left="141"/>
              <w:spacing w:after="0"/>
              <w:rPr>
                <w:sz w:val="20"/>
                <w:szCs w:val="20"/>
                <w:color w:val="auto"/>
              </w:rPr>
            </w:pPr>
            <w:r>
              <w:rPr>
                <w:rFonts w:ascii="Arial" w:cs="Arial" w:eastAsia="Arial" w:hAnsi="Arial"/>
                <w:sz w:val="20"/>
                <w:szCs w:val="20"/>
                <w:color w:val="auto"/>
                <w:w w:val="89"/>
              </w:rPr>
              <w:t>4</w:t>
            </w:r>
          </w:p>
        </w:tc>
        <w:tc>
          <w:tcPr>
            <w:tcW w:w="0" w:type="dxa"/>
            <w:vAlign w:val="bottom"/>
          </w:tcPr>
          <w:p>
            <w:pPr>
              <w:spacing w:after="0"/>
              <w:rPr>
                <w:sz w:val="1"/>
                <w:szCs w:val="1"/>
                <w:color w:val="auto"/>
              </w:rPr>
            </w:pPr>
          </w:p>
        </w:tc>
      </w:tr>
      <w:tr>
        <w:trPr>
          <w:trHeight w:val="263"/>
        </w:trPr>
        <w:tc>
          <w:tcPr>
            <w:tcW w:w="7980" w:type="dxa"/>
            <w:vAlign w:val="bottom"/>
          </w:tcPr>
          <w:p>
            <w:pPr>
              <w:spacing w:after="0"/>
              <w:rPr>
                <w:sz w:val="20"/>
                <w:szCs w:val="20"/>
                <w:color w:val="auto"/>
              </w:rPr>
            </w:pPr>
            <w:r>
              <w:rPr>
                <w:rFonts w:ascii="Arial" w:cs="Arial" w:eastAsia="Arial" w:hAnsi="Arial"/>
                <w:sz w:val="20"/>
                <w:szCs w:val="20"/>
                <w:color w:val="auto"/>
                <w:w w:val="93"/>
              </w:rPr>
              <w:t>Consolidated Statements of Cash Flows — Year ended December 31, 2018 and the period from</w:t>
            </w: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980" w:type="dxa"/>
            <w:vAlign w:val="bottom"/>
          </w:tcPr>
          <w:p>
            <w:pPr>
              <w:spacing w:after="0"/>
              <w:rPr>
                <w:sz w:val="20"/>
                <w:szCs w:val="20"/>
                <w:color w:val="auto"/>
              </w:rPr>
            </w:pPr>
            <w:r>
              <w:rPr>
                <w:rFonts w:ascii="Arial" w:cs="Arial" w:eastAsia="Arial" w:hAnsi="Arial"/>
                <w:sz w:val="20"/>
                <w:szCs w:val="20"/>
                <w:color w:val="auto"/>
              </w:rPr>
              <w:t>September 26, 2017 through December 31, 2017</w:t>
            </w:r>
          </w:p>
        </w:tc>
        <w:tc>
          <w:tcPr>
            <w:tcW w:w="620" w:type="dxa"/>
            <w:vAlign w:val="bottom"/>
          </w:tcPr>
          <w:p>
            <w:pPr>
              <w:jc w:val="center"/>
              <w:ind w:left="141"/>
              <w:spacing w:after="0"/>
              <w:rPr>
                <w:sz w:val="20"/>
                <w:szCs w:val="20"/>
                <w:color w:val="auto"/>
              </w:rPr>
            </w:pPr>
            <w:r>
              <w:rPr>
                <w:rFonts w:ascii="Arial" w:cs="Arial" w:eastAsia="Arial" w:hAnsi="Arial"/>
                <w:sz w:val="20"/>
                <w:szCs w:val="20"/>
                <w:color w:val="auto"/>
                <w:w w:val="89"/>
              </w:rPr>
              <w:t>5</w:t>
            </w:r>
          </w:p>
        </w:tc>
        <w:tc>
          <w:tcPr>
            <w:tcW w:w="0" w:type="dxa"/>
            <w:vAlign w:val="bottom"/>
          </w:tcPr>
          <w:p>
            <w:pPr>
              <w:spacing w:after="0"/>
              <w:rPr>
                <w:sz w:val="1"/>
                <w:szCs w:val="1"/>
                <w:color w:val="auto"/>
              </w:rPr>
            </w:pPr>
          </w:p>
        </w:tc>
      </w:tr>
    </w:tbl>
    <w:p>
      <w:pPr>
        <w:ind w:left="160"/>
        <w:spacing w:after="0" w:line="234" w:lineRule="auto"/>
        <w:rPr>
          <w:sz w:val="20"/>
          <w:szCs w:val="20"/>
          <w:color w:val="auto"/>
        </w:rPr>
      </w:pPr>
      <w:r>
        <w:rPr>
          <w:rFonts w:ascii="Arial" w:cs="Arial" w:eastAsia="Arial" w:hAnsi="Arial"/>
          <w:sz w:val="20"/>
          <w:szCs w:val="20"/>
          <w:color w:val="auto"/>
        </w:rPr>
        <w:t>Notes to Consolidated Financial Statements</w:t>
      </w:r>
    </w:p>
    <w:p>
      <w:pPr>
        <w:spacing w:after="0" w:line="1" w:lineRule="exact"/>
        <w:rPr>
          <w:sz w:val="20"/>
          <w:szCs w:val="20"/>
          <w:color w:val="auto"/>
        </w:rPr>
      </w:pPr>
    </w:p>
    <w:p>
      <w:pPr>
        <w:ind w:left="8520"/>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9019"/>
          </w:cols>
          <w:pgMar w:left="1440" w:top="576" w:right="1440"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color w:val="auto"/>
        </w:rPr>
        <w:t>Independent Auditor's Report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Members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DGPV HoldCo 3 LLC: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on the Financial Statements</w:t>
      </w:r>
    </w:p>
    <w:p>
      <w:pPr>
        <w:spacing w:after="0" w:line="94"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We have audited the accompanying consolidated financial statements of DGPV HoldCo 3 LLC and its subsidiaries, which comprise the consolidated balance sheet as of December 31, 2018, and the related consolidated statements of operations, members’ equity (deficit), and cash flows for the year then ended, and the related notes to the consolidated financial statements.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Responsibility for the Financial Statements</w:t>
      </w:r>
    </w:p>
    <w:p>
      <w:pPr>
        <w:spacing w:after="0" w:line="90"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Management is responsible for the preparation and fair presentation of these consolidated financial statements in accordance with U.S. generally accepted accounting principles; this includes the design, implementation, and maintenance of internal control relevant to the preparation and fair presentation of consolidated financial statements that are free from material misstatement, whether due to fraud or error.</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Auditors’ Responsibility</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responsibility is to express an opinion on these consolidated financial statements based on our audit. We conducted our audit in accordance with auditing standards generally accepted in the United States of America. Those standards require that we plan and perform the audit to obtain reasonable assurance about whether the consolidated financial statements are free from material misstatement.</w:t>
      </w:r>
    </w:p>
    <w:p>
      <w:pPr>
        <w:spacing w:after="0" w:line="14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An audit involves performing procedures to obtain audit evidence about the amounts and disclosures in the consolidated financial statements. The procedures selected depend on the auditors’ judgment, including the assessment of the risks of material misstatement of the consolidated financial statements, whether due to fraud or error. In making those risk assessments, the auditor considers internal control relevant to the entity’s preparation and fair presentation of the consolidated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consolidated financial statements.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audit evidence we have obtained is sufficient and appropriate to provide a basis for our opinion.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w:t>
      </w:r>
    </w:p>
    <w:p>
      <w:pPr>
        <w:spacing w:after="0" w:line="9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our opinion, the 2018 consolidated financial statements referred to above present fairly, in all material respects, the financial position of DGPV HoldCo 3 LLC and its subsidiaries as of December 31, 2018, and the results of their operations and their cash flows for the year then ended in accordance with U.S. generally accepted accounting principles.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Matter</w:t>
      </w:r>
    </w:p>
    <w:p>
      <w:pPr>
        <w:spacing w:after="0" w:line="9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accompanying consolidated balance sheet of DGPV HoldCo 3 as of December 31, 2017, and the related statements of operations, members’ equity (deficit), and cash flows for the period from September 26, 2017 to December 31, 2017 were not audited, reviewed, or compiled by us and, accordingly, we do not express an opinion or any other form of assurance on them.</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(signed) KPMG LLP</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March 28, 2019</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4"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56"/>
        </w:trPr>
        <w:tc>
          <w:tcPr>
            <w:tcW w:w="7140" w:type="dxa"/>
            <w:vAlign w:val="bottom"/>
            <w:gridSpan w:val="3"/>
          </w:tcPr>
          <w:p>
            <w:pPr>
              <w:jc w:val="center"/>
              <w:ind w:left="2549"/>
              <w:spacing w:after="0"/>
              <w:rPr>
                <w:sz w:val="20"/>
                <w:szCs w:val="20"/>
                <w:color w:val="auto"/>
              </w:rPr>
            </w:pPr>
            <w:r>
              <w:rPr>
                <w:rFonts w:ascii="Arial" w:cs="Arial" w:eastAsia="Arial" w:hAnsi="Arial"/>
                <w:sz w:val="20"/>
                <w:szCs w:val="20"/>
                <w:b w:val="1"/>
                <w:bCs w:val="1"/>
                <w:color w:val="auto"/>
                <w:w w:val="98"/>
              </w:rPr>
              <w:t>DGPV HOLDCO 3 LLC AND SUBSIDIARIES</w:t>
            </w:r>
          </w:p>
        </w:tc>
        <w:tc>
          <w:tcPr>
            <w:tcW w:w="1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6420" w:type="dxa"/>
            <w:vAlign w:val="bottom"/>
          </w:tcPr>
          <w:p>
            <w:pPr>
              <w:jc w:val="center"/>
              <w:ind w:left="3269"/>
              <w:spacing w:after="0"/>
              <w:rPr>
                <w:sz w:val="20"/>
                <w:szCs w:val="20"/>
                <w:color w:val="auto"/>
              </w:rPr>
            </w:pPr>
            <w:r>
              <w:rPr>
                <w:rFonts w:ascii="Arial" w:cs="Arial" w:eastAsia="Arial" w:hAnsi="Arial"/>
                <w:sz w:val="20"/>
                <w:szCs w:val="20"/>
                <w:color w:val="auto"/>
                <w:w w:val="87"/>
              </w:rPr>
              <w:t>Consolidated Balance Sheets</w:t>
            </w: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420" w:type="dxa"/>
            <w:vAlign w:val="bottom"/>
          </w:tcPr>
          <w:p>
            <w:pPr>
              <w:jc w:val="center"/>
              <w:ind w:left="3269"/>
              <w:spacing w:after="0"/>
              <w:rPr>
                <w:sz w:val="20"/>
                <w:szCs w:val="20"/>
                <w:color w:val="auto"/>
              </w:rPr>
            </w:pPr>
            <w:r>
              <w:rPr>
                <w:rFonts w:ascii="Arial" w:cs="Arial" w:eastAsia="Arial" w:hAnsi="Arial"/>
                <w:sz w:val="20"/>
                <w:szCs w:val="20"/>
                <w:color w:val="auto"/>
                <w:w w:val="88"/>
              </w:rPr>
              <w:t>December 31, 2018 and 2017</w:t>
            </w: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420" w:type="dxa"/>
            <w:vAlign w:val="bottom"/>
          </w:tcPr>
          <w:p>
            <w:pPr>
              <w:jc w:val="center"/>
              <w:ind w:left="3269"/>
              <w:spacing w:after="0"/>
              <w:rPr>
                <w:sz w:val="20"/>
                <w:szCs w:val="20"/>
                <w:color w:val="auto"/>
              </w:rPr>
            </w:pPr>
            <w:r>
              <w:rPr>
                <w:rFonts w:ascii="Arial" w:cs="Arial" w:eastAsia="Arial" w:hAnsi="Arial"/>
                <w:sz w:val="20"/>
                <w:szCs w:val="20"/>
                <w:color w:val="auto"/>
                <w:w w:val="89"/>
              </w:rPr>
              <w:t>(In thousands)</w:t>
            </w: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420" w:type="dxa"/>
            <w:vAlign w:val="bottom"/>
          </w:tcPr>
          <w:p>
            <w:pPr>
              <w:ind w:left="3100"/>
              <w:spacing w:after="0"/>
              <w:rPr>
                <w:sz w:val="20"/>
                <w:szCs w:val="20"/>
                <w:color w:val="auto"/>
              </w:rPr>
            </w:pPr>
            <w:r>
              <w:rPr>
                <w:rFonts w:ascii="Arial" w:cs="Arial" w:eastAsia="Arial" w:hAnsi="Arial"/>
                <w:sz w:val="20"/>
                <w:szCs w:val="20"/>
                <w:b w:val="1"/>
                <w:bCs w:val="1"/>
                <w:color w:val="auto"/>
              </w:rPr>
              <w:t>Assets</w:t>
            </w: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right"/>
              <w:ind w:right="410"/>
              <w:spacing w:after="0"/>
              <w:rPr>
                <w:sz w:val="20"/>
                <w:szCs w:val="20"/>
                <w:color w:val="auto"/>
              </w:rPr>
            </w:pPr>
            <w:r>
              <w:rPr>
                <w:rFonts w:ascii="Arial" w:cs="Arial" w:eastAsia="Arial" w:hAnsi="Arial"/>
                <w:sz w:val="20"/>
                <w:szCs w:val="20"/>
                <w:b w:val="1"/>
                <w:bCs w:val="1"/>
                <w:color w:val="auto"/>
              </w:rPr>
              <w:t>2018</w:t>
            </w:r>
          </w:p>
        </w:tc>
        <w:tc>
          <w:tcPr>
            <w:tcW w:w="180" w:type="dxa"/>
            <w:vAlign w:val="bottom"/>
          </w:tcPr>
          <w:p>
            <w:pPr>
              <w:spacing w:after="0"/>
              <w:rPr>
                <w:sz w:val="24"/>
                <w:szCs w:val="24"/>
                <w:color w:val="auto"/>
              </w:rPr>
            </w:pPr>
          </w:p>
        </w:tc>
        <w:tc>
          <w:tcPr>
            <w:tcW w:w="1360" w:type="dxa"/>
            <w:vAlign w:val="bottom"/>
          </w:tcPr>
          <w:p>
            <w:pPr>
              <w:jc w:val="right"/>
              <w:ind w:right="350"/>
              <w:spacing w:after="0"/>
              <w:rPr>
                <w:sz w:val="20"/>
                <w:szCs w:val="20"/>
                <w:color w:val="auto"/>
              </w:rPr>
            </w:pPr>
            <w:r>
              <w:rPr>
                <w:rFonts w:ascii="Arial" w:cs="Arial" w:eastAsia="Arial" w:hAnsi="Arial"/>
                <w:sz w:val="20"/>
                <w:szCs w:val="20"/>
                <w:b w:val="1"/>
                <w:bCs w:val="1"/>
                <w:color w:val="auto"/>
              </w:rPr>
              <w:t>2017*</w:t>
            </w:r>
          </w:p>
        </w:tc>
        <w:tc>
          <w:tcPr>
            <w:tcW w:w="0" w:type="dxa"/>
            <w:vAlign w:val="bottom"/>
          </w:tcPr>
          <w:p>
            <w:pPr>
              <w:spacing w:after="0"/>
              <w:rPr>
                <w:sz w:val="1"/>
                <w:szCs w:val="1"/>
                <w:color w:val="auto"/>
              </w:rPr>
            </w:pPr>
          </w:p>
        </w:tc>
      </w:tr>
      <w:tr>
        <w:trPr>
          <w:trHeight w:val="23"/>
        </w:trPr>
        <w:tc>
          <w:tcPr>
            <w:tcW w:w="64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(unaudited)</w:t>
            </w:r>
          </w:p>
        </w:tc>
        <w:tc>
          <w:tcPr>
            <w:tcW w:w="0" w:type="dxa"/>
            <w:vAlign w:val="bottom"/>
          </w:tcPr>
          <w:p>
            <w:pPr>
              <w:spacing w:after="0"/>
              <w:rPr>
                <w:sz w:val="1"/>
                <w:szCs w:val="1"/>
                <w:color w:val="auto"/>
              </w:rPr>
            </w:pPr>
          </w:p>
        </w:tc>
      </w:tr>
      <w:tr>
        <w:trPr>
          <w:trHeight w:val="243"/>
        </w:trPr>
        <w:tc>
          <w:tcPr>
            <w:tcW w:w="6420" w:type="dxa"/>
            <w:vAlign w:val="bottom"/>
          </w:tcPr>
          <w:p>
            <w:pPr>
              <w:ind w:left="320"/>
              <w:spacing w:after="0"/>
              <w:rPr>
                <w:sz w:val="20"/>
                <w:szCs w:val="20"/>
                <w:color w:val="auto"/>
              </w:rPr>
            </w:pPr>
            <w:r>
              <w:rPr>
                <w:rFonts w:ascii="Arial" w:cs="Arial" w:eastAsia="Arial" w:hAnsi="Arial"/>
                <w:sz w:val="18"/>
                <w:szCs w:val="18"/>
                <w:color w:val="auto"/>
              </w:rPr>
              <w:t>Cash</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5,035</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1,127</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Restricted cash</w:t>
            </w:r>
          </w:p>
        </w:tc>
        <w:tc>
          <w:tcPr>
            <w:tcW w:w="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16,022</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4,095</w:t>
            </w:r>
          </w:p>
        </w:tc>
        <w:tc>
          <w:tcPr>
            <w:tcW w:w="0" w:type="dxa"/>
            <w:vAlign w:val="bottom"/>
          </w:tcPr>
          <w:p>
            <w:pPr>
              <w:spacing w:after="0"/>
              <w:rPr>
                <w:sz w:val="1"/>
                <w:szCs w:val="1"/>
                <w:color w:val="auto"/>
              </w:rPr>
            </w:pPr>
          </w:p>
        </w:tc>
      </w:tr>
      <w:tr>
        <w:trPr>
          <w:trHeight w:val="243"/>
        </w:trPr>
        <w:tc>
          <w:tcPr>
            <w:tcW w:w="6420" w:type="dxa"/>
            <w:vAlign w:val="bottom"/>
          </w:tcPr>
          <w:p>
            <w:pPr>
              <w:ind w:left="320"/>
              <w:spacing w:after="0"/>
              <w:rPr>
                <w:sz w:val="20"/>
                <w:szCs w:val="20"/>
                <w:color w:val="auto"/>
              </w:rPr>
            </w:pPr>
            <w:r>
              <w:rPr>
                <w:rFonts w:ascii="Arial" w:cs="Arial" w:eastAsia="Arial" w:hAnsi="Arial"/>
                <w:sz w:val="18"/>
                <w:szCs w:val="18"/>
                <w:color w:val="auto"/>
              </w:rPr>
              <w:t>Accounts receivable – trade, net</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7,942</w:t>
            </w:r>
          </w:p>
        </w:tc>
        <w:tc>
          <w:tcPr>
            <w:tcW w:w="18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Accounts receivable – affiliate</w:t>
            </w:r>
          </w:p>
        </w:tc>
        <w:tc>
          <w:tcPr>
            <w:tcW w:w="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43"/>
        </w:trPr>
        <w:tc>
          <w:tcPr>
            <w:tcW w:w="6420" w:type="dxa"/>
            <w:vAlign w:val="bottom"/>
          </w:tcPr>
          <w:p>
            <w:pPr>
              <w:ind w:left="320"/>
              <w:spacing w:after="0"/>
              <w:rPr>
                <w:sz w:val="20"/>
                <w:szCs w:val="20"/>
                <w:color w:val="auto"/>
              </w:rPr>
            </w:pPr>
            <w:r>
              <w:rPr>
                <w:rFonts w:ascii="Arial" w:cs="Arial" w:eastAsia="Arial" w:hAnsi="Arial"/>
                <w:sz w:val="18"/>
                <w:szCs w:val="18"/>
                <w:color w:val="auto"/>
              </w:rPr>
              <w:t>Derivative instruments</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184</w:t>
            </w:r>
          </w:p>
        </w:tc>
        <w:tc>
          <w:tcPr>
            <w:tcW w:w="18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Prepayments and other current assets</w:t>
            </w:r>
          </w:p>
        </w:tc>
        <w:tc>
          <w:tcPr>
            <w:tcW w:w="4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758</w:t>
            </w: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37"/>
        </w:trPr>
        <w:tc>
          <w:tcPr>
            <w:tcW w:w="6420" w:type="dxa"/>
            <w:vAlign w:val="bottom"/>
          </w:tcPr>
          <w:p>
            <w:pPr>
              <w:ind w:left="2480"/>
              <w:spacing w:after="0"/>
              <w:rPr>
                <w:sz w:val="20"/>
                <w:szCs w:val="20"/>
                <w:color w:val="auto"/>
              </w:rPr>
            </w:pPr>
            <w:r>
              <w:rPr>
                <w:rFonts w:ascii="Arial" w:cs="Arial" w:eastAsia="Arial" w:hAnsi="Arial"/>
                <w:sz w:val="18"/>
                <w:szCs w:val="18"/>
                <w:color w:val="auto"/>
              </w:rPr>
              <w:t>Total current assets</w:t>
            </w:r>
          </w:p>
        </w:tc>
        <w:tc>
          <w:tcPr>
            <w:tcW w:w="4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29,941</w:t>
            </w:r>
          </w:p>
        </w:tc>
        <w:tc>
          <w:tcPr>
            <w:tcW w:w="180" w:type="dxa"/>
            <w:vAlign w:val="bottom"/>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6,981</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247,759</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132,240</w:t>
            </w:r>
          </w:p>
        </w:tc>
        <w:tc>
          <w:tcPr>
            <w:tcW w:w="0" w:type="dxa"/>
            <w:vAlign w:val="bottom"/>
          </w:tcPr>
          <w:p>
            <w:pPr>
              <w:spacing w:after="0"/>
              <w:rPr>
                <w:sz w:val="1"/>
                <w:szCs w:val="1"/>
                <w:color w:val="auto"/>
              </w:rPr>
            </w:pPr>
          </w:p>
        </w:tc>
      </w:tr>
      <w:tr>
        <w:trPr>
          <w:trHeight w:val="243"/>
        </w:trPr>
        <w:tc>
          <w:tcPr>
            <w:tcW w:w="6420" w:type="dxa"/>
            <w:vAlign w:val="bottom"/>
          </w:tcPr>
          <w:p>
            <w:pPr>
              <w:ind w:left="20"/>
              <w:spacing w:after="0"/>
              <w:rPr>
                <w:sz w:val="20"/>
                <w:szCs w:val="20"/>
                <w:color w:val="auto"/>
              </w:rPr>
            </w:pPr>
            <w:r>
              <w:rPr>
                <w:rFonts w:ascii="Arial" w:cs="Arial" w:eastAsia="Arial" w:hAnsi="Arial"/>
                <w:sz w:val="18"/>
                <w:szCs w:val="18"/>
                <w:color w:val="auto"/>
              </w:rPr>
              <w:t>Intangible asset for power purchase agreement, net</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1,427</w:t>
            </w:r>
          </w:p>
        </w:tc>
        <w:tc>
          <w:tcPr>
            <w:tcW w:w="18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1,487</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 instruments</w:t>
            </w:r>
          </w:p>
        </w:tc>
        <w:tc>
          <w:tcPr>
            <w:tcW w:w="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1,489</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43"/>
        </w:trPr>
        <w:tc>
          <w:tcPr>
            <w:tcW w:w="642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310</w:t>
            </w:r>
          </w:p>
        </w:tc>
        <w:tc>
          <w:tcPr>
            <w:tcW w:w="18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7"/>
        </w:trPr>
        <w:tc>
          <w:tcPr>
            <w:tcW w:w="64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20" w:type="dxa"/>
            <w:vAlign w:val="bottom"/>
            <w:tcBorders>
              <w:bottom w:val="single" w:sz="8" w:color="CCEEFF"/>
            </w:tcBorders>
            <w:shd w:val="clear" w:color="auto" w:fill="CCEEFF"/>
          </w:tcPr>
          <w:p>
            <w:pPr>
              <w:ind w:left="2480"/>
              <w:spacing w:after="0"/>
              <w:rPr>
                <w:sz w:val="20"/>
                <w:szCs w:val="20"/>
                <w:color w:val="auto"/>
              </w:rPr>
            </w:pPr>
            <w:r>
              <w:rPr>
                <w:rFonts w:ascii="Arial" w:cs="Arial" w:eastAsia="Arial" w:hAnsi="Arial"/>
                <w:sz w:val="18"/>
                <w:szCs w:val="18"/>
                <w:color w:val="auto"/>
              </w:rPr>
              <w:t>Total assets</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280,926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141,175</w:t>
            </w:r>
          </w:p>
        </w:tc>
        <w:tc>
          <w:tcPr>
            <w:tcW w:w="0" w:type="dxa"/>
            <w:vAlign w:val="bottom"/>
          </w:tcPr>
          <w:p>
            <w:pPr>
              <w:spacing w:after="0"/>
              <w:rPr>
                <w:sz w:val="1"/>
                <w:szCs w:val="1"/>
                <w:color w:val="auto"/>
              </w:rPr>
            </w:pPr>
          </w:p>
        </w:tc>
      </w:tr>
      <w:tr>
        <w:trPr>
          <w:trHeight w:val="20"/>
        </w:trPr>
        <w:tc>
          <w:tcPr>
            <w:tcW w:w="6420" w:type="dxa"/>
            <w:vAlign w:val="bottom"/>
            <w:vMerge w:val="restart"/>
          </w:tcPr>
          <w:p>
            <w:pPr>
              <w:ind w:left="2120"/>
              <w:spacing w:after="0"/>
              <w:rPr>
                <w:sz w:val="20"/>
                <w:szCs w:val="20"/>
                <w:color w:val="auto"/>
              </w:rPr>
            </w:pPr>
            <w:r>
              <w:rPr>
                <w:rFonts w:ascii="Arial" w:cs="Arial" w:eastAsia="Arial" w:hAnsi="Arial"/>
                <w:sz w:val="18"/>
                <w:szCs w:val="18"/>
                <w:b w:val="1"/>
                <w:bCs w:val="1"/>
                <w:color w:val="auto"/>
              </w:rPr>
              <w:t>Liabilities and Member's Equity</w:t>
            </w:r>
          </w:p>
        </w:tc>
        <w:tc>
          <w:tcPr>
            <w:tcW w:w="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420" w:type="dxa"/>
            <w:vAlign w:val="bottom"/>
            <w:vMerge w:val="continue"/>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20" w:type="dxa"/>
            <w:vAlign w:val="bottom"/>
          </w:tcPr>
          <w:p>
            <w:pPr>
              <w:ind w:left="320"/>
              <w:spacing w:after="0"/>
              <w:rPr>
                <w:sz w:val="20"/>
                <w:szCs w:val="20"/>
                <w:color w:val="auto"/>
              </w:rPr>
            </w:pPr>
            <w:r>
              <w:rPr>
                <w:rFonts w:ascii="Arial" w:cs="Arial" w:eastAsia="Arial" w:hAnsi="Arial"/>
                <w:sz w:val="18"/>
                <w:szCs w:val="18"/>
                <w:color w:val="auto"/>
              </w:rPr>
              <w:t>Short-term debt – affiliate</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1,604</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1,949</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Current portion of long-term debt</w:t>
            </w:r>
          </w:p>
        </w:tc>
        <w:tc>
          <w:tcPr>
            <w:tcW w:w="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27,050</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420" w:type="dxa"/>
            <w:vAlign w:val="bottom"/>
          </w:tcPr>
          <w:p>
            <w:pPr>
              <w:ind w:left="320"/>
              <w:spacing w:after="0"/>
              <w:rPr>
                <w:sz w:val="20"/>
                <w:szCs w:val="20"/>
                <w:color w:val="auto"/>
              </w:rPr>
            </w:pPr>
            <w:r>
              <w:rPr>
                <w:rFonts w:ascii="Arial" w:cs="Arial" w:eastAsia="Arial" w:hAnsi="Arial"/>
                <w:sz w:val="18"/>
                <w:szCs w:val="18"/>
                <w:color w:val="auto"/>
              </w:rPr>
              <w:t>Accounts payable – trade</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13,342</w:t>
            </w:r>
          </w:p>
        </w:tc>
        <w:tc>
          <w:tcPr>
            <w:tcW w:w="18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2,465</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Accounts payable – affiliate</w:t>
            </w:r>
          </w:p>
        </w:tc>
        <w:tc>
          <w:tcPr>
            <w:tcW w:w="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6,929</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96,259</w:t>
            </w:r>
          </w:p>
        </w:tc>
        <w:tc>
          <w:tcPr>
            <w:tcW w:w="0" w:type="dxa"/>
            <w:vAlign w:val="bottom"/>
          </w:tcPr>
          <w:p>
            <w:pPr>
              <w:spacing w:after="0"/>
              <w:rPr>
                <w:sz w:val="1"/>
                <w:szCs w:val="1"/>
                <w:color w:val="auto"/>
              </w:rPr>
            </w:pPr>
          </w:p>
        </w:tc>
      </w:tr>
      <w:tr>
        <w:trPr>
          <w:trHeight w:val="243"/>
        </w:trPr>
        <w:tc>
          <w:tcPr>
            <w:tcW w:w="6420" w:type="dxa"/>
            <w:vAlign w:val="bottom"/>
          </w:tcPr>
          <w:p>
            <w:pPr>
              <w:ind w:left="320"/>
              <w:spacing w:after="0"/>
              <w:rPr>
                <w:sz w:val="20"/>
                <w:szCs w:val="20"/>
                <w:color w:val="auto"/>
              </w:rPr>
            </w:pPr>
            <w:r>
              <w:rPr>
                <w:rFonts w:ascii="Arial" w:cs="Arial" w:eastAsia="Arial" w:hAnsi="Arial"/>
                <w:sz w:val="18"/>
                <w:szCs w:val="18"/>
                <w:color w:val="auto"/>
              </w:rPr>
              <w:t>Accrued interest expense</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1,141</w:t>
            </w:r>
          </w:p>
        </w:tc>
        <w:tc>
          <w:tcPr>
            <w:tcW w:w="18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Derivative instruments</w:t>
            </w:r>
          </w:p>
        </w:tc>
        <w:tc>
          <w:tcPr>
            <w:tcW w:w="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420" w:type="dxa"/>
            <w:vAlign w:val="bottom"/>
          </w:tcPr>
          <w:p>
            <w:pPr>
              <w:ind w:left="320"/>
              <w:spacing w:after="0"/>
              <w:rPr>
                <w:sz w:val="20"/>
                <w:szCs w:val="20"/>
                <w:color w:val="auto"/>
              </w:rPr>
            </w:pPr>
            <w:r>
              <w:rPr>
                <w:rFonts w:ascii="Arial" w:cs="Arial" w:eastAsia="Arial" w:hAnsi="Arial"/>
                <w:sz w:val="18"/>
                <w:szCs w:val="18"/>
                <w:color w:val="auto"/>
              </w:rPr>
              <w:t>Accrued liabilities</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7"/>
        </w:trPr>
        <w:tc>
          <w:tcPr>
            <w:tcW w:w="64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20" w:type="dxa"/>
            <w:vAlign w:val="bottom"/>
            <w:tcBorders>
              <w:bottom w:val="single" w:sz="8" w:color="CCEEFF"/>
            </w:tcBorders>
            <w:shd w:val="clear" w:color="auto" w:fill="CCEEFF"/>
          </w:tcPr>
          <w:p>
            <w:pPr>
              <w:ind w:left="2480"/>
              <w:spacing w:after="0"/>
              <w:rPr>
                <w:sz w:val="20"/>
                <w:szCs w:val="20"/>
                <w:color w:val="auto"/>
              </w:rPr>
            </w:pPr>
            <w:r>
              <w:rPr>
                <w:rFonts w:ascii="Arial" w:cs="Arial" w:eastAsia="Arial" w:hAnsi="Arial"/>
                <w:sz w:val="18"/>
                <w:szCs w:val="18"/>
                <w:color w:val="auto"/>
              </w:rPr>
              <w:t>Total current liabilities</w:t>
            </w:r>
          </w:p>
        </w:tc>
        <w:tc>
          <w:tcPr>
            <w:tcW w:w="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50,145</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101,225</w:t>
            </w:r>
          </w:p>
        </w:tc>
        <w:tc>
          <w:tcPr>
            <w:tcW w:w="0" w:type="dxa"/>
            <w:vAlign w:val="bottom"/>
          </w:tcPr>
          <w:p>
            <w:pPr>
              <w:spacing w:after="0"/>
              <w:rPr>
                <w:sz w:val="1"/>
                <w:szCs w:val="1"/>
                <w:color w:val="auto"/>
              </w:rPr>
            </w:pPr>
          </w:p>
        </w:tc>
      </w:tr>
      <w:tr>
        <w:trPr>
          <w:trHeight w:val="243"/>
        </w:trPr>
        <w:tc>
          <w:tcPr>
            <w:tcW w:w="642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Long-term debt</w:t>
            </w:r>
          </w:p>
        </w:tc>
        <w:tc>
          <w:tcPr>
            <w:tcW w:w="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133,277</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33,215</w:t>
            </w:r>
          </w:p>
        </w:tc>
        <w:tc>
          <w:tcPr>
            <w:tcW w:w="0" w:type="dxa"/>
            <w:vAlign w:val="bottom"/>
          </w:tcPr>
          <w:p>
            <w:pPr>
              <w:spacing w:after="0"/>
              <w:rPr>
                <w:sz w:val="1"/>
                <w:szCs w:val="1"/>
                <w:color w:val="auto"/>
              </w:rPr>
            </w:pPr>
          </w:p>
        </w:tc>
      </w:tr>
      <w:tr>
        <w:trPr>
          <w:trHeight w:val="243"/>
        </w:trPr>
        <w:tc>
          <w:tcPr>
            <w:tcW w:w="6420" w:type="dxa"/>
            <w:vAlign w:val="bottom"/>
          </w:tcPr>
          <w:p>
            <w:pPr>
              <w:ind w:left="320"/>
              <w:spacing w:after="0"/>
              <w:rPr>
                <w:sz w:val="20"/>
                <w:szCs w:val="20"/>
                <w:color w:val="auto"/>
              </w:rPr>
            </w:pPr>
            <w:r>
              <w:rPr>
                <w:rFonts w:ascii="Arial" w:cs="Arial" w:eastAsia="Arial" w:hAnsi="Arial"/>
                <w:sz w:val="18"/>
                <w:szCs w:val="18"/>
                <w:color w:val="auto"/>
              </w:rPr>
              <w:t>Derivative instruments</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992</w:t>
            </w:r>
          </w:p>
        </w:tc>
        <w:tc>
          <w:tcPr>
            <w:tcW w:w="18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Deferred rent</w:t>
            </w:r>
          </w:p>
        </w:tc>
        <w:tc>
          <w:tcPr>
            <w:tcW w:w="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411</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43"/>
        </w:trPr>
        <w:tc>
          <w:tcPr>
            <w:tcW w:w="6420" w:type="dxa"/>
            <w:vAlign w:val="bottom"/>
          </w:tcPr>
          <w:p>
            <w:pPr>
              <w:ind w:left="320"/>
              <w:spacing w:after="0"/>
              <w:rPr>
                <w:sz w:val="20"/>
                <w:szCs w:val="20"/>
                <w:color w:val="auto"/>
              </w:rPr>
            </w:pPr>
            <w:r>
              <w:rPr>
                <w:rFonts w:ascii="Arial" w:cs="Arial" w:eastAsia="Arial" w:hAnsi="Arial"/>
                <w:sz w:val="18"/>
                <w:szCs w:val="18"/>
                <w:color w:val="auto"/>
              </w:rPr>
              <w:t>Asset retirement obligations</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1,953</w:t>
            </w:r>
          </w:p>
        </w:tc>
        <w:tc>
          <w:tcPr>
            <w:tcW w:w="18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7"/>
        </w:trPr>
        <w:tc>
          <w:tcPr>
            <w:tcW w:w="64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420" w:type="dxa"/>
            <w:vAlign w:val="bottom"/>
            <w:tcBorders>
              <w:bottom w:val="single" w:sz="8" w:color="CCEEFF"/>
            </w:tcBorders>
            <w:shd w:val="clear" w:color="auto" w:fill="CCEEFF"/>
          </w:tcPr>
          <w:p>
            <w:pPr>
              <w:ind w:left="2480"/>
              <w:spacing w:after="0"/>
              <w:rPr>
                <w:sz w:val="20"/>
                <w:szCs w:val="20"/>
                <w:color w:val="auto"/>
              </w:rPr>
            </w:pPr>
            <w:r>
              <w:rPr>
                <w:rFonts w:ascii="Arial" w:cs="Arial" w:eastAsia="Arial" w:hAnsi="Arial"/>
                <w:sz w:val="18"/>
                <w:szCs w:val="18"/>
                <w:color w:val="auto"/>
              </w:rPr>
              <w:t>Total non-current liabilities</w:t>
            </w:r>
          </w:p>
        </w:tc>
        <w:tc>
          <w:tcPr>
            <w:tcW w:w="4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136,633</w:t>
            </w:r>
          </w:p>
        </w:tc>
        <w:tc>
          <w:tcPr>
            <w:tcW w:w="1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34,285</w:t>
            </w:r>
          </w:p>
        </w:tc>
        <w:tc>
          <w:tcPr>
            <w:tcW w:w="0" w:type="dxa"/>
            <w:vAlign w:val="bottom"/>
          </w:tcPr>
          <w:p>
            <w:pPr>
              <w:spacing w:after="0"/>
              <w:rPr>
                <w:sz w:val="1"/>
                <w:szCs w:val="1"/>
                <w:color w:val="auto"/>
              </w:rPr>
            </w:pPr>
          </w:p>
        </w:tc>
      </w:tr>
      <w:tr>
        <w:trPr>
          <w:trHeight w:val="237"/>
        </w:trPr>
        <w:tc>
          <w:tcPr>
            <w:tcW w:w="6420" w:type="dxa"/>
            <w:vAlign w:val="bottom"/>
          </w:tcPr>
          <w:p>
            <w:pPr>
              <w:ind w:left="2480"/>
              <w:spacing w:after="0"/>
              <w:rPr>
                <w:sz w:val="20"/>
                <w:szCs w:val="20"/>
                <w:color w:val="auto"/>
              </w:rPr>
            </w:pPr>
            <w:r>
              <w:rPr>
                <w:rFonts w:ascii="Arial" w:cs="Arial" w:eastAsia="Arial" w:hAnsi="Arial"/>
                <w:sz w:val="18"/>
                <w:szCs w:val="18"/>
                <w:color w:val="auto"/>
              </w:rPr>
              <w:t>Total liabilities</w:t>
            </w:r>
          </w:p>
        </w:tc>
        <w:tc>
          <w:tcPr>
            <w:tcW w:w="4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186,778</w:t>
            </w:r>
          </w:p>
        </w:tc>
        <w:tc>
          <w:tcPr>
            <w:tcW w:w="180" w:type="dxa"/>
            <w:vAlign w:val="bottom"/>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135,510</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Redeemable noncontrolling interest</w:t>
            </w:r>
          </w:p>
        </w:tc>
        <w:tc>
          <w:tcPr>
            <w:tcW w:w="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6,517</w:t>
            </w:r>
          </w:p>
        </w:tc>
        <w:tc>
          <w:tcPr>
            <w:tcW w:w="0" w:type="dxa"/>
            <w:vAlign w:val="bottom"/>
          </w:tcPr>
          <w:p>
            <w:pPr>
              <w:spacing w:after="0"/>
              <w:rPr>
                <w:sz w:val="1"/>
                <w:szCs w:val="1"/>
                <w:color w:val="auto"/>
              </w:rPr>
            </w:pPr>
          </w:p>
        </w:tc>
      </w:tr>
      <w:tr>
        <w:trPr>
          <w:trHeight w:val="243"/>
        </w:trPr>
        <w:tc>
          <w:tcPr>
            <w:tcW w:w="642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20" w:type="dxa"/>
            <w:vAlign w:val="bottom"/>
          </w:tcPr>
          <w:p>
            <w:pPr>
              <w:ind w:left="20"/>
              <w:spacing w:after="0"/>
              <w:rPr>
                <w:sz w:val="20"/>
                <w:szCs w:val="20"/>
                <w:color w:val="auto"/>
              </w:rPr>
            </w:pPr>
            <w:r>
              <w:rPr>
                <w:rFonts w:ascii="Arial" w:cs="Arial" w:eastAsia="Arial" w:hAnsi="Arial"/>
                <w:sz w:val="18"/>
                <w:szCs w:val="18"/>
                <w:color w:val="auto"/>
              </w:rPr>
              <w:t>Member's equity (deficit)</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96,094</w:t>
            </w: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4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(1,652)</w:t>
            </w: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420" w:type="dxa"/>
            <w:vAlign w:val="bottom"/>
          </w:tcPr>
          <w:p>
            <w:pPr>
              <w:ind w:left="2480"/>
              <w:spacing w:after="0"/>
              <w:rPr>
                <w:sz w:val="20"/>
                <w:szCs w:val="20"/>
                <w:color w:val="auto"/>
              </w:rPr>
            </w:pPr>
            <w:r>
              <w:rPr>
                <w:rFonts w:ascii="Arial" w:cs="Arial" w:eastAsia="Arial" w:hAnsi="Arial"/>
                <w:sz w:val="18"/>
                <w:szCs w:val="18"/>
                <w:color w:val="auto"/>
              </w:rPr>
              <w:t>Total equity</w:t>
            </w:r>
          </w:p>
        </w:tc>
        <w:tc>
          <w:tcPr>
            <w:tcW w:w="4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94,442</w:t>
            </w:r>
          </w:p>
        </w:tc>
        <w:tc>
          <w:tcPr>
            <w:tcW w:w="180" w:type="dxa"/>
            <w:vAlign w:val="bottom"/>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7"/>
        </w:trPr>
        <w:tc>
          <w:tcPr>
            <w:tcW w:w="64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20" w:type="dxa"/>
            <w:vAlign w:val="bottom"/>
            <w:tcBorders>
              <w:bottom w:val="single" w:sz="8" w:color="CCEEFF"/>
            </w:tcBorders>
            <w:shd w:val="clear" w:color="auto" w:fill="CCEEFF"/>
          </w:tcPr>
          <w:p>
            <w:pPr>
              <w:ind w:left="2480"/>
              <w:spacing w:after="0"/>
              <w:rPr>
                <w:sz w:val="20"/>
                <w:szCs w:val="20"/>
                <w:color w:val="auto"/>
              </w:rPr>
            </w:pPr>
            <w:r>
              <w:rPr>
                <w:rFonts w:ascii="Arial" w:cs="Arial" w:eastAsia="Arial" w:hAnsi="Arial"/>
                <w:sz w:val="18"/>
                <w:szCs w:val="18"/>
                <w:color w:val="auto"/>
              </w:rPr>
              <w:t>Total liabilities and member's equity</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280,926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141,175</w:t>
            </w:r>
          </w:p>
        </w:tc>
        <w:tc>
          <w:tcPr>
            <w:tcW w:w="0" w:type="dxa"/>
            <w:vAlign w:val="bottom"/>
          </w:tcPr>
          <w:p>
            <w:pPr>
              <w:spacing w:after="0"/>
              <w:rPr>
                <w:sz w:val="1"/>
                <w:szCs w:val="1"/>
                <w:color w:val="auto"/>
              </w:rPr>
            </w:pPr>
          </w:p>
        </w:tc>
      </w:tr>
      <w:tr>
        <w:trPr>
          <w:trHeight w:val="20"/>
        </w:trPr>
        <w:tc>
          <w:tcPr>
            <w:tcW w:w="6420" w:type="dxa"/>
            <w:vAlign w:val="bottom"/>
            <w:vMerge w:val="restart"/>
          </w:tcPr>
          <w:p>
            <w:pPr>
              <w:ind w:left="20"/>
              <w:spacing w:after="0"/>
              <w:rPr>
                <w:sz w:val="20"/>
                <w:szCs w:val="20"/>
                <w:color w:val="auto"/>
              </w:rPr>
            </w:pPr>
            <w:r>
              <w:rPr>
                <w:rFonts w:ascii="Arial" w:cs="Arial" w:eastAsia="Arial" w:hAnsi="Arial"/>
                <w:sz w:val="18"/>
                <w:szCs w:val="18"/>
                <w:color w:val="auto"/>
              </w:rPr>
              <w:t>See accompanying notes to consolidated financial statements.</w:t>
            </w:r>
          </w:p>
        </w:tc>
        <w:tc>
          <w:tcPr>
            <w:tcW w:w="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420" w:type="dxa"/>
            <w:vAlign w:val="bottom"/>
            <w:vMerge w:val="continue"/>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420" w:type="dxa"/>
            <w:vAlign w:val="bottom"/>
          </w:tcPr>
          <w:p>
            <w:pPr>
              <w:ind w:left="20"/>
              <w:spacing w:after="0"/>
              <w:rPr>
                <w:sz w:val="20"/>
                <w:szCs w:val="20"/>
                <w:color w:val="auto"/>
              </w:rPr>
            </w:pPr>
            <w:r>
              <w:rPr>
                <w:rFonts w:ascii="Arial" w:cs="Arial" w:eastAsia="Arial" w:hAnsi="Arial"/>
                <w:sz w:val="18"/>
                <w:szCs w:val="18"/>
                <w:color w:val="auto"/>
              </w:rPr>
              <w:t>* Not covered by the report included herein.</w:t>
            </w:r>
          </w:p>
        </w:tc>
        <w:tc>
          <w:tcPr>
            <w:tcW w:w="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00"/>
          </w:cols>
          <w:pgMar w:left="1060" w:top="738" w:right="1039" w:bottom="1440" w:gutter="0" w:footer="0" w:header="0"/>
        </w:sectPr>
      </w:pP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9800"/>
          </w:cols>
          <w:pgMar w:left="1060" w:top="738" w:right="1039" w:bottom="1440" w:gutter="0" w:footer="0" w:header="0"/>
          <w:type w:val="continuous"/>
        </w:sectPr>
      </w:pPr>
    </w:p>
    <w:bookmarkStart w:id="18" w:name="page19"/>
    <w:bookmarkEnd w:id="18"/>
    <w:tbl>
      <w:tblPr>
        <w:tblLayout w:type="fixed"/>
        <w:tblInd w:w="0" w:type="dxa"/>
        <w:tblCellMar>
          <w:top w:w="0" w:type="dxa"/>
          <w:left w:w="0" w:type="dxa"/>
          <w:bottom w:w="0" w:type="dxa"/>
          <w:right w:w="0" w:type="dxa"/>
        </w:tblCellMar>
      </w:tblPr>
      <w:tr>
        <w:trPr>
          <w:trHeight w:val="256"/>
        </w:trPr>
        <w:tc>
          <w:tcPr>
            <w:tcW w:w="7920" w:type="dxa"/>
            <w:vAlign w:val="bottom"/>
            <w:gridSpan w:val="3"/>
          </w:tcPr>
          <w:p>
            <w:pPr>
              <w:jc w:val="center"/>
              <w:ind w:left="1608"/>
              <w:spacing w:after="0"/>
              <w:rPr>
                <w:sz w:val="20"/>
                <w:szCs w:val="20"/>
                <w:color w:val="auto"/>
              </w:rPr>
            </w:pPr>
            <w:r>
              <w:rPr>
                <w:rFonts w:ascii="Arial" w:cs="Arial" w:eastAsia="Arial" w:hAnsi="Arial"/>
                <w:sz w:val="20"/>
                <w:szCs w:val="20"/>
                <w:b w:val="1"/>
                <w:bCs w:val="1"/>
                <w:color w:val="auto"/>
                <w:w w:val="98"/>
              </w:rPr>
              <w:t>DGPV HOLDCO 3 LLC AND SUBSIDIARIES</w:t>
            </w:r>
          </w:p>
        </w:tc>
        <w:tc>
          <w:tcPr>
            <w:tcW w:w="3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6500" w:type="dxa"/>
            <w:vAlign w:val="bottom"/>
            <w:gridSpan w:val="2"/>
          </w:tcPr>
          <w:p>
            <w:pPr>
              <w:jc w:val="center"/>
              <w:ind w:left="3028"/>
              <w:spacing w:after="0"/>
              <w:rPr>
                <w:sz w:val="20"/>
                <w:szCs w:val="20"/>
                <w:color w:val="auto"/>
              </w:rPr>
            </w:pPr>
            <w:r>
              <w:rPr>
                <w:rFonts w:ascii="Arial" w:cs="Arial" w:eastAsia="Arial" w:hAnsi="Arial"/>
                <w:sz w:val="20"/>
                <w:szCs w:val="20"/>
                <w:color w:val="auto"/>
                <w:w w:val="88"/>
              </w:rPr>
              <w:t>Consolidated Statements of Operations</w:t>
            </w: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840" w:type="dxa"/>
            <w:vAlign w:val="bottom"/>
          </w:tcPr>
          <w:p>
            <w:pPr>
              <w:jc w:val="center"/>
              <w:ind w:left="3688"/>
              <w:spacing w:after="0"/>
              <w:rPr>
                <w:sz w:val="20"/>
                <w:szCs w:val="20"/>
                <w:color w:val="auto"/>
              </w:rPr>
            </w:pPr>
            <w:r>
              <w:rPr>
                <w:rFonts w:ascii="Arial" w:cs="Arial" w:eastAsia="Arial" w:hAnsi="Arial"/>
                <w:sz w:val="20"/>
                <w:szCs w:val="20"/>
                <w:color w:val="auto"/>
                <w:w w:val="89"/>
              </w:rPr>
              <w:t>(In thousands)</w:t>
            </w:r>
          </w:p>
        </w:tc>
        <w:tc>
          <w:tcPr>
            <w:tcW w:w="6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8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20" w:type="dxa"/>
            <w:vAlign w:val="bottom"/>
          </w:tcPr>
          <w:p>
            <w:pPr>
              <w:jc w:val="center"/>
              <w:spacing w:after="0"/>
              <w:rPr>
                <w:sz w:val="20"/>
                <w:szCs w:val="20"/>
                <w:color w:val="auto"/>
              </w:rPr>
            </w:pPr>
            <w:r>
              <w:rPr>
                <w:rFonts w:ascii="Arial" w:cs="Arial" w:eastAsia="Arial" w:hAnsi="Arial"/>
                <w:sz w:val="20"/>
                <w:szCs w:val="20"/>
                <w:b w:val="1"/>
                <w:bCs w:val="1"/>
                <w:color w:val="auto"/>
                <w:w w:val="87"/>
              </w:rPr>
              <w:t>September 26,</w:t>
            </w:r>
          </w:p>
        </w:tc>
        <w:tc>
          <w:tcPr>
            <w:tcW w:w="0" w:type="dxa"/>
            <w:vAlign w:val="bottom"/>
          </w:tcPr>
          <w:p>
            <w:pPr>
              <w:spacing w:after="0"/>
              <w:rPr>
                <w:sz w:val="1"/>
                <w:szCs w:val="1"/>
                <w:color w:val="auto"/>
              </w:rPr>
            </w:pPr>
          </w:p>
        </w:tc>
      </w:tr>
      <w:tr>
        <w:trPr>
          <w:trHeight w:val="230"/>
        </w:trPr>
        <w:tc>
          <w:tcPr>
            <w:tcW w:w="5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20"/>
                <w:szCs w:val="20"/>
                <w:b w:val="1"/>
                <w:bCs w:val="1"/>
                <w:color w:val="auto"/>
                <w:w w:val="88"/>
              </w:rPr>
              <w:t>Year ended</w:t>
            </w:r>
          </w:p>
        </w:tc>
        <w:tc>
          <w:tcPr>
            <w:tcW w:w="3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20"/>
                <w:szCs w:val="20"/>
                <w:b w:val="1"/>
                <w:bCs w:val="1"/>
                <w:color w:val="auto"/>
                <w:w w:val="89"/>
              </w:rPr>
              <w:t>through</w:t>
            </w:r>
          </w:p>
        </w:tc>
        <w:tc>
          <w:tcPr>
            <w:tcW w:w="0" w:type="dxa"/>
            <w:vAlign w:val="bottom"/>
          </w:tcPr>
          <w:p>
            <w:pPr>
              <w:spacing w:after="0"/>
              <w:rPr>
                <w:sz w:val="1"/>
                <w:szCs w:val="1"/>
                <w:color w:val="auto"/>
              </w:rPr>
            </w:pPr>
          </w:p>
        </w:tc>
      </w:tr>
      <w:tr>
        <w:trPr>
          <w:trHeight w:val="230"/>
        </w:trPr>
        <w:tc>
          <w:tcPr>
            <w:tcW w:w="5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20"/>
                <w:szCs w:val="20"/>
                <w:b w:val="1"/>
                <w:bCs w:val="1"/>
                <w:color w:val="auto"/>
                <w:w w:val="89"/>
              </w:rPr>
              <w:t>December 31,</w:t>
            </w:r>
          </w:p>
        </w:tc>
        <w:tc>
          <w:tcPr>
            <w:tcW w:w="3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20"/>
                <w:szCs w:val="20"/>
                <w:b w:val="1"/>
                <w:bCs w:val="1"/>
                <w:color w:val="auto"/>
                <w:w w:val="89"/>
              </w:rPr>
              <w:t>December 31,</w:t>
            </w:r>
          </w:p>
        </w:tc>
        <w:tc>
          <w:tcPr>
            <w:tcW w:w="0" w:type="dxa"/>
            <w:vAlign w:val="bottom"/>
          </w:tcPr>
          <w:p>
            <w:pPr>
              <w:spacing w:after="0"/>
              <w:rPr>
                <w:sz w:val="1"/>
                <w:szCs w:val="1"/>
                <w:color w:val="auto"/>
              </w:rPr>
            </w:pPr>
          </w:p>
        </w:tc>
      </w:tr>
      <w:tr>
        <w:trPr>
          <w:trHeight w:val="256"/>
        </w:trPr>
        <w:tc>
          <w:tcPr>
            <w:tcW w:w="58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20" w:type="dxa"/>
            <w:vAlign w:val="bottom"/>
          </w:tcPr>
          <w:p>
            <w:pPr>
              <w:jc w:val="center"/>
              <w:spacing w:after="0"/>
              <w:rPr>
                <w:sz w:val="20"/>
                <w:szCs w:val="20"/>
                <w:color w:val="auto"/>
              </w:rPr>
            </w:pPr>
            <w:r>
              <w:rPr>
                <w:rFonts w:ascii="Arial" w:cs="Arial" w:eastAsia="Arial" w:hAnsi="Arial"/>
                <w:sz w:val="20"/>
                <w:szCs w:val="20"/>
                <w:b w:val="1"/>
                <w:bCs w:val="1"/>
                <w:color w:val="auto"/>
                <w:w w:val="89"/>
              </w:rPr>
              <w:t>2018</w:t>
            </w:r>
          </w:p>
        </w:tc>
        <w:tc>
          <w:tcPr>
            <w:tcW w:w="300" w:type="dxa"/>
            <w:vAlign w:val="bottom"/>
          </w:tcPr>
          <w:p>
            <w:pPr>
              <w:spacing w:after="0"/>
              <w:rPr>
                <w:sz w:val="22"/>
                <w:szCs w:val="22"/>
                <w:color w:val="auto"/>
              </w:rPr>
            </w:pPr>
          </w:p>
        </w:tc>
        <w:tc>
          <w:tcPr>
            <w:tcW w:w="1420" w:type="dxa"/>
            <w:vAlign w:val="bottom"/>
          </w:tcPr>
          <w:p>
            <w:pPr>
              <w:jc w:val="center"/>
              <w:spacing w:after="0"/>
              <w:rPr>
                <w:sz w:val="20"/>
                <w:szCs w:val="20"/>
                <w:color w:val="auto"/>
              </w:rPr>
            </w:pPr>
            <w:r>
              <w:rPr>
                <w:rFonts w:ascii="Arial" w:cs="Arial" w:eastAsia="Arial" w:hAnsi="Arial"/>
                <w:sz w:val="20"/>
                <w:szCs w:val="20"/>
                <w:b w:val="1"/>
                <w:bCs w:val="1"/>
                <w:color w:val="auto"/>
                <w:w w:val="91"/>
              </w:rPr>
              <w:t>2017*</w:t>
            </w:r>
          </w:p>
        </w:tc>
        <w:tc>
          <w:tcPr>
            <w:tcW w:w="0" w:type="dxa"/>
            <w:vAlign w:val="bottom"/>
          </w:tcPr>
          <w:p>
            <w:pPr>
              <w:spacing w:after="0"/>
              <w:rPr>
                <w:sz w:val="1"/>
                <w:szCs w:val="1"/>
                <w:color w:val="auto"/>
              </w:rPr>
            </w:pPr>
          </w:p>
        </w:tc>
      </w:tr>
      <w:tr>
        <w:trPr>
          <w:trHeight w:val="23"/>
        </w:trPr>
        <w:tc>
          <w:tcPr>
            <w:tcW w:w="5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8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95"/>
              </w:rPr>
              <w:t>(Unaudited)</w:t>
            </w:r>
          </w:p>
        </w:tc>
        <w:tc>
          <w:tcPr>
            <w:tcW w:w="0" w:type="dxa"/>
            <w:vAlign w:val="bottom"/>
          </w:tcPr>
          <w:p>
            <w:pPr>
              <w:spacing w:after="0"/>
              <w:rPr>
                <w:sz w:val="1"/>
                <w:szCs w:val="1"/>
                <w:color w:val="auto"/>
              </w:rPr>
            </w:pPr>
          </w:p>
        </w:tc>
      </w:tr>
      <w:tr>
        <w:trPr>
          <w:trHeight w:val="33"/>
        </w:trPr>
        <w:tc>
          <w:tcPr>
            <w:tcW w:w="5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6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40" w:type="dxa"/>
            <w:vAlign w:val="bottom"/>
          </w:tcPr>
          <w:p>
            <w:pPr>
              <w:ind w:left="120"/>
              <w:spacing w:after="0"/>
              <w:rPr>
                <w:sz w:val="20"/>
                <w:szCs w:val="20"/>
                <w:color w:val="auto"/>
              </w:rPr>
            </w:pPr>
            <w:r>
              <w:rPr>
                <w:rFonts w:ascii="Arial" w:cs="Arial" w:eastAsia="Arial" w:hAnsi="Arial"/>
                <w:sz w:val="18"/>
                <w:szCs w:val="18"/>
                <w:color w:val="auto"/>
              </w:rPr>
              <w:t>Electric revenue</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9"/>
              <w:spacing w:after="0"/>
              <w:rPr>
                <w:sz w:val="20"/>
                <w:szCs w:val="20"/>
                <w:color w:val="auto"/>
              </w:rPr>
            </w:pPr>
            <w:r>
              <w:rPr>
                <w:rFonts w:ascii="Arial" w:cs="Arial" w:eastAsia="Arial" w:hAnsi="Arial"/>
                <w:sz w:val="18"/>
                <w:szCs w:val="18"/>
                <w:color w:val="auto"/>
              </w:rPr>
              <w:t>7,417</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9"/>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Renewable energy certificates</w:t>
            </w:r>
          </w:p>
        </w:tc>
        <w:tc>
          <w:tcPr>
            <w:tcW w:w="6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8"/>
                <w:szCs w:val="18"/>
                <w:color w:val="auto"/>
              </w:rPr>
              <w:t>2,895</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840" w:type="dxa"/>
            <w:vAlign w:val="bottom"/>
          </w:tcPr>
          <w:p>
            <w:pPr>
              <w:ind w:left="120"/>
              <w:spacing w:after="0"/>
              <w:rPr>
                <w:sz w:val="20"/>
                <w:szCs w:val="20"/>
                <w:color w:val="auto"/>
              </w:rPr>
            </w:pPr>
            <w:r>
              <w:rPr>
                <w:rFonts w:ascii="Arial" w:cs="Arial" w:eastAsia="Arial" w:hAnsi="Arial"/>
                <w:sz w:val="18"/>
                <w:szCs w:val="18"/>
                <w:color w:val="auto"/>
              </w:rPr>
              <w:t>Renewable energy certificates – affiliate</w:t>
            </w:r>
          </w:p>
        </w:tc>
        <w:tc>
          <w:tcPr>
            <w:tcW w:w="660" w:type="dxa"/>
            <w:vAlign w:val="bottom"/>
          </w:tcPr>
          <w:p>
            <w:pPr>
              <w:spacing w:after="0"/>
              <w:rPr>
                <w:sz w:val="21"/>
                <w:szCs w:val="21"/>
                <w:color w:val="auto"/>
              </w:rPr>
            </w:pPr>
          </w:p>
        </w:tc>
        <w:tc>
          <w:tcPr>
            <w:tcW w:w="1420" w:type="dxa"/>
            <w:vAlign w:val="bottom"/>
          </w:tcPr>
          <w:p>
            <w:pPr>
              <w:jc w:val="right"/>
              <w:ind w:right="9"/>
              <w:spacing w:after="0"/>
              <w:rPr>
                <w:sz w:val="20"/>
                <w:szCs w:val="20"/>
                <w:color w:val="auto"/>
              </w:rPr>
            </w:pPr>
            <w:r>
              <w:rPr>
                <w:rFonts w:ascii="Arial" w:cs="Arial" w:eastAsia="Arial" w:hAnsi="Arial"/>
                <w:sz w:val="18"/>
                <w:szCs w:val="18"/>
                <w:color w:val="auto"/>
              </w:rPr>
              <w:t>6,804</w:t>
            </w:r>
          </w:p>
        </w:tc>
        <w:tc>
          <w:tcPr>
            <w:tcW w:w="300" w:type="dxa"/>
            <w:vAlign w:val="bottom"/>
          </w:tcPr>
          <w:p>
            <w:pPr>
              <w:spacing w:after="0"/>
              <w:rPr>
                <w:sz w:val="21"/>
                <w:szCs w:val="21"/>
                <w:color w:val="auto"/>
              </w:rPr>
            </w:pPr>
          </w:p>
        </w:tc>
        <w:tc>
          <w:tcPr>
            <w:tcW w:w="1420" w:type="dxa"/>
            <w:vAlign w:val="bottom"/>
          </w:tcPr>
          <w:p>
            <w:pPr>
              <w:jc w:val="right"/>
              <w:ind w:right="9"/>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Government incentives</w:t>
            </w:r>
          </w:p>
        </w:tc>
        <w:tc>
          <w:tcPr>
            <w:tcW w:w="6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8"/>
                <w:szCs w:val="18"/>
                <w:color w:val="auto"/>
              </w:rPr>
              <w:t>83</w:t>
            </w: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840" w:type="dxa"/>
            <w:vAlign w:val="bottom"/>
          </w:tcPr>
          <w:p>
            <w:pPr>
              <w:ind w:left="1240"/>
              <w:spacing w:after="0"/>
              <w:rPr>
                <w:sz w:val="20"/>
                <w:szCs w:val="20"/>
                <w:color w:val="auto"/>
              </w:rPr>
            </w:pPr>
            <w:r>
              <w:rPr>
                <w:rFonts w:ascii="Arial" w:cs="Arial" w:eastAsia="Arial" w:hAnsi="Arial"/>
                <w:sz w:val="18"/>
                <w:szCs w:val="18"/>
                <w:color w:val="auto"/>
              </w:rPr>
              <w:t>Total operating revenues</w:t>
            </w:r>
          </w:p>
        </w:tc>
        <w:tc>
          <w:tcPr>
            <w:tcW w:w="660" w:type="dxa"/>
            <w:vAlign w:val="bottom"/>
          </w:tcPr>
          <w:p>
            <w:pPr>
              <w:spacing w:after="0"/>
              <w:rPr>
                <w:sz w:val="20"/>
                <w:szCs w:val="20"/>
                <w:color w:val="auto"/>
              </w:rPr>
            </w:pPr>
          </w:p>
        </w:tc>
        <w:tc>
          <w:tcPr>
            <w:tcW w:w="1420" w:type="dxa"/>
            <w:vAlign w:val="bottom"/>
            <w:tcBorders>
              <w:top w:val="single" w:sz="8" w:color="auto"/>
            </w:tcBorders>
          </w:tcPr>
          <w:p>
            <w:pPr>
              <w:jc w:val="right"/>
              <w:ind w:right="9"/>
              <w:spacing w:after="0"/>
              <w:rPr>
                <w:sz w:val="20"/>
                <w:szCs w:val="20"/>
                <w:color w:val="auto"/>
              </w:rPr>
            </w:pPr>
            <w:r>
              <w:rPr>
                <w:rFonts w:ascii="Arial" w:cs="Arial" w:eastAsia="Arial" w:hAnsi="Arial"/>
                <w:sz w:val="18"/>
                <w:szCs w:val="18"/>
                <w:color w:val="auto"/>
              </w:rPr>
              <w:t>17,199</w:t>
            </w:r>
          </w:p>
        </w:tc>
        <w:tc>
          <w:tcPr>
            <w:tcW w:w="300" w:type="dxa"/>
            <w:vAlign w:val="bottom"/>
          </w:tcPr>
          <w:p>
            <w:pPr>
              <w:spacing w:after="0"/>
              <w:rPr>
                <w:sz w:val="20"/>
                <w:szCs w:val="20"/>
                <w:color w:val="auto"/>
              </w:rPr>
            </w:pPr>
          </w:p>
        </w:tc>
        <w:tc>
          <w:tcPr>
            <w:tcW w:w="1420" w:type="dxa"/>
            <w:vAlign w:val="bottom"/>
            <w:tcBorders>
              <w:top w:val="single" w:sz="8" w:color="auto"/>
            </w:tcBorders>
          </w:tcPr>
          <w:p>
            <w:pPr>
              <w:jc w:val="right"/>
              <w:ind w:right="9"/>
              <w:spacing w:after="0"/>
              <w:rPr>
                <w:sz w:val="20"/>
                <w:szCs w:val="20"/>
                <w:color w:val="auto"/>
              </w:rPr>
            </w:pPr>
            <w:r>
              <w:rPr>
                <w:rFonts w:ascii="Arial" w:cs="Arial" w:eastAsia="Arial" w:hAnsi="Arial"/>
                <w:sz w:val="18"/>
                <w:szCs w:val="18"/>
                <w:color w:val="auto"/>
              </w:rPr>
              <w:t>1,274</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costs and expenses:</w:t>
            </w:r>
          </w:p>
        </w:tc>
        <w:tc>
          <w:tcPr>
            <w:tcW w:w="6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40" w:type="dxa"/>
            <w:vAlign w:val="bottom"/>
          </w:tcPr>
          <w:p>
            <w:pPr>
              <w:ind w:left="120"/>
              <w:spacing w:after="0"/>
              <w:rPr>
                <w:sz w:val="20"/>
                <w:szCs w:val="20"/>
                <w:color w:val="auto"/>
              </w:rPr>
            </w:pPr>
            <w:r>
              <w:rPr>
                <w:rFonts w:ascii="Arial" w:cs="Arial" w:eastAsia="Arial" w:hAnsi="Arial"/>
                <w:sz w:val="18"/>
                <w:szCs w:val="18"/>
                <w:color w:val="auto"/>
              </w:rPr>
              <w:t>Cost of operations</w:t>
            </w:r>
          </w:p>
        </w:tc>
        <w:tc>
          <w:tcPr>
            <w:tcW w:w="660" w:type="dxa"/>
            <w:vAlign w:val="bottom"/>
          </w:tcPr>
          <w:p>
            <w:pPr>
              <w:spacing w:after="0"/>
              <w:rPr>
                <w:sz w:val="21"/>
                <w:szCs w:val="21"/>
                <w:color w:val="auto"/>
              </w:rPr>
            </w:pPr>
          </w:p>
        </w:tc>
        <w:tc>
          <w:tcPr>
            <w:tcW w:w="1420" w:type="dxa"/>
            <w:vAlign w:val="bottom"/>
          </w:tcPr>
          <w:p>
            <w:pPr>
              <w:jc w:val="right"/>
              <w:ind w:right="9"/>
              <w:spacing w:after="0"/>
              <w:rPr>
                <w:sz w:val="20"/>
                <w:szCs w:val="20"/>
                <w:color w:val="auto"/>
              </w:rPr>
            </w:pPr>
            <w:r>
              <w:rPr>
                <w:rFonts w:ascii="Arial" w:cs="Arial" w:eastAsia="Arial" w:hAnsi="Arial"/>
                <w:sz w:val="18"/>
                <w:szCs w:val="18"/>
                <w:color w:val="auto"/>
              </w:rPr>
              <w:t>3,604</w:t>
            </w:r>
          </w:p>
        </w:tc>
        <w:tc>
          <w:tcPr>
            <w:tcW w:w="300" w:type="dxa"/>
            <w:vAlign w:val="bottom"/>
          </w:tcPr>
          <w:p>
            <w:pPr>
              <w:spacing w:after="0"/>
              <w:rPr>
                <w:sz w:val="21"/>
                <w:szCs w:val="21"/>
                <w:color w:val="auto"/>
              </w:rPr>
            </w:pPr>
          </w:p>
        </w:tc>
        <w:tc>
          <w:tcPr>
            <w:tcW w:w="1420" w:type="dxa"/>
            <w:vAlign w:val="bottom"/>
          </w:tcPr>
          <w:p>
            <w:pPr>
              <w:jc w:val="right"/>
              <w:ind w:right="9"/>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Cost of operations – affiliate</w:t>
            </w:r>
          </w:p>
        </w:tc>
        <w:tc>
          <w:tcPr>
            <w:tcW w:w="6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8"/>
                <w:szCs w:val="18"/>
                <w:color w:val="auto"/>
              </w:rPr>
              <w:t>1,199</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5840" w:type="dxa"/>
            <w:vAlign w:val="bottom"/>
          </w:tcPr>
          <w:p>
            <w:pPr>
              <w:ind w:left="120"/>
              <w:spacing w:after="0"/>
              <w:rPr>
                <w:sz w:val="20"/>
                <w:szCs w:val="20"/>
                <w:color w:val="auto"/>
              </w:rPr>
            </w:pPr>
            <w:r>
              <w:rPr>
                <w:rFonts w:ascii="Arial" w:cs="Arial" w:eastAsia="Arial" w:hAnsi="Arial"/>
                <w:sz w:val="18"/>
                <w:szCs w:val="18"/>
                <w:color w:val="auto"/>
              </w:rPr>
              <w:t>Depreciation and accretion</w:t>
            </w:r>
          </w:p>
        </w:tc>
        <w:tc>
          <w:tcPr>
            <w:tcW w:w="660" w:type="dxa"/>
            <w:vAlign w:val="bottom"/>
          </w:tcPr>
          <w:p>
            <w:pPr>
              <w:spacing w:after="0"/>
              <w:rPr>
                <w:sz w:val="21"/>
                <w:szCs w:val="21"/>
                <w:color w:val="auto"/>
              </w:rPr>
            </w:pPr>
          </w:p>
        </w:tc>
        <w:tc>
          <w:tcPr>
            <w:tcW w:w="1420" w:type="dxa"/>
            <w:vAlign w:val="bottom"/>
          </w:tcPr>
          <w:p>
            <w:pPr>
              <w:jc w:val="right"/>
              <w:ind w:right="9"/>
              <w:spacing w:after="0"/>
              <w:rPr>
                <w:sz w:val="20"/>
                <w:szCs w:val="20"/>
                <w:color w:val="auto"/>
              </w:rPr>
            </w:pPr>
            <w:r>
              <w:rPr>
                <w:rFonts w:ascii="Arial" w:cs="Arial" w:eastAsia="Arial" w:hAnsi="Arial"/>
                <w:sz w:val="18"/>
                <w:szCs w:val="18"/>
                <w:color w:val="auto"/>
              </w:rPr>
              <w:t>5,234</w:t>
            </w:r>
          </w:p>
        </w:tc>
        <w:tc>
          <w:tcPr>
            <w:tcW w:w="300" w:type="dxa"/>
            <w:vAlign w:val="bottom"/>
          </w:tcPr>
          <w:p>
            <w:pPr>
              <w:spacing w:after="0"/>
              <w:rPr>
                <w:sz w:val="21"/>
                <w:szCs w:val="21"/>
                <w:color w:val="auto"/>
              </w:rPr>
            </w:pPr>
          </w:p>
        </w:tc>
        <w:tc>
          <w:tcPr>
            <w:tcW w:w="1420" w:type="dxa"/>
            <w:vAlign w:val="bottom"/>
          </w:tcPr>
          <w:p>
            <w:pPr>
              <w:jc w:val="right"/>
              <w:ind w:right="9"/>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7"/>
        </w:trPr>
        <w:tc>
          <w:tcPr>
            <w:tcW w:w="58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840" w:type="dxa"/>
            <w:vAlign w:val="bottom"/>
            <w:tcBorders>
              <w:bottom w:val="single" w:sz="8" w:color="CCEEFF"/>
            </w:tcBorders>
            <w:shd w:val="clear" w:color="auto" w:fill="CCEEFF"/>
          </w:tcPr>
          <w:p>
            <w:pPr>
              <w:ind w:left="1240"/>
              <w:spacing w:after="0"/>
              <w:rPr>
                <w:sz w:val="20"/>
                <w:szCs w:val="20"/>
                <w:color w:val="auto"/>
              </w:rPr>
            </w:pPr>
            <w:r>
              <w:rPr>
                <w:rFonts w:ascii="Arial" w:cs="Arial" w:eastAsia="Arial" w:hAnsi="Arial"/>
                <w:sz w:val="18"/>
                <w:szCs w:val="18"/>
                <w:color w:val="auto"/>
              </w:rPr>
              <w:t>Total operating costs and expenses</w:t>
            </w:r>
          </w:p>
        </w:tc>
        <w:tc>
          <w:tcPr>
            <w:tcW w:w="6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8"/>
                <w:szCs w:val="18"/>
                <w:color w:val="auto"/>
              </w:rPr>
              <w:t>10,037</w:t>
            </w:r>
          </w:p>
        </w:tc>
        <w:tc>
          <w:tcPr>
            <w:tcW w:w="3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37"/>
        </w:trPr>
        <w:tc>
          <w:tcPr>
            <w:tcW w:w="5840" w:type="dxa"/>
            <w:vAlign w:val="bottom"/>
          </w:tcPr>
          <w:p>
            <w:pPr>
              <w:ind w:left="1240"/>
              <w:spacing w:after="0"/>
              <w:rPr>
                <w:sz w:val="20"/>
                <w:szCs w:val="20"/>
                <w:color w:val="auto"/>
              </w:rPr>
            </w:pPr>
            <w:r>
              <w:rPr>
                <w:rFonts w:ascii="Arial" w:cs="Arial" w:eastAsia="Arial" w:hAnsi="Arial"/>
                <w:sz w:val="18"/>
                <w:szCs w:val="18"/>
                <w:color w:val="auto"/>
              </w:rPr>
              <w:t>Operating income</w:t>
            </w:r>
          </w:p>
        </w:tc>
        <w:tc>
          <w:tcPr>
            <w:tcW w:w="660" w:type="dxa"/>
            <w:vAlign w:val="bottom"/>
          </w:tcPr>
          <w:p>
            <w:pPr>
              <w:spacing w:after="0"/>
              <w:rPr>
                <w:sz w:val="20"/>
                <w:szCs w:val="20"/>
                <w:color w:val="auto"/>
              </w:rPr>
            </w:pPr>
          </w:p>
        </w:tc>
        <w:tc>
          <w:tcPr>
            <w:tcW w:w="1420" w:type="dxa"/>
            <w:vAlign w:val="bottom"/>
            <w:tcBorders>
              <w:top w:val="single" w:sz="8" w:color="auto"/>
            </w:tcBorders>
          </w:tcPr>
          <w:p>
            <w:pPr>
              <w:jc w:val="right"/>
              <w:ind w:right="9"/>
              <w:spacing w:after="0"/>
              <w:rPr>
                <w:sz w:val="20"/>
                <w:szCs w:val="20"/>
                <w:color w:val="auto"/>
              </w:rPr>
            </w:pPr>
            <w:r>
              <w:rPr>
                <w:rFonts w:ascii="Arial" w:cs="Arial" w:eastAsia="Arial" w:hAnsi="Arial"/>
                <w:sz w:val="18"/>
                <w:szCs w:val="18"/>
                <w:color w:val="auto"/>
              </w:rPr>
              <w:t>7,162</w:t>
            </w:r>
          </w:p>
        </w:tc>
        <w:tc>
          <w:tcPr>
            <w:tcW w:w="300" w:type="dxa"/>
            <w:vAlign w:val="bottom"/>
          </w:tcPr>
          <w:p>
            <w:pPr>
              <w:spacing w:after="0"/>
              <w:rPr>
                <w:sz w:val="20"/>
                <w:szCs w:val="20"/>
                <w:color w:val="auto"/>
              </w:rPr>
            </w:pPr>
          </w:p>
        </w:tc>
        <w:tc>
          <w:tcPr>
            <w:tcW w:w="1420" w:type="dxa"/>
            <w:vAlign w:val="bottom"/>
            <w:tcBorders>
              <w:top w:val="single" w:sz="8" w:color="auto"/>
            </w:tcBorders>
          </w:tcPr>
          <w:p>
            <w:pPr>
              <w:jc w:val="right"/>
              <w:ind w:right="9"/>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6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40" w:type="dxa"/>
            <w:vAlign w:val="bottom"/>
          </w:tcPr>
          <w:p>
            <w:pPr>
              <w:ind w:left="120"/>
              <w:spacing w:after="0"/>
              <w:rPr>
                <w:sz w:val="20"/>
                <w:szCs w:val="20"/>
                <w:color w:val="auto"/>
              </w:rPr>
            </w:pPr>
            <w:r>
              <w:rPr>
                <w:rFonts w:ascii="Arial" w:cs="Arial" w:eastAsia="Arial" w:hAnsi="Arial"/>
                <w:sz w:val="18"/>
                <w:szCs w:val="18"/>
                <w:color w:val="auto"/>
              </w:rPr>
              <w:t>Interest income</w:t>
            </w:r>
          </w:p>
        </w:tc>
        <w:tc>
          <w:tcPr>
            <w:tcW w:w="660" w:type="dxa"/>
            <w:vAlign w:val="bottom"/>
          </w:tcPr>
          <w:p>
            <w:pPr>
              <w:spacing w:after="0"/>
              <w:rPr>
                <w:sz w:val="21"/>
                <w:szCs w:val="21"/>
                <w:color w:val="auto"/>
              </w:rPr>
            </w:pPr>
          </w:p>
        </w:tc>
        <w:tc>
          <w:tcPr>
            <w:tcW w:w="1420" w:type="dxa"/>
            <w:vAlign w:val="bottom"/>
          </w:tcPr>
          <w:p>
            <w:pPr>
              <w:jc w:val="right"/>
              <w:ind w:right="9"/>
              <w:spacing w:after="0"/>
              <w:rPr>
                <w:sz w:val="20"/>
                <w:szCs w:val="20"/>
                <w:color w:val="auto"/>
              </w:rPr>
            </w:pPr>
            <w:r>
              <w:rPr>
                <w:rFonts w:ascii="Arial" w:cs="Arial" w:eastAsia="Arial" w:hAnsi="Arial"/>
                <w:sz w:val="18"/>
                <w:szCs w:val="18"/>
                <w:color w:val="auto"/>
              </w:rPr>
              <w:t>127</w:t>
            </w:r>
          </w:p>
        </w:tc>
        <w:tc>
          <w:tcPr>
            <w:tcW w:w="300" w:type="dxa"/>
            <w:vAlign w:val="bottom"/>
          </w:tcPr>
          <w:p>
            <w:pPr>
              <w:spacing w:after="0"/>
              <w:rPr>
                <w:sz w:val="21"/>
                <w:szCs w:val="21"/>
                <w:color w:val="auto"/>
              </w:rPr>
            </w:pPr>
          </w:p>
        </w:tc>
        <w:tc>
          <w:tcPr>
            <w:tcW w:w="1420" w:type="dxa"/>
            <w:vAlign w:val="bottom"/>
          </w:tcPr>
          <w:p>
            <w:pPr>
              <w:jc w:val="right"/>
              <w:ind w:right="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6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(4,460)</w:t>
            </w: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37"/>
        </w:trPr>
        <w:tc>
          <w:tcPr>
            <w:tcW w:w="5840" w:type="dxa"/>
            <w:vAlign w:val="bottom"/>
          </w:tcPr>
          <w:p>
            <w:pPr>
              <w:ind w:left="1240"/>
              <w:spacing w:after="0"/>
              <w:rPr>
                <w:sz w:val="20"/>
                <w:szCs w:val="20"/>
                <w:color w:val="auto"/>
              </w:rPr>
            </w:pPr>
            <w:r>
              <w:rPr>
                <w:rFonts w:ascii="Arial" w:cs="Arial" w:eastAsia="Arial" w:hAnsi="Arial"/>
                <w:sz w:val="18"/>
                <w:szCs w:val="18"/>
                <w:color w:val="auto"/>
              </w:rPr>
              <w:t>Total other expense</w:t>
            </w:r>
          </w:p>
        </w:tc>
        <w:tc>
          <w:tcPr>
            <w:tcW w:w="660" w:type="dxa"/>
            <w:vAlign w:val="bottom"/>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(4,333)</w:t>
            </w:r>
          </w:p>
        </w:tc>
        <w:tc>
          <w:tcPr>
            <w:tcW w:w="300" w:type="dxa"/>
            <w:vAlign w:val="bottom"/>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7"/>
        </w:trPr>
        <w:tc>
          <w:tcPr>
            <w:tcW w:w="58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840" w:type="dxa"/>
            <w:vAlign w:val="bottom"/>
            <w:tcBorders>
              <w:bottom w:val="single" w:sz="8" w:color="CCEEFF"/>
            </w:tcBorders>
            <w:shd w:val="clear" w:color="auto" w:fill="CCEEFF"/>
          </w:tcPr>
          <w:p>
            <w:pPr>
              <w:ind w:left="1240"/>
              <w:spacing w:after="0"/>
              <w:rPr>
                <w:sz w:val="20"/>
                <w:szCs w:val="20"/>
                <w:color w:val="auto"/>
              </w:rPr>
            </w:pPr>
            <w:r>
              <w:rPr>
                <w:rFonts w:ascii="Arial" w:cs="Arial" w:eastAsia="Arial" w:hAnsi="Arial"/>
                <w:sz w:val="18"/>
                <w:szCs w:val="18"/>
                <w:color w:val="auto"/>
              </w:rPr>
              <w:t>Net income (loss) before noncontrolling interest</w:t>
            </w:r>
          </w:p>
        </w:tc>
        <w:tc>
          <w:tcPr>
            <w:tcW w:w="6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8"/>
                <w:szCs w:val="18"/>
                <w:color w:val="auto"/>
              </w:rPr>
              <w:t>2,829</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43"/>
        </w:trPr>
        <w:tc>
          <w:tcPr>
            <w:tcW w:w="5840" w:type="dxa"/>
            <w:vAlign w:val="bottom"/>
          </w:tcPr>
          <w:p>
            <w:pPr>
              <w:ind w:left="1240"/>
              <w:spacing w:after="0"/>
              <w:rPr>
                <w:sz w:val="20"/>
                <w:szCs w:val="20"/>
                <w:color w:val="auto"/>
              </w:rPr>
            </w:pPr>
            <w:r>
              <w:rPr>
                <w:rFonts w:ascii="Arial" w:cs="Arial" w:eastAsia="Arial" w:hAnsi="Arial"/>
                <w:sz w:val="18"/>
                <w:szCs w:val="18"/>
                <w:color w:val="auto"/>
              </w:rPr>
              <w:t>Less: noncontrolling interest</w:t>
            </w:r>
          </w:p>
        </w:tc>
        <w:tc>
          <w:tcPr>
            <w:tcW w:w="6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(54,498)</w:t>
            </w:r>
          </w:p>
        </w:tc>
        <w:tc>
          <w:tcPr>
            <w:tcW w:w="3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(28,844)</w:t>
            </w:r>
          </w:p>
        </w:tc>
        <w:tc>
          <w:tcPr>
            <w:tcW w:w="0" w:type="dxa"/>
            <w:vAlign w:val="bottom"/>
          </w:tcPr>
          <w:p>
            <w:pPr>
              <w:spacing w:after="0"/>
              <w:rPr>
                <w:sz w:val="1"/>
                <w:szCs w:val="1"/>
                <w:color w:val="auto"/>
              </w:rPr>
            </w:pPr>
          </w:p>
        </w:tc>
      </w:tr>
      <w:tr>
        <w:trPr>
          <w:trHeight w:val="27"/>
        </w:trPr>
        <w:tc>
          <w:tcPr>
            <w:tcW w:w="58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840" w:type="dxa"/>
            <w:vAlign w:val="bottom"/>
            <w:tcBorders>
              <w:bottom w:val="single" w:sz="8" w:color="CCEEFF"/>
            </w:tcBorders>
            <w:shd w:val="clear" w:color="auto" w:fill="CCEEFF"/>
          </w:tcPr>
          <w:p>
            <w:pPr>
              <w:ind w:left="1240"/>
              <w:spacing w:after="0"/>
              <w:rPr>
                <w:sz w:val="20"/>
                <w:szCs w:val="20"/>
                <w:color w:val="auto"/>
              </w:rPr>
            </w:pPr>
            <w:r>
              <w:rPr>
                <w:rFonts w:ascii="Arial" w:cs="Arial" w:eastAsia="Arial" w:hAnsi="Arial"/>
                <w:sz w:val="18"/>
                <w:szCs w:val="18"/>
                <w:color w:val="auto"/>
              </w:rPr>
              <w:t>Net income</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8"/>
                <w:szCs w:val="18"/>
                <w:color w:val="auto"/>
              </w:rPr>
              <w:t>57,327</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8"/>
                <w:szCs w:val="18"/>
                <w:color w:val="auto"/>
              </w:rPr>
              <w:t>28,579</w:t>
            </w:r>
          </w:p>
        </w:tc>
        <w:tc>
          <w:tcPr>
            <w:tcW w:w="0" w:type="dxa"/>
            <w:vAlign w:val="bottom"/>
          </w:tcPr>
          <w:p>
            <w:pPr>
              <w:spacing w:after="0"/>
              <w:rPr>
                <w:sz w:val="1"/>
                <w:szCs w:val="1"/>
                <w:color w:val="auto"/>
              </w:rPr>
            </w:pPr>
          </w:p>
        </w:tc>
      </w:tr>
      <w:tr>
        <w:trPr>
          <w:trHeight w:val="20"/>
        </w:trPr>
        <w:tc>
          <w:tcPr>
            <w:tcW w:w="5840" w:type="dxa"/>
            <w:vAlign w:val="bottom"/>
            <w:vMerge w:val="restart"/>
          </w:tcPr>
          <w:p>
            <w:pPr>
              <w:ind w:left="20"/>
              <w:spacing w:after="0"/>
              <w:rPr>
                <w:sz w:val="20"/>
                <w:szCs w:val="20"/>
                <w:color w:val="auto"/>
              </w:rPr>
            </w:pPr>
            <w:r>
              <w:rPr>
                <w:rFonts w:ascii="Arial" w:cs="Arial" w:eastAsia="Arial" w:hAnsi="Arial"/>
                <w:sz w:val="20"/>
                <w:szCs w:val="20"/>
                <w:color w:val="auto"/>
              </w:rPr>
              <w:t>See accompanying notes to consolidated financial statements.</w:t>
            </w:r>
          </w:p>
        </w:tc>
        <w:tc>
          <w:tcPr>
            <w:tcW w:w="6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5840" w:type="dxa"/>
            <w:vAlign w:val="bottom"/>
            <w:vMerge w:val="continue"/>
          </w:tcPr>
          <w:p>
            <w:pPr>
              <w:spacing w:after="0"/>
              <w:rPr>
                <w:sz w:val="20"/>
                <w:szCs w:val="20"/>
                <w:color w:val="auto"/>
              </w:rPr>
            </w:pPr>
          </w:p>
        </w:tc>
        <w:tc>
          <w:tcPr>
            <w:tcW w:w="6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5840" w:type="dxa"/>
            <w:vAlign w:val="bottom"/>
          </w:tcPr>
          <w:p>
            <w:pPr>
              <w:ind w:left="20"/>
              <w:spacing w:after="0"/>
              <w:rPr>
                <w:sz w:val="20"/>
                <w:szCs w:val="20"/>
                <w:color w:val="auto"/>
              </w:rPr>
            </w:pPr>
            <w:r>
              <w:rPr>
                <w:rFonts w:ascii="Arial" w:cs="Arial" w:eastAsia="Arial" w:hAnsi="Arial"/>
                <w:sz w:val="20"/>
                <w:szCs w:val="20"/>
                <w:color w:val="auto"/>
              </w:rPr>
              <w:t>*Not covered by the report included herein.</w:t>
            </w:r>
          </w:p>
        </w:tc>
        <w:tc>
          <w:tcPr>
            <w:tcW w:w="6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98"/>
        </w:trPr>
        <w:tc>
          <w:tcPr>
            <w:tcW w:w="5840" w:type="dxa"/>
            <w:vAlign w:val="bottom"/>
          </w:tcPr>
          <w:p>
            <w:pPr>
              <w:jc w:val="center"/>
              <w:ind w:left="3688"/>
              <w:spacing w:after="0"/>
              <w:rPr>
                <w:sz w:val="20"/>
                <w:szCs w:val="20"/>
                <w:color w:val="auto"/>
              </w:rPr>
            </w:pPr>
            <w:r>
              <w:rPr>
                <w:rFonts w:ascii="Arial" w:cs="Arial" w:eastAsia="Arial" w:hAnsi="Arial"/>
                <w:sz w:val="18"/>
                <w:szCs w:val="18"/>
                <w:color w:val="auto"/>
                <w:w w:val="99"/>
              </w:rPr>
              <w:t>3</w:t>
            </w:r>
          </w:p>
        </w:tc>
        <w:tc>
          <w:tcPr>
            <w:tcW w:w="6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640"/>
          </w:cols>
          <w:pgMar w:left="1140" w:top="738" w:right="1119" w:bottom="1440" w:gutter="0" w:footer="0" w:header="0"/>
        </w:sectPr>
      </w:pPr>
    </w:p>
    <w:bookmarkStart w:id="19" w:name="page20"/>
    <w:bookmarkEnd w:id="19"/>
    <w:p>
      <w:pPr>
        <w:jc w:val="center"/>
        <w:ind w:right="20"/>
        <w:spacing w:after="0"/>
        <w:rPr>
          <w:sz w:val="20"/>
          <w:szCs w:val="20"/>
          <w:color w:val="auto"/>
        </w:rPr>
      </w:pPr>
      <w:r>
        <w:rPr>
          <w:rFonts w:ascii="Arial" w:cs="Arial" w:eastAsia="Arial" w:hAnsi="Arial"/>
          <w:sz w:val="20"/>
          <w:szCs w:val="20"/>
          <w:b w:val="1"/>
          <w:bCs w:val="1"/>
          <w:color w:val="auto"/>
        </w:rPr>
        <w:t>DGPV HOLDCO 3 LLC AND SUBSIDIARIES</w:t>
      </w:r>
    </w:p>
    <w:p>
      <w:pPr>
        <w:spacing w:after="0" w:line="6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Consolidated Statements of Members' Equity (Deficit)</w:t>
      </w:r>
    </w:p>
    <w:p>
      <w:pPr>
        <w:spacing w:after="0" w:line="5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(In thousands)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80" w:type="dxa"/>
            <w:vAlign w:val="bottom"/>
          </w:tcPr>
          <w:p>
            <w:pPr>
              <w:jc w:val="center"/>
              <w:spacing w:after="0"/>
              <w:rPr>
                <w:sz w:val="20"/>
                <w:szCs w:val="20"/>
                <w:color w:val="auto"/>
              </w:rPr>
            </w:pPr>
            <w:r>
              <w:rPr>
                <w:rFonts w:ascii="Arial" w:cs="Arial" w:eastAsia="Arial" w:hAnsi="Arial"/>
                <w:sz w:val="20"/>
                <w:szCs w:val="20"/>
                <w:b w:val="1"/>
                <w:bCs w:val="1"/>
                <w:color w:val="auto"/>
                <w:w w:val="91"/>
              </w:rPr>
              <w:t>Total</w:t>
            </w:r>
          </w:p>
        </w:tc>
        <w:tc>
          <w:tcPr>
            <w:tcW w:w="0" w:type="dxa"/>
            <w:vAlign w:val="bottom"/>
          </w:tcPr>
          <w:p>
            <w:pPr>
              <w:spacing w:after="0"/>
              <w:rPr>
                <w:sz w:val="1"/>
                <w:szCs w:val="1"/>
                <w:color w:val="auto"/>
              </w:rPr>
            </w:pPr>
          </w:p>
        </w:tc>
      </w:tr>
      <w:tr>
        <w:trPr>
          <w:trHeight w:val="266"/>
        </w:trPr>
        <w:tc>
          <w:tcPr>
            <w:tcW w:w="4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80" w:type="dxa"/>
            <w:vAlign w:val="bottom"/>
          </w:tcPr>
          <w:p>
            <w:pPr>
              <w:jc w:val="right"/>
              <w:ind w:right="170"/>
              <w:spacing w:after="0"/>
              <w:rPr>
                <w:sz w:val="20"/>
                <w:szCs w:val="20"/>
                <w:color w:val="auto"/>
              </w:rPr>
            </w:pPr>
            <w:r>
              <w:rPr>
                <w:rFonts w:ascii="Arial" w:cs="Arial" w:eastAsia="Arial" w:hAnsi="Arial"/>
                <w:sz w:val="18"/>
                <w:szCs w:val="18"/>
                <w:b w:val="1"/>
                <w:bCs w:val="1"/>
                <w:color w:val="auto"/>
              </w:rPr>
              <w:t>Contributed</w:t>
            </w:r>
          </w:p>
        </w:tc>
        <w:tc>
          <w:tcPr>
            <w:tcW w:w="220" w:type="dxa"/>
            <w:vAlign w:val="bottom"/>
          </w:tcPr>
          <w:p>
            <w:pPr>
              <w:spacing w:after="0"/>
              <w:rPr>
                <w:sz w:val="23"/>
                <w:szCs w:val="23"/>
                <w:color w:val="auto"/>
              </w:rPr>
            </w:pPr>
          </w:p>
        </w:tc>
        <w:tc>
          <w:tcPr>
            <w:tcW w:w="1560" w:type="dxa"/>
            <w:vAlign w:val="bottom"/>
            <w:gridSpan w:val="2"/>
          </w:tcPr>
          <w:p>
            <w:pPr>
              <w:ind w:left="320"/>
              <w:spacing w:after="0"/>
              <w:rPr>
                <w:sz w:val="20"/>
                <w:szCs w:val="20"/>
                <w:color w:val="auto"/>
              </w:rPr>
            </w:pPr>
            <w:r>
              <w:rPr>
                <w:rFonts w:ascii="Arial" w:cs="Arial" w:eastAsia="Arial" w:hAnsi="Arial"/>
                <w:sz w:val="18"/>
                <w:szCs w:val="18"/>
                <w:b w:val="1"/>
                <w:bCs w:val="1"/>
                <w:color w:val="auto"/>
              </w:rPr>
              <w:t>Retained</w:t>
            </w:r>
          </w:p>
        </w:tc>
        <w:tc>
          <w:tcPr>
            <w:tcW w:w="1560" w:type="dxa"/>
            <w:vAlign w:val="bottom"/>
          </w:tcPr>
          <w:p>
            <w:pPr>
              <w:jc w:val="right"/>
              <w:ind w:right="110"/>
              <w:spacing w:after="0"/>
              <w:rPr>
                <w:sz w:val="20"/>
                <w:szCs w:val="20"/>
                <w:color w:val="auto"/>
              </w:rPr>
            </w:pPr>
            <w:r>
              <w:rPr>
                <w:rFonts w:ascii="Arial" w:cs="Arial" w:eastAsia="Arial" w:hAnsi="Arial"/>
                <w:sz w:val="18"/>
                <w:szCs w:val="18"/>
                <w:b w:val="1"/>
                <w:bCs w:val="1"/>
                <w:color w:val="auto"/>
              </w:rPr>
              <w:t>Noncontrolling</w:t>
            </w:r>
          </w:p>
        </w:tc>
        <w:tc>
          <w:tcPr>
            <w:tcW w:w="220" w:type="dxa"/>
            <w:vAlign w:val="bottom"/>
          </w:tcPr>
          <w:p>
            <w:pPr>
              <w:spacing w:after="0"/>
              <w:rPr>
                <w:sz w:val="23"/>
                <w:szCs w:val="23"/>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0"/>
              </w:rPr>
              <w:t>member's</w:t>
            </w:r>
          </w:p>
        </w:tc>
        <w:tc>
          <w:tcPr>
            <w:tcW w:w="0" w:type="dxa"/>
            <w:vAlign w:val="bottom"/>
          </w:tcPr>
          <w:p>
            <w:pPr>
              <w:spacing w:after="0"/>
              <w:rPr>
                <w:sz w:val="1"/>
                <w:szCs w:val="1"/>
                <w:color w:val="auto"/>
              </w:rPr>
            </w:pPr>
          </w:p>
        </w:tc>
      </w:tr>
      <w:tr>
        <w:trPr>
          <w:trHeight w:val="270"/>
        </w:trPr>
        <w:tc>
          <w:tcPr>
            <w:tcW w:w="4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80" w:type="dxa"/>
            <w:vAlign w:val="bottom"/>
          </w:tcPr>
          <w:p>
            <w:pPr>
              <w:jc w:val="right"/>
              <w:ind w:right="390"/>
              <w:spacing w:after="0"/>
              <w:rPr>
                <w:sz w:val="20"/>
                <w:szCs w:val="20"/>
                <w:color w:val="auto"/>
              </w:rPr>
            </w:pPr>
            <w:r>
              <w:rPr>
                <w:rFonts w:ascii="Arial" w:cs="Arial" w:eastAsia="Arial" w:hAnsi="Arial"/>
                <w:sz w:val="18"/>
                <w:szCs w:val="18"/>
                <w:b w:val="1"/>
                <w:bCs w:val="1"/>
                <w:color w:val="auto"/>
              </w:rPr>
              <w:t>capital</w:t>
            </w:r>
          </w:p>
        </w:tc>
        <w:tc>
          <w:tcPr>
            <w:tcW w:w="220" w:type="dxa"/>
            <w:vAlign w:val="bottom"/>
          </w:tcPr>
          <w:p>
            <w:pPr>
              <w:spacing w:after="0"/>
              <w:rPr>
                <w:sz w:val="23"/>
                <w:szCs w:val="23"/>
                <w:color w:val="auto"/>
              </w:rPr>
            </w:pPr>
          </w:p>
        </w:tc>
        <w:tc>
          <w:tcPr>
            <w:tcW w:w="1560" w:type="dxa"/>
            <w:vAlign w:val="bottom"/>
            <w:gridSpan w:val="2"/>
          </w:tcPr>
          <w:p>
            <w:pPr>
              <w:ind w:left="340"/>
              <w:spacing w:after="0"/>
              <w:rPr>
                <w:sz w:val="20"/>
                <w:szCs w:val="20"/>
                <w:color w:val="auto"/>
              </w:rPr>
            </w:pPr>
            <w:r>
              <w:rPr>
                <w:rFonts w:ascii="Arial" w:cs="Arial" w:eastAsia="Arial" w:hAnsi="Arial"/>
                <w:sz w:val="18"/>
                <w:szCs w:val="18"/>
                <w:b w:val="1"/>
                <w:bCs w:val="1"/>
                <w:color w:val="auto"/>
              </w:rPr>
              <w:t>earnings</w:t>
            </w:r>
          </w:p>
        </w:tc>
        <w:tc>
          <w:tcPr>
            <w:tcW w:w="1560" w:type="dxa"/>
            <w:vAlign w:val="bottom"/>
          </w:tcPr>
          <w:p>
            <w:pPr>
              <w:jc w:val="right"/>
              <w:ind w:right="410"/>
              <w:spacing w:after="0"/>
              <w:rPr>
                <w:sz w:val="20"/>
                <w:szCs w:val="20"/>
                <w:color w:val="auto"/>
              </w:rPr>
            </w:pPr>
            <w:r>
              <w:rPr>
                <w:rFonts w:ascii="Arial" w:cs="Arial" w:eastAsia="Arial" w:hAnsi="Arial"/>
                <w:sz w:val="18"/>
                <w:szCs w:val="18"/>
                <w:b w:val="1"/>
                <w:bCs w:val="1"/>
                <w:color w:val="auto"/>
              </w:rPr>
              <w:t>interest</w:t>
            </w:r>
          </w:p>
        </w:tc>
        <w:tc>
          <w:tcPr>
            <w:tcW w:w="220" w:type="dxa"/>
            <w:vAlign w:val="bottom"/>
          </w:tcPr>
          <w:p>
            <w:pPr>
              <w:spacing w:after="0"/>
              <w:rPr>
                <w:sz w:val="23"/>
                <w:szCs w:val="23"/>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1"/>
              </w:rPr>
              <w:t>equity (deficit)</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00" w:type="dxa"/>
            <w:vAlign w:val="bottom"/>
          </w:tcPr>
          <w:p>
            <w:pPr>
              <w:ind w:left="20"/>
              <w:spacing w:after="0"/>
              <w:rPr>
                <w:sz w:val="20"/>
                <w:szCs w:val="20"/>
                <w:color w:val="auto"/>
              </w:rPr>
            </w:pPr>
            <w:r>
              <w:rPr>
                <w:rFonts w:ascii="Arial" w:cs="Arial" w:eastAsia="Arial" w:hAnsi="Arial"/>
                <w:sz w:val="18"/>
                <w:szCs w:val="18"/>
                <w:color w:val="auto"/>
              </w:rPr>
              <w:t>Balance at September 26, 2017*</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28,579</w:t>
            </w: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8"/>
                <w:szCs w:val="18"/>
                <w:color w:val="auto"/>
              </w:rPr>
              <w:t>28,579</w:t>
            </w:r>
          </w:p>
        </w:tc>
        <w:tc>
          <w:tcPr>
            <w:tcW w:w="0" w:type="dxa"/>
            <w:vAlign w:val="bottom"/>
          </w:tcPr>
          <w:p>
            <w:pPr>
              <w:spacing w:after="0"/>
              <w:rPr>
                <w:sz w:val="1"/>
                <w:szCs w:val="1"/>
                <w:color w:val="auto"/>
              </w:rPr>
            </w:pPr>
          </w:p>
        </w:tc>
      </w:tr>
      <w:tr>
        <w:trPr>
          <w:trHeight w:val="243"/>
        </w:trPr>
        <w:tc>
          <w:tcPr>
            <w:tcW w:w="4200" w:type="dxa"/>
            <w:vAlign w:val="bottom"/>
          </w:tcPr>
          <w:p>
            <w:pPr>
              <w:ind w:left="580"/>
              <w:spacing w:after="0"/>
              <w:rPr>
                <w:sz w:val="20"/>
                <w:szCs w:val="20"/>
                <w:color w:val="auto"/>
              </w:rPr>
            </w:pPr>
            <w:r>
              <w:rPr>
                <w:rFonts w:ascii="Arial" w:cs="Arial" w:eastAsia="Arial" w:hAnsi="Arial"/>
                <w:sz w:val="18"/>
                <w:szCs w:val="18"/>
                <w:color w:val="auto"/>
              </w:rPr>
              <w:t>Cash contributions</w:t>
            </w:r>
          </w:p>
        </w:tc>
        <w:tc>
          <w:tcPr>
            <w:tcW w:w="36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70,904</w:t>
            </w:r>
          </w:p>
        </w:tc>
        <w:tc>
          <w:tcPr>
            <w:tcW w:w="220" w:type="dxa"/>
            <w:vAlign w:val="bottom"/>
          </w:tcPr>
          <w:p>
            <w:pPr>
              <w:spacing w:after="0"/>
              <w:rPr>
                <w:sz w:val="21"/>
                <w:szCs w:val="21"/>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80" w:type="dxa"/>
            <w:vAlign w:val="bottom"/>
          </w:tcPr>
          <w:p>
            <w:pPr>
              <w:jc w:val="right"/>
              <w:ind w:right="9"/>
              <w:spacing w:after="0"/>
              <w:rPr>
                <w:sz w:val="20"/>
                <w:szCs w:val="20"/>
                <w:color w:val="auto"/>
              </w:rPr>
            </w:pPr>
            <w:r>
              <w:rPr>
                <w:rFonts w:ascii="Arial" w:cs="Arial" w:eastAsia="Arial" w:hAnsi="Arial"/>
                <w:sz w:val="18"/>
                <w:szCs w:val="18"/>
                <w:color w:val="auto"/>
              </w:rPr>
              <w:t>70,904</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Cash distributions</w:t>
            </w:r>
          </w:p>
        </w:tc>
        <w:tc>
          <w:tcPr>
            <w:tcW w:w="3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(37,832)</w:t>
            </w: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(37,832)</w:t>
            </w:r>
          </w:p>
        </w:tc>
        <w:tc>
          <w:tcPr>
            <w:tcW w:w="0" w:type="dxa"/>
            <w:vAlign w:val="bottom"/>
          </w:tcPr>
          <w:p>
            <w:pPr>
              <w:spacing w:after="0"/>
              <w:rPr>
                <w:sz w:val="1"/>
                <w:szCs w:val="1"/>
                <w:color w:val="auto"/>
              </w:rPr>
            </w:pPr>
          </w:p>
        </w:tc>
      </w:tr>
      <w:tr>
        <w:trPr>
          <w:trHeight w:val="243"/>
        </w:trPr>
        <w:tc>
          <w:tcPr>
            <w:tcW w:w="4200" w:type="dxa"/>
            <w:vAlign w:val="bottom"/>
          </w:tcPr>
          <w:p>
            <w:pPr>
              <w:ind w:left="580"/>
              <w:spacing w:after="0"/>
              <w:rPr>
                <w:sz w:val="20"/>
                <w:szCs w:val="20"/>
                <w:color w:val="auto"/>
              </w:rPr>
            </w:pPr>
            <w:r>
              <w:rPr>
                <w:rFonts w:ascii="Arial" w:cs="Arial" w:eastAsia="Arial" w:hAnsi="Arial"/>
                <w:sz w:val="18"/>
                <w:szCs w:val="18"/>
                <w:color w:val="auto"/>
              </w:rPr>
              <w:t>Distributions to Clearway Renew, non-cash</w:t>
            </w:r>
          </w:p>
        </w:tc>
        <w:tc>
          <w:tcPr>
            <w:tcW w:w="3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(61,663)</w:t>
            </w:r>
          </w:p>
        </w:tc>
        <w:tc>
          <w:tcPr>
            <w:tcW w:w="220" w:type="dxa"/>
            <w:vAlign w:val="bottom"/>
          </w:tcPr>
          <w:p>
            <w:pPr>
              <w:spacing w:after="0"/>
              <w:rPr>
                <w:sz w:val="21"/>
                <w:szCs w:val="21"/>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(61,663)</w:t>
            </w:r>
          </w:p>
        </w:tc>
        <w:tc>
          <w:tcPr>
            <w:tcW w:w="0" w:type="dxa"/>
            <w:vAlign w:val="bottom"/>
          </w:tcPr>
          <w:p>
            <w:pPr>
              <w:spacing w:after="0"/>
              <w:rPr>
                <w:sz w:val="1"/>
                <w:szCs w:val="1"/>
                <w:color w:val="auto"/>
              </w:rPr>
            </w:pPr>
          </w:p>
        </w:tc>
      </w:tr>
      <w:tr>
        <w:trPr>
          <w:trHeight w:val="27"/>
        </w:trPr>
        <w:tc>
          <w:tcPr>
            <w:tcW w:w="42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2017*</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(28,591)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28,579</w:t>
            </w: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4200" w:type="dxa"/>
            <w:vAlign w:val="bottom"/>
          </w:tcPr>
          <w:p>
            <w:pPr>
              <w:ind w:left="580"/>
              <w:spacing w:after="0"/>
              <w:rPr>
                <w:sz w:val="20"/>
                <w:szCs w:val="20"/>
                <w:color w:val="auto"/>
              </w:rPr>
            </w:pPr>
            <w:r>
              <w:rPr>
                <w:rFonts w:ascii="Arial" w:cs="Arial" w:eastAsia="Arial" w:hAnsi="Arial"/>
                <w:sz w:val="18"/>
                <w:szCs w:val="18"/>
                <w:color w:val="auto"/>
              </w:rPr>
              <w:t>Net income (loss)</w:t>
            </w:r>
          </w:p>
        </w:tc>
        <w:tc>
          <w:tcPr>
            <w:tcW w:w="36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57,327</w:t>
            </w: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(4,349)</w:t>
            </w:r>
          </w:p>
        </w:tc>
        <w:tc>
          <w:tcPr>
            <w:tcW w:w="220" w:type="dxa"/>
            <w:vAlign w:val="bottom"/>
          </w:tcPr>
          <w:p>
            <w:pPr>
              <w:spacing w:after="0"/>
              <w:rPr>
                <w:sz w:val="21"/>
                <w:szCs w:val="21"/>
                <w:color w:val="auto"/>
              </w:rPr>
            </w:pPr>
          </w:p>
        </w:tc>
        <w:tc>
          <w:tcPr>
            <w:tcW w:w="1680" w:type="dxa"/>
            <w:vAlign w:val="bottom"/>
          </w:tcPr>
          <w:p>
            <w:pPr>
              <w:jc w:val="right"/>
              <w:ind w:right="9"/>
              <w:spacing w:after="0"/>
              <w:rPr>
                <w:sz w:val="20"/>
                <w:szCs w:val="20"/>
                <w:color w:val="auto"/>
              </w:rPr>
            </w:pPr>
            <w:r>
              <w:rPr>
                <w:rFonts w:ascii="Arial" w:cs="Arial" w:eastAsia="Arial" w:hAnsi="Arial"/>
                <w:sz w:val="18"/>
                <w:szCs w:val="18"/>
                <w:color w:val="auto"/>
              </w:rPr>
              <w:t>52,978</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Cash contributions</w:t>
            </w:r>
          </w:p>
        </w:tc>
        <w:tc>
          <w:tcPr>
            <w:tcW w:w="3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120,782</w:t>
            </w: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5,066</w:t>
            </w:r>
          </w:p>
        </w:tc>
        <w:tc>
          <w:tcPr>
            <w:tcW w:w="2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8"/>
                <w:szCs w:val="18"/>
                <w:color w:val="auto"/>
              </w:rPr>
              <w:t>125,848</w:t>
            </w:r>
          </w:p>
        </w:tc>
        <w:tc>
          <w:tcPr>
            <w:tcW w:w="0" w:type="dxa"/>
            <w:vAlign w:val="bottom"/>
          </w:tcPr>
          <w:p>
            <w:pPr>
              <w:spacing w:after="0"/>
              <w:rPr>
                <w:sz w:val="1"/>
                <w:szCs w:val="1"/>
                <w:color w:val="auto"/>
              </w:rPr>
            </w:pPr>
          </w:p>
        </w:tc>
      </w:tr>
      <w:tr>
        <w:trPr>
          <w:trHeight w:val="243"/>
        </w:trPr>
        <w:tc>
          <w:tcPr>
            <w:tcW w:w="4200" w:type="dxa"/>
            <w:vAlign w:val="bottom"/>
          </w:tcPr>
          <w:p>
            <w:pPr>
              <w:ind w:left="580"/>
              <w:spacing w:after="0"/>
              <w:rPr>
                <w:sz w:val="20"/>
                <w:szCs w:val="20"/>
                <w:color w:val="auto"/>
              </w:rPr>
            </w:pPr>
            <w:r>
              <w:rPr>
                <w:rFonts w:ascii="Arial" w:cs="Arial" w:eastAsia="Arial" w:hAnsi="Arial"/>
                <w:sz w:val="18"/>
                <w:szCs w:val="18"/>
                <w:color w:val="auto"/>
              </w:rPr>
              <w:t>Cash distributions</w:t>
            </w:r>
          </w:p>
        </w:tc>
        <w:tc>
          <w:tcPr>
            <w:tcW w:w="3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(79,970)</w:t>
            </w:r>
          </w:p>
        </w:tc>
        <w:tc>
          <w:tcPr>
            <w:tcW w:w="220" w:type="dxa"/>
            <w:vAlign w:val="bottom"/>
          </w:tcPr>
          <w:p>
            <w:pPr>
              <w:spacing w:after="0"/>
              <w:rPr>
                <w:sz w:val="21"/>
                <w:szCs w:val="21"/>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(2,369)</w:t>
            </w:r>
          </w:p>
        </w:tc>
        <w:tc>
          <w:tcPr>
            <w:tcW w:w="2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(82,339)</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w w:val="94"/>
              </w:rPr>
              <w:t>Distributions to Clearway Renew, non-cash, net</w:t>
            </w:r>
          </w:p>
        </w:tc>
        <w:tc>
          <w:tcPr>
            <w:tcW w:w="3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(2,033)</w:t>
            </w:r>
          </w:p>
        </w:tc>
        <w:tc>
          <w:tcPr>
            <w:tcW w:w="2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(2,033)</w:t>
            </w:r>
          </w:p>
        </w:tc>
        <w:tc>
          <w:tcPr>
            <w:tcW w:w="0" w:type="dxa"/>
            <w:vAlign w:val="bottom"/>
          </w:tcPr>
          <w:p>
            <w:pPr>
              <w:spacing w:after="0"/>
              <w:rPr>
                <w:sz w:val="1"/>
                <w:szCs w:val="1"/>
                <w:color w:val="auto"/>
              </w:rPr>
            </w:pPr>
          </w:p>
        </w:tc>
      </w:tr>
      <w:tr>
        <w:trPr>
          <w:trHeight w:val="257"/>
        </w:trPr>
        <w:tc>
          <w:tcPr>
            <w:tcW w:w="4200" w:type="dxa"/>
            <w:vAlign w:val="bottom"/>
          </w:tcPr>
          <w:p>
            <w:pPr>
              <w:ind w:left="20"/>
              <w:spacing w:after="0"/>
              <w:rPr>
                <w:sz w:val="20"/>
                <w:szCs w:val="20"/>
                <w:color w:val="auto"/>
              </w:rPr>
            </w:pPr>
            <w:r>
              <w:rPr>
                <w:rFonts w:ascii="Arial" w:cs="Arial" w:eastAsia="Arial" w:hAnsi="Arial"/>
                <w:sz w:val="18"/>
                <w:szCs w:val="18"/>
                <w:color w:val="auto"/>
              </w:rPr>
              <w:t>Balance at December 31, 2018</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10,188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85,906</w:t>
            </w:r>
          </w:p>
        </w:tc>
        <w:tc>
          <w:tcPr>
            <w:tcW w:w="220" w:type="dxa"/>
            <w:vAlign w:val="bottom"/>
          </w:tcPr>
          <w:p>
            <w:pPr>
              <w:spacing w:after="0"/>
              <w:rPr>
                <w:sz w:val="22"/>
                <w:szCs w:val="22"/>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8"/>
                <w:szCs w:val="18"/>
                <w:color w:val="auto"/>
              </w:rPr>
              <w:t>94,442</w:t>
            </w:r>
          </w:p>
        </w:tc>
        <w:tc>
          <w:tcPr>
            <w:tcW w:w="0" w:type="dxa"/>
            <w:vAlign w:val="bottom"/>
          </w:tcPr>
          <w:p>
            <w:pPr>
              <w:spacing w:after="0"/>
              <w:rPr>
                <w:sz w:val="1"/>
                <w:szCs w:val="1"/>
                <w:color w:val="auto"/>
              </w:rPr>
            </w:pPr>
          </w:p>
        </w:tc>
      </w:tr>
      <w:tr>
        <w:trPr>
          <w:trHeight w:val="20"/>
        </w:trPr>
        <w:tc>
          <w:tcPr>
            <w:tcW w:w="4560" w:type="dxa"/>
            <w:vAlign w:val="bottom"/>
            <w:gridSpan w:val="2"/>
            <w:vMerge w:val="restart"/>
          </w:tcPr>
          <w:p>
            <w:pPr>
              <w:ind w:left="20"/>
              <w:spacing w:after="0"/>
              <w:rPr>
                <w:sz w:val="20"/>
                <w:szCs w:val="20"/>
                <w:color w:val="auto"/>
              </w:rPr>
            </w:pPr>
            <w:r>
              <w:rPr>
                <w:rFonts w:ascii="Arial" w:cs="Arial" w:eastAsia="Arial" w:hAnsi="Arial"/>
                <w:sz w:val="18"/>
                <w:szCs w:val="18"/>
                <w:color w:val="auto"/>
                <w:w w:val="90"/>
              </w:rPr>
              <w:t>See accompanying notes to consolidated financial statements.</w:t>
            </w: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560" w:type="dxa"/>
            <w:vAlign w:val="bottom"/>
            <w:gridSpan w:val="2"/>
            <w:vMerge w:val="continue"/>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200" w:type="dxa"/>
            <w:vAlign w:val="bottom"/>
          </w:tcPr>
          <w:p>
            <w:pPr>
              <w:ind w:left="20"/>
              <w:spacing w:after="0"/>
              <w:rPr>
                <w:sz w:val="20"/>
                <w:szCs w:val="20"/>
                <w:color w:val="auto"/>
              </w:rPr>
            </w:pPr>
            <w:r>
              <w:rPr>
                <w:rFonts w:ascii="Arial" w:cs="Arial" w:eastAsia="Arial" w:hAnsi="Arial"/>
                <w:sz w:val="18"/>
                <w:szCs w:val="18"/>
                <w:color w:val="auto"/>
              </w:rPr>
              <w:t>*Not covered by the report included herein.</w:t>
            </w:r>
          </w:p>
        </w:tc>
        <w:tc>
          <w:tcPr>
            <w:tcW w:w="3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02"/>
        </w:trPr>
        <w:tc>
          <w:tcPr>
            <w:tcW w:w="4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jc w:val="right"/>
              <w:ind w:right="27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20" w:top="738" w:right="299" w:bottom="1440" w:gutter="0" w:footer="0" w:header="0"/>
        </w:sectPr>
      </w:pPr>
    </w:p>
    <w:bookmarkStart w:id="20" w:name="page21"/>
    <w:bookmarkEnd w:id="20"/>
    <w:p>
      <w:pPr>
        <w:jc w:val="center"/>
        <w:spacing w:after="0"/>
        <w:rPr>
          <w:sz w:val="20"/>
          <w:szCs w:val="20"/>
          <w:color w:val="auto"/>
        </w:rPr>
      </w:pPr>
      <w:r>
        <w:rPr>
          <w:rFonts w:ascii="Arial" w:cs="Arial" w:eastAsia="Arial" w:hAnsi="Arial"/>
          <w:sz w:val="20"/>
          <w:szCs w:val="20"/>
          <w:b w:val="1"/>
          <w:bCs w:val="1"/>
          <w:color w:val="auto"/>
        </w:rPr>
        <w:t>DGPV HOLDCO 3 LLC AND SUBSIDIARIES</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Consolidated Statements of Cash Flows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(In thousands)</w:t>
      </w:r>
    </w:p>
    <w:p>
      <w:pPr>
        <w:spacing w:after="0" w:line="52" w:lineRule="exact"/>
        <w:rPr>
          <w:sz w:val="20"/>
          <w:szCs w:val="20"/>
          <w:color w:val="auto"/>
        </w:rPr>
      </w:pPr>
    </w:p>
    <w:tbl>
      <w:tblPr>
        <w:tblLayout w:type="fixed"/>
        <w:tblInd w:w="28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9"/>
              </w:rPr>
              <w:t>September 26,</w:t>
            </w:r>
          </w:p>
        </w:tc>
      </w:tr>
      <w:tr>
        <w:trPr>
          <w:trHeight w:val="216"/>
        </w:trPr>
        <w:tc>
          <w:tcPr>
            <w:tcW w:w="5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8"/>
              </w:rPr>
              <w:t>Year ended</w:t>
            </w:r>
          </w:p>
        </w:tc>
        <w:tc>
          <w:tcPr>
            <w:tcW w:w="2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1"/>
              </w:rPr>
              <w:t>through</w:t>
            </w:r>
          </w:p>
        </w:tc>
      </w:tr>
      <w:tr>
        <w:trPr>
          <w:trHeight w:val="216"/>
        </w:trPr>
        <w:tc>
          <w:tcPr>
            <w:tcW w:w="5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0"/>
              </w:rPr>
              <w:t>December 31,</w:t>
            </w:r>
          </w:p>
        </w:tc>
        <w:tc>
          <w:tcPr>
            <w:tcW w:w="2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50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9"/>
              </w:rPr>
              <w:t>2018</w:t>
            </w:r>
          </w:p>
        </w:tc>
        <w:tc>
          <w:tcPr>
            <w:tcW w:w="22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7"/>
              </w:rPr>
              <w:t>2017*</w:t>
            </w:r>
          </w:p>
        </w:tc>
      </w:tr>
      <w:tr>
        <w:trPr>
          <w:trHeight w:val="27"/>
        </w:trPr>
        <w:tc>
          <w:tcPr>
            <w:tcW w:w="5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1"/>
        </w:trPr>
        <w:tc>
          <w:tcPr>
            <w:tcW w:w="5040" w:type="dxa"/>
            <w:vAlign w:val="bottom"/>
          </w:tcPr>
          <w:p>
            <w:pPr>
              <w:ind w:left="20"/>
              <w:spacing w:after="0"/>
              <w:rPr>
                <w:sz w:val="20"/>
                <w:szCs w:val="20"/>
                <w:color w:val="auto"/>
              </w:rPr>
            </w:pPr>
            <w:r>
              <w:rPr>
                <w:rFonts w:ascii="Arial" w:cs="Arial" w:eastAsia="Arial" w:hAnsi="Arial"/>
                <w:sz w:val="16"/>
                <w:szCs w:val="16"/>
                <w:color w:val="auto"/>
              </w:rPr>
              <w:t>Cash flows from operating activities:</w:t>
            </w:r>
          </w:p>
        </w:tc>
        <w:tc>
          <w:tcPr>
            <w:tcW w:w="6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(unaudited)</w:t>
            </w:r>
          </w:p>
        </w:tc>
      </w:tr>
      <w:tr>
        <w:trPr>
          <w:trHeight w:val="270"/>
        </w:trPr>
        <w:tc>
          <w:tcPr>
            <w:tcW w:w="5040" w:type="dxa"/>
            <w:vAlign w:val="bottom"/>
          </w:tcPr>
          <w:p>
            <w:pPr>
              <w:ind w:left="180"/>
              <w:spacing w:after="0"/>
              <w:rPr>
                <w:sz w:val="20"/>
                <w:szCs w:val="20"/>
                <w:color w:val="auto"/>
              </w:rPr>
            </w:pPr>
            <w:r>
              <w:rPr>
                <w:rFonts w:ascii="Arial" w:cs="Arial" w:eastAsia="Arial" w:hAnsi="Arial"/>
                <w:sz w:val="16"/>
                <w:szCs w:val="16"/>
                <w:color w:val="auto"/>
              </w:rPr>
              <w:t>Net income (loss)</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2,829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(265)</w:t>
            </w:r>
          </w:p>
        </w:tc>
      </w:tr>
      <w:tr>
        <w:trPr>
          <w:trHeight w:val="33"/>
        </w:trPr>
        <w:tc>
          <w:tcPr>
            <w:tcW w:w="5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Adjustments to reconcile net income (loss) to net cash provided by</w:t>
            </w:r>
          </w:p>
        </w:tc>
        <w:tc>
          <w:tcPr>
            <w:tcW w:w="6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5040" w:type="dxa"/>
            <w:vAlign w:val="bottom"/>
          </w:tcPr>
          <w:p>
            <w:pPr>
              <w:ind w:left="400"/>
              <w:spacing w:after="0"/>
              <w:rPr>
                <w:sz w:val="20"/>
                <w:szCs w:val="20"/>
                <w:color w:val="auto"/>
              </w:rPr>
            </w:pPr>
            <w:r>
              <w:rPr>
                <w:rFonts w:ascii="Arial" w:cs="Arial" w:eastAsia="Arial" w:hAnsi="Arial"/>
                <w:sz w:val="16"/>
                <w:szCs w:val="16"/>
                <w:color w:val="auto"/>
              </w:rPr>
              <w:t>operating activities:</w:t>
            </w:r>
          </w:p>
        </w:tc>
        <w:tc>
          <w:tcPr>
            <w:tcW w:w="6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
        </w:trPr>
        <w:tc>
          <w:tcPr>
            <w:tcW w:w="5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Depreciation and accretion</w:t>
            </w:r>
          </w:p>
        </w:tc>
        <w:tc>
          <w:tcPr>
            <w:tcW w:w="6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5,234</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296</w:t>
            </w:r>
          </w:p>
        </w:tc>
      </w:tr>
      <w:tr>
        <w:trPr>
          <w:trHeight w:val="237"/>
        </w:trPr>
        <w:tc>
          <w:tcPr>
            <w:tcW w:w="5040" w:type="dxa"/>
            <w:vAlign w:val="bottom"/>
          </w:tcPr>
          <w:p>
            <w:pPr>
              <w:ind w:left="620"/>
              <w:spacing w:after="0"/>
              <w:rPr>
                <w:sz w:val="20"/>
                <w:szCs w:val="20"/>
                <w:color w:val="auto"/>
              </w:rPr>
            </w:pPr>
            <w:r>
              <w:rPr>
                <w:rFonts w:ascii="Arial" w:cs="Arial" w:eastAsia="Arial" w:hAnsi="Arial"/>
                <w:sz w:val="16"/>
                <w:szCs w:val="16"/>
                <w:color w:val="auto"/>
              </w:rPr>
              <w:t>Amortization of intangible asset</w:t>
            </w:r>
          </w:p>
        </w:tc>
        <w:tc>
          <w:tcPr>
            <w:tcW w:w="6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60</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33"/>
        </w:trPr>
        <w:tc>
          <w:tcPr>
            <w:tcW w:w="5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Amortization of debt issuance costs</w:t>
            </w:r>
          </w:p>
        </w:tc>
        <w:tc>
          <w:tcPr>
            <w:tcW w:w="6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810</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308</w:t>
            </w:r>
          </w:p>
        </w:tc>
      </w:tr>
      <w:tr>
        <w:trPr>
          <w:trHeight w:val="237"/>
        </w:trPr>
        <w:tc>
          <w:tcPr>
            <w:tcW w:w="5040" w:type="dxa"/>
            <w:vAlign w:val="bottom"/>
          </w:tcPr>
          <w:p>
            <w:pPr>
              <w:ind w:left="620"/>
              <w:spacing w:after="0"/>
              <w:rPr>
                <w:sz w:val="20"/>
                <w:szCs w:val="20"/>
                <w:color w:val="auto"/>
              </w:rPr>
            </w:pPr>
            <w:r>
              <w:rPr>
                <w:rFonts w:ascii="Arial" w:cs="Arial" w:eastAsia="Arial" w:hAnsi="Arial"/>
                <w:sz w:val="16"/>
                <w:szCs w:val="16"/>
                <w:color w:val="auto"/>
              </w:rPr>
              <w:t>Changes in derivative instruments</w:t>
            </w:r>
          </w:p>
        </w:tc>
        <w:tc>
          <w:tcPr>
            <w:tcW w:w="6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(468)</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(140)</w:t>
            </w:r>
          </w:p>
        </w:tc>
      </w:tr>
      <w:tr>
        <w:trPr>
          <w:trHeight w:val="33"/>
        </w:trPr>
        <w:tc>
          <w:tcPr>
            <w:tcW w:w="5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provided (used) by changes in other working capital:</w:t>
            </w:r>
          </w:p>
        </w:tc>
        <w:tc>
          <w:tcPr>
            <w:tcW w:w="6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5040" w:type="dxa"/>
            <w:vAlign w:val="bottom"/>
          </w:tcPr>
          <w:p>
            <w:pPr>
              <w:ind w:left="620"/>
              <w:spacing w:after="0"/>
              <w:rPr>
                <w:sz w:val="20"/>
                <w:szCs w:val="20"/>
                <w:color w:val="auto"/>
              </w:rPr>
            </w:pPr>
            <w:r>
              <w:rPr>
                <w:rFonts w:ascii="Arial" w:cs="Arial" w:eastAsia="Arial" w:hAnsi="Arial"/>
                <w:sz w:val="16"/>
                <w:szCs w:val="16"/>
                <w:color w:val="auto"/>
              </w:rPr>
              <w:t>Accounts receivable – trade</w:t>
            </w:r>
          </w:p>
        </w:tc>
        <w:tc>
          <w:tcPr>
            <w:tcW w:w="6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(6,368)</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(577)</w:t>
            </w:r>
          </w:p>
        </w:tc>
      </w:tr>
      <w:tr>
        <w:trPr>
          <w:trHeight w:val="33"/>
        </w:trPr>
        <w:tc>
          <w:tcPr>
            <w:tcW w:w="5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Accounts receivable – affiliate</w:t>
            </w:r>
          </w:p>
        </w:tc>
        <w:tc>
          <w:tcPr>
            <w:tcW w:w="6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676</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(677)</w:t>
            </w:r>
          </w:p>
        </w:tc>
      </w:tr>
      <w:tr>
        <w:trPr>
          <w:trHeight w:val="237"/>
        </w:trPr>
        <w:tc>
          <w:tcPr>
            <w:tcW w:w="5040" w:type="dxa"/>
            <w:vAlign w:val="bottom"/>
          </w:tcPr>
          <w:p>
            <w:pPr>
              <w:ind w:left="620"/>
              <w:spacing w:after="0"/>
              <w:rPr>
                <w:sz w:val="20"/>
                <w:szCs w:val="20"/>
                <w:color w:val="auto"/>
              </w:rPr>
            </w:pPr>
            <w:r>
              <w:rPr>
                <w:rFonts w:ascii="Arial" w:cs="Arial" w:eastAsia="Arial" w:hAnsi="Arial"/>
                <w:sz w:val="16"/>
                <w:szCs w:val="16"/>
                <w:color w:val="auto"/>
              </w:rPr>
              <w:t>Prepayments and other current assets</w:t>
            </w:r>
          </w:p>
        </w:tc>
        <w:tc>
          <w:tcPr>
            <w:tcW w:w="6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(253)</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(505)</w:t>
            </w:r>
          </w:p>
        </w:tc>
      </w:tr>
      <w:tr>
        <w:trPr>
          <w:trHeight w:val="33"/>
        </w:trPr>
        <w:tc>
          <w:tcPr>
            <w:tcW w:w="5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Other non-current assets</w:t>
            </w:r>
          </w:p>
        </w:tc>
        <w:tc>
          <w:tcPr>
            <w:tcW w:w="6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(310)</w:t>
            </w:r>
          </w:p>
        </w:tc>
      </w:tr>
      <w:tr>
        <w:trPr>
          <w:trHeight w:val="237"/>
        </w:trPr>
        <w:tc>
          <w:tcPr>
            <w:tcW w:w="5040" w:type="dxa"/>
            <w:vAlign w:val="bottom"/>
          </w:tcPr>
          <w:p>
            <w:pPr>
              <w:ind w:left="620"/>
              <w:spacing w:after="0"/>
              <w:rPr>
                <w:sz w:val="20"/>
                <w:szCs w:val="20"/>
                <w:color w:val="auto"/>
              </w:rPr>
            </w:pPr>
            <w:r>
              <w:rPr>
                <w:rFonts w:ascii="Arial" w:cs="Arial" w:eastAsia="Arial" w:hAnsi="Arial"/>
                <w:sz w:val="16"/>
                <w:szCs w:val="16"/>
                <w:color w:val="auto"/>
              </w:rPr>
              <w:t>Accounts payable – trade</w:t>
            </w:r>
          </w:p>
        </w:tc>
        <w:tc>
          <w:tcPr>
            <w:tcW w:w="6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1,687</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2,465</w:t>
            </w:r>
          </w:p>
        </w:tc>
      </w:tr>
      <w:tr>
        <w:trPr>
          <w:trHeight w:val="33"/>
        </w:trPr>
        <w:tc>
          <w:tcPr>
            <w:tcW w:w="5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Accounts payable – affiliate</w:t>
            </w:r>
          </w:p>
        </w:tc>
        <w:tc>
          <w:tcPr>
            <w:tcW w:w="6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(9,204)</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3,303</w:t>
            </w:r>
          </w:p>
        </w:tc>
      </w:tr>
      <w:tr>
        <w:trPr>
          <w:trHeight w:val="237"/>
        </w:trPr>
        <w:tc>
          <w:tcPr>
            <w:tcW w:w="5040" w:type="dxa"/>
            <w:vAlign w:val="bottom"/>
          </w:tcPr>
          <w:p>
            <w:pPr>
              <w:ind w:left="620"/>
              <w:spacing w:after="0"/>
              <w:rPr>
                <w:sz w:val="20"/>
                <w:szCs w:val="20"/>
                <w:color w:val="auto"/>
              </w:rPr>
            </w:pPr>
            <w:r>
              <w:rPr>
                <w:rFonts w:ascii="Arial" w:cs="Arial" w:eastAsia="Arial" w:hAnsi="Arial"/>
                <w:sz w:val="16"/>
                <w:szCs w:val="16"/>
                <w:color w:val="auto"/>
              </w:rPr>
              <w:t>Accrued interest expense</w:t>
            </w:r>
          </w:p>
        </w:tc>
        <w:tc>
          <w:tcPr>
            <w:tcW w:w="6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902</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239</w:t>
            </w:r>
          </w:p>
        </w:tc>
      </w:tr>
      <w:tr>
        <w:trPr>
          <w:trHeight w:val="33"/>
        </w:trPr>
        <w:tc>
          <w:tcPr>
            <w:tcW w:w="5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Accrued liabilities</w:t>
            </w:r>
          </w:p>
        </w:tc>
        <w:tc>
          <w:tcPr>
            <w:tcW w:w="6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w:t>
            </w:r>
          </w:p>
        </w:tc>
      </w:tr>
      <w:tr>
        <w:trPr>
          <w:trHeight w:val="237"/>
        </w:trPr>
        <w:tc>
          <w:tcPr>
            <w:tcW w:w="5040" w:type="dxa"/>
            <w:vAlign w:val="bottom"/>
          </w:tcPr>
          <w:p>
            <w:pPr>
              <w:ind w:left="620"/>
              <w:spacing w:after="0"/>
              <w:rPr>
                <w:sz w:val="20"/>
                <w:szCs w:val="20"/>
                <w:color w:val="auto"/>
              </w:rPr>
            </w:pPr>
            <w:r>
              <w:rPr>
                <w:rFonts w:ascii="Arial" w:cs="Arial" w:eastAsia="Arial" w:hAnsi="Arial"/>
                <w:sz w:val="16"/>
                <w:szCs w:val="16"/>
                <w:color w:val="auto"/>
              </w:rPr>
              <w:t>Deferred rent</w:t>
            </w:r>
          </w:p>
        </w:tc>
        <w:tc>
          <w:tcPr>
            <w:tcW w:w="6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313</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98</w:t>
            </w:r>
          </w:p>
        </w:tc>
      </w:tr>
      <w:tr>
        <w:trPr>
          <w:trHeight w:val="33"/>
        </w:trPr>
        <w:tc>
          <w:tcPr>
            <w:tcW w:w="504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6"/>
                <w:szCs w:val="16"/>
                <w:color w:val="auto"/>
              </w:rPr>
              <w:t>Net cash (used) provided by operating activities</w:t>
            </w:r>
          </w:p>
        </w:tc>
        <w:tc>
          <w:tcPr>
            <w:tcW w:w="6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(3,960)</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4,429</w:t>
            </w:r>
          </w:p>
        </w:tc>
      </w:tr>
      <w:tr>
        <w:trPr>
          <w:trHeight w:val="231"/>
        </w:trPr>
        <w:tc>
          <w:tcPr>
            <w:tcW w:w="5040" w:type="dxa"/>
            <w:vAlign w:val="bottom"/>
          </w:tcPr>
          <w:p>
            <w:pPr>
              <w:ind w:left="20"/>
              <w:spacing w:after="0"/>
              <w:rPr>
                <w:sz w:val="20"/>
                <w:szCs w:val="20"/>
                <w:color w:val="auto"/>
              </w:rPr>
            </w:pPr>
            <w:r>
              <w:rPr>
                <w:rFonts w:ascii="Arial" w:cs="Arial" w:eastAsia="Arial" w:hAnsi="Arial"/>
                <w:sz w:val="16"/>
                <w:szCs w:val="16"/>
                <w:color w:val="auto"/>
              </w:rPr>
              <w:t>Cash flows from investing activity:</w:t>
            </w:r>
          </w:p>
        </w:tc>
        <w:tc>
          <w:tcPr>
            <w:tcW w:w="640" w:type="dxa"/>
            <w:vAlign w:val="bottom"/>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r>
      <w:tr>
        <w:trPr>
          <w:trHeight w:val="33"/>
        </w:trPr>
        <w:tc>
          <w:tcPr>
            <w:tcW w:w="5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Capital expenditures</w:t>
            </w:r>
          </w:p>
        </w:tc>
        <w:tc>
          <w:tcPr>
            <w:tcW w:w="6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(52,039)</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5040" w:type="dxa"/>
            <w:vAlign w:val="bottom"/>
          </w:tcPr>
          <w:p>
            <w:pPr>
              <w:ind w:left="180"/>
              <w:spacing w:after="0"/>
              <w:rPr>
                <w:sz w:val="20"/>
                <w:szCs w:val="20"/>
                <w:color w:val="auto"/>
              </w:rPr>
            </w:pPr>
            <w:r>
              <w:rPr>
                <w:rFonts w:ascii="Arial" w:cs="Arial" w:eastAsia="Arial" w:hAnsi="Arial"/>
                <w:sz w:val="16"/>
                <w:szCs w:val="16"/>
                <w:color w:val="auto"/>
              </w:rPr>
              <w:t>Acquisition of membership interests</w:t>
            </w:r>
          </w:p>
        </w:tc>
        <w:tc>
          <w:tcPr>
            <w:tcW w:w="6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(147,014)</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(106,317)</w:t>
            </w:r>
          </w:p>
        </w:tc>
      </w:tr>
      <w:tr>
        <w:trPr>
          <w:trHeight w:val="33"/>
        </w:trPr>
        <w:tc>
          <w:tcPr>
            <w:tcW w:w="504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6"/>
                <w:szCs w:val="16"/>
                <w:color w:val="auto"/>
              </w:rPr>
              <w:t>Net cash used by investing activity</w:t>
            </w:r>
          </w:p>
        </w:tc>
        <w:tc>
          <w:tcPr>
            <w:tcW w:w="6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(199,053)</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(106,317)</w:t>
            </w:r>
          </w:p>
        </w:tc>
      </w:tr>
      <w:tr>
        <w:trPr>
          <w:trHeight w:val="231"/>
        </w:trPr>
        <w:tc>
          <w:tcPr>
            <w:tcW w:w="504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640" w:type="dxa"/>
            <w:vAlign w:val="bottom"/>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r>
      <w:tr>
        <w:trPr>
          <w:trHeight w:val="33"/>
        </w:trPr>
        <w:tc>
          <w:tcPr>
            <w:tcW w:w="5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short-term debt – affiliate</w:t>
            </w:r>
          </w:p>
        </w:tc>
        <w:tc>
          <w:tcPr>
            <w:tcW w:w="6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845</w:t>
            </w:r>
          </w:p>
        </w:tc>
      </w:tr>
      <w:tr>
        <w:trPr>
          <w:trHeight w:val="237"/>
        </w:trPr>
        <w:tc>
          <w:tcPr>
            <w:tcW w:w="5040" w:type="dxa"/>
            <w:vAlign w:val="bottom"/>
          </w:tcPr>
          <w:p>
            <w:pPr>
              <w:ind w:left="180"/>
              <w:spacing w:after="0"/>
              <w:rPr>
                <w:sz w:val="20"/>
                <w:szCs w:val="20"/>
                <w:color w:val="auto"/>
              </w:rPr>
            </w:pPr>
            <w:r>
              <w:rPr>
                <w:rFonts w:ascii="Arial" w:cs="Arial" w:eastAsia="Arial" w:hAnsi="Arial"/>
                <w:sz w:val="16"/>
                <w:szCs w:val="16"/>
                <w:color w:val="auto"/>
              </w:rPr>
              <w:t>Proceeds from issuance of long-term debt</w:t>
            </w:r>
          </w:p>
        </w:tc>
        <w:tc>
          <w:tcPr>
            <w:tcW w:w="6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132,289</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37,832</w:t>
            </w:r>
          </w:p>
        </w:tc>
      </w:tr>
      <w:tr>
        <w:trPr>
          <w:trHeight w:val="33"/>
        </w:trPr>
        <w:tc>
          <w:tcPr>
            <w:tcW w:w="5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Payment of debt issuance costs</w:t>
            </w:r>
          </w:p>
        </w:tc>
        <w:tc>
          <w:tcPr>
            <w:tcW w:w="6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(5,680)</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5040" w:type="dxa"/>
            <w:vAlign w:val="bottom"/>
          </w:tcPr>
          <w:p>
            <w:pPr>
              <w:ind w:left="180"/>
              <w:spacing w:after="0"/>
              <w:rPr>
                <w:sz w:val="20"/>
                <w:szCs w:val="20"/>
                <w:color w:val="auto"/>
              </w:rPr>
            </w:pPr>
            <w:r>
              <w:rPr>
                <w:rFonts w:ascii="Arial" w:cs="Arial" w:eastAsia="Arial" w:hAnsi="Arial"/>
                <w:sz w:val="16"/>
                <w:szCs w:val="16"/>
                <w:color w:val="auto"/>
              </w:rPr>
              <w:t>Contributions from noncontrolling interests, net of distributions</w:t>
            </w:r>
          </w:p>
        </w:tc>
        <w:tc>
          <w:tcPr>
            <w:tcW w:w="6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46,035</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35,361</w:t>
            </w:r>
          </w:p>
        </w:tc>
      </w:tr>
      <w:tr>
        <w:trPr>
          <w:trHeight w:val="33"/>
        </w:trPr>
        <w:tc>
          <w:tcPr>
            <w:tcW w:w="5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Contributions from member</w:t>
            </w:r>
          </w:p>
        </w:tc>
        <w:tc>
          <w:tcPr>
            <w:tcW w:w="6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125,674</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70,904</w:t>
            </w:r>
          </w:p>
        </w:tc>
      </w:tr>
      <w:tr>
        <w:trPr>
          <w:trHeight w:val="237"/>
        </w:trPr>
        <w:tc>
          <w:tcPr>
            <w:tcW w:w="5040" w:type="dxa"/>
            <w:vAlign w:val="bottom"/>
          </w:tcPr>
          <w:p>
            <w:pPr>
              <w:ind w:left="180"/>
              <w:spacing w:after="0"/>
              <w:rPr>
                <w:sz w:val="20"/>
                <w:szCs w:val="20"/>
                <w:color w:val="auto"/>
              </w:rPr>
            </w:pPr>
            <w:r>
              <w:rPr>
                <w:rFonts w:ascii="Arial" w:cs="Arial" w:eastAsia="Arial" w:hAnsi="Arial"/>
                <w:sz w:val="16"/>
                <w:szCs w:val="16"/>
                <w:color w:val="auto"/>
              </w:rPr>
              <w:t>Distributions to member</w:t>
            </w:r>
          </w:p>
        </w:tc>
        <w:tc>
          <w:tcPr>
            <w:tcW w:w="6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(79,970)</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(37,832)</w:t>
            </w:r>
          </w:p>
        </w:tc>
      </w:tr>
      <w:tr>
        <w:trPr>
          <w:trHeight w:val="33"/>
        </w:trPr>
        <w:tc>
          <w:tcPr>
            <w:tcW w:w="504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6"/>
                <w:szCs w:val="16"/>
                <w:color w:val="auto"/>
              </w:rPr>
              <w:t>Net cash provided by financing activities</w:t>
            </w:r>
          </w:p>
        </w:tc>
        <w:tc>
          <w:tcPr>
            <w:tcW w:w="6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218,848</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107,110</w:t>
            </w:r>
          </w:p>
        </w:tc>
      </w:tr>
      <w:tr>
        <w:trPr>
          <w:trHeight w:val="217"/>
        </w:trPr>
        <w:tc>
          <w:tcPr>
            <w:tcW w:w="5040" w:type="dxa"/>
            <w:vAlign w:val="bottom"/>
          </w:tcPr>
          <w:p>
            <w:pPr>
              <w:ind w:left="1060"/>
              <w:spacing w:after="0"/>
              <w:rPr>
                <w:sz w:val="20"/>
                <w:szCs w:val="20"/>
                <w:color w:val="auto"/>
              </w:rPr>
            </w:pPr>
            <w:r>
              <w:rPr>
                <w:rFonts w:ascii="Arial" w:cs="Arial" w:eastAsia="Arial" w:hAnsi="Arial"/>
                <w:sz w:val="16"/>
                <w:szCs w:val="16"/>
                <w:color w:val="auto"/>
              </w:rPr>
              <w:t>Net increase in cash and restricted cash</w:t>
            </w:r>
          </w:p>
        </w:tc>
        <w:tc>
          <w:tcPr>
            <w:tcW w:w="640" w:type="dxa"/>
            <w:vAlign w:val="bottom"/>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15,835</w:t>
            </w:r>
          </w:p>
        </w:tc>
        <w:tc>
          <w:tcPr>
            <w:tcW w:w="220" w:type="dxa"/>
            <w:vAlign w:val="bottom"/>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5,222</w:t>
            </w:r>
          </w:p>
        </w:tc>
      </w:tr>
      <w:tr>
        <w:trPr>
          <w:trHeight w:val="33"/>
        </w:trPr>
        <w:tc>
          <w:tcPr>
            <w:tcW w:w="5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restricted cash at beginning of period</w:t>
            </w:r>
          </w:p>
        </w:tc>
        <w:tc>
          <w:tcPr>
            <w:tcW w:w="6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5,222</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84"/>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restricted cash at end of period</w:t>
            </w: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21,057</w:t>
            </w: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5,222</w:t>
            </w:r>
          </w:p>
        </w:tc>
      </w:tr>
      <w:tr>
        <w:trPr>
          <w:trHeight w:val="237"/>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Supplemental disclosures:</w:t>
            </w:r>
          </w:p>
        </w:tc>
        <w:tc>
          <w:tcPr>
            <w:tcW w:w="6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37"/>
        </w:trPr>
        <w:tc>
          <w:tcPr>
            <w:tcW w:w="5040" w:type="dxa"/>
            <w:vAlign w:val="bottom"/>
          </w:tcPr>
          <w:p>
            <w:pPr>
              <w:ind w:left="180"/>
              <w:spacing w:after="0"/>
              <w:rPr>
                <w:sz w:val="20"/>
                <w:szCs w:val="20"/>
                <w:color w:val="auto"/>
              </w:rPr>
            </w:pPr>
            <w:r>
              <w:rPr>
                <w:rFonts w:ascii="Arial" w:cs="Arial" w:eastAsia="Arial" w:hAnsi="Arial"/>
                <w:sz w:val="16"/>
                <w:szCs w:val="16"/>
                <w:color w:val="auto"/>
              </w:rPr>
              <w:t>Interest paid</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2,703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5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paid by affiliate</w:t>
            </w:r>
          </w:p>
        </w:tc>
        <w:tc>
          <w:tcPr>
            <w:tcW w:w="6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513</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239</w:t>
            </w:r>
          </w:p>
        </w:tc>
      </w:tr>
      <w:tr>
        <w:trPr>
          <w:trHeight w:val="237"/>
        </w:trPr>
        <w:tc>
          <w:tcPr>
            <w:tcW w:w="5040" w:type="dxa"/>
            <w:vAlign w:val="bottom"/>
          </w:tcPr>
          <w:p>
            <w:pPr>
              <w:ind w:left="180"/>
              <w:spacing w:after="0"/>
              <w:rPr>
                <w:sz w:val="20"/>
                <w:szCs w:val="20"/>
                <w:color w:val="auto"/>
              </w:rPr>
            </w:pPr>
            <w:r>
              <w:rPr>
                <w:rFonts w:ascii="Arial" w:cs="Arial" w:eastAsia="Arial" w:hAnsi="Arial"/>
                <w:sz w:val="16"/>
                <w:szCs w:val="16"/>
                <w:color w:val="auto"/>
              </w:rPr>
              <w:t>Non-cash investing and financing activities:</w:t>
            </w:r>
          </w:p>
        </w:tc>
        <w:tc>
          <w:tcPr>
            <w:tcW w:w="6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
        </w:trPr>
        <w:tc>
          <w:tcPr>
            <w:tcW w:w="5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Increase to fixed assets for capitalized asset retirement costs</w:t>
            </w:r>
          </w:p>
        </w:tc>
        <w:tc>
          <w:tcPr>
            <w:tcW w:w="6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887</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899</w:t>
            </w:r>
          </w:p>
        </w:tc>
      </w:tr>
      <w:tr>
        <w:trPr>
          <w:trHeight w:val="237"/>
        </w:trPr>
        <w:tc>
          <w:tcPr>
            <w:tcW w:w="5040" w:type="dxa"/>
            <w:vAlign w:val="bottom"/>
          </w:tcPr>
          <w:p>
            <w:pPr>
              <w:ind w:left="400"/>
              <w:spacing w:after="0"/>
              <w:rPr>
                <w:sz w:val="20"/>
                <w:szCs w:val="20"/>
                <w:color w:val="auto"/>
              </w:rPr>
            </w:pPr>
            <w:r>
              <w:rPr>
                <w:rFonts w:ascii="Arial" w:cs="Arial" w:eastAsia="Arial" w:hAnsi="Arial"/>
                <w:sz w:val="16"/>
                <w:szCs w:val="16"/>
                <w:color w:val="auto"/>
              </w:rPr>
              <w:t>Reduction to fixed assets for accrued government incentives</w:t>
            </w:r>
          </w:p>
        </w:tc>
        <w:tc>
          <w:tcPr>
            <w:tcW w:w="6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(997)</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5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Additions to fixed assets for accrued capital expenditures</w:t>
            </w:r>
          </w:p>
        </w:tc>
        <w:tc>
          <w:tcPr>
            <w:tcW w:w="6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8,820</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5040" w:type="dxa"/>
            <w:vAlign w:val="bottom"/>
          </w:tcPr>
          <w:p>
            <w:pPr>
              <w:ind w:left="400"/>
              <w:spacing w:after="0"/>
              <w:rPr>
                <w:sz w:val="20"/>
                <w:szCs w:val="20"/>
                <w:color w:val="auto"/>
              </w:rPr>
            </w:pPr>
            <w:r>
              <w:rPr>
                <w:rFonts w:ascii="Arial" w:cs="Arial" w:eastAsia="Arial" w:hAnsi="Arial"/>
                <w:sz w:val="16"/>
                <w:szCs w:val="16"/>
                <w:color w:val="auto"/>
              </w:rPr>
              <w:t>Debt issuance costs incurred not paid</w:t>
            </w:r>
          </w:p>
        </w:tc>
        <w:tc>
          <w:tcPr>
            <w:tcW w:w="6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306</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4,925</w:t>
            </w:r>
          </w:p>
        </w:tc>
      </w:tr>
      <w:tr>
        <w:trPr>
          <w:trHeight w:val="33"/>
        </w:trPr>
        <w:tc>
          <w:tcPr>
            <w:tcW w:w="5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Non-cash contributions</w:t>
            </w:r>
          </w:p>
        </w:tc>
        <w:tc>
          <w:tcPr>
            <w:tcW w:w="6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6,645</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5040" w:type="dxa"/>
            <w:vAlign w:val="bottom"/>
          </w:tcPr>
          <w:p>
            <w:pPr>
              <w:ind w:left="400"/>
              <w:spacing w:after="0"/>
              <w:rPr>
                <w:sz w:val="20"/>
                <w:szCs w:val="20"/>
                <w:color w:val="auto"/>
              </w:rPr>
            </w:pPr>
            <w:r>
              <w:rPr>
                <w:rFonts w:ascii="Arial" w:cs="Arial" w:eastAsia="Arial" w:hAnsi="Arial"/>
                <w:sz w:val="16"/>
                <w:szCs w:val="16"/>
                <w:color w:val="auto"/>
              </w:rPr>
              <w:t>Non-cash distribution – developer fee on fixed assets</w:t>
            </w:r>
          </w:p>
        </w:tc>
        <w:tc>
          <w:tcPr>
            <w:tcW w:w="6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(8,678)</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(61,663)</w:t>
            </w:r>
          </w:p>
        </w:tc>
      </w:tr>
      <w:tr>
        <w:trPr>
          <w:trHeight w:val="33"/>
        </w:trPr>
        <w:tc>
          <w:tcPr>
            <w:tcW w:w="5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Accounts payable – affiliate for capital expenditures</w:t>
            </w:r>
          </w:p>
        </w:tc>
        <w:tc>
          <w:tcPr>
            <w:tcW w:w="6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(82,653)</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88,427</w:t>
            </w:r>
          </w:p>
        </w:tc>
      </w:tr>
      <w:tr>
        <w:trPr>
          <w:trHeight w:val="237"/>
        </w:trPr>
        <w:tc>
          <w:tcPr>
            <w:tcW w:w="5040" w:type="dxa"/>
            <w:vAlign w:val="bottom"/>
          </w:tcPr>
          <w:p>
            <w:pPr>
              <w:ind w:left="20"/>
              <w:spacing w:after="0"/>
              <w:rPr>
                <w:sz w:val="20"/>
                <w:szCs w:val="20"/>
                <w:color w:val="auto"/>
              </w:rPr>
            </w:pPr>
            <w:r>
              <w:rPr>
                <w:rFonts w:ascii="Arial" w:cs="Arial" w:eastAsia="Arial" w:hAnsi="Arial"/>
                <w:sz w:val="16"/>
                <w:szCs w:val="16"/>
                <w:color w:val="auto"/>
              </w:rPr>
              <w:t>See accompanying notes to consolidated financial statements.</w:t>
            </w:r>
          </w:p>
        </w:tc>
        <w:tc>
          <w:tcPr>
            <w:tcW w:w="6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0"/>
        </w:trPr>
        <w:tc>
          <w:tcPr>
            <w:tcW w:w="5040" w:type="dxa"/>
            <w:vAlign w:val="bottom"/>
          </w:tcPr>
          <w:p>
            <w:pPr>
              <w:ind w:left="20"/>
              <w:spacing w:after="0"/>
              <w:rPr>
                <w:sz w:val="20"/>
                <w:szCs w:val="20"/>
                <w:color w:val="auto"/>
              </w:rPr>
            </w:pPr>
            <w:r>
              <w:rPr>
                <w:rFonts w:ascii="Arial" w:cs="Arial" w:eastAsia="Arial" w:hAnsi="Arial"/>
                <w:sz w:val="16"/>
                <w:szCs w:val="16"/>
                <w:color w:val="auto"/>
              </w:rPr>
              <w:t>*Not covered by the report included herein.</w:t>
            </w:r>
          </w:p>
        </w:tc>
        <w:tc>
          <w:tcPr>
            <w:tcW w:w="6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r>
    </w:tbl>
    <w:p>
      <w:pPr>
        <w:spacing w:after="0" w:line="200" w:lineRule="exact"/>
        <w:rPr>
          <w:sz w:val="20"/>
          <w:szCs w:val="20"/>
          <w:color w:val="auto"/>
        </w:rPr>
      </w:pPr>
    </w:p>
    <w:p>
      <w:pPr>
        <w:sectPr>
          <w:pgSz w:w="11900" w:h="16838" w:orient="portrait"/>
          <w:cols w:equalWidth="0" w:num="1">
            <w:col w:w="9019"/>
          </w:cols>
          <w:pgMar w:left="1440" w:top="738" w:right="1440" w:bottom="354" w:gutter="0" w:footer="0" w:header="0"/>
        </w:sect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9019"/>
          </w:cols>
          <w:pgMar w:left="1440" w:top="738" w:right="1440" w:bottom="354" w:gutter="0" w:footer="0" w:header="0"/>
          <w:type w:val="continuous"/>
        </w:sectPr>
      </w:pPr>
    </w:p>
    <w:bookmarkStart w:id="21" w:name="page22"/>
    <w:bookmarkEnd w:id="21"/>
    <w:p>
      <w:pPr>
        <w:jc w:val="center"/>
        <w:ind w:left="500"/>
        <w:spacing w:after="0"/>
        <w:rPr>
          <w:sz w:val="20"/>
          <w:szCs w:val="20"/>
          <w:color w:val="auto"/>
        </w:rPr>
      </w:pPr>
      <w:r>
        <w:rPr>
          <w:rFonts w:ascii="Arial" w:cs="Arial" w:eastAsia="Arial" w:hAnsi="Arial"/>
          <w:sz w:val="20"/>
          <w:szCs w:val="20"/>
          <w:b w:val="1"/>
          <w:bCs w:val="1"/>
          <w:color w:val="auto"/>
        </w:rPr>
        <w:t>DGPV HOLDCO 3 LLC AND SUBSIDIARIES</w:t>
      </w:r>
    </w:p>
    <w:p>
      <w:pPr>
        <w:spacing w:after="0" w:line="60" w:lineRule="exact"/>
        <w:rPr>
          <w:sz w:val="20"/>
          <w:szCs w:val="20"/>
          <w:color w:val="auto"/>
        </w:rPr>
      </w:pPr>
    </w:p>
    <w:p>
      <w:pPr>
        <w:jc w:val="center"/>
        <w:ind w:left="500"/>
        <w:spacing w:after="0"/>
        <w:rPr>
          <w:sz w:val="20"/>
          <w:szCs w:val="20"/>
          <w:color w:val="auto"/>
        </w:rPr>
      </w:pPr>
      <w:r>
        <w:rPr>
          <w:rFonts w:ascii="Arial" w:cs="Arial" w:eastAsia="Arial" w:hAnsi="Arial"/>
          <w:sz w:val="20"/>
          <w:szCs w:val="20"/>
          <w:color w:val="auto"/>
        </w:rPr>
        <w:t>Notes to Consolidated Financial Statements</w:t>
      </w:r>
    </w:p>
    <w:p>
      <w:pPr>
        <w:spacing w:after="0" w:line="54" w:lineRule="exact"/>
        <w:rPr>
          <w:sz w:val="20"/>
          <w:szCs w:val="20"/>
          <w:color w:val="auto"/>
        </w:rPr>
      </w:pPr>
    </w:p>
    <w:p>
      <w:pPr>
        <w:jc w:val="center"/>
        <w:ind w:left="500"/>
        <w:spacing w:after="0"/>
        <w:rPr>
          <w:sz w:val="20"/>
          <w:szCs w:val="20"/>
          <w:color w:val="auto"/>
        </w:rPr>
      </w:pPr>
      <w:r>
        <w:rPr>
          <w:rFonts w:ascii="Arial" w:cs="Arial" w:eastAsia="Arial" w:hAnsi="Arial"/>
          <w:sz w:val="20"/>
          <w:szCs w:val="20"/>
          <w:color w:val="auto"/>
        </w:rPr>
        <w:t>(Amounts as of and for the period ending December 31, 2017 are not covered by the report included herein)</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12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DGPV Holdco 3, LLC, or the Company, a Delaware limited liability company, is a partnership between Clearway Renew DG Holdings, LLC, a subsidiary of Clearway Renew LLC, and DGPV Holding LLC, a subsidiary of Clearway Energy Operating LLC. Clearway Renew LLC is a wholly owned subsidiary of Clearway Energy Group LLC, or Clearway Energy Group, which is a wholly owned subsidiary of Global Infrastructure Partners III, or GIP. Clearway Energy Operating LLC is a wholly owned subsidiary of Clearway Energy LLC, which is a partnership between Clearway Energy, Inc. and Clearway Energy Group.</w:t>
      </w:r>
    </w:p>
    <w:p>
      <w:pPr>
        <w:spacing w:after="0" w:line="80"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On August 31, 2018, NRG Energy, Inc., or NRG, transferred its full ownership interest in Clearway Energy, Inc. to Clearway Energy Group, and subsequently sold 100% of its interest in Clearway Energy Group to GIP, including its interests in the Company, referred to as the GIP Transaction. The GIP Transaction did not impact the Company’s direct ownership structure.</w:t>
      </w:r>
    </w:p>
    <w:p>
      <w:pPr>
        <w:spacing w:after="0" w:line="7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The Company was formed on April 26, 2017 as a partnership to facilitate investment in an operating portfolio of distributed solar assets, primarily comprised of community solar projects and commercial distributed solar projects developed by Clearway Energy Group. The Company owns an interest in two portfolios of solar projects that participate in tax equity arrangements with tax equity investors, through its wholly owned subsidiaries, Chestnut Borrower, LLC, or Chestnut Borrower, and Renew Solar CS4 Borrower LLC, or CS4 Borrower. See Note 3, </w:t>
      </w:r>
      <w:r>
        <w:rPr>
          <w:rFonts w:ascii="Arial" w:cs="Arial" w:eastAsia="Arial" w:hAnsi="Arial"/>
          <w:sz w:val="17"/>
          <w:szCs w:val="17"/>
          <w:i w:val="1"/>
          <w:iCs w:val="1"/>
          <w:color w:val="auto"/>
        </w:rPr>
        <w:t>Tax Equity Arrangements,</w:t>
      </w:r>
      <w:r>
        <w:rPr>
          <w:rFonts w:ascii="Arial" w:cs="Arial" w:eastAsia="Arial" w:hAnsi="Arial"/>
          <w:sz w:val="17"/>
          <w:szCs w:val="17"/>
          <w:color w:val="auto"/>
        </w:rPr>
        <w:t xml:space="preserve"> for a more detailed description of each tax equity arrangement. Each of the portfolios owns, operates and maintains solar energy systems that sell power to customers through long-term power purchase agreements, or PPAs. The commercial distributed solar projects sell power to a single commercial offtaker and the community solar projects sell power to a group of offtakers in one location.</w:t>
      </w:r>
    </w:p>
    <w:p>
      <w:pPr>
        <w:spacing w:after="0" w:line="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Company is governed by an Amended and Restated Operating Agreement, or Operating Agreement. On September 26, 2017, the Operating Agreement was amended to add Clearway DGPV Holding LLC, or DGPV Holding, as the Class A Member. Under the Operating Agreement, Clearway Renew DG Holdings, LLC, or Renew DG Holdings, is the Class B Member and the Manager of the Company. As Manager, Renew DG Holdings conducts and directs all operating activities of the Company. Contributions are made to the Company pursuant to requests made by the Manager on behalf of a fund company and calculated using specific modeling guidelines outlined in the Operating Agreement.</w:t>
      </w:r>
    </w:p>
    <w:p>
      <w:pPr>
        <w:spacing w:after="0" w:line="6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Contributions by DGPV Holding are calculated to equal an amount that enables DGPV Holding to achieve an annual yield based on available cash flow of 9.0% on average over the first ten years. Contributions by Renew DG Holdings are calculated based on the purchase price of a project less the relevant contribution from the Fund's tax equity partner and the contribution from DGPV Holding. Pursuant to the Operating Agreement, all tax basis income, gain, loss, deduction and credit, as well as all cash available for distribution, of the Company are allocated at 1% and 99% to the Class B Member and Class A Member,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Chestnut Fund</w:t>
      </w:r>
    </w:p>
    <w:p>
      <w:pPr>
        <w:spacing w:after="0" w:line="12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The Company's wholly owned subsidiary, Chestnut Borrower, was formed on April 26, 2017 for the purpose of acting as a borrower of term loans for the Chestnut Fund, as described in note 6, </w:t>
      </w:r>
      <w:r>
        <w:rPr>
          <w:rFonts w:ascii="Arial" w:cs="Arial" w:eastAsia="Arial" w:hAnsi="Arial"/>
          <w:sz w:val="18"/>
          <w:szCs w:val="18"/>
          <w:i w:val="1"/>
          <w:iCs w:val="1"/>
          <w:color w:val="auto"/>
        </w:rPr>
        <w:t>Long-Term Debt</w:t>
      </w:r>
      <w:r>
        <w:rPr>
          <w:rFonts w:ascii="Arial" w:cs="Arial" w:eastAsia="Arial" w:hAnsi="Arial"/>
          <w:sz w:val="18"/>
          <w:szCs w:val="18"/>
          <w:color w:val="auto"/>
        </w:rPr>
        <w:t>, and Chestnut Borrower owns a 100% of Chestnut Class B LLC, the Class B Member of the Clearway Chestnut Fund LLC, or Chestnut Fund, tax equity arrangement. Chestnut Class B LLC, or Chestnut Class B, is the Managing Member of Chestnut Fund and conducts and directs all operating activities of the fund. The Class A Member of Chestnut Fund, or Investor Member, is Firstar Development, LLC, or Firstar, an affiliate of U.S. Bancorp.</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0" w:right="239" w:bottom="1440" w:gutter="0" w:footer="0" w:header="0"/>
        </w:sectPr>
      </w:pPr>
    </w:p>
    <w:bookmarkStart w:id="22" w:name="page23"/>
    <w:bookmarkEnd w:id="22"/>
    <w:p>
      <w:pPr>
        <w:ind w:left="660"/>
        <w:spacing w:after="0"/>
        <w:rPr>
          <w:sz w:val="20"/>
          <w:szCs w:val="20"/>
          <w:color w:val="auto"/>
        </w:rPr>
      </w:pPr>
      <w:r>
        <w:rPr>
          <w:rFonts w:ascii="Arial" w:cs="Arial" w:eastAsia="Arial" w:hAnsi="Arial"/>
          <w:sz w:val="18"/>
          <w:szCs w:val="18"/>
          <w:color w:val="auto"/>
        </w:rPr>
        <w:t>Chestnut Fund's 100% owned subsidiaries and related solar facilities are listed below:</w:t>
      </w:r>
    </w:p>
    <w:p>
      <w:pPr>
        <w:spacing w:after="0" w:line="272"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9"/>
              </w:rPr>
              <w:t>Facility</w:t>
            </w:r>
          </w:p>
        </w:tc>
        <w:tc>
          <w:tcPr>
            <w:tcW w:w="120" w:type="dxa"/>
            <w:vAlign w:val="bottom"/>
          </w:tcPr>
          <w:p>
            <w:pPr>
              <w:spacing w:after="0"/>
              <w:rPr>
                <w:sz w:val="14"/>
                <w:szCs w:val="14"/>
                <w:color w:val="auto"/>
              </w:rPr>
            </w:pPr>
          </w:p>
        </w:tc>
        <w:tc>
          <w:tcPr>
            <w:tcW w:w="12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Commercial</w:t>
            </w: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PPA term</w:t>
            </w:r>
          </w:p>
        </w:tc>
        <w:tc>
          <w:tcPr>
            <w:tcW w:w="0" w:type="dxa"/>
            <w:vAlign w:val="bottom"/>
          </w:tcPr>
          <w:p>
            <w:pPr>
              <w:spacing w:after="0"/>
              <w:rPr>
                <w:sz w:val="1"/>
                <w:szCs w:val="1"/>
                <w:color w:val="auto"/>
              </w:rPr>
            </w:pPr>
          </w:p>
        </w:tc>
      </w:tr>
      <w:tr>
        <w:trPr>
          <w:trHeight w:val="149"/>
        </w:trPr>
        <w:tc>
          <w:tcPr>
            <w:tcW w:w="194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Project company</w:t>
            </w:r>
          </w:p>
        </w:tc>
        <w:tc>
          <w:tcPr>
            <w:tcW w:w="120" w:type="dxa"/>
            <w:vAlign w:val="bottom"/>
            <w:vMerge w:val="restart"/>
          </w:tcPr>
          <w:p>
            <w:pPr>
              <w:spacing w:after="0"/>
              <w:rPr>
                <w:sz w:val="12"/>
                <w:szCs w:val="12"/>
                <w:color w:val="auto"/>
              </w:rPr>
            </w:pP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Facility</w:t>
            </w:r>
          </w:p>
        </w:tc>
        <w:tc>
          <w:tcPr>
            <w:tcW w:w="120" w:type="dxa"/>
            <w:vAlign w:val="bottom"/>
            <w:vMerge w:val="restart"/>
          </w:tcPr>
          <w:p>
            <w:pPr>
              <w:spacing w:after="0"/>
              <w:rPr>
                <w:sz w:val="12"/>
                <w:szCs w:val="12"/>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Type</w:t>
            </w:r>
          </w:p>
        </w:tc>
        <w:tc>
          <w:tcPr>
            <w:tcW w:w="120" w:type="dxa"/>
            <w:vAlign w:val="bottom"/>
            <w:vMerge w:val="restart"/>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Location</w:t>
            </w:r>
          </w:p>
        </w:tc>
        <w:tc>
          <w:tcPr>
            <w:tcW w:w="100" w:type="dxa"/>
            <w:vAlign w:val="bottom"/>
            <w:vMerge w:val="restart"/>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capacity</w:t>
            </w: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82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PPA offtaker</w:t>
            </w:r>
          </w:p>
        </w:tc>
        <w:tc>
          <w:tcPr>
            <w:tcW w:w="100" w:type="dxa"/>
            <w:vAlign w:val="bottom"/>
            <w:vMerge w:val="restart"/>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(kWdc)</w:t>
            </w: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operations date</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 years</w:t>
            </w:r>
          </w:p>
        </w:tc>
        <w:tc>
          <w:tcPr>
            <w:tcW w:w="0" w:type="dxa"/>
            <w:vAlign w:val="bottom"/>
          </w:tcPr>
          <w:p>
            <w:pPr>
              <w:spacing w:after="0"/>
              <w:rPr>
                <w:sz w:val="1"/>
                <w:szCs w:val="1"/>
                <w:color w:val="auto"/>
              </w:rPr>
            </w:pPr>
          </w:p>
        </w:tc>
      </w:tr>
      <w:tr>
        <w:trPr>
          <w:trHeight w:val="256"/>
        </w:trPr>
        <w:tc>
          <w:tcPr>
            <w:tcW w:w="2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Black Cat Road Solar, LLC</w:t>
            </w:r>
          </w:p>
        </w:tc>
        <w:tc>
          <w:tcPr>
            <w:tcW w:w="174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4"/>
              </w:rPr>
              <w:t>77 Black Cat Rd</w:t>
            </w:r>
          </w:p>
        </w:tc>
        <w:tc>
          <w:tcPr>
            <w:tcW w:w="110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5"/>
              </w:rPr>
              <w:t>Community</w:t>
            </w:r>
          </w:p>
        </w:tc>
        <w:tc>
          <w:tcPr>
            <w:tcW w:w="9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MA</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1,321</w:t>
            </w:r>
          </w:p>
        </w:tc>
        <w:tc>
          <w:tcPr>
            <w:tcW w:w="128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1"/>
              </w:rPr>
              <w:t>08/30/17</w:t>
            </w:r>
          </w:p>
        </w:tc>
        <w:tc>
          <w:tcPr>
            <w:tcW w:w="120" w:type="dxa"/>
            <w:vAlign w:val="bottom"/>
            <w:shd w:val="clear" w:color="auto" w:fill="CCEEFF"/>
          </w:tcPr>
          <w:p>
            <w:pPr>
              <w:spacing w:after="0"/>
              <w:rPr>
                <w:sz w:val="22"/>
                <w:szCs w:val="22"/>
                <w:color w:val="auto"/>
              </w:rPr>
            </w:pP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xml:space="preserve">Ahold USA/Various </w:t>
            </w:r>
            <w:r>
              <w:rPr>
                <w:rFonts w:ascii="Arial" w:cs="Arial" w:eastAsia="Arial" w:hAnsi="Arial"/>
                <w:sz w:val="12"/>
                <w:szCs w:val="12"/>
                <w:color w:val="auto"/>
              </w:rPr>
              <w:t>(a)</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w:t>
            </w:r>
          </w:p>
        </w:tc>
        <w:tc>
          <w:tcPr>
            <w:tcW w:w="0" w:type="dxa"/>
            <w:vAlign w:val="bottom"/>
          </w:tcPr>
          <w:p>
            <w:pPr>
              <w:spacing w:after="0"/>
              <w:rPr>
                <w:sz w:val="1"/>
                <w:szCs w:val="1"/>
                <w:color w:val="auto"/>
              </w:rPr>
            </w:pPr>
          </w:p>
        </w:tc>
      </w:tr>
      <w:tr>
        <w:trPr>
          <w:trHeight w:val="264"/>
        </w:trPr>
        <w:tc>
          <w:tcPr>
            <w:tcW w:w="2060" w:type="dxa"/>
            <w:vAlign w:val="bottom"/>
            <w:gridSpan w:val="2"/>
          </w:tcPr>
          <w:p>
            <w:pPr>
              <w:ind w:left="20"/>
              <w:spacing w:after="0"/>
              <w:rPr>
                <w:sz w:val="20"/>
                <w:szCs w:val="20"/>
                <w:color w:val="auto"/>
              </w:rPr>
            </w:pPr>
            <w:r>
              <w:rPr>
                <w:rFonts w:ascii="Arial" w:cs="Arial" w:eastAsia="Arial" w:hAnsi="Arial"/>
                <w:sz w:val="14"/>
                <w:szCs w:val="14"/>
                <w:color w:val="auto"/>
              </w:rPr>
              <w:t>Brook St Solar 1, LLC</w:t>
            </w:r>
          </w:p>
        </w:tc>
        <w:tc>
          <w:tcPr>
            <w:tcW w:w="1740" w:type="dxa"/>
            <w:vAlign w:val="bottom"/>
            <w:gridSpan w:val="2"/>
          </w:tcPr>
          <w:p>
            <w:pPr>
              <w:jc w:val="center"/>
              <w:ind w:right="140"/>
              <w:spacing w:after="0"/>
              <w:rPr>
                <w:sz w:val="20"/>
                <w:szCs w:val="20"/>
                <w:color w:val="auto"/>
              </w:rPr>
            </w:pPr>
            <w:r>
              <w:rPr>
                <w:rFonts w:ascii="Arial" w:cs="Arial" w:eastAsia="Arial" w:hAnsi="Arial"/>
                <w:sz w:val="14"/>
                <w:szCs w:val="14"/>
                <w:color w:val="auto"/>
                <w:w w:val="98"/>
              </w:rPr>
              <w:t>134 Brook St A, B &amp; C</w:t>
            </w: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color w:val="auto"/>
                <w:w w:val="95"/>
              </w:rPr>
              <w:t>Community</w:t>
            </w:r>
          </w:p>
        </w:tc>
        <w:tc>
          <w:tcPr>
            <w:tcW w:w="960" w:type="dxa"/>
            <w:vAlign w:val="bottom"/>
            <w:gridSpan w:val="2"/>
          </w:tcPr>
          <w:p>
            <w:pPr>
              <w:jc w:val="center"/>
              <w:ind w:right="120"/>
              <w:spacing w:after="0"/>
              <w:rPr>
                <w:sz w:val="20"/>
                <w:szCs w:val="20"/>
                <w:color w:val="auto"/>
              </w:rPr>
            </w:pPr>
            <w:r>
              <w:rPr>
                <w:rFonts w:ascii="Arial" w:cs="Arial" w:eastAsia="Arial" w:hAnsi="Arial"/>
                <w:sz w:val="14"/>
                <w:szCs w:val="14"/>
                <w:color w:val="auto"/>
              </w:rPr>
              <w:t>MA</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6,480</w:t>
            </w:r>
          </w:p>
        </w:tc>
        <w:tc>
          <w:tcPr>
            <w:tcW w:w="1280" w:type="dxa"/>
            <w:vAlign w:val="bottom"/>
            <w:gridSpan w:val="2"/>
          </w:tcPr>
          <w:p>
            <w:pPr>
              <w:jc w:val="center"/>
              <w:ind w:left="28"/>
              <w:spacing w:after="0"/>
              <w:rPr>
                <w:sz w:val="20"/>
                <w:szCs w:val="20"/>
                <w:color w:val="auto"/>
              </w:rPr>
            </w:pPr>
            <w:r>
              <w:rPr>
                <w:rFonts w:ascii="Arial" w:cs="Arial" w:eastAsia="Arial" w:hAnsi="Arial"/>
                <w:sz w:val="14"/>
                <w:szCs w:val="14"/>
                <w:color w:val="auto"/>
                <w:w w:val="91"/>
              </w:rPr>
              <w:t>09/06/17</w:t>
            </w:r>
          </w:p>
        </w:tc>
        <w:tc>
          <w:tcPr>
            <w:tcW w:w="120" w:type="dxa"/>
            <w:vAlign w:val="bottom"/>
          </w:tcPr>
          <w:p>
            <w:pPr>
              <w:spacing w:after="0"/>
              <w:rPr>
                <w:sz w:val="22"/>
                <w:szCs w:val="22"/>
                <w:color w:val="auto"/>
              </w:rPr>
            </w:pPr>
          </w:p>
        </w:tc>
        <w:tc>
          <w:tcPr>
            <w:tcW w:w="1920" w:type="dxa"/>
            <w:vAlign w:val="bottom"/>
            <w:gridSpan w:val="2"/>
          </w:tcPr>
          <w:p>
            <w:pPr>
              <w:ind w:left="20"/>
              <w:spacing w:after="0"/>
              <w:rPr>
                <w:sz w:val="20"/>
                <w:szCs w:val="20"/>
                <w:color w:val="auto"/>
              </w:rPr>
            </w:pPr>
            <w:r>
              <w:rPr>
                <w:rFonts w:ascii="Arial" w:cs="Arial" w:eastAsia="Arial" w:hAnsi="Arial"/>
                <w:sz w:val="14"/>
                <w:szCs w:val="14"/>
                <w:color w:val="auto"/>
              </w:rPr>
              <w:t xml:space="preserve">Target Ahold USA/Various </w:t>
            </w:r>
            <w:r>
              <w:rPr>
                <w:rFonts w:ascii="Arial" w:cs="Arial" w:eastAsia="Arial" w:hAnsi="Arial"/>
                <w:sz w:val="12"/>
                <w:szCs w:val="12"/>
                <w:color w:val="auto"/>
              </w:rPr>
              <w:t>(a)</w:t>
            </w:r>
          </w:p>
        </w:tc>
        <w:tc>
          <w:tcPr>
            <w:tcW w:w="740" w:type="dxa"/>
            <w:vAlign w:val="bottom"/>
          </w:tcPr>
          <w:p>
            <w:pPr>
              <w:jc w:val="center"/>
              <w:spacing w:after="0"/>
              <w:rPr>
                <w:sz w:val="20"/>
                <w:szCs w:val="20"/>
                <w:color w:val="auto"/>
              </w:rPr>
            </w:pPr>
            <w:r>
              <w:rPr>
                <w:rFonts w:ascii="Arial" w:cs="Arial" w:eastAsia="Arial" w:hAnsi="Arial"/>
                <w:sz w:val="14"/>
                <w:szCs w:val="14"/>
                <w:color w:val="auto"/>
                <w:w w:val="96"/>
              </w:rPr>
              <w:t>15 20</w:t>
            </w:r>
          </w:p>
        </w:tc>
        <w:tc>
          <w:tcPr>
            <w:tcW w:w="0" w:type="dxa"/>
            <w:vAlign w:val="bottom"/>
          </w:tcPr>
          <w:p>
            <w:pPr>
              <w:spacing w:after="0"/>
              <w:rPr>
                <w:sz w:val="1"/>
                <w:szCs w:val="1"/>
                <w:color w:val="auto"/>
              </w:rPr>
            </w:pPr>
          </w:p>
        </w:tc>
      </w:tr>
      <w:tr>
        <w:trPr>
          <w:trHeight w:val="276"/>
        </w:trPr>
        <w:tc>
          <w:tcPr>
            <w:tcW w:w="2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Solar Mule, LLC</w:t>
            </w:r>
          </w:p>
        </w:tc>
        <w:tc>
          <w:tcPr>
            <w:tcW w:w="174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6"/>
              </w:rPr>
              <w:t>Colby College</w:t>
            </w:r>
          </w:p>
        </w:tc>
        <w:tc>
          <w:tcPr>
            <w:tcW w:w="110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6"/>
              </w:rPr>
              <w:t>Commercial</w:t>
            </w:r>
          </w:p>
        </w:tc>
        <w:tc>
          <w:tcPr>
            <w:tcW w:w="9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5"/>
              </w:rPr>
              <w:t>ME</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1,811</w:t>
            </w:r>
          </w:p>
        </w:tc>
        <w:tc>
          <w:tcPr>
            <w:tcW w:w="128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1"/>
              </w:rPr>
              <w:t>09/18/17</w:t>
            </w:r>
          </w:p>
        </w:tc>
        <w:tc>
          <w:tcPr>
            <w:tcW w:w="120" w:type="dxa"/>
            <w:vAlign w:val="bottom"/>
            <w:shd w:val="clear" w:color="auto" w:fill="CCEEFF"/>
          </w:tcPr>
          <w:p>
            <w:pPr>
              <w:spacing w:after="0"/>
              <w:rPr>
                <w:sz w:val="24"/>
                <w:szCs w:val="24"/>
                <w:color w:val="auto"/>
              </w:rPr>
            </w:pP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Colby College</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 xml:space="preserve">27 </w:t>
            </w:r>
            <w:r>
              <w:rPr>
                <w:rFonts w:ascii="Arial" w:cs="Arial" w:eastAsia="Arial" w:hAnsi="Arial"/>
                <w:sz w:val="12"/>
                <w:szCs w:val="12"/>
                <w:color w:val="auto"/>
                <w:w w:val="99"/>
              </w:rPr>
              <w:t>(b)</w:t>
            </w:r>
          </w:p>
        </w:tc>
        <w:tc>
          <w:tcPr>
            <w:tcW w:w="0" w:type="dxa"/>
            <w:vAlign w:val="bottom"/>
          </w:tcPr>
          <w:p>
            <w:pPr>
              <w:spacing w:after="0"/>
              <w:rPr>
                <w:sz w:val="1"/>
                <w:szCs w:val="1"/>
                <w:color w:val="auto"/>
              </w:rPr>
            </w:pPr>
          </w:p>
        </w:tc>
      </w:tr>
      <w:tr>
        <w:trPr>
          <w:trHeight w:val="264"/>
        </w:trPr>
        <w:tc>
          <w:tcPr>
            <w:tcW w:w="2060" w:type="dxa"/>
            <w:vAlign w:val="bottom"/>
            <w:gridSpan w:val="2"/>
          </w:tcPr>
          <w:p>
            <w:pPr>
              <w:ind w:left="20"/>
              <w:spacing w:after="0"/>
              <w:rPr>
                <w:sz w:val="20"/>
                <w:szCs w:val="20"/>
                <w:color w:val="auto"/>
              </w:rPr>
            </w:pPr>
            <w:r>
              <w:rPr>
                <w:rFonts w:ascii="Arial" w:cs="Arial" w:eastAsia="Arial" w:hAnsi="Arial"/>
                <w:sz w:val="14"/>
                <w:szCs w:val="14"/>
                <w:color w:val="auto"/>
              </w:rPr>
              <w:t>Big Lake Holdco LLC</w:t>
            </w:r>
          </w:p>
        </w:tc>
        <w:tc>
          <w:tcPr>
            <w:tcW w:w="1740" w:type="dxa"/>
            <w:vAlign w:val="bottom"/>
            <w:gridSpan w:val="2"/>
          </w:tcPr>
          <w:p>
            <w:pPr>
              <w:jc w:val="center"/>
              <w:ind w:right="140"/>
              <w:spacing w:after="0"/>
              <w:rPr>
                <w:sz w:val="20"/>
                <w:szCs w:val="20"/>
                <w:color w:val="auto"/>
              </w:rPr>
            </w:pPr>
            <w:r>
              <w:rPr>
                <w:rFonts w:ascii="Arial" w:cs="Arial" w:eastAsia="Arial" w:hAnsi="Arial"/>
                <w:sz w:val="14"/>
                <w:szCs w:val="14"/>
                <w:color w:val="auto"/>
                <w:w w:val="95"/>
              </w:rPr>
              <w:t>Big Lake</w:t>
            </w: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color w:val="auto"/>
                <w:w w:val="95"/>
              </w:rPr>
              <w:t>Community</w:t>
            </w:r>
          </w:p>
        </w:tc>
        <w:tc>
          <w:tcPr>
            <w:tcW w:w="960" w:type="dxa"/>
            <w:vAlign w:val="bottom"/>
            <w:gridSpan w:val="2"/>
          </w:tcPr>
          <w:p>
            <w:pPr>
              <w:jc w:val="center"/>
              <w:ind w:right="120"/>
              <w:spacing w:after="0"/>
              <w:rPr>
                <w:sz w:val="20"/>
                <w:szCs w:val="20"/>
                <w:color w:val="auto"/>
              </w:rPr>
            </w:pPr>
            <w:r>
              <w:rPr>
                <w:rFonts w:ascii="Arial" w:cs="Arial" w:eastAsia="Arial" w:hAnsi="Arial"/>
                <w:sz w:val="14"/>
                <w:szCs w:val="14"/>
                <w:color w:val="auto"/>
              </w:rPr>
              <w:t>MN</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6,912</w:t>
            </w:r>
          </w:p>
        </w:tc>
        <w:tc>
          <w:tcPr>
            <w:tcW w:w="1280" w:type="dxa"/>
            <w:vAlign w:val="bottom"/>
            <w:gridSpan w:val="2"/>
          </w:tcPr>
          <w:p>
            <w:pPr>
              <w:jc w:val="center"/>
              <w:ind w:left="28"/>
              <w:spacing w:after="0"/>
              <w:rPr>
                <w:sz w:val="20"/>
                <w:szCs w:val="20"/>
                <w:color w:val="auto"/>
              </w:rPr>
            </w:pPr>
            <w:r>
              <w:rPr>
                <w:rFonts w:ascii="Arial" w:cs="Arial" w:eastAsia="Arial" w:hAnsi="Arial"/>
                <w:sz w:val="14"/>
                <w:szCs w:val="14"/>
                <w:color w:val="auto"/>
                <w:w w:val="91"/>
              </w:rPr>
              <w:t>10/01/17</w:t>
            </w:r>
          </w:p>
        </w:tc>
        <w:tc>
          <w:tcPr>
            <w:tcW w:w="120" w:type="dxa"/>
            <w:vAlign w:val="bottom"/>
          </w:tcPr>
          <w:p>
            <w:pPr>
              <w:spacing w:after="0"/>
              <w:rPr>
                <w:sz w:val="22"/>
                <w:szCs w:val="22"/>
                <w:color w:val="auto"/>
              </w:rPr>
            </w:pPr>
          </w:p>
        </w:tc>
        <w:tc>
          <w:tcPr>
            <w:tcW w:w="1920" w:type="dxa"/>
            <w:vAlign w:val="bottom"/>
            <w:gridSpan w:val="2"/>
          </w:tcPr>
          <w:p>
            <w:pPr>
              <w:ind w:left="20"/>
              <w:spacing w:after="0"/>
              <w:rPr>
                <w:sz w:val="20"/>
                <w:szCs w:val="20"/>
                <w:color w:val="auto"/>
              </w:rPr>
            </w:pPr>
            <w:r>
              <w:rPr>
                <w:rFonts w:ascii="Arial" w:cs="Arial" w:eastAsia="Arial" w:hAnsi="Arial"/>
                <w:sz w:val="14"/>
                <w:szCs w:val="14"/>
                <w:color w:val="auto"/>
              </w:rPr>
              <w:t>Various</w:t>
            </w:r>
          </w:p>
        </w:tc>
        <w:tc>
          <w:tcPr>
            <w:tcW w:w="740" w:type="dxa"/>
            <w:vAlign w:val="bottom"/>
          </w:tcPr>
          <w:p>
            <w:pPr>
              <w:jc w:val="center"/>
              <w:spacing w:after="0"/>
              <w:rPr>
                <w:sz w:val="20"/>
                <w:szCs w:val="20"/>
                <w:color w:val="auto"/>
              </w:rPr>
            </w:pPr>
            <w:r>
              <w:rPr>
                <w:rFonts w:ascii="Arial" w:cs="Arial" w:eastAsia="Arial" w:hAnsi="Arial"/>
                <w:sz w:val="14"/>
                <w:szCs w:val="14"/>
                <w:color w:val="auto"/>
                <w:w w:val="89"/>
              </w:rPr>
              <w:t>25</w:t>
            </w:r>
          </w:p>
        </w:tc>
        <w:tc>
          <w:tcPr>
            <w:tcW w:w="0" w:type="dxa"/>
            <w:vAlign w:val="bottom"/>
          </w:tcPr>
          <w:p>
            <w:pPr>
              <w:spacing w:after="0"/>
              <w:rPr>
                <w:sz w:val="1"/>
                <w:szCs w:val="1"/>
                <w:color w:val="auto"/>
              </w:rPr>
            </w:pPr>
          </w:p>
        </w:tc>
      </w:tr>
      <w:tr>
        <w:trPr>
          <w:trHeight w:val="167"/>
        </w:trPr>
        <w:tc>
          <w:tcPr>
            <w:tcW w:w="206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Solar West Shaft LLC</w:t>
            </w:r>
          </w:p>
        </w:tc>
        <w:tc>
          <w:tcPr>
            <w:tcW w:w="174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w w:val="93"/>
              </w:rPr>
              <w:t>N Adams-West Shaft Rd</w:t>
            </w:r>
          </w:p>
        </w:tc>
        <w:tc>
          <w:tcPr>
            <w:tcW w:w="1100" w:type="dxa"/>
            <w:vAlign w:val="bottom"/>
            <w:gridSpan w:val="2"/>
            <w:vMerge w:val="restart"/>
            <w:shd w:val="clear" w:color="auto" w:fill="CCEEFF"/>
          </w:tcPr>
          <w:p>
            <w:pPr>
              <w:jc w:val="center"/>
              <w:ind w:right="140"/>
              <w:spacing w:after="0"/>
              <w:rPr>
                <w:sz w:val="20"/>
                <w:szCs w:val="20"/>
                <w:color w:val="auto"/>
              </w:rPr>
            </w:pPr>
            <w:r>
              <w:rPr>
                <w:rFonts w:ascii="Arial" w:cs="Arial" w:eastAsia="Arial" w:hAnsi="Arial"/>
                <w:sz w:val="14"/>
                <w:szCs w:val="14"/>
                <w:color w:val="auto"/>
                <w:w w:val="95"/>
              </w:rPr>
              <w:t>Community</w:t>
            </w:r>
          </w:p>
        </w:tc>
        <w:tc>
          <w:tcPr>
            <w:tcW w:w="96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rPr>
              <w:t>MA</w:t>
            </w: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1,346</w:t>
            </w:r>
          </w:p>
        </w:tc>
        <w:tc>
          <w:tcPr>
            <w:tcW w:w="1280" w:type="dxa"/>
            <w:vAlign w:val="bottom"/>
            <w:gridSpan w:val="2"/>
            <w:vMerge w:val="restart"/>
            <w:shd w:val="clear" w:color="auto" w:fill="CCEEFF"/>
          </w:tcPr>
          <w:p>
            <w:pPr>
              <w:jc w:val="center"/>
              <w:ind w:left="28"/>
              <w:spacing w:after="0"/>
              <w:rPr>
                <w:sz w:val="20"/>
                <w:szCs w:val="20"/>
                <w:color w:val="auto"/>
              </w:rPr>
            </w:pPr>
            <w:r>
              <w:rPr>
                <w:rFonts w:ascii="Arial" w:cs="Arial" w:eastAsia="Arial" w:hAnsi="Arial"/>
                <w:sz w:val="14"/>
                <w:szCs w:val="14"/>
                <w:color w:val="auto"/>
                <w:w w:val="91"/>
              </w:rPr>
              <w:t>10/10/17</w:t>
            </w:r>
          </w:p>
        </w:tc>
        <w:tc>
          <w:tcPr>
            <w:tcW w:w="120" w:type="dxa"/>
            <w:vAlign w:val="bottom"/>
            <w:shd w:val="clear" w:color="auto" w:fill="CCEEFF"/>
          </w:tcPr>
          <w:p>
            <w:pPr>
              <w:spacing w:after="0"/>
              <w:rPr>
                <w:sz w:val="14"/>
                <w:szCs w:val="14"/>
                <w:color w:val="auto"/>
              </w:rPr>
            </w:pP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Ahold USA/Raytheon/Various</w:t>
            </w:r>
          </w:p>
        </w:tc>
        <w:tc>
          <w:tcPr>
            <w:tcW w:w="7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9"/>
              </w:rPr>
              <w:t>20</w:t>
            </w:r>
          </w:p>
        </w:tc>
        <w:tc>
          <w:tcPr>
            <w:tcW w:w="0" w:type="dxa"/>
            <w:vAlign w:val="bottom"/>
          </w:tcPr>
          <w:p>
            <w:pPr>
              <w:spacing w:after="0"/>
              <w:rPr>
                <w:sz w:val="1"/>
                <w:szCs w:val="1"/>
                <w:color w:val="auto"/>
              </w:rPr>
            </w:pPr>
          </w:p>
        </w:tc>
      </w:tr>
      <w:tr>
        <w:trPr>
          <w:trHeight w:val="190"/>
        </w:trPr>
        <w:tc>
          <w:tcPr>
            <w:tcW w:w="2060" w:type="dxa"/>
            <w:vAlign w:val="bottom"/>
            <w:gridSpan w:val="2"/>
            <w:vMerge w:val="continue"/>
            <w:shd w:val="clear" w:color="auto" w:fill="CCEEFF"/>
          </w:tcPr>
          <w:p>
            <w:pPr>
              <w:spacing w:after="0"/>
              <w:rPr>
                <w:sz w:val="16"/>
                <w:szCs w:val="16"/>
                <w:color w:val="auto"/>
              </w:rPr>
            </w:pPr>
          </w:p>
        </w:tc>
        <w:tc>
          <w:tcPr>
            <w:tcW w:w="1740" w:type="dxa"/>
            <w:vAlign w:val="bottom"/>
            <w:gridSpan w:val="2"/>
            <w:vMerge w:val="continue"/>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w:t>
            </w: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060" w:type="dxa"/>
            <w:vAlign w:val="bottom"/>
            <w:gridSpan w:val="2"/>
            <w:vMerge w:val="restart"/>
          </w:tcPr>
          <w:p>
            <w:pPr>
              <w:ind w:left="20"/>
              <w:spacing w:after="0"/>
              <w:rPr>
                <w:sz w:val="20"/>
                <w:szCs w:val="20"/>
                <w:color w:val="auto"/>
              </w:rPr>
            </w:pPr>
            <w:r>
              <w:rPr>
                <w:rFonts w:ascii="Arial" w:cs="Arial" w:eastAsia="Arial" w:hAnsi="Arial"/>
                <w:sz w:val="14"/>
                <w:szCs w:val="14"/>
                <w:color w:val="auto"/>
              </w:rPr>
              <w:t>DG Foxborough Elm LLC</w:t>
            </w:r>
          </w:p>
        </w:tc>
        <w:tc>
          <w:tcPr>
            <w:tcW w:w="1740" w:type="dxa"/>
            <w:vAlign w:val="bottom"/>
            <w:gridSpan w:val="2"/>
            <w:vMerge w:val="restart"/>
          </w:tcPr>
          <w:p>
            <w:pPr>
              <w:jc w:val="center"/>
              <w:ind w:right="140"/>
              <w:spacing w:after="0"/>
              <w:rPr>
                <w:sz w:val="20"/>
                <w:szCs w:val="20"/>
                <w:color w:val="auto"/>
              </w:rPr>
            </w:pPr>
            <w:r>
              <w:rPr>
                <w:rFonts w:ascii="Arial" w:cs="Arial" w:eastAsia="Arial" w:hAnsi="Arial"/>
                <w:sz w:val="14"/>
                <w:szCs w:val="14"/>
                <w:color w:val="auto"/>
                <w:w w:val="91"/>
              </w:rPr>
              <w:t>Elm Street</w:t>
            </w:r>
          </w:p>
        </w:tc>
        <w:tc>
          <w:tcPr>
            <w:tcW w:w="1100" w:type="dxa"/>
            <w:vAlign w:val="bottom"/>
            <w:gridSpan w:val="2"/>
            <w:vMerge w:val="restart"/>
          </w:tcPr>
          <w:p>
            <w:pPr>
              <w:jc w:val="center"/>
              <w:ind w:right="140"/>
              <w:spacing w:after="0"/>
              <w:rPr>
                <w:sz w:val="20"/>
                <w:szCs w:val="20"/>
                <w:color w:val="auto"/>
              </w:rPr>
            </w:pPr>
            <w:r>
              <w:rPr>
                <w:rFonts w:ascii="Arial" w:cs="Arial" w:eastAsia="Arial" w:hAnsi="Arial"/>
                <w:sz w:val="14"/>
                <w:szCs w:val="14"/>
                <w:color w:val="auto"/>
                <w:w w:val="95"/>
              </w:rPr>
              <w:t>Community</w:t>
            </w:r>
          </w:p>
        </w:tc>
        <w:tc>
          <w:tcPr>
            <w:tcW w:w="96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rPr>
              <w:t>MA</w:t>
            </w: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2,614</w:t>
            </w:r>
          </w:p>
        </w:tc>
        <w:tc>
          <w:tcPr>
            <w:tcW w:w="1280" w:type="dxa"/>
            <w:vAlign w:val="bottom"/>
            <w:gridSpan w:val="2"/>
            <w:vMerge w:val="restart"/>
          </w:tcPr>
          <w:p>
            <w:pPr>
              <w:jc w:val="center"/>
              <w:ind w:left="28"/>
              <w:spacing w:after="0"/>
              <w:rPr>
                <w:sz w:val="20"/>
                <w:szCs w:val="20"/>
                <w:color w:val="auto"/>
              </w:rPr>
            </w:pPr>
            <w:r>
              <w:rPr>
                <w:rFonts w:ascii="Arial" w:cs="Arial" w:eastAsia="Arial" w:hAnsi="Arial"/>
                <w:sz w:val="14"/>
                <w:szCs w:val="14"/>
                <w:color w:val="auto"/>
                <w:w w:val="91"/>
              </w:rPr>
              <w:t>10/12/17</w:t>
            </w:r>
          </w:p>
        </w:tc>
        <w:tc>
          <w:tcPr>
            <w:tcW w:w="120" w:type="dxa"/>
            <w:vAlign w:val="bottom"/>
          </w:tcPr>
          <w:p>
            <w:pPr>
              <w:spacing w:after="0"/>
              <w:rPr>
                <w:sz w:val="14"/>
                <w:szCs w:val="14"/>
                <w:color w:val="auto"/>
              </w:rPr>
            </w:pPr>
          </w:p>
        </w:tc>
        <w:tc>
          <w:tcPr>
            <w:tcW w:w="1920" w:type="dxa"/>
            <w:vAlign w:val="bottom"/>
            <w:gridSpan w:val="2"/>
          </w:tcPr>
          <w:p>
            <w:pPr>
              <w:ind w:left="20"/>
              <w:spacing w:after="0"/>
              <w:rPr>
                <w:sz w:val="20"/>
                <w:szCs w:val="20"/>
                <w:color w:val="auto"/>
              </w:rPr>
            </w:pPr>
            <w:r>
              <w:rPr>
                <w:rFonts w:ascii="Arial" w:cs="Arial" w:eastAsia="Arial" w:hAnsi="Arial"/>
                <w:sz w:val="14"/>
                <w:szCs w:val="14"/>
                <w:color w:val="auto"/>
              </w:rPr>
              <w:t>Town of Foxborough/Various</w:t>
            </w:r>
          </w:p>
        </w:tc>
        <w:tc>
          <w:tcPr>
            <w:tcW w:w="740" w:type="dxa"/>
            <w:vAlign w:val="bottom"/>
            <w:vMerge w:val="restart"/>
          </w:tcPr>
          <w:p>
            <w:pPr>
              <w:jc w:val="center"/>
              <w:spacing w:after="0"/>
              <w:rPr>
                <w:sz w:val="20"/>
                <w:szCs w:val="20"/>
                <w:color w:val="auto"/>
              </w:rPr>
            </w:pPr>
            <w:r>
              <w:rPr>
                <w:rFonts w:ascii="Arial" w:cs="Arial" w:eastAsia="Arial" w:hAnsi="Arial"/>
                <w:sz w:val="14"/>
                <w:szCs w:val="14"/>
                <w:color w:val="auto"/>
                <w:w w:val="89"/>
              </w:rPr>
              <w:t>20</w:t>
            </w:r>
          </w:p>
        </w:tc>
        <w:tc>
          <w:tcPr>
            <w:tcW w:w="0" w:type="dxa"/>
            <w:vAlign w:val="bottom"/>
          </w:tcPr>
          <w:p>
            <w:pPr>
              <w:spacing w:after="0"/>
              <w:rPr>
                <w:sz w:val="1"/>
                <w:szCs w:val="1"/>
                <w:color w:val="auto"/>
              </w:rPr>
            </w:pPr>
          </w:p>
        </w:tc>
      </w:tr>
      <w:tr>
        <w:trPr>
          <w:trHeight w:val="184"/>
        </w:trPr>
        <w:tc>
          <w:tcPr>
            <w:tcW w:w="2060" w:type="dxa"/>
            <w:vAlign w:val="bottom"/>
            <w:gridSpan w:val="2"/>
            <w:vMerge w:val="continue"/>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920" w:type="dxa"/>
            <w:vAlign w:val="bottom"/>
            <w:gridSpan w:val="2"/>
          </w:tcPr>
          <w:p>
            <w:pPr>
              <w:ind w:left="20"/>
              <w:spacing w:after="0"/>
              <w:rPr>
                <w:sz w:val="20"/>
                <w:szCs w:val="20"/>
                <w:color w:val="auto"/>
              </w:rPr>
            </w:pPr>
            <w:r>
              <w:rPr>
                <w:rFonts w:ascii="Arial" w:cs="Arial" w:eastAsia="Arial" w:hAnsi="Arial"/>
                <w:sz w:val="13"/>
                <w:szCs w:val="13"/>
                <w:color w:val="auto"/>
              </w:rPr>
              <w:t>(a)</w:t>
            </w: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2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Redbrook Solar 1 LLC</w:t>
            </w:r>
          </w:p>
        </w:tc>
        <w:tc>
          <w:tcPr>
            <w:tcW w:w="174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7"/>
              </w:rPr>
              <w:t>Redbrook B, C &amp; D</w:t>
            </w:r>
          </w:p>
        </w:tc>
        <w:tc>
          <w:tcPr>
            <w:tcW w:w="110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5"/>
              </w:rPr>
              <w:t>Community</w:t>
            </w:r>
          </w:p>
        </w:tc>
        <w:tc>
          <w:tcPr>
            <w:tcW w:w="9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MA</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5,568</w:t>
            </w:r>
          </w:p>
        </w:tc>
        <w:tc>
          <w:tcPr>
            <w:tcW w:w="128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1"/>
              </w:rPr>
              <w:t>11/09/17</w:t>
            </w:r>
          </w:p>
        </w:tc>
        <w:tc>
          <w:tcPr>
            <w:tcW w:w="120" w:type="dxa"/>
            <w:vAlign w:val="bottom"/>
            <w:shd w:val="clear" w:color="auto" w:fill="CCEEFF"/>
          </w:tcPr>
          <w:p>
            <w:pPr>
              <w:spacing w:after="0"/>
              <w:rPr>
                <w:sz w:val="24"/>
                <w:szCs w:val="24"/>
                <w:color w:val="auto"/>
              </w:rPr>
            </w:pP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xml:space="preserve">Ahold USA/Various </w:t>
            </w:r>
            <w:r>
              <w:rPr>
                <w:rFonts w:ascii="Arial" w:cs="Arial" w:eastAsia="Arial" w:hAnsi="Arial"/>
                <w:sz w:val="12"/>
                <w:szCs w:val="12"/>
                <w:color w:val="auto"/>
              </w:rPr>
              <w:t>(a)</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w:t>
            </w:r>
          </w:p>
        </w:tc>
        <w:tc>
          <w:tcPr>
            <w:tcW w:w="0" w:type="dxa"/>
            <w:vAlign w:val="bottom"/>
          </w:tcPr>
          <w:p>
            <w:pPr>
              <w:spacing w:after="0"/>
              <w:rPr>
                <w:sz w:val="1"/>
                <w:szCs w:val="1"/>
                <w:color w:val="auto"/>
              </w:rPr>
            </w:pPr>
          </w:p>
        </w:tc>
      </w:tr>
      <w:tr>
        <w:trPr>
          <w:trHeight w:val="264"/>
        </w:trPr>
        <w:tc>
          <w:tcPr>
            <w:tcW w:w="2060" w:type="dxa"/>
            <w:vAlign w:val="bottom"/>
            <w:gridSpan w:val="2"/>
          </w:tcPr>
          <w:p>
            <w:pPr>
              <w:ind w:left="20"/>
              <w:spacing w:after="0"/>
              <w:rPr>
                <w:sz w:val="20"/>
                <w:szCs w:val="20"/>
                <w:color w:val="auto"/>
              </w:rPr>
            </w:pPr>
            <w:r>
              <w:rPr>
                <w:rFonts w:ascii="Arial" w:cs="Arial" w:eastAsia="Arial" w:hAnsi="Arial"/>
                <w:sz w:val="14"/>
                <w:szCs w:val="14"/>
                <w:color w:val="auto"/>
              </w:rPr>
              <w:t>Northfield Holdco LLC</w:t>
            </w:r>
          </w:p>
        </w:tc>
        <w:tc>
          <w:tcPr>
            <w:tcW w:w="1740" w:type="dxa"/>
            <w:vAlign w:val="bottom"/>
            <w:gridSpan w:val="2"/>
          </w:tcPr>
          <w:p>
            <w:pPr>
              <w:jc w:val="center"/>
              <w:ind w:right="140"/>
              <w:spacing w:after="0"/>
              <w:rPr>
                <w:sz w:val="20"/>
                <w:szCs w:val="20"/>
                <w:color w:val="auto"/>
              </w:rPr>
            </w:pPr>
            <w:r>
              <w:rPr>
                <w:rFonts w:ascii="Arial" w:cs="Arial" w:eastAsia="Arial" w:hAnsi="Arial"/>
                <w:sz w:val="14"/>
                <w:szCs w:val="14"/>
                <w:color w:val="auto"/>
              </w:rPr>
              <w:t>Northfield</w:t>
            </w: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color w:val="auto"/>
                <w:w w:val="95"/>
              </w:rPr>
              <w:t>Community</w:t>
            </w:r>
          </w:p>
        </w:tc>
        <w:tc>
          <w:tcPr>
            <w:tcW w:w="960" w:type="dxa"/>
            <w:vAlign w:val="bottom"/>
            <w:gridSpan w:val="2"/>
          </w:tcPr>
          <w:p>
            <w:pPr>
              <w:jc w:val="center"/>
              <w:ind w:right="120"/>
              <w:spacing w:after="0"/>
              <w:rPr>
                <w:sz w:val="20"/>
                <w:szCs w:val="20"/>
                <w:color w:val="auto"/>
              </w:rPr>
            </w:pPr>
            <w:r>
              <w:rPr>
                <w:rFonts w:ascii="Arial" w:cs="Arial" w:eastAsia="Arial" w:hAnsi="Arial"/>
                <w:sz w:val="14"/>
                <w:szCs w:val="14"/>
                <w:color w:val="auto"/>
              </w:rPr>
              <w:t>MN</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6,962</w:t>
            </w:r>
          </w:p>
        </w:tc>
        <w:tc>
          <w:tcPr>
            <w:tcW w:w="1280" w:type="dxa"/>
            <w:vAlign w:val="bottom"/>
            <w:gridSpan w:val="2"/>
          </w:tcPr>
          <w:p>
            <w:pPr>
              <w:jc w:val="center"/>
              <w:ind w:left="28"/>
              <w:spacing w:after="0"/>
              <w:rPr>
                <w:sz w:val="20"/>
                <w:szCs w:val="20"/>
                <w:color w:val="auto"/>
              </w:rPr>
            </w:pPr>
            <w:r>
              <w:rPr>
                <w:rFonts w:ascii="Arial" w:cs="Arial" w:eastAsia="Arial" w:hAnsi="Arial"/>
                <w:sz w:val="14"/>
                <w:szCs w:val="14"/>
                <w:color w:val="auto"/>
                <w:w w:val="91"/>
              </w:rPr>
              <w:t>12/01/17</w:t>
            </w:r>
          </w:p>
        </w:tc>
        <w:tc>
          <w:tcPr>
            <w:tcW w:w="120" w:type="dxa"/>
            <w:vAlign w:val="bottom"/>
          </w:tcPr>
          <w:p>
            <w:pPr>
              <w:spacing w:after="0"/>
              <w:rPr>
                <w:sz w:val="22"/>
                <w:szCs w:val="22"/>
                <w:color w:val="auto"/>
              </w:rPr>
            </w:pPr>
          </w:p>
        </w:tc>
        <w:tc>
          <w:tcPr>
            <w:tcW w:w="1920" w:type="dxa"/>
            <w:vAlign w:val="bottom"/>
            <w:gridSpan w:val="2"/>
          </w:tcPr>
          <w:p>
            <w:pPr>
              <w:ind w:left="20"/>
              <w:spacing w:after="0"/>
              <w:rPr>
                <w:sz w:val="20"/>
                <w:szCs w:val="20"/>
                <w:color w:val="auto"/>
              </w:rPr>
            </w:pPr>
            <w:r>
              <w:rPr>
                <w:rFonts w:ascii="Arial" w:cs="Arial" w:eastAsia="Arial" w:hAnsi="Arial"/>
                <w:sz w:val="14"/>
                <w:szCs w:val="14"/>
                <w:color w:val="auto"/>
              </w:rPr>
              <w:t>Various</w:t>
            </w:r>
          </w:p>
        </w:tc>
        <w:tc>
          <w:tcPr>
            <w:tcW w:w="740" w:type="dxa"/>
            <w:vAlign w:val="bottom"/>
          </w:tcPr>
          <w:p>
            <w:pPr>
              <w:jc w:val="center"/>
              <w:spacing w:after="0"/>
              <w:rPr>
                <w:sz w:val="20"/>
                <w:szCs w:val="20"/>
                <w:color w:val="auto"/>
              </w:rPr>
            </w:pPr>
            <w:r>
              <w:rPr>
                <w:rFonts w:ascii="Arial" w:cs="Arial" w:eastAsia="Arial" w:hAnsi="Arial"/>
                <w:sz w:val="14"/>
                <w:szCs w:val="14"/>
                <w:color w:val="auto"/>
                <w:w w:val="89"/>
              </w:rPr>
              <w:t>25</w:t>
            </w:r>
          </w:p>
        </w:tc>
        <w:tc>
          <w:tcPr>
            <w:tcW w:w="0" w:type="dxa"/>
            <w:vAlign w:val="bottom"/>
          </w:tcPr>
          <w:p>
            <w:pPr>
              <w:spacing w:after="0"/>
              <w:rPr>
                <w:sz w:val="1"/>
                <w:szCs w:val="1"/>
                <w:color w:val="auto"/>
              </w:rPr>
            </w:pPr>
          </w:p>
        </w:tc>
      </w:tr>
      <w:tr>
        <w:trPr>
          <w:trHeight w:val="276"/>
        </w:trPr>
        <w:tc>
          <w:tcPr>
            <w:tcW w:w="2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Waterford Holdco LLC</w:t>
            </w:r>
          </w:p>
        </w:tc>
        <w:tc>
          <w:tcPr>
            <w:tcW w:w="17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4"/>
              </w:rPr>
              <w:t>Waterford</w:t>
            </w:r>
          </w:p>
        </w:tc>
        <w:tc>
          <w:tcPr>
            <w:tcW w:w="110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5"/>
              </w:rPr>
              <w:t>Community</w:t>
            </w:r>
          </w:p>
        </w:tc>
        <w:tc>
          <w:tcPr>
            <w:tcW w:w="9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MN</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3,767</w:t>
            </w:r>
          </w:p>
        </w:tc>
        <w:tc>
          <w:tcPr>
            <w:tcW w:w="128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1"/>
              </w:rPr>
              <w:t>12/01/17</w:t>
            </w:r>
          </w:p>
        </w:tc>
        <w:tc>
          <w:tcPr>
            <w:tcW w:w="120" w:type="dxa"/>
            <w:vAlign w:val="bottom"/>
            <w:shd w:val="clear" w:color="auto" w:fill="CCEEFF"/>
          </w:tcPr>
          <w:p>
            <w:pPr>
              <w:spacing w:after="0"/>
              <w:rPr>
                <w:sz w:val="24"/>
                <w:szCs w:val="24"/>
                <w:color w:val="auto"/>
              </w:rPr>
            </w:pP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Various</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25</w:t>
            </w:r>
          </w:p>
        </w:tc>
        <w:tc>
          <w:tcPr>
            <w:tcW w:w="0" w:type="dxa"/>
            <w:vAlign w:val="bottom"/>
          </w:tcPr>
          <w:p>
            <w:pPr>
              <w:spacing w:after="0"/>
              <w:rPr>
                <w:sz w:val="1"/>
                <w:szCs w:val="1"/>
                <w:color w:val="auto"/>
              </w:rPr>
            </w:pPr>
          </w:p>
        </w:tc>
      </w:tr>
      <w:tr>
        <w:trPr>
          <w:trHeight w:val="157"/>
        </w:trPr>
        <w:tc>
          <w:tcPr>
            <w:tcW w:w="1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80" w:type="dxa"/>
            <w:vAlign w:val="bottom"/>
            <w:gridSpan w:val="2"/>
          </w:tcPr>
          <w:p>
            <w:pPr>
              <w:jc w:val="center"/>
              <w:ind w:left="48"/>
              <w:spacing w:after="0" w:line="157" w:lineRule="exact"/>
              <w:rPr>
                <w:sz w:val="20"/>
                <w:szCs w:val="20"/>
                <w:color w:val="auto"/>
              </w:rPr>
            </w:pPr>
            <w:r>
              <w:rPr>
                <w:rFonts w:ascii="Arial" w:cs="Arial" w:eastAsia="Arial" w:hAnsi="Arial"/>
                <w:sz w:val="14"/>
                <w:szCs w:val="14"/>
                <w:color w:val="auto"/>
                <w:w w:val="95"/>
              </w:rPr>
              <w:t>12/21/2017 &amp;</w:t>
            </w:r>
          </w:p>
        </w:tc>
        <w:tc>
          <w:tcPr>
            <w:tcW w:w="1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60" w:type="dxa"/>
            <w:vAlign w:val="bottom"/>
            <w:gridSpan w:val="2"/>
          </w:tcPr>
          <w:p>
            <w:pPr>
              <w:ind w:left="20"/>
              <w:spacing w:after="0"/>
              <w:rPr>
                <w:sz w:val="20"/>
                <w:szCs w:val="20"/>
                <w:color w:val="auto"/>
              </w:rPr>
            </w:pPr>
            <w:r>
              <w:rPr>
                <w:rFonts w:ascii="Arial" w:cs="Arial" w:eastAsia="Arial" w:hAnsi="Arial"/>
                <w:sz w:val="14"/>
                <w:szCs w:val="14"/>
                <w:color w:val="auto"/>
              </w:rPr>
              <w:t>Center St Solar 1 LLC</w:t>
            </w:r>
          </w:p>
        </w:tc>
        <w:tc>
          <w:tcPr>
            <w:tcW w:w="1740" w:type="dxa"/>
            <w:vAlign w:val="bottom"/>
            <w:gridSpan w:val="2"/>
          </w:tcPr>
          <w:p>
            <w:pPr>
              <w:jc w:val="center"/>
              <w:ind w:right="140"/>
              <w:spacing w:after="0"/>
              <w:rPr>
                <w:sz w:val="20"/>
                <w:szCs w:val="20"/>
                <w:color w:val="auto"/>
              </w:rPr>
            </w:pPr>
            <w:r>
              <w:rPr>
                <w:rFonts w:ascii="Arial" w:cs="Arial" w:eastAsia="Arial" w:hAnsi="Arial"/>
                <w:sz w:val="14"/>
                <w:szCs w:val="14"/>
                <w:color w:val="auto"/>
                <w:w w:val="94"/>
              </w:rPr>
              <w:t>1077 Center St A, B &amp; C</w:t>
            </w: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color w:val="auto"/>
                <w:w w:val="95"/>
              </w:rPr>
              <w:t>Community</w:t>
            </w:r>
          </w:p>
        </w:tc>
        <w:tc>
          <w:tcPr>
            <w:tcW w:w="960" w:type="dxa"/>
            <w:vAlign w:val="bottom"/>
            <w:gridSpan w:val="2"/>
          </w:tcPr>
          <w:p>
            <w:pPr>
              <w:jc w:val="center"/>
              <w:ind w:right="120"/>
              <w:spacing w:after="0"/>
              <w:rPr>
                <w:sz w:val="20"/>
                <w:szCs w:val="20"/>
                <w:color w:val="auto"/>
              </w:rPr>
            </w:pPr>
            <w:r>
              <w:rPr>
                <w:rFonts w:ascii="Arial" w:cs="Arial" w:eastAsia="Arial" w:hAnsi="Arial"/>
                <w:sz w:val="14"/>
                <w:szCs w:val="14"/>
                <w:color w:val="auto"/>
              </w:rPr>
              <w:t>MA</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3,870</w:t>
            </w:r>
          </w:p>
        </w:tc>
        <w:tc>
          <w:tcPr>
            <w:tcW w:w="1280" w:type="dxa"/>
            <w:vAlign w:val="bottom"/>
            <w:gridSpan w:val="2"/>
          </w:tcPr>
          <w:p>
            <w:pPr>
              <w:jc w:val="center"/>
              <w:ind w:left="28"/>
              <w:spacing w:after="0"/>
              <w:rPr>
                <w:sz w:val="20"/>
                <w:szCs w:val="20"/>
                <w:color w:val="auto"/>
              </w:rPr>
            </w:pPr>
            <w:r>
              <w:rPr>
                <w:rFonts w:ascii="Arial" w:cs="Arial" w:eastAsia="Arial" w:hAnsi="Arial"/>
                <w:sz w:val="14"/>
                <w:szCs w:val="14"/>
                <w:color w:val="auto"/>
                <w:w w:val="94"/>
              </w:rPr>
              <w:t>01/03/2018</w:t>
            </w:r>
          </w:p>
        </w:tc>
        <w:tc>
          <w:tcPr>
            <w:tcW w:w="120" w:type="dxa"/>
            <w:vAlign w:val="bottom"/>
          </w:tcPr>
          <w:p>
            <w:pPr>
              <w:spacing w:after="0"/>
              <w:rPr>
                <w:sz w:val="16"/>
                <w:szCs w:val="16"/>
                <w:color w:val="auto"/>
              </w:rPr>
            </w:pPr>
          </w:p>
        </w:tc>
        <w:tc>
          <w:tcPr>
            <w:tcW w:w="1920" w:type="dxa"/>
            <w:vAlign w:val="bottom"/>
            <w:gridSpan w:val="2"/>
          </w:tcPr>
          <w:p>
            <w:pPr>
              <w:ind w:left="20"/>
              <w:spacing w:after="0"/>
              <w:rPr>
                <w:sz w:val="20"/>
                <w:szCs w:val="20"/>
                <w:color w:val="auto"/>
              </w:rPr>
            </w:pPr>
            <w:r>
              <w:rPr>
                <w:rFonts w:ascii="Arial" w:cs="Arial" w:eastAsia="Arial" w:hAnsi="Arial"/>
                <w:sz w:val="14"/>
                <w:szCs w:val="14"/>
                <w:color w:val="auto"/>
              </w:rPr>
              <w:t xml:space="preserve">Target Raytheon/Various </w:t>
            </w:r>
            <w:r>
              <w:rPr>
                <w:rFonts w:ascii="Arial" w:cs="Arial" w:eastAsia="Arial" w:hAnsi="Arial"/>
                <w:sz w:val="12"/>
                <w:szCs w:val="12"/>
                <w:color w:val="auto"/>
              </w:rPr>
              <w:t>(a)</w:t>
            </w:r>
          </w:p>
        </w:tc>
        <w:tc>
          <w:tcPr>
            <w:tcW w:w="740" w:type="dxa"/>
            <w:vAlign w:val="bottom"/>
          </w:tcPr>
          <w:p>
            <w:pPr>
              <w:jc w:val="center"/>
              <w:spacing w:after="0"/>
              <w:rPr>
                <w:sz w:val="20"/>
                <w:szCs w:val="20"/>
                <w:color w:val="auto"/>
              </w:rPr>
            </w:pPr>
            <w:r>
              <w:rPr>
                <w:rFonts w:ascii="Arial" w:cs="Arial" w:eastAsia="Arial" w:hAnsi="Arial"/>
                <w:sz w:val="14"/>
                <w:szCs w:val="14"/>
                <w:color w:val="auto"/>
                <w:w w:val="96"/>
              </w:rPr>
              <w:t>15 20</w:t>
            </w:r>
          </w:p>
        </w:tc>
        <w:tc>
          <w:tcPr>
            <w:tcW w:w="0" w:type="dxa"/>
            <w:vAlign w:val="bottom"/>
          </w:tcPr>
          <w:p>
            <w:pPr>
              <w:spacing w:after="0"/>
              <w:rPr>
                <w:sz w:val="1"/>
                <w:szCs w:val="1"/>
                <w:color w:val="auto"/>
              </w:rPr>
            </w:pPr>
          </w:p>
        </w:tc>
      </w:tr>
      <w:tr>
        <w:trPr>
          <w:trHeight w:val="276"/>
        </w:trPr>
        <w:tc>
          <w:tcPr>
            <w:tcW w:w="2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TOS Solar 1, LLC</w:t>
            </w:r>
          </w:p>
        </w:tc>
        <w:tc>
          <w:tcPr>
            <w:tcW w:w="174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4"/>
              </w:rPr>
              <w:t>725 Guelphwood</w:t>
            </w:r>
          </w:p>
        </w:tc>
        <w:tc>
          <w:tcPr>
            <w:tcW w:w="110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5"/>
              </w:rPr>
              <w:t>Community</w:t>
            </w:r>
          </w:p>
        </w:tc>
        <w:tc>
          <w:tcPr>
            <w:tcW w:w="9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MA</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646</w:t>
            </w:r>
          </w:p>
        </w:tc>
        <w:tc>
          <w:tcPr>
            <w:tcW w:w="128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1"/>
              </w:rPr>
              <w:t>12/30/17</w:t>
            </w:r>
          </w:p>
        </w:tc>
        <w:tc>
          <w:tcPr>
            <w:tcW w:w="120" w:type="dxa"/>
            <w:vAlign w:val="bottom"/>
            <w:shd w:val="clear" w:color="auto" w:fill="CCEEFF"/>
          </w:tcPr>
          <w:p>
            <w:pPr>
              <w:spacing w:after="0"/>
              <w:rPr>
                <w:sz w:val="24"/>
                <w:szCs w:val="24"/>
                <w:color w:val="auto"/>
              </w:rPr>
            </w:pP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xml:space="preserve">Target/Various </w:t>
            </w:r>
            <w:r>
              <w:rPr>
                <w:rFonts w:ascii="Arial" w:cs="Arial" w:eastAsia="Arial" w:hAnsi="Arial"/>
                <w:sz w:val="12"/>
                <w:szCs w:val="12"/>
                <w:color w:val="auto"/>
              </w:rPr>
              <w:t>(a)</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15/20</w:t>
            </w:r>
          </w:p>
        </w:tc>
        <w:tc>
          <w:tcPr>
            <w:tcW w:w="0" w:type="dxa"/>
            <w:vAlign w:val="bottom"/>
          </w:tcPr>
          <w:p>
            <w:pPr>
              <w:spacing w:after="0"/>
              <w:rPr>
                <w:sz w:val="1"/>
                <w:szCs w:val="1"/>
                <w:color w:val="auto"/>
              </w:rPr>
            </w:pPr>
          </w:p>
        </w:tc>
      </w:tr>
      <w:tr>
        <w:trPr>
          <w:trHeight w:val="264"/>
        </w:trPr>
        <w:tc>
          <w:tcPr>
            <w:tcW w:w="2060" w:type="dxa"/>
            <w:vAlign w:val="bottom"/>
            <w:gridSpan w:val="2"/>
          </w:tcPr>
          <w:p>
            <w:pPr>
              <w:ind w:left="20"/>
              <w:spacing w:after="0"/>
              <w:rPr>
                <w:sz w:val="20"/>
                <w:szCs w:val="20"/>
                <w:color w:val="auto"/>
              </w:rPr>
            </w:pPr>
            <w:r>
              <w:rPr>
                <w:rFonts w:ascii="Arial" w:cs="Arial" w:eastAsia="Arial" w:hAnsi="Arial"/>
                <w:sz w:val="14"/>
                <w:szCs w:val="14"/>
                <w:color w:val="auto"/>
              </w:rPr>
              <w:t>TOS Solar 2, LLC</w:t>
            </w:r>
          </w:p>
        </w:tc>
        <w:tc>
          <w:tcPr>
            <w:tcW w:w="1740" w:type="dxa"/>
            <w:vAlign w:val="bottom"/>
            <w:gridSpan w:val="2"/>
          </w:tcPr>
          <w:p>
            <w:pPr>
              <w:jc w:val="center"/>
              <w:ind w:right="140"/>
              <w:spacing w:after="0"/>
              <w:rPr>
                <w:sz w:val="20"/>
                <w:szCs w:val="20"/>
                <w:color w:val="auto"/>
              </w:rPr>
            </w:pPr>
            <w:r>
              <w:rPr>
                <w:rFonts w:ascii="Arial" w:cs="Arial" w:eastAsia="Arial" w:hAnsi="Arial"/>
                <w:sz w:val="14"/>
                <w:szCs w:val="14"/>
                <w:color w:val="auto"/>
                <w:w w:val="94"/>
              </w:rPr>
              <w:t>726 Guelphwood</w:t>
            </w: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color w:val="auto"/>
                <w:w w:val="95"/>
              </w:rPr>
              <w:t>Community</w:t>
            </w:r>
          </w:p>
        </w:tc>
        <w:tc>
          <w:tcPr>
            <w:tcW w:w="960" w:type="dxa"/>
            <w:vAlign w:val="bottom"/>
            <w:gridSpan w:val="2"/>
          </w:tcPr>
          <w:p>
            <w:pPr>
              <w:jc w:val="center"/>
              <w:ind w:right="120"/>
              <w:spacing w:after="0"/>
              <w:rPr>
                <w:sz w:val="20"/>
                <w:szCs w:val="20"/>
                <w:color w:val="auto"/>
              </w:rPr>
            </w:pPr>
            <w:r>
              <w:rPr>
                <w:rFonts w:ascii="Arial" w:cs="Arial" w:eastAsia="Arial" w:hAnsi="Arial"/>
                <w:sz w:val="14"/>
                <w:szCs w:val="14"/>
                <w:color w:val="auto"/>
              </w:rPr>
              <w:t>MA</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1,341</w:t>
            </w:r>
          </w:p>
        </w:tc>
        <w:tc>
          <w:tcPr>
            <w:tcW w:w="1280" w:type="dxa"/>
            <w:vAlign w:val="bottom"/>
            <w:gridSpan w:val="2"/>
          </w:tcPr>
          <w:p>
            <w:pPr>
              <w:jc w:val="center"/>
              <w:ind w:left="28"/>
              <w:spacing w:after="0"/>
              <w:rPr>
                <w:sz w:val="20"/>
                <w:szCs w:val="20"/>
                <w:color w:val="auto"/>
              </w:rPr>
            </w:pPr>
            <w:r>
              <w:rPr>
                <w:rFonts w:ascii="Arial" w:cs="Arial" w:eastAsia="Arial" w:hAnsi="Arial"/>
                <w:sz w:val="14"/>
                <w:szCs w:val="14"/>
                <w:color w:val="auto"/>
                <w:w w:val="91"/>
              </w:rPr>
              <w:t>12/30/17</w:t>
            </w:r>
          </w:p>
        </w:tc>
        <w:tc>
          <w:tcPr>
            <w:tcW w:w="120" w:type="dxa"/>
            <w:vAlign w:val="bottom"/>
          </w:tcPr>
          <w:p>
            <w:pPr>
              <w:spacing w:after="0"/>
              <w:rPr>
                <w:sz w:val="22"/>
                <w:szCs w:val="22"/>
                <w:color w:val="auto"/>
              </w:rPr>
            </w:pPr>
          </w:p>
        </w:tc>
        <w:tc>
          <w:tcPr>
            <w:tcW w:w="1920" w:type="dxa"/>
            <w:vAlign w:val="bottom"/>
            <w:gridSpan w:val="2"/>
          </w:tcPr>
          <w:p>
            <w:pPr>
              <w:ind w:left="20"/>
              <w:spacing w:after="0"/>
              <w:rPr>
                <w:sz w:val="20"/>
                <w:szCs w:val="20"/>
                <w:color w:val="auto"/>
              </w:rPr>
            </w:pPr>
            <w:r>
              <w:rPr>
                <w:rFonts w:ascii="Arial" w:cs="Arial" w:eastAsia="Arial" w:hAnsi="Arial"/>
                <w:sz w:val="14"/>
                <w:szCs w:val="14"/>
                <w:color w:val="auto"/>
              </w:rPr>
              <w:t xml:space="preserve">Target/Various </w:t>
            </w:r>
            <w:r>
              <w:rPr>
                <w:rFonts w:ascii="Arial" w:cs="Arial" w:eastAsia="Arial" w:hAnsi="Arial"/>
                <w:sz w:val="12"/>
                <w:szCs w:val="12"/>
                <w:color w:val="auto"/>
              </w:rPr>
              <w:t>(a)</w:t>
            </w:r>
          </w:p>
        </w:tc>
        <w:tc>
          <w:tcPr>
            <w:tcW w:w="740" w:type="dxa"/>
            <w:vAlign w:val="bottom"/>
          </w:tcPr>
          <w:p>
            <w:pPr>
              <w:jc w:val="center"/>
              <w:spacing w:after="0"/>
              <w:rPr>
                <w:sz w:val="20"/>
                <w:szCs w:val="20"/>
                <w:color w:val="auto"/>
              </w:rPr>
            </w:pPr>
            <w:r>
              <w:rPr>
                <w:rFonts w:ascii="Arial" w:cs="Arial" w:eastAsia="Arial" w:hAnsi="Arial"/>
                <w:sz w:val="14"/>
                <w:szCs w:val="14"/>
                <w:color w:val="auto"/>
                <w:w w:val="96"/>
              </w:rPr>
              <w:t>15/20</w:t>
            </w:r>
          </w:p>
        </w:tc>
        <w:tc>
          <w:tcPr>
            <w:tcW w:w="0" w:type="dxa"/>
            <w:vAlign w:val="bottom"/>
          </w:tcPr>
          <w:p>
            <w:pPr>
              <w:spacing w:after="0"/>
              <w:rPr>
                <w:sz w:val="1"/>
                <w:szCs w:val="1"/>
                <w:color w:val="auto"/>
              </w:rPr>
            </w:pPr>
          </w:p>
        </w:tc>
      </w:tr>
      <w:tr>
        <w:trPr>
          <w:trHeight w:val="276"/>
        </w:trPr>
        <w:tc>
          <w:tcPr>
            <w:tcW w:w="2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Stafford St Solar 1, LLC</w:t>
            </w:r>
          </w:p>
        </w:tc>
        <w:tc>
          <w:tcPr>
            <w:tcW w:w="174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5"/>
              </w:rPr>
              <w:t>466 Stafford St Site A</w:t>
            </w:r>
          </w:p>
        </w:tc>
        <w:tc>
          <w:tcPr>
            <w:tcW w:w="110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5"/>
              </w:rPr>
              <w:t>Community</w:t>
            </w:r>
          </w:p>
        </w:tc>
        <w:tc>
          <w:tcPr>
            <w:tcW w:w="9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MA</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2,776</w:t>
            </w:r>
          </w:p>
        </w:tc>
        <w:tc>
          <w:tcPr>
            <w:tcW w:w="128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1"/>
              </w:rPr>
              <w:t>12/31/17</w:t>
            </w:r>
          </w:p>
        </w:tc>
        <w:tc>
          <w:tcPr>
            <w:tcW w:w="120" w:type="dxa"/>
            <w:vAlign w:val="bottom"/>
            <w:shd w:val="clear" w:color="auto" w:fill="CCEEFF"/>
          </w:tcPr>
          <w:p>
            <w:pPr>
              <w:spacing w:after="0"/>
              <w:rPr>
                <w:sz w:val="24"/>
                <w:szCs w:val="24"/>
                <w:color w:val="auto"/>
              </w:rPr>
            </w:pP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xml:space="preserve">Target/Various </w:t>
            </w:r>
            <w:r>
              <w:rPr>
                <w:rFonts w:ascii="Arial" w:cs="Arial" w:eastAsia="Arial" w:hAnsi="Arial"/>
                <w:sz w:val="12"/>
                <w:szCs w:val="12"/>
                <w:color w:val="auto"/>
              </w:rPr>
              <w:t>(a)</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15/20</w:t>
            </w:r>
          </w:p>
        </w:tc>
        <w:tc>
          <w:tcPr>
            <w:tcW w:w="0" w:type="dxa"/>
            <w:vAlign w:val="bottom"/>
          </w:tcPr>
          <w:p>
            <w:pPr>
              <w:spacing w:after="0"/>
              <w:rPr>
                <w:sz w:val="1"/>
                <w:szCs w:val="1"/>
                <w:color w:val="auto"/>
              </w:rPr>
            </w:pPr>
          </w:p>
        </w:tc>
      </w:tr>
      <w:tr>
        <w:trPr>
          <w:trHeight w:val="264"/>
        </w:trPr>
        <w:tc>
          <w:tcPr>
            <w:tcW w:w="2060" w:type="dxa"/>
            <w:vAlign w:val="bottom"/>
            <w:gridSpan w:val="2"/>
          </w:tcPr>
          <w:p>
            <w:pPr>
              <w:ind w:left="20"/>
              <w:spacing w:after="0"/>
              <w:rPr>
                <w:sz w:val="20"/>
                <w:szCs w:val="20"/>
                <w:color w:val="auto"/>
              </w:rPr>
            </w:pPr>
            <w:r>
              <w:rPr>
                <w:rFonts w:ascii="Arial" w:cs="Arial" w:eastAsia="Arial" w:hAnsi="Arial"/>
                <w:sz w:val="14"/>
                <w:szCs w:val="14"/>
                <w:color w:val="auto"/>
              </w:rPr>
              <w:t>Stafford St Solar 3, LLC</w:t>
            </w:r>
          </w:p>
        </w:tc>
        <w:tc>
          <w:tcPr>
            <w:tcW w:w="1740" w:type="dxa"/>
            <w:vAlign w:val="bottom"/>
            <w:gridSpan w:val="2"/>
          </w:tcPr>
          <w:p>
            <w:pPr>
              <w:jc w:val="center"/>
              <w:ind w:right="140"/>
              <w:spacing w:after="0"/>
              <w:rPr>
                <w:sz w:val="20"/>
                <w:szCs w:val="20"/>
                <w:color w:val="auto"/>
              </w:rPr>
            </w:pPr>
            <w:r>
              <w:rPr>
                <w:rFonts w:ascii="Arial" w:cs="Arial" w:eastAsia="Arial" w:hAnsi="Arial"/>
                <w:sz w:val="14"/>
                <w:szCs w:val="14"/>
                <w:color w:val="auto"/>
                <w:w w:val="94"/>
              </w:rPr>
              <w:t>466 Stafford St Site C</w:t>
            </w: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color w:val="auto"/>
                <w:w w:val="95"/>
              </w:rPr>
              <w:t>Community</w:t>
            </w:r>
          </w:p>
        </w:tc>
        <w:tc>
          <w:tcPr>
            <w:tcW w:w="960" w:type="dxa"/>
            <w:vAlign w:val="bottom"/>
            <w:gridSpan w:val="2"/>
          </w:tcPr>
          <w:p>
            <w:pPr>
              <w:jc w:val="center"/>
              <w:ind w:right="120"/>
              <w:spacing w:after="0"/>
              <w:rPr>
                <w:sz w:val="20"/>
                <w:szCs w:val="20"/>
                <w:color w:val="auto"/>
              </w:rPr>
            </w:pPr>
            <w:r>
              <w:rPr>
                <w:rFonts w:ascii="Arial" w:cs="Arial" w:eastAsia="Arial" w:hAnsi="Arial"/>
                <w:sz w:val="14"/>
                <w:szCs w:val="14"/>
                <w:color w:val="auto"/>
              </w:rPr>
              <w:t>MA</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1,388</w:t>
            </w:r>
          </w:p>
        </w:tc>
        <w:tc>
          <w:tcPr>
            <w:tcW w:w="1280" w:type="dxa"/>
            <w:vAlign w:val="bottom"/>
            <w:gridSpan w:val="2"/>
          </w:tcPr>
          <w:p>
            <w:pPr>
              <w:jc w:val="center"/>
              <w:ind w:left="28"/>
              <w:spacing w:after="0"/>
              <w:rPr>
                <w:sz w:val="20"/>
                <w:szCs w:val="20"/>
                <w:color w:val="auto"/>
              </w:rPr>
            </w:pPr>
            <w:r>
              <w:rPr>
                <w:rFonts w:ascii="Arial" w:cs="Arial" w:eastAsia="Arial" w:hAnsi="Arial"/>
                <w:sz w:val="14"/>
                <w:szCs w:val="14"/>
                <w:color w:val="auto"/>
                <w:w w:val="91"/>
              </w:rPr>
              <w:t>12/31/17</w:t>
            </w:r>
          </w:p>
        </w:tc>
        <w:tc>
          <w:tcPr>
            <w:tcW w:w="120" w:type="dxa"/>
            <w:vAlign w:val="bottom"/>
          </w:tcPr>
          <w:p>
            <w:pPr>
              <w:spacing w:after="0"/>
              <w:rPr>
                <w:sz w:val="22"/>
                <w:szCs w:val="22"/>
                <w:color w:val="auto"/>
              </w:rPr>
            </w:pPr>
          </w:p>
        </w:tc>
        <w:tc>
          <w:tcPr>
            <w:tcW w:w="1920" w:type="dxa"/>
            <w:vAlign w:val="bottom"/>
            <w:gridSpan w:val="2"/>
          </w:tcPr>
          <w:p>
            <w:pPr>
              <w:ind w:left="20"/>
              <w:spacing w:after="0"/>
              <w:rPr>
                <w:sz w:val="20"/>
                <w:szCs w:val="20"/>
                <w:color w:val="auto"/>
              </w:rPr>
            </w:pPr>
            <w:r>
              <w:rPr>
                <w:rFonts w:ascii="Arial" w:cs="Arial" w:eastAsia="Arial" w:hAnsi="Arial"/>
                <w:sz w:val="14"/>
                <w:szCs w:val="14"/>
                <w:color w:val="auto"/>
              </w:rPr>
              <w:t xml:space="preserve">Raytheon/Various </w:t>
            </w:r>
            <w:r>
              <w:rPr>
                <w:rFonts w:ascii="Arial" w:cs="Arial" w:eastAsia="Arial" w:hAnsi="Arial"/>
                <w:sz w:val="12"/>
                <w:szCs w:val="12"/>
                <w:color w:val="auto"/>
              </w:rPr>
              <w:t>(a)</w:t>
            </w:r>
          </w:p>
        </w:tc>
        <w:tc>
          <w:tcPr>
            <w:tcW w:w="740" w:type="dxa"/>
            <w:vAlign w:val="bottom"/>
          </w:tcPr>
          <w:p>
            <w:pPr>
              <w:jc w:val="center"/>
              <w:spacing w:after="0"/>
              <w:rPr>
                <w:sz w:val="20"/>
                <w:szCs w:val="20"/>
                <w:color w:val="auto"/>
              </w:rPr>
            </w:pPr>
            <w:r>
              <w:rPr>
                <w:rFonts w:ascii="Arial" w:cs="Arial" w:eastAsia="Arial" w:hAnsi="Arial"/>
                <w:sz w:val="14"/>
                <w:szCs w:val="14"/>
                <w:color w:val="auto"/>
                <w:w w:val="89"/>
              </w:rPr>
              <w:t>20</w:t>
            </w:r>
          </w:p>
        </w:tc>
        <w:tc>
          <w:tcPr>
            <w:tcW w:w="0" w:type="dxa"/>
            <w:vAlign w:val="bottom"/>
          </w:tcPr>
          <w:p>
            <w:pPr>
              <w:spacing w:after="0"/>
              <w:rPr>
                <w:sz w:val="1"/>
                <w:szCs w:val="1"/>
                <w:color w:val="auto"/>
              </w:rPr>
            </w:pPr>
          </w:p>
        </w:tc>
      </w:tr>
      <w:tr>
        <w:trPr>
          <w:trHeight w:val="167"/>
        </w:trPr>
        <w:tc>
          <w:tcPr>
            <w:tcW w:w="2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ETCAP NES CS MN 02 LLC</w:t>
            </w:r>
          </w:p>
        </w:tc>
        <w:tc>
          <w:tcPr>
            <w:tcW w:w="1740" w:type="dxa"/>
            <w:vAlign w:val="bottom"/>
            <w:gridSpan w:val="2"/>
            <w:vMerge w:val="restart"/>
            <w:shd w:val="clear" w:color="auto" w:fill="CCEEFF"/>
          </w:tcPr>
          <w:p>
            <w:pPr>
              <w:jc w:val="center"/>
              <w:ind w:right="140"/>
              <w:spacing w:after="0"/>
              <w:rPr>
                <w:sz w:val="20"/>
                <w:szCs w:val="20"/>
                <w:color w:val="auto"/>
              </w:rPr>
            </w:pPr>
            <w:r>
              <w:rPr>
                <w:rFonts w:ascii="Arial" w:cs="Arial" w:eastAsia="Arial" w:hAnsi="Arial"/>
                <w:sz w:val="14"/>
                <w:szCs w:val="14"/>
                <w:color w:val="auto"/>
                <w:w w:val="93"/>
              </w:rPr>
              <w:t>Nystuen</w:t>
            </w:r>
          </w:p>
        </w:tc>
        <w:tc>
          <w:tcPr>
            <w:tcW w:w="1100" w:type="dxa"/>
            <w:vAlign w:val="bottom"/>
            <w:gridSpan w:val="2"/>
            <w:vMerge w:val="restart"/>
            <w:shd w:val="clear" w:color="auto" w:fill="CCEEFF"/>
          </w:tcPr>
          <w:p>
            <w:pPr>
              <w:jc w:val="center"/>
              <w:ind w:right="140"/>
              <w:spacing w:after="0"/>
              <w:rPr>
                <w:sz w:val="20"/>
                <w:szCs w:val="20"/>
                <w:color w:val="auto"/>
              </w:rPr>
            </w:pPr>
            <w:r>
              <w:rPr>
                <w:rFonts w:ascii="Arial" w:cs="Arial" w:eastAsia="Arial" w:hAnsi="Arial"/>
                <w:sz w:val="14"/>
                <w:szCs w:val="14"/>
                <w:color w:val="auto"/>
                <w:w w:val="95"/>
              </w:rPr>
              <w:t>Community</w:t>
            </w:r>
          </w:p>
        </w:tc>
        <w:tc>
          <w:tcPr>
            <w:tcW w:w="96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rPr>
              <w:t>MN</w:t>
            </w: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1,055</w:t>
            </w:r>
          </w:p>
        </w:tc>
        <w:tc>
          <w:tcPr>
            <w:tcW w:w="1280" w:type="dxa"/>
            <w:vAlign w:val="bottom"/>
            <w:gridSpan w:val="2"/>
            <w:vMerge w:val="restart"/>
            <w:shd w:val="clear" w:color="auto" w:fill="CCEEFF"/>
          </w:tcPr>
          <w:p>
            <w:pPr>
              <w:jc w:val="center"/>
              <w:ind w:left="28"/>
              <w:spacing w:after="0"/>
              <w:rPr>
                <w:sz w:val="20"/>
                <w:szCs w:val="20"/>
                <w:color w:val="auto"/>
              </w:rPr>
            </w:pPr>
            <w:r>
              <w:rPr>
                <w:rFonts w:ascii="Arial" w:cs="Arial" w:eastAsia="Arial" w:hAnsi="Arial"/>
                <w:sz w:val="14"/>
                <w:szCs w:val="14"/>
                <w:color w:val="auto"/>
                <w:w w:val="91"/>
              </w:rPr>
              <w:t>05/01/18</w:t>
            </w:r>
          </w:p>
        </w:tc>
        <w:tc>
          <w:tcPr>
            <w:tcW w:w="120" w:type="dxa"/>
            <w:vAlign w:val="bottom"/>
            <w:shd w:val="clear" w:color="auto" w:fill="CCEEFF"/>
          </w:tcPr>
          <w:p>
            <w:pPr>
              <w:spacing w:after="0"/>
              <w:rPr>
                <w:sz w:val="14"/>
                <w:szCs w:val="14"/>
                <w:color w:val="auto"/>
              </w:rPr>
            </w:pPr>
          </w:p>
        </w:tc>
        <w:tc>
          <w:tcPr>
            <w:tcW w:w="19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100% residential</w:t>
            </w:r>
          </w:p>
        </w:tc>
        <w:tc>
          <w:tcPr>
            <w:tcW w:w="7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9"/>
              </w:rPr>
              <w:t>25</w:t>
            </w:r>
          </w:p>
        </w:tc>
        <w:tc>
          <w:tcPr>
            <w:tcW w:w="0" w:type="dxa"/>
            <w:vAlign w:val="bottom"/>
          </w:tcPr>
          <w:p>
            <w:pPr>
              <w:spacing w:after="0"/>
              <w:rPr>
                <w:sz w:val="1"/>
                <w:szCs w:val="1"/>
                <w:color w:val="auto"/>
              </w:rPr>
            </w:pPr>
          </w:p>
        </w:tc>
      </w:tr>
      <w:tr>
        <w:trPr>
          <w:trHeight w:val="190"/>
        </w:trPr>
        <w:tc>
          <w:tcPr>
            <w:tcW w:w="20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w:t>
            </w:r>
          </w:p>
        </w:tc>
        <w:tc>
          <w:tcPr>
            <w:tcW w:w="1740" w:type="dxa"/>
            <w:vAlign w:val="bottom"/>
            <w:gridSpan w:val="2"/>
            <w:vMerge w:val="continue"/>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920" w:type="dxa"/>
            <w:vAlign w:val="bottom"/>
            <w:gridSpan w:val="2"/>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060" w:type="dxa"/>
            <w:vAlign w:val="bottom"/>
            <w:gridSpan w:val="2"/>
          </w:tcPr>
          <w:p>
            <w:pPr>
              <w:ind w:left="20"/>
              <w:spacing w:after="0"/>
              <w:rPr>
                <w:sz w:val="20"/>
                <w:szCs w:val="20"/>
                <w:color w:val="auto"/>
              </w:rPr>
            </w:pPr>
            <w:r>
              <w:rPr>
                <w:rFonts w:ascii="Arial" w:cs="Arial" w:eastAsia="Arial" w:hAnsi="Arial"/>
                <w:sz w:val="14"/>
                <w:szCs w:val="14"/>
                <w:color w:val="auto"/>
              </w:rPr>
              <w:t>ETCAP NES CS MN 06 LLC</w:t>
            </w:r>
          </w:p>
        </w:tc>
        <w:tc>
          <w:tcPr>
            <w:tcW w:w="174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5"/>
              </w:rPr>
              <w:t>Armstrong</w:t>
            </w:r>
          </w:p>
        </w:tc>
        <w:tc>
          <w:tcPr>
            <w:tcW w:w="1100" w:type="dxa"/>
            <w:vAlign w:val="bottom"/>
            <w:gridSpan w:val="2"/>
            <w:vMerge w:val="restart"/>
          </w:tcPr>
          <w:p>
            <w:pPr>
              <w:jc w:val="center"/>
              <w:ind w:right="140"/>
              <w:spacing w:after="0"/>
              <w:rPr>
                <w:sz w:val="20"/>
                <w:szCs w:val="20"/>
                <w:color w:val="auto"/>
              </w:rPr>
            </w:pPr>
            <w:r>
              <w:rPr>
                <w:rFonts w:ascii="Arial" w:cs="Arial" w:eastAsia="Arial" w:hAnsi="Arial"/>
                <w:sz w:val="14"/>
                <w:szCs w:val="14"/>
                <w:color w:val="auto"/>
                <w:w w:val="95"/>
              </w:rPr>
              <w:t>Community</w:t>
            </w:r>
          </w:p>
        </w:tc>
        <w:tc>
          <w:tcPr>
            <w:tcW w:w="96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rPr>
              <w:t>MN</w:t>
            </w: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3,714</w:t>
            </w:r>
          </w:p>
        </w:tc>
        <w:tc>
          <w:tcPr>
            <w:tcW w:w="1280" w:type="dxa"/>
            <w:vAlign w:val="bottom"/>
            <w:gridSpan w:val="2"/>
            <w:vMerge w:val="restart"/>
          </w:tcPr>
          <w:p>
            <w:pPr>
              <w:jc w:val="center"/>
              <w:ind w:left="28"/>
              <w:spacing w:after="0"/>
              <w:rPr>
                <w:sz w:val="20"/>
                <w:szCs w:val="20"/>
                <w:color w:val="auto"/>
              </w:rPr>
            </w:pPr>
            <w:r>
              <w:rPr>
                <w:rFonts w:ascii="Arial" w:cs="Arial" w:eastAsia="Arial" w:hAnsi="Arial"/>
                <w:sz w:val="14"/>
                <w:szCs w:val="14"/>
                <w:color w:val="auto"/>
                <w:w w:val="91"/>
              </w:rPr>
              <w:t>05/01/18</w:t>
            </w:r>
          </w:p>
        </w:tc>
        <w:tc>
          <w:tcPr>
            <w:tcW w:w="120" w:type="dxa"/>
            <w:vAlign w:val="bottom"/>
          </w:tcPr>
          <w:p>
            <w:pPr>
              <w:spacing w:after="0"/>
              <w:rPr>
                <w:sz w:val="14"/>
                <w:szCs w:val="14"/>
                <w:color w:val="auto"/>
              </w:rPr>
            </w:pPr>
          </w:p>
        </w:tc>
        <w:tc>
          <w:tcPr>
            <w:tcW w:w="1920" w:type="dxa"/>
            <w:vAlign w:val="bottom"/>
            <w:gridSpan w:val="2"/>
            <w:vMerge w:val="restart"/>
          </w:tcPr>
          <w:p>
            <w:pPr>
              <w:ind w:left="20"/>
              <w:spacing w:after="0"/>
              <w:rPr>
                <w:sz w:val="20"/>
                <w:szCs w:val="20"/>
                <w:color w:val="auto"/>
              </w:rPr>
            </w:pPr>
            <w:r>
              <w:rPr>
                <w:rFonts w:ascii="Arial" w:cs="Arial" w:eastAsia="Arial" w:hAnsi="Arial"/>
                <w:sz w:val="14"/>
                <w:szCs w:val="14"/>
                <w:color w:val="auto"/>
              </w:rPr>
              <w:t>Various</w:t>
            </w:r>
          </w:p>
        </w:tc>
        <w:tc>
          <w:tcPr>
            <w:tcW w:w="740" w:type="dxa"/>
            <w:vAlign w:val="bottom"/>
            <w:vMerge w:val="restart"/>
          </w:tcPr>
          <w:p>
            <w:pPr>
              <w:jc w:val="center"/>
              <w:spacing w:after="0"/>
              <w:rPr>
                <w:sz w:val="20"/>
                <w:szCs w:val="20"/>
                <w:color w:val="auto"/>
              </w:rPr>
            </w:pPr>
            <w:r>
              <w:rPr>
                <w:rFonts w:ascii="Arial" w:cs="Arial" w:eastAsia="Arial" w:hAnsi="Arial"/>
                <w:sz w:val="14"/>
                <w:szCs w:val="14"/>
                <w:color w:val="auto"/>
                <w:w w:val="89"/>
              </w:rPr>
              <w:t>25</w:t>
            </w:r>
          </w:p>
        </w:tc>
        <w:tc>
          <w:tcPr>
            <w:tcW w:w="0" w:type="dxa"/>
            <w:vAlign w:val="bottom"/>
          </w:tcPr>
          <w:p>
            <w:pPr>
              <w:spacing w:after="0"/>
              <w:rPr>
                <w:sz w:val="1"/>
                <w:szCs w:val="1"/>
                <w:color w:val="auto"/>
              </w:rPr>
            </w:pPr>
          </w:p>
        </w:tc>
      </w:tr>
      <w:tr>
        <w:trPr>
          <w:trHeight w:val="184"/>
        </w:trPr>
        <w:tc>
          <w:tcPr>
            <w:tcW w:w="2060" w:type="dxa"/>
            <w:vAlign w:val="bottom"/>
            <w:gridSpan w:val="2"/>
          </w:tcPr>
          <w:p>
            <w:pPr>
              <w:ind w:left="20"/>
              <w:spacing w:after="0"/>
              <w:rPr>
                <w:sz w:val="20"/>
                <w:szCs w:val="20"/>
                <w:color w:val="auto"/>
              </w:rPr>
            </w:pPr>
            <w:r>
              <w:rPr>
                <w:rFonts w:ascii="Arial" w:cs="Arial" w:eastAsia="Arial" w:hAnsi="Arial"/>
                <w:sz w:val="13"/>
                <w:szCs w:val="13"/>
                <w:color w:val="auto"/>
              </w:rPr>
              <w:t>(c)</w:t>
            </w:r>
          </w:p>
        </w:tc>
        <w:tc>
          <w:tcPr>
            <w:tcW w:w="1740" w:type="dxa"/>
            <w:vAlign w:val="bottom"/>
            <w:gridSpan w:val="2"/>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920" w:type="dxa"/>
            <w:vAlign w:val="bottom"/>
            <w:gridSpan w:val="2"/>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2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Stafford St Solar 2, LLC</w:t>
            </w:r>
          </w:p>
        </w:tc>
        <w:tc>
          <w:tcPr>
            <w:tcW w:w="174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5"/>
              </w:rPr>
              <w:t>466 Stafford St Site B</w:t>
            </w:r>
          </w:p>
        </w:tc>
        <w:tc>
          <w:tcPr>
            <w:tcW w:w="110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5"/>
              </w:rPr>
              <w:t>Community</w:t>
            </w:r>
          </w:p>
        </w:tc>
        <w:tc>
          <w:tcPr>
            <w:tcW w:w="9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MA</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2,776</w:t>
            </w:r>
          </w:p>
        </w:tc>
        <w:tc>
          <w:tcPr>
            <w:tcW w:w="128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1"/>
              </w:rPr>
              <w:t>05/09/18</w:t>
            </w:r>
          </w:p>
        </w:tc>
        <w:tc>
          <w:tcPr>
            <w:tcW w:w="120" w:type="dxa"/>
            <w:vAlign w:val="bottom"/>
            <w:shd w:val="clear" w:color="auto" w:fill="CCEEFF"/>
          </w:tcPr>
          <w:p>
            <w:pPr>
              <w:spacing w:after="0"/>
              <w:rPr>
                <w:sz w:val="24"/>
                <w:szCs w:val="24"/>
                <w:color w:val="auto"/>
              </w:rPr>
            </w:pP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xml:space="preserve">Target/Various </w:t>
            </w:r>
            <w:r>
              <w:rPr>
                <w:rFonts w:ascii="Arial" w:cs="Arial" w:eastAsia="Arial" w:hAnsi="Arial"/>
                <w:sz w:val="12"/>
                <w:szCs w:val="12"/>
                <w:color w:val="auto"/>
              </w:rPr>
              <w:t>(a)</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15/20</w:t>
            </w:r>
          </w:p>
        </w:tc>
        <w:tc>
          <w:tcPr>
            <w:tcW w:w="0" w:type="dxa"/>
            <w:vAlign w:val="bottom"/>
          </w:tcPr>
          <w:p>
            <w:pPr>
              <w:spacing w:after="0"/>
              <w:rPr>
                <w:sz w:val="1"/>
                <w:szCs w:val="1"/>
                <w:color w:val="auto"/>
              </w:rPr>
            </w:pPr>
          </w:p>
        </w:tc>
      </w:tr>
      <w:tr>
        <w:trPr>
          <w:trHeight w:val="264"/>
        </w:trPr>
        <w:tc>
          <w:tcPr>
            <w:tcW w:w="2060" w:type="dxa"/>
            <w:vAlign w:val="bottom"/>
            <w:gridSpan w:val="2"/>
          </w:tcPr>
          <w:p>
            <w:pPr>
              <w:ind w:left="20"/>
              <w:spacing w:after="0"/>
              <w:rPr>
                <w:sz w:val="20"/>
                <w:szCs w:val="20"/>
                <w:color w:val="auto"/>
              </w:rPr>
            </w:pPr>
            <w:r>
              <w:rPr>
                <w:rFonts w:ascii="Arial" w:cs="Arial" w:eastAsia="Arial" w:hAnsi="Arial"/>
                <w:sz w:val="14"/>
                <w:szCs w:val="14"/>
                <w:color w:val="auto"/>
              </w:rPr>
              <w:t>Bullock Road Solar 1, LLC</w:t>
            </w:r>
          </w:p>
        </w:tc>
        <w:tc>
          <w:tcPr>
            <w:tcW w:w="1740" w:type="dxa"/>
            <w:vAlign w:val="bottom"/>
            <w:gridSpan w:val="2"/>
          </w:tcPr>
          <w:p>
            <w:pPr>
              <w:jc w:val="center"/>
              <w:ind w:right="140"/>
              <w:spacing w:after="0"/>
              <w:rPr>
                <w:sz w:val="20"/>
                <w:szCs w:val="20"/>
                <w:color w:val="auto"/>
              </w:rPr>
            </w:pPr>
            <w:r>
              <w:rPr>
                <w:rFonts w:ascii="Arial" w:cs="Arial" w:eastAsia="Arial" w:hAnsi="Arial"/>
                <w:sz w:val="14"/>
                <w:szCs w:val="14"/>
                <w:color w:val="auto"/>
                <w:w w:val="99"/>
              </w:rPr>
              <w:t>247 &amp; 249 Bullock</w:t>
            </w: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color w:val="auto"/>
                <w:w w:val="95"/>
              </w:rPr>
              <w:t>Community</w:t>
            </w:r>
          </w:p>
        </w:tc>
        <w:tc>
          <w:tcPr>
            <w:tcW w:w="960" w:type="dxa"/>
            <w:vAlign w:val="bottom"/>
            <w:gridSpan w:val="2"/>
          </w:tcPr>
          <w:p>
            <w:pPr>
              <w:jc w:val="center"/>
              <w:ind w:right="120"/>
              <w:spacing w:after="0"/>
              <w:rPr>
                <w:sz w:val="20"/>
                <w:szCs w:val="20"/>
                <w:color w:val="auto"/>
              </w:rPr>
            </w:pPr>
            <w:r>
              <w:rPr>
                <w:rFonts w:ascii="Arial" w:cs="Arial" w:eastAsia="Arial" w:hAnsi="Arial"/>
                <w:sz w:val="14"/>
                <w:szCs w:val="14"/>
                <w:color w:val="auto"/>
              </w:rPr>
              <w:t>MA</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5,754</w:t>
            </w:r>
          </w:p>
        </w:tc>
        <w:tc>
          <w:tcPr>
            <w:tcW w:w="1280" w:type="dxa"/>
            <w:vAlign w:val="bottom"/>
            <w:gridSpan w:val="2"/>
          </w:tcPr>
          <w:p>
            <w:pPr>
              <w:jc w:val="center"/>
              <w:ind w:left="28"/>
              <w:spacing w:after="0"/>
              <w:rPr>
                <w:sz w:val="20"/>
                <w:szCs w:val="20"/>
                <w:color w:val="auto"/>
              </w:rPr>
            </w:pPr>
            <w:r>
              <w:rPr>
                <w:rFonts w:ascii="Arial" w:cs="Arial" w:eastAsia="Arial" w:hAnsi="Arial"/>
                <w:sz w:val="14"/>
                <w:szCs w:val="14"/>
                <w:color w:val="auto"/>
                <w:w w:val="91"/>
              </w:rPr>
              <w:t>07/25/18</w:t>
            </w:r>
          </w:p>
        </w:tc>
        <w:tc>
          <w:tcPr>
            <w:tcW w:w="120" w:type="dxa"/>
            <w:vAlign w:val="bottom"/>
          </w:tcPr>
          <w:p>
            <w:pPr>
              <w:spacing w:after="0"/>
              <w:rPr>
                <w:sz w:val="22"/>
                <w:szCs w:val="22"/>
                <w:color w:val="auto"/>
              </w:rPr>
            </w:pPr>
          </w:p>
        </w:tc>
        <w:tc>
          <w:tcPr>
            <w:tcW w:w="1920" w:type="dxa"/>
            <w:vAlign w:val="bottom"/>
            <w:gridSpan w:val="2"/>
          </w:tcPr>
          <w:p>
            <w:pPr>
              <w:ind w:left="20"/>
              <w:spacing w:after="0"/>
              <w:rPr>
                <w:sz w:val="20"/>
                <w:szCs w:val="20"/>
                <w:color w:val="auto"/>
              </w:rPr>
            </w:pPr>
            <w:r>
              <w:rPr>
                <w:rFonts w:ascii="Arial" w:cs="Arial" w:eastAsia="Arial" w:hAnsi="Arial"/>
                <w:sz w:val="14"/>
                <w:szCs w:val="14"/>
                <w:color w:val="auto"/>
              </w:rPr>
              <w:t>Various</w:t>
            </w:r>
          </w:p>
        </w:tc>
        <w:tc>
          <w:tcPr>
            <w:tcW w:w="740" w:type="dxa"/>
            <w:vAlign w:val="bottom"/>
          </w:tcPr>
          <w:p>
            <w:pPr>
              <w:jc w:val="center"/>
              <w:spacing w:after="0"/>
              <w:rPr>
                <w:sz w:val="20"/>
                <w:szCs w:val="20"/>
                <w:color w:val="auto"/>
              </w:rPr>
            </w:pPr>
            <w:r>
              <w:rPr>
                <w:rFonts w:ascii="Arial" w:cs="Arial" w:eastAsia="Arial" w:hAnsi="Arial"/>
                <w:sz w:val="14"/>
                <w:szCs w:val="14"/>
                <w:color w:val="auto"/>
                <w:w w:val="89"/>
              </w:rPr>
              <w:t>20</w:t>
            </w:r>
          </w:p>
        </w:tc>
        <w:tc>
          <w:tcPr>
            <w:tcW w:w="0" w:type="dxa"/>
            <w:vAlign w:val="bottom"/>
          </w:tcPr>
          <w:p>
            <w:pPr>
              <w:spacing w:after="0"/>
              <w:rPr>
                <w:sz w:val="1"/>
                <w:szCs w:val="1"/>
                <w:color w:val="auto"/>
              </w:rPr>
            </w:pPr>
          </w:p>
        </w:tc>
      </w:tr>
      <w:tr>
        <w:trPr>
          <w:trHeight w:val="276"/>
        </w:trPr>
        <w:tc>
          <w:tcPr>
            <w:tcW w:w="2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Mapleton Solar LLC</w:t>
            </w:r>
          </w:p>
        </w:tc>
        <w:tc>
          <w:tcPr>
            <w:tcW w:w="174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7"/>
              </w:rPr>
              <w:t>Mapleton</w:t>
            </w:r>
          </w:p>
        </w:tc>
        <w:tc>
          <w:tcPr>
            <w:tcW w:w="110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5"/>
              </w:rPr>
              <w:t>Community</w:t>
            </w:r>
          </w:p>
        </w:tc>
        <w:tc>
          <w:tcPr>
            <w:tcW w:w="9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MN</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5,080</w:t>
            </w:r>
          </w:p>
        </w:tc>
        <w:tc>
          <w:tcPr>
            <w:tcW w:w="128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1"/>
              </w:rPr>
              <w:t>09/01/18</w:t>
            </w:r>
          </w:p>
        </w:tc>
        <w:tc>
          <w:tcPr>
            <w:tcW w:w="120" w:type="dxa"/>
            <w:vAlign w:val="bottom"/>
            <w:shd w:val="clear" w:color="auto" w:fill="CCEEFF"/>
          </w:tcPr>
          <w:p>
            <w:pPr>
              <w:spacing w:after="0"/>
              <w:rPr>
                <w:sz w:val="24"/>
                <w:szCs w:val="24"/>
                <w:color w:val="auto"/>
              </w:rPr>
            </w:pP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Various</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25</w:t>
            </w:r>
          </w:p>
        </w:tc>
        <w:tc>
          <w:tcPr>
            <w:tcW w:w="0" w:type="dxa"/>
            <w:vAlign w:val="bottom"/>
          </w:tcPr>
          <w:p>
            <w:pPr>
              <w:spacing w:after="0"/>
              <w:rPr>
                <w:sz w:val="1"/>
                <w:szCs w:val="1"/>
                <w:color w:val="auto"/>
              </w:rPr>
            </w:pPr>
          </w:p>
        </w:tc>
      </w:tr>
      <w:tr>
        <w:trPr>
          <w:trHeight w:val="264"/>
        </w:trPr>
        <w:tc>
          <w:tcPr>
            <w:tcW w:w="2060" w:type="dxa"/>
            <w:vAlign w:val="bottom"/>
            <w:gridSpan w:val="2"/>
          </w:tcPr>
          <w:p>
            <w:pPr>
              <w:ind w:left="20"/>
              <w:spacing w:after="0"/>
              <w:rPr>
                <w:sz w:val="20"/>
                <w:szCs w:val="20"/>
                <w:color w:val="auto"/>
              </w:rPr>
            </w:pPr>
            <w:r>
              <w:rPr>
                <w:rFonts w:ascii="Arial" w:cs="Arial" w:eastAsia="Arial" w:hAnsi="Arial"/>
                <w:sz w:val="14"/>
                <w:szCs w:val="14"/>
                <w:color w:val="auto"/>
              </w:rPr>
              <w:t>Osakis Solar LLC</w:t>
            </w:r>
          </w:p>
        </w:tc>
        <w:tc>
          <w:tcPr>
            <w:tcW w:w="1740" w:type="dxa"/>
            <w:vAlign w:val="bottom"/>
            <w:gridSpan w:val="2"/>
          </w:tcPr>
          <w:p>
            <w:pPr>
              <w:jc w:val="center"/>
              <w:ind w:right="140"/>
              <w:spacing w:after="0"/>
              <w:rPr>
                <w:sz w:val="20"/>
                <w:szCs w:val="20"/>
                <w:color w:val="auto"/>
              </w:rPr>
            </w:pPr>
            <w:r>
              <w:rPr>
                <w:rFonts w:ascii="Arial" w:cs="Arial" w:eastAsia="Arial" w:hAnsi="Arial"/>
                <w:sz w:val="14"/>
                <w:szCs w:val="14"/>
                <w:color w:val="auto"/>
                <w:w w:val="93"/>
              </w:rPr>
              <w:t>Osakis</w:t>
            </w: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color w:val="auto"/>
                <w:w w:val="95"/>
              </w:rPr>
              <w:t>Community</w:t>
            </w:r>
          </w:p>
        </w:tc>
        <w:tc>
          <w:tcPr>
            <w:tcW w:w="960" w:type="dxa"/>
            <w:vAlign w:val="bottom"/>
            <w:gridSpan w:val="2"/>
          </w:tcPr>
          <w:p>
            <w:pPr>
              <w:jc w:val="center"/>
              <w:ind w:right="120"/>
              <w:spacing w:after="0"/>
              <w:rPr>
                <w:sz w:val="20"/>
                <w:szCs w:val="20"/>
                <w:color w:val="auto"/>
              </w:rPr>
            </w:pPr>
            <w:r>
              <w:rPr>
                <w:rFonts w:ascii="Arial" w:cs="Arial" w:eastAsia="Arial" w:hAnsi="Arial"/>
                <w:sz w:val="14"/>
                <w:szCs w:val="14"/>
                <w:color w:val="auto"/>
              </w:rPr>
              <w:t>MN</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7,213</w:t>
            </w:r>
          </w:p>
        </w:tc>
        <w:tc>
          <w:tcPr>
            <w:tcW w:w="1280" w:type="dxa"/>
            <w:vAlign w:val="bottom"/>
            <w:gridSpan w:val="2"/>
          </w:tcPr>
          <w:p>
            <w:pPr>
              <w:jc w:val="center"/>
              <w:ind w:left="28"/>
              <w:spacing w:after="0"/>
              <w:rPr>
                <w:sz w:val="20"/>
                <w:szCs w:val="20"/>
                <w:color w:val="auto"/>
              </w:rPr>
            </w:pPr>
            <w:r>
              <w:rPr>
                <w:rFonts w:ascii="Arial" w:cs="Arial" w:eastAsia="Arial" w:hAnsi="Arial"/>
                <w:sz w:val="14"/>
                <w:szCs w:val="14"/>
                <w:color w:val="auto"/>
                <w:w w:val="91"/>
              </w:rPr>
              <w:t>09/01/18</w:t>
            </w:r>
          </w:p>
        </w:tc>
        <w:tc>
          <w:tcPr>
            <w:tcW w:w="120" w:type="dxa"/>
            <w:vAlign w:val="bottom"/>
          </w:tcPr>
          <w:p>
            <w:pPr>
              <w:spacing w:after="0"/>
              <w:rPr>
                <w:sz w:val="22"/>
                <w:szCs w:val="22"/>
                <w:color w:val="auto"/>
              </w:rPr>
            </w:pPr>
          </w:p>
        </w:tc>
        <w:tc>
          <w:tcPr>
            <w:tcW w:w="1920" w:type="dxa"/>
            <w:vAlign w:val="bottom"/>
            <w:gridSpan w:val="2"/>
          </w:tcPr>
          <w:p>
            <w:pPr>
              <w:ind w:left="20"/>
              <w:spacing w:after="0"/>
              <w:rPr>
                <w:sz w:val="20"/>
                <w:szCs w:val="20"/>
                <w:color w:val="auto"/>
              </w:rPr>
            </w:pPr>
            <w:r>
              <w:rPr>
                <w:rFonts w:ascii="Arial" w:cs="Arial" w:eastAsia="Arial" w:hAnsi="Arial"/>
                <w:sz w:val="14"/>
                <w:szCs w:val="14"/>
                <w:color w:val="auto"/>
              </w:rPr>
              <w:t>Various</w:t>
            </w:r>
          </w:p>
        </w:tc>
        <w:tc>
          <w:tcPr>
            <w:tcW w:w="740" w:type="dxa"/>
            <w:vAlign w:val="bottom"/>
          </w:tcPr>
          <w:p>
            <w:pPr>
              <w:jc w:val="center"/>
              <w:spacing w:after="0"/>
              <w:rPr>
                <w:sz w:val="20"/>
                <w:szCs w:val="20"/>
                <w:color w:val="auto"/>
              </w:rPr>
            </w:pPr>
            <w:r>
              <w:rPr>
                <w:rFonts w:ascii="Arial" w:cs="Arial" w:eastAsia="Arial" w:hAnsi="Arial"/>
                <w:sz w:val="14"/>
                <w:szCs w:val="14"/>
                <w:color w:val="auto"/>
                <w:w w:val="89"/>
              </w:rPr>
              <w:t>25</w:t>
            </w:r>
          </w:p>
        </w:tc>
        <w:tc>
          <w:tcPr>
            <w:tcW w:w="0" w:type="dxa"/>
            <w:vAlign w:val="bottom"/>
          </w:tcPr>
          <w:p>
            <w:pPr>
              <w:spacing w:after="0"/>
              <w:rPr>
                <w:sz w:val="1"/>
                <w:szCs w:val="1"/>
                <w:color w:val="auto"/>
              </w:rPr>
            </w:pPr>
          </w:p>
        </w:tc>
      </w:tr>
      <w:tr>
        <w:trPr>
          <w:trHeight w:val="276"/>
        </w:trPr>
        <w:tc>
          <w:tcPr>
            <w:tcW w:w="2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Solar Wauwinet LLC</w:t>
            </w:r>
          </w:p>
        </w:tc>
        <w:tc>
          <w:tcPr>
            <w:tcW w:w="174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3"/>
              </w:rPr>
              <w:t>85 Wauwinet Rd-Barre</w:t>
            </w:r>
          </w:p>
        </w:tc>
        <w:tc>
          <w:tcPr>
            <w:tcW w:w="110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5"/>
              </w:rPr>
              <w:t>Community</w:t>
            </w:r>
          </w:p>
        </w:tc>
        <w:tc>
          <w:tcPr>
            <w:tcW w:w="9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MA</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1,294</w:t>
            </w:r>
          </w:p>
        </w:tc>
        <w:tc>
          <w:tcPr>
            <w:tcW w:w="128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1"/>
              </w:rPr>
              <w:t>09/17/18</w:t>
            </w:r>
          </w:p>
        </w:tc>
        <w:tc>
          <w:tcPr>
            <w:tcW w:w="120" w:type="dxa"/>
            <w:vAlign w:val="bottom"/>
            <w:shd w:val="clear" w:color="auto" w:fill="CCEEFF"/>
          </w:tcPr>
          <w:p>
            <w:pPr>
              <w:spacing w:after="0"/>
              <w:rPr>
                <w:sz w:val="24"/>
                <w:szCs w:val="24"/>
                <w:color w:val="auto"/>
              </w:rPr>
            </w:pP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xml:space="preserve">Target/Various </w:t>
            </w:r>
            <w:r>
              <w:rPr>
                <w:rFonts w:ascii="Arial" w:cs="Arial" w:eastAsia="Arial" w:hAnsi="Arial"/>
                <w:sz w:val="12"/>
                <w:szCs w:val="12"/>
                <w:color w:val="auto"/>
              </w:rPr>
              <w:t>(a)</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15/20</w:t>
            </w:r>
          </w:p>
        </w:tc>
        <w:tc>
          <w:tcPr>
            <w:tcW w:w="0" w:type="dxa"/>
            <w:vAlign w:val="bottom"/>
          </w:tcPr>
          <w:p>
            <w:pPr>
              <w:spacing w:after="0"/>
              <w:rPr>
                <w:sz w:val="1"/>
                <w:szCs w:val="1"/>
                <w:color w:val="auto"/>
              </w:rPr>
            </w:pPr>
          </w:p>
        </w:tc>
      </w:tr>
      <w:tr>
        <w:trPr>
          <w:trHeight w:val="264"/>
        </w:trPr>
        <w:tc>
          <w:tcPr>
            <w:tcW w:w="2060" w:type="dxa"/>
            <w:vAlign w:val="bottom"/>
            <w:gridSpan w:val="2"/>
          </w:tcPr>
          <w:p>
            <w:pPr>
              <w:ind w:left="20"/>
              <w:spacing w:after="0"/>
              <w:rPr>
                <w:sz w:val="20"/>
                <w:szCs w:val="20"/>
                <w:color w:val="auto"/>
              </w:rPr>
            </w:pPr>
            <w:r>
              <w:rPr>
                <w:rFonts w:ascii="Arial" w:cs="Arial" w:eastAsia="Arial" w:hAnsi="Arial"/>
                <w:sz w:val="14"/>
                <w:szCs w:val="14"/>
                <w:color w:val="auto"/>
              </w:rPr>
              <w:t>Minisink Solar 1 LLC</w:t>
            </w:r>
          </w:p>
        </w:tc>
        <w:tc>
          <w:tcPr>
            <w:tcW w:w="1740" w:type="dxa"/>
            <w:vAlign w:val="bottom"/>
            <w:gridSpan w:val="2"/>
          </w:tcPr>
          <w:p>
            <w:pPr>
              <w:jc w:val="center"/>
              <w:ind w:right="140"/>
              <w:spacing w:after="0"/>
              <w:rPr>
                <w:sz w:val="20"/>
                <w:szCs w:val="20"/>
                <w:color w:val="auto"/>
              </w:rPr>
            </w:pPr>
            <w:r>
              <w:rPr>
                <w:rFonts w:ascii="Arial" w:cs="Arial" w:eastAsia="Arial" w:hAnsi="Arial"/>
                <w:sz w:val="14"/>
                <w:szCs w:val="14"/>
                <w:color w:val="auto"/>
                <w:w w:val="99"/>
              </w:rPr>
              <w:t>Minisink North</w:t>
            </w: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color w:val="auto"/>
                <w:w w:val="95"/>
              </w:rPr>
              <w:t>Community</w:t>
            </w:r>
          </w:p>
        </w:tc>
        <w:tc>
          <w:tcPr>
            <w:tcW w:w="960" w:type="dxa"/>
            <w:vAlign w:val="bottom"/>
            <w:gridSpan w:val="2"/>
          </w:tcPr>
          <w:p>
            <w:pPr>
              <w:jc w:val="center"/>
              <w:ind w:right="120"/>
              <w:spacing w:after="0"/>
              <w:rPr>
                <w:sz w:val="20"/>
                <w:szCs w:val="20"/>
                <w:color w:val="auto"/>
              </w:rPr>
            </w:pPr>
            <w:r>
              <w:rPr>
                <w:rFonts w:ascii="Arial" w:cs="Arial" w:eastAsia="Arial" w:hAnsi="Arial"/>
                <w:sz w:val="14"/>
                <w:szCs w:val="14"/>
                <w:color w:val="auto"/>
              </w:rPr>
              <w:t>NY</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2,495</w:t>
            </w:r>
          </w:p>
        </w:tc>
        <w:tc>
          <w:tcPr>
            <w:tcW w:w="1280" w:type="dxa"/>
            <w:vAlign w:val="bottom"/>
            <w:gridSpan w:val="2"/>
          </w:tcPr>
          <w:p>
            <w:pPr>
              <w:jc w:val="center"/>
              <w:ind w:left="28"/>
              <w:spacing w:after="0"/>
              <w:rPr>
                <w:sz w:val="20"/>
                <w:szCs w:val="20"/>
                <w:color w:val="auto"/>
              </w:rPr>
            </w:pPr>
            <w:r>
              <w:rPr>
                <w:rFonts w:ascii="Arial" w:cs="Arial" w:eastAsia="Arial" w:hAnsi="Arial"/>
                <w:sz w:val="14"/>
                <w:szCs w:val="14"/>
                <w:color w:val="auto"/>
                <w:w w:val="91"/>
              </w:rPr>
              <w:t>10/26/18</w:t>
            </w:r>
          </w:p>
        </w:tc>
        <w:tc>
          <w:tcPr>
            <w:tcW w:w="120" w:type="dxa"/>
            <w:vAlign w:val="bottom"/>
          </w:tcPr>
          <w:p>
            <w:pPr>
              <w:spacing w:after="0"/>
              <w:rPr>
                <w:sz w:val="22"/>
                <w:szCs w:val="22"/>
                <w:color w:val="auto"/>
              </w:rPr>
            </w:pPr>
          </w:p>
        </w:tc>
        <w:tc>
          <w:tcPr>
            <w:tcW w:w="1920" w:type="dxa"/>
            <w:vAlign w:val="bottom"/>
            <w:gridSpan w:val="2"/>
          </w:tcPr>
          <w:p>
            <w:pPr>
              <w:ind w:left="20"/>
              <w:spacing w:after="0"/>
              <w:rPr>
                <w:sz w:val="20"/>
                <w:szCs w:val="20"/>
                <w:color w:val="auto"/>
              </w:rPr>
            </w:pPr>
            <w:r>
              <w:rPr>
                <w:rFonts w:ascii="Arial" w:cs="Arial" w:eastAsia="Arial" w:hAnsi="Arial"/>
                <w:sz w:val="14"/>
                <w:szCs w:val="14"/>
                <w:color w:val="auto"/>
              </w:rPr>
              <w:t>100% residential</w:t>
            </w:r>
          </w:p>
        </w:tc>
        <w:tc>
          <w:tcPr>
            <w:tcW w:w="740" w:type="dxa"/>
            <w:vAlign w:val="bottom"/>
          </w:tcPr>
          <w:p>
            <w:pPr>
              <w:jc w:val="center"/>
              <w:spacing w:after="0"/>
              <w:rPr>
                <w:sz w:val="20"/>
                <w:szCs w:val="20"/>
                <w:color w:val="auto"/>
              </w:rPr>
            </w:pPr>
            <w:r>
              <w:rPr>
                <w:rFonts w:ascii="Arial" w:cs="Arial" w:eastAsia="Arial" w:hAnsi="Arial"/>
                <w:sz w:val="14"/>
                <w:szCs w:val="14"/>
                <w:color w:val="auto"/>
                <w:w w:val="89"/>
              </w:rPr>
              <w:t>20</w:t>
            </w:r>
          </w:p>
        </w:tc>
        <w:tc>
          <w:tcPr>
            <w:tcW w:w="0" w:type="dxa"/>
            <w:vAlign w:val="bottom"/>
          </w:tcPr>
          <w:p>
            <w:pPr>
              <w:spacing w:after="0"/>
              <w:rPr>
                <w:sz w:val="1"/>
                <w:szCs w:val="1"/>
                <w:color w:val="auto"/>
              </w:rPr>
            </w:pPr>
          </w:p>
        </w:tc>
      </w:tr>
      <w:tr>
        <w:trPr>
          <w:trHeight w:val="276"/>
        </w:trPr>
        <w:tc>
          <w:tcPr>
            <w:tcW w:w="2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Minisink Solar 2 LLC</w:t>
            </w:r>
          </w:p>
        </w:tc>
        <w:tc>
          <w:tcPr>
            <w:tcW w:w="174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6"/>
              </w:rPr>
              <w:t>Minisink South</w:t>
            </w:r>
          </w:p>
        </w:tc>
        <w:tc>
          <w:tcPr>
            <w:tcW w:w="110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5"/>
              </w:rPr>
              <w:t>Community</w:t>
            </w:r>
          </w:p>
        </w:tc>
        <w:tc>
          <w:tcPr>
            <w:tcW w:w="9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NY</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2,795</w:t>
            </w:r>
          </w:p>
        </w:tc>
        <w:tc>
          <w:tcPr>
            <w:tcW w:w="128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1"/>
              </w:rPr>
              <w:t>11/01/18</w:t>
            </w:r>
          </w:p>
        </w:tc>
        <w:tc>
          <w:tcPr>
            <w:tcW w:w="120" w:type="dxa"/>
            <w:vAlign w:val="bottom"/>
            <w:shd w:val="clear" w:color="auto" w:fill="CCEEFF"/>
          </w:tcPr>
          <w:p>
            <w:pPr>
              <w:spacing w:after="0"/>
              <w:rPr>
                <w:sz w:val="24"/>
                <w:szCs w:val="24"/>
                <w:color w:val="auto"/>
              </w:rPr>
            </w:pP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100% residential</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w:t>
            </w:r>
          </w:p>
        </w:tc>
        <w:tc>
          <w:tcPr>
            <w:tcW w:w="0" w:type="dxa"/>
            <w:vAlign w:val="bottom"/>
          </w:tcPr>
          <w:p>
            <w:pPr>
              <w:spacing w:after="0"/>
              <w:rPr>
                <w:sz w:val="1"/>
                <w:szCs w:val="1"/>
                <w:color w:val="auto"/>
              </w:rPr>
            </w:pPr>
          </w:p>
        </w:tc>
      </w:tr>
      <w:tr>
        <w:trPr>
          <w:trHeight w:val="264"/>
        </w:trPr>
        <w:tc>
          <w:tcPr>
            <w:tcW w:w="20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DG Marathon LLC</w:t>
            </w:r>
          </w:p>
        </w:tc>
        <w:tc>
          <w:tcPr>
            <w:tcW w:w="1740" w:type="dxa"/>
            <w:vAlign w:val="bottom"/>
            <w:tcBorders>
              <w:bottom w:val="single" w:sz="8" w:color="CCEEFF"/>
            </w:tcBorders>
            <w:gridSpan w:val="2"/>
          </w:tcPr>
          <w:p>
            <w:pPr>
              <w:jc w:val="center"/>
              <w:ind w:right="140"/>
              <w:spacing w:after="0"/>
              <w:rPr>
                <w:sz w:val="20"/>
                <w:szCs w:val="20"/>
                <w:color w:val="auto"/>
              </w:rPr>
            </w:pPr>
            <w:r>
              <w:rPr>
                <w:rFonts w:ascii="Arial" w:cs="Arial" w:eastAsia="Arial" w:hAnsi="Arial"/>
                <w:sz w:val="14"/>
                <w:szCs w:val="14"/>
                <w:color w:val="auto"/>
                <w:w w:val="87"/>
              </w:rPr>
              <w:t>Sage Stone</w:t>
            </w:r>
          </w:p>
        </w:tc>
        <w:tc>
          <w:tcPr>
            <w:tcW w:w="1100" w:type="dxa"/>
            <w:vAlign w:val="bottom"/>
            <w:tcBorders>
              <w:bottom w:val="single" w:sz="8" w:color="CCEEFF"/>
            </w:tcBorders>
            <w:gridSpan w:val="2"/>
          </w:tcPr>
          <w:p>
            <w:pPr>
              <w:jc w:val="center"/>
              <w:ind w:right="140"/>
              <w:spacing w:after="0"/>
              <w:rPr>
                <w:sz w:val="20"/>
                <w:szCs w:val="20"/>
                <w:color w:val="auto"/>
              </w:rPr>
            </w:pPr>
            <w:r>
              <w:rPr>
                <w:rFonts w:ascii="Arial" w:cs="Arial" w:eastAsia="Arial" w:hAnsi="Arial"/>
                <w:sz w:val="14"/>
                <w:szCs w:val="14"/>
                <w:color w:val="auto"/>
                <w:w w:val="95"/>
              </w:rPr>
              <w:t>Community</w:t>
            </w:r>
          </w:p>
        </w:tc>
        <w:tc>
          <w:tcPr>
            <w:tcW w:w="96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4"/>
                <w:szCs w:val="14"/>
                <w:color w:val="auto"/>
              </w:rPr>
              <w:t>MA</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2,614</w:t>
            </w:r>
          </w:p>
        </w:tc>
        <w:tc>
          <w:tcPr>
            <w:tcW w:w="1280" w:type="dxa"/>
            <w:vAlign w:val="bottom"/>
            <w:tcBorders>
              <w:bottom w:val="single" w:sz="8" w:color="CCEEFF"/>
            </w:tcBorders>
            <w:gridSpan w:val="2"/>
          </w:tcPr>
          <w:p>
            <w:pPr>
              <w:jc w:val="center"/>
              <w:ind w:left="28"/>
              <w:spacing w:after="0"/>
              <w:rPr>
                <w:sz w:val="20"/>
                <w:szCs w:val="20"/>
                <w:color w:val="auto"/>
              </w:rPr>
            </w:pPr>
            <w:r>
              <w:rPr>
                <w:rFonts w:ascii="Arial" w:cs="Arial" w:eastAsia="Arial" w:hAnsi="Arial"/>
                <w:sz w:val="14"/>
                <w:szCs w:val="14"/>
                <w:color w:val="auto"/>
                <w:w w:val="91"/>
              </w:rPr>
              <w:t>01/04/19</w:t>
            </w:r>
          </w:p>
        </w:tc>
        <w:tc>
          <w:tcPr>
            <w:tcW w:w="120" w:type="dxa"/>
            <w:vAlign w:val="bottom"/>
            <w:tcBorders>
              <w:bottom w:val="single" w:sz="8" w:color="CCEEFF"/>
            </w:tcBorders>
          </w:tcPr>
          <w:p>
            <w:pPr>
              <w:spacing w:after="0"/>
              <w:rPr>
                <w:sz w:val="22"/>
                <w:szCs w:val="22"/>
                <w:color w:val="auto"/>
              </w:rPr>
            </w:pPr>
          </w:p>
        </w:tc>
        <w:tc>
          <w:tcPr>
            <w:tcW w:w="19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 xml:space="preserve">Ahold USA/Various </w:t>
            </w:r>
            <w:r>
              <w:rPr>
                <w:rFonts w:ascii="Arial" w:cs="Arial" w:eastAsia="Arial" w:hAnsi="Arial"/>
                <w:sz w:val="12"/>
                <w:szCs w:val="12"/>
                <w:color w:val="auto"/>
              </w:rPr>
              <w:t>(a)</w:t>
            </w:r>
          </w:p>
        </w:tc>
        <w:tc>
          <w:tcPr>
            <w:tcW w:w="74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89"/>
              </w:rPr>
              <w:t>20</w:t>
            </w:r>
          </w:p>
        </w:tc>
        <w:tc>
          <w:tcPr>
            <w:tcW w:w="0" w:type="dxa"/>
            <w:vAlign w:val="bottom"/>
          </w:tcPr>
          <w:p>
            <w:pPr>
              <w:spacing w:after="0"/>
              <w:rPr>
                <w:sz w:val="1"/>
                <w:szCs w:val="1"/>
                <w:color w:val="auto"/>
              </w:rPr>
            </w:pPr>
          </w:p>
        </w:tc>
      </w:tr>
      <w:tr>
        <w:trPr>
          <w:trHeight w:val="237"/>
        </w:trPr>
        <w:tc>
          <w:tcPr>
            <w:tcW w:w="1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81,592</w:t>
            </w: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197485</wp:posOffset>
            </wp:positionV>
            <wp:extent cx="11404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5">
                      <a:extLst>
                        <a:ext uri="{28A0092B-C50C-407E-A947-70E740481C1C}"/>
                      </a:extLst>
                    </a:blip>
                    <a:srcRect/>
                    <a:stretch>
                      <a:fillRect/>
                    </a:stretch>
                  </pic:blipFill>
                  <pic:spPr bwMode="auto">
                    <a:xfrm>
                      <a:off x="0" y="0"/>
                      <a:ext cx="1140460" cy="8890"/>
                    </a:xfrm>
                    <a:prstGeom prst="rect">
                      <a:avLst/>
                    </a:prstGeom>
                    <a:noFill/>
                  </pic:spPr>
                </pic:pic>
              </a:graphicData>
            </a:graphic>
          </wp:anchor>
        </w:drawing>
      </w:r>
    </w:p>
    <w:p>
      <w:pPr>
        <w:spacing w:after="0" w:line="339" w:lineRule="exact"/>
        <w:rPr>
          <w:sz w:val="20"/>
          <w:szCs w:val="20"/>
          <w:color w:val="auto"/>
        </w:rPr>
      </w:pPr>
    </w:p>
    <w:p>
      <w:pPr>
        <w:ind w:left="440" w:hanging="189"/>
        <w:spacing w:after="0"/>
        <w:tabs>
          <w:tab w:leader="none" w:pos="440" w:val="left"/>
        </w:tabs>
        <w:numPr>
          <w:ilvl w:val="1"/>
          <w:numId w:val="11"/>
        </w:numPr>
        <w:rPr>
          <w:rFonts w:ascii="Arial" w:cs="Arial" w:eastAsia="Arial" w:hAnsi="Arial"/>
          <w:sz w:val="14"/>
          <w:szCs w:val="14"/>
          <w:color w:val="auto"/>
        </w:rPr>
      </w:pPr>
      <w:r>
        <w:rPr>
          <w:rFonts w:ascii="Arial" w:cs="Arial" w:eastAsia="Arial" w:hAnsi="Arial"/>
          <w:sz w:val="14"/>
          <w:szCs w:val="14"/>
          <w:color w:val="auto"/>
        </w:rPr>
        <w:t>50% sold through community solar services agreements and 50% sold to named customer through net metering purchase agreements.</w:t>
      </w:r>
    </w:p>
    <w:p>
      <w:pPr>
        <w:spacing w:after="0" w:line="55" w:lineRule="exact"/>
        <w:rPr>
          <w:rFonts w:ascii="Arial" w:cs="Arial" w:eastAsia="Arial" w:hAnsi="Arial"/>
          <w:sz w:val="14"/>
          <w:szCs w:val="14"/>
          <w:color w:val="auto"/>
        </w:rPr>
      </w:pPr>
    </w:p>
    <w:p>
      <w:pPr>
        <w:ind w:left="460" w:hanging="209"/>
        <w:spacing w:after="0"/>
        <w:tabs>
          <w:tab w:leader="none" w:pos="460" w:val="left"/>
        </w:tabs>
        <w:numPr>
          <w:ilvl w:val="1"/>
          <w:numId w:val="11"/>
        </w:numPr>
        <w:rPr>
          <w:rFonts w:ascii="Arial" w:cs="Arial" w:eastAsia="Arial" w:hAnsi="Arial"/>
          <w:sz w:val="14"/>
          <w:szCs w:val="14"/>
          <w:color w:val="auto"/>
        </w:rPr>
      </w:pPr>
      <w:r>
        <w:rPr>
          <w:rFonts w:ascii="Arial" w:cs="Arial" w:eastAsia="Arial" w:hAnsi="Arial"/>
          <w:sz w:val="14"/>
          <w:szCs w:val="14"/>
          <w:color w:val="auto"/>
        </w:rPr>
        <w:t>The initial term of 27 years shall automatically extend for 3 years, then for 1 year in perpetuity unless terminated by either party.</w:t>
      </w:r>
    </w:p>
    <w:p>
      <w:pPr>
        <w:spacing w:after="0" w:line="55" w:lineRule="exact"/>
        <w:rPr>
          <w:rFonts w:ascii="Arial" w:cs="Arial" w:eastAsia="Arial" w:hAnsi="Arial"/>
          <w:sz w:val="14"/>
          <w:szCs w:val="14"/>
          <w:color w:val="auto"/>
        </w:rPr>
      </w:pPr>
    </w:p>
    <w:p>
      <w:pPr>
        <w:ind w:left="440" w:hanging="189"/>
        <w:spacing w:after="0"/>
        <w:tabs>
          <w:tab w:leader="none" w:pos="440" w:val="left"/>
        </w:tabs>
        <w:numPr>
          <w:ilvl w:val="1"/>
          <w:numId w:val="11"/>
        </w:numPr>
        <w:rPr>
          <w:rFonts w:ascii="Arial" w:cs="Arial" w:eastAsia="Arial" w:hAnsi="Arial"/>
          <w:sz w:val="14"/>
          <w:szCs w:val="14"/>
          <w:color w:val="auto"/>
        </w:rPr>
      </w:pPr>
      <w:r>
        <w:rPr>
          <w:rFonts w:ascii="Arial" w:cs="Arial" w:eastAsia="Arial" w:hAnsi="Arial"/>
          <w:sz w:val="14"/>
          <w:szCs w:val="14"/>
          <w:color w:val="auto"/>
        </w:rPr>
        <w:t>Mechanics liens have been filed on the project by certain engineering, procurement and construction contractors due to disputes between the contractor and subcontractor.</w:t>
      </w:r>
    </w:p>
    <w:p>
      <w:pPr>
        <w:spacing w:after="0" w:line="109" w:lineRule="exact"/>
        <w:rPr>
          <w:rFonts w:ascii="Arial" w:cs="Arial" w:eastAsia="Arial" w:hAnsi="Arial"/>
          <w:sz w:val="14"/>
          <w:szCs w:val="14"/>
          <w:color w:val="auto"/>
        </w:rPr>
      </w:pPr>
    </w:p>
    <w:p>
      <w:pPr>
        <w:ind w:left="280" w:hanging="272"/>
        <w:spacing w:after="0"/>
        <w:tabs>
          <w:tab w:leader="none" w:pos="2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CS4 Fund</w:t>
      </w:r>
    </w:p>
    <w:p>
      <w:pPr>
        <w:spacing w:after="0" w:line="12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The Company's wholly owned subsidiary, CS4 Borrower, was formed on July 9, 2018 for the purpose of acting as the borrower under a credit agreement for the CS4 Fund, as described in note 6,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and CS4 Borrower owns 100% of Renew Solar CS4 Class B LLC, the Class B Member of the Renew Solar CS4 Fund LLC, or CS4 Fund, tax equity arrangement. Renew Solar CS4 Class B LLC, or CS4 Class B, is the Managing Member of CS4 Fund and conducts and directs all operating activities of the fund. The Class A Member of CS4 Fund, or Investor Member, is PNC Commercial, LLC, or PNC, an indirect wholly owned subsidiary of PNC Financial Services Group, Inc. CS4 Borrower's wholly owned subsidiary Renew Solar CS4 Seller LLC, or CS4 Seller, acquires the project entities from a subsidiary of Clearway Renew, funds the construction of the projects, and in turn, sells these projects to CS4 Fund.</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4" w:right="239" w:bottom="1440" w:gutter="0" w:footer="0" w:header="0"/>
        </w:sectPr>
      </w:pPr>
    </w:p>
    <w:bookmarkStart w:id="23" w:name="page24"/>
    <w:bookmarkEnd w:id="23"/>
    <w:p>
      <w:pPr>
        <w:ind w:left="660"/>
        <w:spacing w:after="0"/>
        <w:rPr>
          <w:sz w:val="20"/>
          <w:szCs w:val="20"/>
          <w:color w:val="auto"/>
        </w:rPr>
      </w:pPr>
      <w:r>
        <w:rPr>
          <w:rFonts w:ascii="Arial" w:cs="Arial" w:eastAsia="Arial" w:hAnsi="Arial"/>
          <w:sz w:val="18"/>
          <w:szCs w:val="18"/>
          <w:color w:val="auto"/>
        </w:rPr>
        <w:t>CS4 Fund's 100% owned subsidiaries and related solar facilities are listed below:</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4"/>
              </w:rPr>
              <w:t>Facility</w:t>
            </w:r>
          </w:p>
        </w:tc>
        <w:tc>
          <w:tcPr>
            <w:tcW w:w="2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Commercial</w:t>
            </w:r>
          </w:p>
        </w:tc>
        <w:tc>
          <w:tcPr>
            <w:tcW w:w="2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70"/>
        </w:trPr>
        <w:tc>
          <w:tcPr>
            <w:tcW w:w="2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87"/>
              </w:rPr>
              <w:t>capacity</w:t>
            </w:r>
          </w:p>
        </w:tc>
        <w:tc>
          <w:tcPr>
            <w:tcW w:w="200" w:type="dxa"/>
            <w:vAlign w:val="bottom"/>
          </w:tcPr>
          <w:p>
            <w:pPr>
              <w:spacing w:after="0"/>
              <w:rPr>
                <w:sz w:val="23"/>
                <w:szCs w:val="23"/>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operations</w:t>
            </w:r>
          </w:p>
        </w:tc>
        <w:tc>
          <w:tcPr>
            <w:tcW w:w="2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1"/>
              </w:rPr>
              <w:t>PPA</w:t>
            </w:r>
          </w:p>
        </w:tc>
      </w:tr>
      <w:tr>
        <w:trPr>
          <w:trHeight w:val="270"/>
        </w:trPr>
        <w:tc>
          <w:tcPr>
            <w:tcW w:w="2740" w:type="dxa"/>
            <w:vAlign w:val="bottom"/>
            <w:gridSpan w:val="2"/>
          </w:tcPr>
          <w:p>
            <w:pPr>
              <w:ind w:left="680"/>
              <w:spacing w:after="0"/>
              <w:rPr>
                <w:sz w:val="20"/>
                <w:szCs w:val="20"/>
                <w:color w:val="auto"/>
              </w:rPr>
            </w:pPr>
            <w:r>
              <w:rPr>
                <w:rFonts w:ascii="Arial" w:cs="Arial" w:eastAsia="Arial" w:hAnsi="Arial"/>
                <w:sz w:val="16"/>
                <w:szCs w:val="16"/>
                <w:b w:val="1"/>
                <w:bCs w:val="1"/>
                <w:color w:val="auto"/>
              </w:rPr>
              <w:t>Project company</w:t>
            </w:r>
          </w:p>
        </w:tc>
        <w:tc>
          <w:tcPr>
            <w:tcW w:w="14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Location</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7"/>
              </w:rPr>
              <w:t>(kWdc)</w:t>
            </w:r>
          </w:p>
        </w:tc>
        <w:tc>
          <w:tcPr>
            <w:tcW w:w="200" w:type="dxa"/>
            <w:vAlign w:val="bottom"/>
          </w:tcPr>
          <w:p>
            <w:pPr>
              <w:spacing w:after="0"/>
              <w:rPr>
                <w:sz w:val="23"/>
                <w:szCs w:val="23"/>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date</w:t>
            </w:r>
          </w:p>
        </w:tc>
        <w:tc>
          <w:tcPr>
            <w:tcW w:w="2480" w:type="dxa"/>
            <w:vAlign w:val="bottom"/>
            <w:gridSpan w:val="2"/>
          </w:tcPr>
          <w:p>
            <w:pPr>
              <w:ind w:left="680"/>
              <w:spacing w:after="0"/>
              <w:rPr>
                <w:sz w:val="20"/>
                <w:szCs w:val="20"/>
                <w:color w:val="auto"/>
              </w:rPr>
            </w:pPr>
            <w:r>
              <w:rPr>
                <w:rFonts w:ascii="Arial" w:cs="Arial" w:eastAsia="Arial" w:hAnsi="Arial"/>
                <w:sz w:val="16"/>
                <w:szCs w:val="16"/>
                <w:b w:val="1"/>
                <w:bCs w:val="1"/>
                <w:color w:val="auto"/>
              </w:rPr>
              <w:t>PPA offtaker</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1"/>
              </w:rPr>
              <w:t>terms</w:t>
            </w:r>
          </w:p>
        </w:tc>
      </w:tr>
      <w:tr>
        <w:trPr>
          <w:trHeight w:val="33"/>
        </w:trPr>
        <w:tc>
          <w:tcPr>
            <w:tcW w:w="25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2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Montevideo Solar LLC</w:t>
            </w:r>
          </w:p>
        </w:tc>
        <w:tc>
          <w:tcPr>
            <w:tcW w:w="146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2"/>
              </w:rPr>
              <w:t>Minnesota</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7,497</w:t>
            </w:r>
          </w:p>
        </w:tc>
        <w:tc>
          <w:tcPr>
            <w:tcW w:w="1460" w:type="dxa"/>
            <w:vAlign w:val="bottom"/>
            <w:tcBorders>
              <w:bottom w:val="single" w:sz="8" w:color="CCEEFF"/>
            </w:tcBorders>
            <w:gridSpan w:val="2"/>
            <w:shd w:val="clear" w:color="auto" w:fill="CCEEFF"/>
          </w:tcPr>
          <w:p>
            <w:pPr>
              <w:jc w:val="center"/>
              <w:ind w:left="119"/>
              <w:spacing w:after="0"/>
              <w:rPr>
                <w:sz w:val="20"/>
                <w:szCs w:val="20"/>
                <w:color w:val="auto"/>
              </w:rPr>
            </w:pPr>
            <w:r>
              <w:rPr>
                <w:rFonts w:ascii="Arial" w:cs="Arial" w:eastAsia="Arial" w:hAnsi="Arial"/>
                <w:sz w:val="16"/>
                <w:szCs w:val="16"/>
                <w:color w:val="auto"/>
                <w:w w:val="93"/>
              </w:rPr>
              <w:t>1/1/2019</w:t>
            </w:r>
          </w:p>
        </w:tc>
        <w:tc>
          <w:tcPr>
            <w:tcW w:w="200" w:type="dxa"/>
            <w:vAlign w:val="bottom"/>
            <w:tcBorders>
              <w:bottom w:val="single" w:sz="8" w:color="CCEEFF"/>
            </w:tcBorders>
            <w:shd w:val="clear" w:color="auto" w:fill="CCEEFF"/>
          </w:tcPr>
          <w:p>
            <w:pPr>
              <w:spacing w:after="0"/>
              <w:rPr>
                <w:sz w:val="20"/>
                <w:szCs w:val="20"/>
                <w:color w:val="auto"/>
              </w:rPr>
            </w:pPr>
          </w:p>
        </w:tc>
        <w:tc>
          <w:tcPr>
            <w:tcW w:w="2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Various</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7"/>
              </w:rPr>
              <w:t>25 years</w:t>
            </w:r>
          </w:p>
        </w:tc>
      </w:tr>
      <w:tr>
        <w:trPr>
          <w:trHeight w:val="270"/>
        </w:trPr>
        <w:tc>
          <w:tcPr>
            <w:tcW w:w="2740" w:type="dxa"/>
            <w:vAlign w:val="bottom"/>
            <w:gridSpan w:val="2"/>
          </w:tcPr>
          <w:p>
            <w:pPr>
              <w:ind w:left="40"/>
              <w:spacing w:after="0"/>
              <w:rPr>
                <w:sz w:val="20"/>
                <w:szCs w:val="20"/>
                <w:color w:val="auto"/>
              </w:rPr>
            </w:pPr>
            <w:r>
              <w:rPr>
                <w:rFonts w:ascii="Arial" w:cs="Arial" w:eastAsia="Arial" w:hAnsi="Arial"/>
                <w:sz w:val="16"/>
                <w:szCs w:val="16"/>
                <w:color w:val="auto"/>
              </w:rPr>
              <w:t>Chisago Holdco LLC</w:t>
            </w: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Minnesota</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3,937</w:t>
            </w:r>
          </w:p>
        </w:tc>
        <w:tc>
          <w:tcPr>
            <w:tcW w:w="200" w:type="dxa"/>
            <w:vAlign w:val="bottom"/>
          </w:tcPr>
          <w:p>
            <w:pPr>
              <w:spacing w:after="0"/>
              <w:rPr>
                <w:sz w:val="23"/>
                <w:szCs w:val="23"/>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6"/>
                <w:szCs w:val="16"/>
                <w:color w:val="auto"/>
                <w:w w:val="91"/>
              </w:rPr>
              <w:t xml:space="preserve">N/A </w:t>
            </w:r>
            <w:r>
              <w:rPr>
                <w:rFonts w:ascii="Arial" w:cs="Arial" w:eastAsia="Arial" w:hAnsi="Arial"/>
                <w:sz w:val="21"/>
                <w:szCs w:val="21"/>
                <w:color w:val="auto"/>
                <w:w w:val="91"/>
                <w:vertAlign w:val="superscript"/>
              </w:rPr>
              <w:t>(a)</w:t>
            </w:r>
          </w:p>
        </w:tc>
        <w:tc>
          <w:tcPr>
            <w:tcW w:w="2480" w:type="dxa"/>
            <w:vAlign w:val="bottom"/>
            <w:gridSpan w:val="2"/>
          </w:tcPr>
          <w:p>
            <w:pPr>
              <w:ind w:left="20"/>
              <w:spacing w:after="0"/>
              <w:rPr>
                <w:sz w:val="20"/>
                <w:szCs w:val="20"/>
                <w:color w:val="auto"/>
              </w:rPr>
            </w:pPr>
            <w:r>
              <w:rPr>
                <w:rFonts w:ascii="Arial" w:cs="Arial" w:eastAsia="Arial" w:hAnsi="Arial"/>
                <w:sz w:val="16"/>
                <w:szCs w:val="16"/>
                <w:color w:val="auto"/>
              </w:rPr>
              <w:t>Various</w:t>
            </w:r>
          </w:p>
        </w:tc>
        <w:tc>
          <w:tcPr>
            <w:tcW w:w="1140" w:type="dxa"/>
            <w:vAlign w:val="bottom"/>
          </w:tcPr>
          <w:p>
            <w:pPr>
              <w:jc w:val="center"/>
              <w:spacing w:after="0"/>
              <w:rPr>
                <w:sz w:val="20"/>
                <w:szCs w:val="20"/>
                <w:color w:val="auto"/>
              </w:rPr>
            </w:pPr>
            <w:r>
              <w:rPr>
                <w:rFonts w:ascii="Arial" w:cs="Arial" w:eastAsia="Arial" w:hAnsi="Arial"/>
                <w:sz w:val="16"/>
                <w:szCs w:val="16"/>
                <w:color w:val="auto"/>
                <w:w w:val="87"/>
              </w:rPr>
              <w:t>25 years</w:t>
            </w:r>
          </w:p>
        </w:tc>
      </w:tr>
      <w:tr>
        <w:trPr>
          <w:trHeight w:val="270"/>
        </w:trPr>
        <w:tc>
          <w:tcPr>
            <w:tcW w:w="2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CMR Solar LLC</w:t>
            </w:r>
          </w:p>
        </w:tc>
        <w:tc>
          <w:tcPr>
            <w:tcW w:w="146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5"/>
              </w:rPr>
              <w:t>New York</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2,808</w:t>
            </w:r>
          </w:p>
        </w:tc>
        <w:tc>
          <w:tcPr>
            <w:tcW w:w="20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91"/>
              </w:rPr>
              <w:t xml:space="preserve">N/A </w:t>
            </w:r>
            <w:r>
              <w:rPr>
                <w:rFonts w:ascii="Arial" w:cs="Arial" w:eastAsia="Arial" w:hAnsi="Arial"/>
                <w:sz w:val="21"/>
                <w:szCs w:val="21"/>
                <w:color w:val="auto"/>
                <w:w w:val="91"/>
                <w:vertAlign w:val="superscript"/>
              </w:rPr>
              <w:t>(a)</w:t>
            </w:r>
          </w:p>
        </w:tc>
        <w:tc>
          <w:tcPr>
            <w:tcW w:w="2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NYSERDA/Various </w:t>
            </w:r>
            <w:r>
              <w:rPr>
                <w:rFonts w:ascii="Arial" w:cs="Arial" w:eastAsia="Arial" w:hAnsi="Arial"/>
                <w:sz w:val="21"/>
                <w:szCs w:val="21"/>
                <w:color w:val="auto"/>
                <w:vertAlign w:val="superscript"/>
              </w:rPr>
              <w:t>(b)</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10/20 years</w:t>
            </w:r>
          </w:p>
        </w:tc>
      </w:tr>
      <w:tr>
        <w:trPr>
          <w:trHeight w:val="270"/>
        </w:trPr>
        <w:tc>
          <w:tcPr>
            <w:tcW w:w="2740" w:type="dxa"/>
            <w:vAlign w:val="bottom"/>
            <w:gridSpan w:val="2"/>
          </w:tcPr>
          <w:p>
            <w:pPr>
              <w:ind w:left="40"/>
              <w:spacing w:after="0"/>
              <w:rPr>
                <w:sz w:val="20"/>
                <w:szCs w:val="20"/>
                <w:color w:val="auto"/>
              </w:rPr>
            </w:pPr>
            <w:r>
              <w:rPr>
                <w:rFonts w:ascii="Arial" w:cs="Arial" w:eastAsia="Arial" w:hAnsi="Arial"/>
                <w:sz w:val="16"/>
                <w:szCs w:val="16"/>
                <w:color w:val="auto"/>
              </w:rPr>
              <w:t>Frontenac Holdco LLC</w:t>
            </w: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Minnesota</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7,208</w:t>
            </w:r>
          </w:p>
        </w:tc>
        <w:tc>
          <w:tcPr>
            <w:tcW w:w="200" w:type="dxa"/>
            <w:vAlign w:val="bottom"/>
          </w:tcPr>
          <w:p>
            <w:pPr>
              <w:spacing w:after="0"/>
              <w:rPr>
                <w:sz w:val="23"/>
                <w:szCs w:val="23"/>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6"/>
                <w:szCs w:val="16"/>
                <w:color w:val="auto"/>
                <w:w w:val="91"/>
              </w:rPr>
              <w:t xml:space="preserve">N/A </w:t>
            </w:r>
            <w:r>
              <w:rPr>
                <w:rFonts w:ascii="Arial" w:cs="Arial" w:eastAsia="Arial" w:hAnsi="Arial"/>
                <w:sz w:val="21"/>
                <w:szCs w:val="21"/>
                <w:color w:val="auto"/>
                <w:w w:val="91"/>
                <w:vertAlign w:val="superscript"/>
              </w:rPr>
              <w:t>(a)</w:t>
            </w:r>
          </w:p>
        </w:tc>
        <w:tc>
          <w:tcPr>
            <w:tcW w:w="2480" w:type="dxa"/>
            <w:vAlign w:val="bottom"/>
            <w:gridSpan w:val="2"/>
          </w:tcPr>
          <w:p>
            <w:pPr>
              <w:ind w:left="20"/>
              <w:spacing w:after="0"/>
              <w:rPr>
                <w:sz w:val="20"/>
                <w:szCs w:val="20"/>
                <w:color w:val="auto"/>
              </w:rPr>
            </w:pPr>
            <w:r>
              <w:rPr>
                <w:rFonts w:ascii="Arial" w:cs="Arial" w:eastAsia="Arial" w:hAnsi="Arial"/>
                <w:sz w:val="16"/>
                <w:szCs w:val="16"/>
                <w:color w:val="auto"/>
              </w:rPr>
              <w:t>Various</w:t>
            </w:r>
          </w:p>
        </w:tc>
        <w:tc>
          <w:tcPr>
            <w:tcW w:w="1140" w:type="dxa"/>
            <w:vAlign w:val="bottom"/>
          </w:tcPr>
          <w:p>
            <w:pPr>
              <w:jc w:val="center"/>
              <w:spacing w:after="0"/>
              <w:rPr>
                <w:sz w:val="20"/>
                <w:szCs w:val="20"/>
                <w:color w:val="auto"/>
              </w:rPr>
            </w:pPr>
            <w:r>
              <w:rPr>
                <w:rFonts w:ascii="Arial" w:cs="Arial" w:eastAsia="Arial" w:hAnsi="Arial"/>
                <w:sz w:val="16"/>
                <w:szCs w:val="16"/>
                <w:color w:val="auto"/>
                <w:w w:val="87"/>
              </w:rPr>
              <w:t>25 years</w:t>
            </w:r>
          </w:p>
        </w:tc>
      </w:tr>
      <w:tr>
        <w:trPr>
          <w:trHeight w:val="270"/>
        </w:trPr>
        <w:tc>
          <w:tcPr>
            <w:tcW w:w="2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Bluestone Solar LLC</w:t>
            </w:r>
          </w:p>
        </w:tc>
        <w:tc>
          <w:tcPr>
            <w:tcW w:w="146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5"/>
              </w:rPr>
              <w:t>New York</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3,013</w:t>
            </w:r>
          </w:p>
        </w:tc>
        <w:tc>
          <w:tcPr>
            <w:tcW w:w="20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91"/>
              </w:rPr>
              <w:t xml:space="preserve">N/A </w:t>
            </w:r>
            <w:r>
              <w:rPr>
                <w:rFonts w:ascii="Arial" w:cs="Arial" w:eastAsia="Arial" w:hAnsi="Arial"/>
                <w:sz w:val="21"/>
                <w:szCs w:val="21"/>
                <w:color w:val="auto"/>
                <w:w w:val="91"/>
                <w:vertAlign w:val="superscript"/>
              </w:rPr>
              <w:t>(a)</w:t>
            </w:r>
          </w:p>
        </w:tc>
        <w:tc>
          <w:tcPr>
            <w:tcW w:w="2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Various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20 years</w:t>
            </w:r>
          </w:p>
        </w:tc>
      </w:tr>
      <w:tr>
        <w:trPr>
          <w:trHeight w:val="270"/>
        </w:trPr>
        <w:tc>
          <w:tcPr>
            <w:tcW w:w="27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Underhill Solar LLC</w:t>
            </w:r>
          </w:p>
        </w:tc>
        <w:tc>
          <w:tcPr>
            <w:tcW w:w="1460" w:type="dxa"/>
            <w:vAlign w:val="bottom"/>
            <w:tcBorders>
              <w:bottom w:val="single" w:sz="8" w:color="CCEEFF"/>
            </w:tcBorders>
            <w:gridSpan w:val="2"/>
          </w:tcPr>
          <w:p>
            <w:pPr>
              <w:jc w:val="center"/>
              <w:ind w:right="200"/>
              <w:spacing w:after="0"/>
              <w:rPr>
                <w:sz w:val="20"/>
                <w:szCs w:val="20"/>
                <w:color w:val="auto"/>
              </w:rPr>
            </w:pPr>
            <w:r>
              <w:rPr>
                <w:rFonts w:ascii="Arial" w:cs="Arial" w:eastAsia="Arial" w:hAnsi="Arial"/>
                <w:sz w:val="16"/>
                <w:szCs w:val="16"/>
                <w:color w:val="auto"/>
                <w:w w:val="95"/>
              </w:rPr>
              <w:t>New York</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3,011</w:t>
            </w:r>
          </w:p>
        </w:tc>
        <w:tc>
          <w:tcPr>
            <w:tcW w:w="200" w:type="dxa"/>
            <w:vAlign w:val="bottom"/>
            <w:tcBorders>
              <w:bottom w:val="single" w:sz="8" w:color="CCEEFF"/>
            </w:tcBorders>
          </w:tcPr>
          <w:p>
            <w:pPr>
              <w:spacing w:after="0"/>
              <w:rPr>
                <w:sz w:val="23"/>
                <w:szCs w:val="23"/>
                <w:color w:val="auto"/>
              </w:rPr>
            </w:pPr>
          </w:p>
        </w:tc>
        <w:tc>
          <w:tcPr>
            <w:tcW w:w="1460" w:type="dxa"/>
            <w:vAlign w:val="bottom"/>
            <w:tcBorders>
              <w:bottom w:val="single" w:sz="8" w:color="CCEEFF"/>
            </w:tcBorders>
            <w:gridSpan w:val="2"/>
          </w:tcPr>
          <w:p>
            <w:pPr>
              <w:jc w:val="center"/>
              <w:ind w:right="180"/>
              <w:spacing w:after="0" w:line="269" w:lineRule="exact"/>
              <w:rPr>
                <w:sz w:val="20"/>
                <w:szCs w:val="20"/>
                <w:color w:val="auto"/>
              </w:rPr>
            </w:pPr>
            <w:r>
              <w:rPr>
                <w:rFonts w:ascii="Arial" w:cs="Arial" w:eastAsia="Arial" w:hAnsi="Arial"/>
                <w:sz w:val="31"/>
                <w:szCs w:val="31"/>
                <w:color w:val="auto"/>
                <w:w w:val="86"/>
                <w:vertAlign w:val="subscript"/>
              </w:rPr>
              <w:t>N/A</w:t>
            </w:r>
            <w:r>
              <w:rPr>
                <w:rFonts w:ascii="Arial" w:cs="Arial" w:eastAsia="Arial" w:hAnsi="Arial"/>
                <w:sz w:val="11"/>
                <w:szCs w:val="11"/>
                <w:color w:val="auto"/>
                <w:w w:val="86"/>
              </w:rPr>
              <w:t xml:space="preserve"> (a)</w:t>
            </w:r>
          </w:p>
        </w:tc>
        <w:tc>
          <w:tcPr>
            <w:tcW w:w="24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 xml:space="preserve">NYSERDA/Various </w:t>
            </w:r>
            <w:r>
              <w:rPr>
                <w:rFonts w:ascii="Arial" w:cs="Arial" w:eastAsia="Arial" w:hAnsi="Arial"/>
                <w:sz w:val="21"/>
                <w:szCs w:val="21"/>
                <w:color w:val="auto"/>
                <w:vertAlign w:val="superscript"/>
              </w:rPr>
              <w:t>(b)</w:t>
            </w:r>
          </w:p>
        </w:tc>
        <w:tc>
          <w:tcPr>
            <w:tcW w:w="114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88"/>
              </w:rPr>
              <w:t>10/20 years</w:t>
            </w:r>
          </w:p>
        </w:tc>
      </w:tr>
      <w:tr>
        <w:trPr>
          <w:trHeight w:val="255"/>
        </w:trPr>
        <w:tc>
          <w:tcPr>
            <w:tcW w:w="25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27,474</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1404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6">
                      <a:extLst>
                        <a:ext uri="{28A0092B-C50C-407E-A947-70E740481C1C}"/>
                      </a:extLst>
                    </a:blip>
                    <a:srcRect/>
                    <a:stretch>
                      <a:fillRect/>
                    </a:stretch>
                  </pic:blipFill>
                  <pic:spPr bwMode="auto">
                    <a:xfrm>
                      <a:off x="0" y="0"/>
                      <a:ext cx="1140460" cy="8890"/>
                    </a:xfrm>
                    <a:prstGeom prst="rect">
                      <a:avLst/>
                    </a:prstGeom>
                    <a:noFill/>
                  </pic:spPr>
                </pic:pic>
              </a:graphicData>
            </a:graphic>
          </wp:anchor>
        </w:drawing>
      </w:r>
    </w:p>
    <w:p>
      <w:pPr>
        <w:spacing w:after="0" w:line="339" w:lineRule="exact"/>
        <w:rPr>
          <w:sz w:val="20"/>
          <w:szCs w:val="20"/>
          <w:color w:val="auto"/>
        </w:rPr>
      </w:pPr>
    </w:p>
    <w:p>
      <w:pPr>
        <w:ind w:left="200" w:hanging="192"/>
        <w:spacing w:after="0"/>
        <w:tabs>
          <w:tab w:leader="none" w:pos="2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Projects have not yet begun commercial operations.</w:t>
      </w:r>
    </w:p>
    <w:p>
      <w:pPr>
        <w:spacing w:after="0" w:line="55" w:lineRule="exact"/>
        <w:rPr>
          <w:rFonts w:ascii="Arial" w:cs="Arial" w:eastAsia="Arial" w:hAnsi="Arial"/>
          <w:sz w:val="14"/>
          <w:szCs w:val="14"/>
          <w:color w:val="auto"/>
        </w:rPr>
      </w:pPr>
    </w:p>
    <w:p>
      <w:pPr>
        <w:ind w:left="220" w:hanging="212"/>
        <w:spacing w:after="0"/>
        <w:tabs>
          <w:tab w:leader="none" w:pos="2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1,000 kWdc sold to New York State Energy Research and Development Authority, or NYSERDA, through the 10-year PPA and the remainder through community solar customer agreements.</w:t>
      </w:r>
    </w:p>
    <w:p>
      <w:pPr>
        <w:spacing w:after="0" w:line="206" w:lineRule="exact"/>
        <w:rPr>
          <w:sz w:val="20"/>
          <w:szCs w:val="20"/>
          <w:color w:val="auto"/>
        </w:rPr>
      </w:pPr>
    </w:p>
    <w:p>
      <w:pPr>
        <w:ind w:firstLine="648"/>
        <w:spacing w:after="0" w:line="293" w:lineRule="auto"/>
        <w:rPr>
          <w:sz w:val="20"/>
          <w:szCs w:val="20"/>
          <w:color w:val="auto"/>
        </w:rPr>
      </w:pPr>
      <w:r>
        <w:rPr>
          <w:rFonts w:ascii="Arial" w:cs="Arial" w:eastAsia="Arial" w:hAnsi="Arial"/>
          <w:sz w:val="18"/>
          <w:szCs w:val="18"/>
          <w:color w:val="auto"/>
        </w:rPr>
        <w:t>CS4 Borrower also owns two additional project companies, Rollingstone Holdco LLC and Sartell Solar LLC, held by CS4 Seller, which have not yet been sold into CS4 Fund.</w:t>
      </w:r>
    </w:p>
    <w:p>
      <w:pPr>
        <w:spacing w:after="0" w:line="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diagram provides further information related to the Company’s ownership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5866130" cy="43992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7">
                      <a:extLst>
                        <a:ext uri="{28A0092B-C50C-407E-A947-70E740481C1C}"/>
                      </a:extLst>
                    </a:blip>
                    <a:srcRect/>
                    <a:stretch>
                      <a:fillRect/>
                    </a:stretch>
                  </pic:blipFill>
                  <pic:spPr bwMode="auto">
                    <a:xfrm>
                      <a:off x="0" y="0"/>
                      <a:ext cx="5866130" cy="439928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00"/>
          </w:cols>
          <w:pgMar w:left="240" w:top="584" w:right="25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Basis of Presentation and Principles of Consolidation</w:t>
      </w:r>
    </w:p>
    <w:p>
      <w:pPr>
        <w:spacing w:after="0" w:line="13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Company’s consolidated financial statements have been prepared in accordance with accounting principles generally accepted in the United States, or U.S. GAAP. The Accounting Standards Codification, or ASC, established by the Financial Accounting Standards Board, or FASB, is the source of authoritative U.S. GAAP to be applied by nongovernmental entities.</w:t>
      </w:r>
    </w:p>
    <w:p>
      <w:pPr>
        <w:spacing w:after="0" w:line="14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The consolidated financial statements include the Company's accounts and operations of those of its subsidiaries. All significant intercompany transactions and balances have been eliminated in the consolidated financial statements. The usual condition for a controlling financial interest is ownership of a majority of the voting interests of an entity. However, a controlling financial interest may also exist through arrangements that do not involve controlling voting interests. As such, the Company applies the guidance of ASC 810, </w:t>
      </w:r>
      <w:r>
        <w:rPr>
          <w:rFonts w:ascii="Arial" w:cs="Arial" w:eastAsia="Arial" w:hAnsi="Arial"/>
          <w:sz w:val="18"/>
          <w:szCs w:val="18"/>
          <w:i w:val="1"/>
          <w:iCs w:val="1"/>
          <w:color w:val="auto"/>
        </w:rPr>
        <w:t>Consolidations</w:t>
      </w:r>
      <w:r>
        <w:rPr>
          <w:rFonts w:ascii="Arial" w:cs="Arial" w:eastAsia="Arial" w:hAnsi="Arial"/>
          <w:sz w:val="18"/>
          <w:szCs w:val="18"/>
          <w:color w:val="auto"/>
        </w:rPr>
        <w:t>, to determine when an entity that is not controlled through its voting interests should be consolidated.</w:t>
      </w:r>
    </w:p>
    <w:p>
      <w:pPr>
        <w:spacing w:after="0" w:line="16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8"/>
          <w:szCs w:val="18"/>
          <w:color w:val="auto"/>
        </w:rPr>
        <w:t>The Company has elected not to push down the effects of the GIP Transaction to its consolidated financial statements and accordingly, there was no change in basis of presentation related to the GIP Transaction.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Restricted Cash</w:t>
      </w:r>
    </w:p>
    <w:p>
      <w:pPr>
        <w:spacing w:after="0" w:line="13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provides a reconciliation of cash and restricted cash reported within the consolidated balance sheets that sum to the total of the same such amounts shown in the consolidated statements of cash flows as of December 31, 2018 and 2017 (in thousands):</w:t>
      </w:r>
    </w:p>
    <w:p>
      <w:pPr>
        <w:spacing w:after="0" w:line="252" w:lineRule="exact"/>
        <w:rPr>
          <w:sz w:val="20"/>
          <w:szCs w:val="20"/>
          <w:color w:val="auto"/>
        </w:rPr>
      </w:pPr>
    </w:p>
    <w:tbl>
      <w:tblPr>
        <w:tblLayout w:type="fixed"/>
        <w:tblInd w:w="2580" w:type="dxa"/>
        <w:tblCellMar>
          <w:top w:w="0" w:type="dxa"/>
          <w:left w:w="0" w:type="dxa"/>
          <w:bottom w:w="0" w:type="dxa"/>
          <w:right w:w="0" w:type="dxa"/>
        </w:tblCellMar>
      </w:tblPr>
      <w:tr>
        <w:trPr>
          <w:trHeight w:val="210"/>
        </w:trPr>
        <w:tc>
          <w:tcPr>
            <w:tcW w:w="3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180" w:type="dxa"/>
            <w:vAlign w:val="bottom"/>
          </w:tcPr>
          <w:p>
            <w:pPr>
              <w:spacing w:after="0"/>
              <w:rPr>
                <w:sz w:val="18"/>
                <w:szCs w:val="18"/>
                <w:color w:val="auto"/>
              </w:rPr>
            </w:pPr>
          </w:p>
        </w:tc>
        <w:tc>
          <w:tcPr>
            <w:tcW w:w="1000" w:type="dxa"/>
            <w:vAlign w:val="bottom"/>
          </w:tcPr>
          <w:p>
            <w:pPr>
              <w:jc w:val="right"/>
              <w:ind w:right="25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39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5,035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1,127</w:t>
            </w:r>
          </w:p>
        </w:tc>
        <w:tc>
          <w:tcPr>
            <w:tcW w:w="0" w:type="dxa"/>
            <w:vAlign w:val="bottom"/>
          </w:tcPr>
          <w:p>
            <w:pPr>
              <w:spacing w:after="0"/>
              <w:rPr>
                <w:sz w:val="1"/>
                <w:szCs w:val="1"/>
                <w:color w:val="auto"/>
              </w:rPr>
            </w:pPr>
          </w:p>
        </w:tc>
      </w:tr>
      <w:tr>
        <w:trPr>
          <w:trHeight w:val="237"/>
        </w:trPr>
        <w:tc>
          <w:tcPr>
            <w:tcW w:w="3900" w:type="dxa"/>
            <w:vAlign w:val="bottom"/>
          </w:tcPr>
          <w:p>
            <w:pPr>
              <w:ind w:left="20"/>
              <w:spacing w:after="0"/>
              <w:rPr>
                <w:sz w:val="20"/>
                <w:szCs w:val="20"/>
                <w:color w:val="auto"/>
              </w:rPr>
            </w:pPr>
            <w:r>
              <w:rPr>
                <w:rFonts w:ascii="Arial" w:cs="Arial" w:eastAsia="Arial" w:hAnsi="Arial"/>
                <w:sz w:val="16"/>
                <w:szCs w:val="16"/>
                <w:color w:val="auto"/>
              </w:rPr>
              <w:t>Restricted cash</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16,022</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4,095</w:t>
            </w:r>
          </w:p>
        </w:tc>
        <w:tc>
          <w:tcPr>
            <w:tcW w:w="0" w:type="dxa"/>
            <w:vAlign w:val="bottom"/>
          </w:tcPr>
          <w:p>
            <w:pPr>
              <w:spacing w:after="0"/>
              <w:rPr>
                <w:sz w:val="1"/>
                <w:szCs w:val="1"/>
                <w:color w:val="auto"/>
              </w:rPr>
            </w:pPr>
          </w:p>
        </w:tc>
      </w:tr>
      <w:tr>
        <w:trPr>
          <w:trHeight w:val="33"/>
        </w:trPr>
        <w:tc>
          <w:tcPr>
            <w:tcW w:w="39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900" w:type="dxa"/>
            <w:vAlign w:val="bottom"/>
            <w:shd w:val="clear" w:color="auto" w:fill="CCEEFF"/>
          </w:tcPr>
          <w:p>
            <w:pPr>
              <w:ind w:left="500"/>
              <w:spacing w:after="0"/>
              <w:rPr>
                <w:sz w:val="20"/>
                <w:szCs w:val="20"/>
                <w:color w:val="auto"/>
              </w:rPr>
            </w:pPr>
            <w:r>
              <w:rPr>
                <w:rFonts w:ascii="Arial" w:cs="Arial" w:eastAsia="Arial" w:hAnsi="Arial"/>
                <w:sz w:val="16"/>
                <w:szCs w:val="16"/>
                <w:color w:val="auto"/>
                <w:w w:val="92"/>
              </w:rPr>
              <w:t>Cash and restricted cash shown in the consolidated</w:t>
            </w:r>
          </w:p>
        </w:tc>
        <w:tc>
          <w:tcPr>
            <w:tcW w:w="22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21,057</w:t>
            </w:r>
          </w:p>
        </w:tc>
        <w:tc>
          <w:tcPr>
            <w:tcW w:w="18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5,222</w:t>
            </w:r>
          </w:p>
        </w:tc>
        <w:tc>
          <w:tcPr>
            <w:tcW w:w="0" w:type="dxa"/>
            <w:vAlign w:val="bottom"/>
          </w:tcPr>
          <w:p>
            <w:pPr>
              <w:spacing w:after="0"/>
              <w:rPr>
                <w:sz w:val="1"/>
                <w:szCs w:val="1"/>
                <w:color w:val="auto"/>
              </w:rPr>
            </w:pPr>
          </w:p>
        </w:tc>
      </w:tr>
      <w:tr>
        <w:trPr>
          <w:trHeight w:val="219"/>
        </w:trPr>
        <w:tc>
          <w:tcPr>
            <w:tcW w:w="3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statements of cash flows</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December 31, 2018, restricted cash consists of $5 million held at Renew Solar CS4 Borrower LLC for debt service and $10 million held at Chestnut Class B Borrower LLC for distributions and to satisfy reserves for performance obligations. As of December 31, 2017, restricted cash consisted of cash collateral related to the Chestnut Class B Borrower LLC debt agreement.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Accounts Receivable – Trade</w:t>
      </w:r>
    </w:p>
    <w:p>
      <w:pPr>
        <w:spacing w:after="0" w:line="14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7"/>
          <w:szCs w:val="17"/>
          <w:color w:val="auto"/>
        </w:rPr>
        <w:t>Accounts receivable represent trade receivables from sales of electricity to residential, commercial and municipal customers. Also included in accounts receivable – trade as of December 31, 2018 are receivables for the sale of renewable energy credits to a former affiliate, NRG Power Marketing LLC and receivables related to government incentives. The Company reviews its accounts receivable by aging category to identify significant customer balances with known collections issues. In evaluating the allowance, the Company makes judgments about the creditworthiness of its customers based on ongoing credit evaluations. The Company also considers current economic trends that might impact the level of future credit losses. As of December 31, 2018 and 2017, the allowance for doubtful accounts was $11 thousand and $0,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 Debt Issuance Costs</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Debt issuance costs consist of legal fees and closing costs incurred by the Company in obtaining its financings. These costs are capitalized and amortized as interest expense on a basis which approximates the effective interest method over the term of the financing obligation and are presented as a direct deduction from the carrying amount of the related debt.</w:t>
      </w:r>
    </w:p>
    <w:p>
      <w:pPr>
        <w:spacing w:after="0" w:line="14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Amortization expense, included in interest expense in the consolidated statements of income, was $810 thousand for the year ended December 31, 2018 and $308 thousand for the period from September 26, 2017 through December 31, 2017.</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96" w:right="239" w:bottom="1440" w:gutter="0" w:footer="0" w:header="0"/>
        </w:sectPr>
      </w:pPr>
    </w:p>
    <w:bookmarkStart w:id="25" w:name="page26"/>
    <w:bookmarkEnd w:id="25"/>
    <w:p>
      <w:pPr>
        <w:spacing w:after="0"/>
        <w:rPr>
          <w:sz w:val="20"/>
          <w:szCs w:val="20"/>
          <w:color w:val="auto"/>
        </w:rPr>
      </w:pPr>
      <w:r>
        <w:rPr>
          <w:rFonts w:ascii="Arial" w:cs="Arial" w:eastAsia="Arial" w:hAnsi="Arial"/>
          <w:sz w:val="20"/>
          <w:szCs w:val="20"/>
          <w:b w:val="1"/>
          <w:bCs w:val="1"/>
          <w:i w:val="1"/>
          <w:iCs w:val="1"/>
          <w:color w:val="auto"/>
        </w:rPr>
        <w:t>(e) Property, Plant, and Equipment</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Company purchased certain of its solar installations from Clearway Renew and its subsidiaries through its acquisitions of wholly owned project subsidiaries listed in note 1, </w:t>
      </w:r>
      <w:r>
        <w:rPr>
          <w:rFonts w:ascii="Arial" w:cs="Arial" w:eastAsia="Arial" w:hAnsi="Arial"/>
          <w:sz w:val="18"/>
          <w:szCs w:val="18"/>
          <w:i w:val="1"/>
          <w:iCs w:val="1"/>
          <w:color w:val="auto"/>
        </w:rPr>
        <w:t>Nature of Business</w:t>
      </w:r>
      <w:r>
        <w:rPr>
          <w:rFonts w:ascii="Arial" w:cs="Arial" w:eastAsia="Arial" w:hAnsi="Arial"/>
          <w:sz w:val="18"/>
          <w:szCs w:val="18"/>
          <w:color w:val="auto"/>
        </w:rPr>
        <w:t>. The acquisitions were recorded as a transfer of assets under common control and accordingly, the assets are recorded at Clearway Renew’s historical cost. The excess of the purchase price over the historical cost was recorded as a developer fee as a non-cash reduction to member's equity.</w:t>
      </w:r>
    </w:p>
    <w:p>
      <w:pPr>
        <w:spacing w:after="0" w:line="14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Significant additions or improvements extending asset lives are capitalized as incurred, while repairs and maintenance that do not improve or extend the life of the respective asset are charged to expense as incurred. Depreciation is computed using the straight-line method over the estimated useful lives of the assets. Certain assets and their related accumulated depreciation amounts are adjusted for asset retirements and disposals with the resulting gain or loss included in cost of operations in the consolidated statements of income. See note 4, </w:t>
      </w:r>
      <w:r>
        <w:rPr>
          <w:rFonts w:ascii="Arial" w:cs="Arial" w:eastAsia="Arial" w:hAnsi="Arial"/>
          <w:sz w:val="16"/>
          <w:szCs w:val="16"/>
          <w:i w:val="1"/>
          <w:iCs w:val="1"/>
          <w:color w:val="auto"/>
        </w:rPr>
        <w:t>Property, Plant, and Equipment,</w:t>
      </w:r>
      <w:r>
        <w:rPr>
          <w:rFonts w:ascii="Arial" w:cs="Arial" w:eastAsia="Arial" w:hAnsi="Arial"/>
          <w:sz w:val="16"/>
          <w:szCs w:val="16"/>
          <w:color w:val="auto"/>
        </w:rPr>
        <w:t xml:space="preserve"> for additional information.</w:t>
      </w:r>
    </w:p>
    <w:p>
      <w:pPr>
        <w:spacing w:after="0" w:line="1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Interest incurred on funds borrowed to finance capital projects is capitalized until the project under construction is ready for its intended use. The amount of interest capitalized for the period from September 7, 2018 through December 31, 2018 was $506 thousand.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 Intangible Asset</w:t>
      </w:r>
    </w:p>
    <w:p>
      <w:pPr>
        <w:spacing w:after="0" w:line="14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Intangible asset for power purchase agreement represents the fair value of the out-of-market component of the PPA acquired at the DG Foxborough Elm LLC facility determined at acquisition date, when Clearway Renew acquired the project from a third-party. The Company recognizes specifically identifiable intangible assets when specific rights and contracts are acquired. This definite-lived intangible asset is amortized as a reduction to operating revenues on a straight line basis over the term of the PPA (through October 2042), which is 25 years from the date the facility achieved commercial operations.</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2018 and 2017, the intangible asset subject to amortization consists of the following (in thousands):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00" w:type="dxa"/>
            <w:vAlign w:val="bottom"/>
          </w:tcPr>
          <w:p>
            <w:pPr>
              <w:spacing w:after="0"/>
              <w:rPr>
                <w:sz w:val="18"/>
                <w:szCs w:val="18"/>
                <w:color w:val="auto"/>
              </w:rPr>
            </w:pPr>
          </w:p>
        </w:tc>
        <w:tc>
          <w:tcPr>
            <w:tcW w:w="24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2018</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jc w:val="right"/>
              <w:ind w:right="519"/>
              <w:spacing w:after="0"/>
              <w:rPr>
                <w:sz w:val="20"/>
                <w:szCs w:val="20"/>
                <w:color w:val="auto"/>
              </w:rPr>
            </w:pPr>
            <w:r>
              <w:rPr>
                <w:rFonts w:ascii="Arial" w:cs="Arial" w:eastAsia="Arial" w:hAnsi="Arial"/>
                <w:sz w:val="16"/>
                <w:szCs w:val="16"/>
                <w:b w:val="1"/>
                <w:bCs w:val="1"/>
                <w:color w:val="auto"/>
              </w:rPr>
              <w:t>2017</w:t>
            </w:r>
          </w:p>
        </w:tc>
      </w:tr>
      <w:tr>
        <w:trPr>
          <w:trHeight w:val="33"/>
        </w:trPr>
        <w:tc>
          <w:tcPr>
            <w:tcW w:w="55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 for power purchase agreement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1,500</w:t>
            </w:r>
          </w:p>
        </w:tc>
      </w:tr>
      <w:tr>
        <w:trPr>
          <w:trHeight w:val="237"/>
        </w:trPr>
        <w:tc>
          <w:tcPr>
            <w:tcW w:w="5500" w:type="dxa"/>
            <w:vAlign w:val="bottom"/>
          </w:tcPr>
          <w:p>
            <w:pPr>
              <w:ind w:left="40"/>
              <w:spacing w:after="0"/>
              <w:rPr>
                <w:sz w:val="20"/>
                <w:szCs w:val="20"/>
                <w:color w:val="auto"/>
              </w:rPr>
            </w:pPr>
            <w:r>
              <w:rPr>
                <w:rFonts w:ascii="Arial" w:cs="Arial" w:eastAsia="Arial" w:hAnsi="Arial"/>
                <w:sz w:val="16"/>
                <w:szCs w:val="16"/>
                <w:color w:val="auto"/>
              </w:rPr>
              <w:t>Less accumulated amortization</w:t>
            </w:r>
          </w:p>
        </w:tc>
        <w:tc>
          <w:tcPr>
            <w:tcW w:w="1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(73)</w:t>
            </w:r>
          </w:p>
        </w:tc>
        <w:tc>
          <w:tcPr>
            <w:tcW w:w="3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33"/>
        </w:trPr>
        <w:tc>
          <w:tcPr>
            <w:tcW w:w="55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6"/>
                <w:szCs w:val="16"/>
                <w:color w:val="auto"/>
              </w:rPr>
              <w:t>Net intangible asset for power purchase agreement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1,427</w:t>
            </w:r>
          </w:p>
        </w:tc>
        <w:tc>
          <w:tcPr>
            <w:tcW w:w="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1,487</w:t>
            </w:r>
          </w:p>
        </w:tc>
      </w:tr>
      <w:tr>
        <w:trPr>
          <w:trHeight w:val="20"/>
        </w:trPr>
        <w:tc>
          <w:tcPr>
            <w:tcW w:w="5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Aggregate amortization expense was $60 thousand and $13 thousand for the year ended December 31, 2018 and for the period from September 26, 2017 through December 31, 2017, respectively, which was recorded as a reduction to operating revenues in the consolidated statements of income. Estimated amortization expense for each of the next five years is $60 thousand.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 Asset Impairments</w:t>
      </w:r>
    </w:p>
    <w:p>
      <w:pPr>
        <w:spacing w:after="0" w:line="14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Long-lived assets that are held and used are reviewed for impairment whenever events or changes in circumstances indicate carrying values may not be recoverable. Such reviews are performed in accordance with ASC 360</w:t>
      </w:r>
      <w:r>
        <w:rPr>
          <w:rFonts w:ascii="Arial" w:cs="Arial" w:eastAsia="Arial" w:hAnsi="Arial"/>
          <w:sz w:val="18"/>
          <w:szCs w:val="18"/>
          <w:i w:val="1"/>
          <w:iCs w:val="1"/>
          <w:color w:val="auto"/>
        </w:rPr>
        <w:t>, Property, Plant, and Equipment</w:t>
      </w:r>
      <w:r>
        <w:rPr>
          <w:rFonts w:ascii="Arial" w:cs="Arial" w:eastAsia="Arial" w:hAnsi="Arial"/>
          <w:sz w:val="18"/>
          <w:szCs w:val="18"/>
          <w:color w:val="auto"/>
        </w:rPr>
        <w:t>. An impairment loss is indicated if the total future estimated undiscounted cash flows expected from an asset are less than its carrying value. An impairment charge is measured by the difference between an asset’s carrying amount and fair value with the difference recorded in operating costs and expenses in the consolidated statements of income. Fair values are determined by a variety of valuation methods, including third-party appraisals, sales prices of similar assets, and present value techniques. There were no indicators of impairment loss as of December 31, 2018.</w:t>
      </w:r>
    </w:p>
    <w:p>
      <w:pPr>
        <w:spacing w:after="0" w:line="15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Prior to the Company's assets being transferred from entities under common control, an impairment review was conducted which determined that the cash flows for the DG Marathon LLC project were below its carrying value, due to negative cash flows forecasted to occur after the solar renewable energy credits expire, and the assets were considered impaired. The fair value of the project was determined using an income approach by applying a discounted cash flow methodology to the long-term budget for the project. The income approach considered project specific assumptions for future cash flows. A $2.4 million impairment loss was measured as the difference between the carrying amount and the fair value of the assets, and was recognized in 2017 at the DG Marathon LLC project prior to the transfer to the Company, which has been reflected in the historical cost of the purchase from Clearway Renew as of December 31, 2017.</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 Deferred Rent</w:t>
      </w:r>
    </w:p>
    <w:p>
      <w:pPr>
        <w:spacing w:after="0" w:line="14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8"/>
          <w:szCs w:val="18"/>
          <w:color w:val="auto"/>
        </w:rPr>
        <w:t>The Company records rent expense on a straight line basis over the life of the lease term. The cumulative difference between the payments made and the expense recognized is recorded in deferred rent on the consolidated balance sheets.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2"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(i) Income Taxes</w:t>
      </w:r>
    </w:p>
    <w:p>
      <w:pPr>
        <w:spacing w:after="0" w:line="13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Company is classified as a partnership for federal and state income tax purposes. Therefore, federal and state income taxes are assessed at the partner level. Accordingly, no provision has been made for federal or state income taxes in the accompanying consolidated financial statements.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 Revenue Recognition</w:t>
      </w:r>
    </w:p>
    <w:p>
      <w:pPr>
        <w:spacing w:after="0" w:line="14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On January 1, 2018, the Company adopted the guidance in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or ASC 606, using the modified retrospective method applied to contracts which were not completed as of the adoption date, with no adjustment required to the financial statements upon adoption. Following the adoption of ASC 606, the Company's revenue recognition of its contracts with customers remains materially consistent with its historical practice. The comparative information has not been restated and continues to be reported under the accounting standards in effect for those periods. The Company's policies with respect to its various revenue streams are detailed below. In general, the Company applies the invoicing practical expedient to recognize revenue for the revenue streams detailed below, except in circumstances where the invoiced amount does not represent the value transferred to the customer.</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Electric Revenue</w:t>
      </w:r>
    </w:p>
    <w:p>
      <w:pPr>
        <w:spacing w:after="0" w:line="144" w:lineRule="exact"/>
        <w:rPr>
          <w:sz w:val="20"/>
          <w:szCs w:val="20"/>
          <w:color w:val="auto"/>
        </w:rPr>
      </w:pPr>
    </w:p>
    <w:p>
      <w:pPr>
        <w:jc w:val="both"/>
        <w:ind w:right="20" w:firstLine="648"/>
        <w:spacing w:after="0" w:line="324" w:lineRule="auto"/>
        <w:rPr>
          <w:sz w:val="20"/>
          <w:szCs w:val="20"/>
          <w:color w:val="auto"/>
        </w:rPr>
      </w:pPr>
      <w:r>
        <w:rPr>
          <w:rFonts w:ascii="Arial" w:cs="Arial" w:eastAsia="Arial" w:hAnsi="Arial"/>
          <w:sz w:val="17"/>
          <w:szCs w:val="17"/>
          <w:color w:val="auto"/>
        </w:rPr>
        <w:t xml:space="preserve">The Company's electric revenue is related to energy contract revenue from the PPAs listed in note 1, </w:t>
      </w:r>
      <w:r>
        <w:rPr>
          <w:rFonts w:ascii="Arial" w:cs="Arial" w:eastAsia="Arial" w:hAnsi="Arial"/>
          <w:sz w:val="17"/>
          <w:szCs w:val="17"/>
          <w:i w:val="1"/>
          <w:iCs w:val="1"/>
          <w:color w:val="auto"/>
        </w:rPr>
        <w:t>Nature of Business</w:t>
      </w:r>
      <w:r>
        <w:rPr>
          <w:rFonts w:ascii="Arial" w:cs="Arial" w:eastAsia="Arial" w:hAnsi="Arial"/>
          <w:sz w:val="17"/>
          <w:szCs w:val="17"/>
          <w:color w:val="auto"/>
        </w:rPr>
        <w:t>. The contractual rates could be fixed or increase annually during the terms of the PPAs, ranging from 15-27 years. Electric revenue is billed and paid on a monthly basis.</w:t>
      </w:r>
    </w:p>
    <w:p>
      <w:pPr>
        <w:spacing w:after="0" w:line="10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The PPA at Solar Mule, LLC is accounted for as an operating lease in accordance with ASC 840, </w:t>
      </w:r>
      <w:r>
        <w:rPr>
          <w:rFonts w:ascii="Arial" w:cs="Arial" w:eastAsia="Arial" w:hAnsi="Arial"/>
          <w:sz w:val="18"/>
          <w:szCs w:val="18"/>
          <w:i w:val="1"/>
          <w:iCs w:val="1"/>
          <w:color w:val="auto"/>
        </w:rPr>
        <w:t>Leases</w:t>
      </w:r>
      <w:r>
        <w:rPr>
          <w:rFonts w:ascii="Arial" w:cs="Arial" w:eastAsia="Arial" w:hAnsi="Arial"/>
          <w:sz w:val="18"/>
          <w:szCs w:val="18"/>
          <w:color w:val="auto"/>
        </w:rPr>
        <w:t>, or ASC 840. ASC 840 requires the minimum lease payments received to be amortized over the term of the lease and contingent rentals are recorded when the achievement of the contingency becomes probable. Judgment is required by management in determining the economic life of each generating facility, in evaluating whether certain lease provisions constitute minimum payments or represent contingent rent and other factors in determining whether a contract contains a lease and whether the lease is an operating lease or capital lease. The lease has no minimum lease payments and all of the rental income under this lease is recorded as contingent rent on an actual basis each period when electricity is produced by the solar facility and delivered to the offtaker at the rate billable per kWh under the terms of the PPA.</w:t>
      </w:r>
    </w:p>
    <w:p>
      <w:pPr>
        <w:spacing w:after="0" w:line="153" w:lineRule="exact"/>
        <w:rPr>
          <w:sz w:val="20"/>
          <w:szCs w:val="20"/>
          <w:color w:val="auto"/>
        </w:rPr>
      </w:pPr>
    </w:p>
    <w:p>
      <w:pPr>
        <w:jc w:val="both"/>
        <w:ind w:right="20" w:firstLine="648"/>
        <w:spacing w:after="0" w:line="293" w:lineRule="auto"/>
        <w:rPr>
          <w:sz w:val="20"/>
          <w:szCs w:val="20"/>
          <w:color w:val="auto"/>
        </w:rPr>
      </w:pPr>
      <w:r>
        <w:rPr>
          <w:rFonts w:ascii="Arial" w:cs="Arial" w:eastAsia="Arial" w:hAnsi="Arial"/>
          <w:sz w:val="18"/>
          <w:szCs w:val="18"/>
          <w:color w:val="auto"/>
        </w:rPr>
        <w:t>For PPAs accounted for as executory contracts under ASC 606, revenue is recognized on an accrual basis each period, as electricity is produced by the solar facility and delivered to the offtaker at the rate billable per kWh under the terms of the PPA.</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electric revenue is summarized as follows (in thousands):</w:t>
      </w:r>
    </w:p>
    <w:p>
      <w:pPr>
        <w:spacing w:after="0" w:line="226" w:lineRule="exact"/>
        <w:rPr>
          <w:sz w:val="20"/>
          <w:szCs w:val="20"/>
          <w:color w:val="auto"/>
        </w:rPr>
      </w:pPr>
    </w:p>
    <w:tbl>
      <w:tblPr>
        <w:tblLayout w:type="fixed"/>
        <w:tblInd w:w="780" w:type="dxa"/>
        <w:tblCellMar>
          <w:top w:w="0" w:type="dxa"/>
          <w:left w:w="0" w:type="dxa"/>
          <w:bottom w:w="0" w:type="dxa"/>
          <w:right w:w="0" w:type="dxa"/>
        </w:tblCellMar>
      </w:tblPr>
      <w:tr>
        <w:trPr>
          <w:trHeight w:val="203"/>
        </w:trPr>
        <w:tc>
          <w:tcPr>
            <w:tcW w:w="36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160" w:type="dxa"/>
            <w:vAlign w:val="bottom"/>
          </w:tcPr>
          <w:p>
            <w:pPr>
              <w:jc w:val="right"/>
              <w:ind w:right="119"/>
              <w:spacing w:after="0"/>
              <w:rPr>
                <w:sz w:val="20"/>
                <w:szCs w:val="20"/>
                <w:color w:val="auto"/>
              </w:rPr>
            </w:pPr>
            <w:r>
              <w:rPr>
                <w:rFonts w:ascii="Arial" w:cs="Arial" w:eastAsia="Arial" w:hAnsi="Arial"/>
                <w:sz w:val="16"/>
                <w:szCs w:val="16"/>
                <w:b w:val="1"/>
                <w:bCs w:val="1"/>
                <w:color w:val="auto"/>
                <w:w w:val="99"/>
              </w:rPr>
              <w:t>Year ended December 31,</w:t>
            </w:r>
          </w:p>
        </w:tc>
        <w:tc>
          <w:tcPr>
            <w:tcW w:w="280" w:type="dxa"/>
            <w:vAlign w:val="bottom"/>
          </w:tcPr>
          <w:p>
            <w:pPr>
              <w:spacing w:after="0"/>
              <w:rPr>
                <w:sz w:val="17"/>
                <w:szCs w:val="17"/>
                <w:color w:val="auto"/>
              </w:rPr>
            </w:pPr>
          </w:p>
        </w:tc>
        <w:tc>
          <w:tcPr>
            <w:tcW w:w="2160" w:type="dxa"/>
            <w:vAlign w:val="bottom"/>
          </w:tcPr>
          <w:p>
            <w:pPr>
              <w:jc w:val="right"/>
              <w:ind w:right="219"/>
              <w:spacing w:after="0"/>
              <w:rPr>
                <w:sz w:val="20"/>
                <w:szCs w:val="20"/>
                <w:color w:val="auto"/>
              </w:rPr>
            </w:pPr>
            <w:r>
              <w:rPr>
                <w:rFonts w:ascii="Arial" w:cs="Arial" w:eastAsia="Arial" w:hAnsi="Arial"/>
                <w:sz w:val="16"/>
                <w:szCs w:val="16"/>
                <w:b w:val="1"/>
                <w:bCs w:val="1"/>
                <w:color w:val="auto"/>
              </w:rPr>
              <w:t>September 26, through</w:t>
            </w:r>
          </w:p>
        </w:tc>
      </w:tr>
      <w:tr>
        <w:trPr>
          <w:trHeight w:val="210"/>
        </w:trPr>
        <w:tc>
          <w:tcPr>
            <w:tcW w:w="36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160" w:type="dxa"/>
            <w:vAlign w:val="bottom"/>
          </w:tcPr>
          <w:p>
            <w:pPr>
              <w:jc w:val="right"/>
              <w:ind w:right="839"/>
              <w:spacing w:after="0"/>
              <w:rPr>
                <w:sz w:val="20"/>
                <w:szCs w:val="20"/>
                <w:color w:val="auto"/>
              </w:rPr>
            </w:pPr>
            <w:r>
              <w:rPr>
                <w:rFonts w:ascii="Arial" w:cs="Arial" w:eastAsia="Arial" w:hAnsi="Arial"/>
                <w:sz w:val="16"/>
                <w:szCs w:val="16"/>
                <w:b w:val="1"/>
                <w:bCs w:val="1"/>
                <w:color w:val="auto"/>
              </w:rPr>
              <w:t>2018</w:t>
            </w:r>
          </w:p>
        </w:tc>
        <w:tc>
          <w:tcPr>
            <w:tcW w:w="280" w:type="dxa"/>
            <w:vAlign w:val="bottom"/>
          </w:tcPr>
          <w:p>
            <w:pPr>
              <w:spacing w:after="0"/>
              <w:rPr>
                <w:sz w:val="18"/>
                <w:szCs w:val="18"/>
                <w:color w:val="auto"/>
              </w:rPr>
            </w:pPr>
          </w:p>
        </w:tc>
        <w:tc>
          <w:tcPr>
            <w:tcW w:w="2160" w:type="dxa"/>
            <w:vAlign w:val="bottom"/>
          </w:tcPr>
          <w:p>
            <w:pPr>
              <w:jc w:val="right"/>
              <w:ind w:right="339"/>
              <w:spacing w:after="0"/>
              <w:rPr>
                <w:sz w:val="20"/>
                <w:szCs w:val="20"/>
                <w:color w:val="auto"/>
              </w:rPr>
            </w:pPr>
            <w:r>
              <w:rPr>
                <w:rFonts w:ascii="Arial" w:cs="Arial" w:eastAsia="Arial" w:hAnsi="Arial"/>
                <w:sz w:val="16"/>
                <w:szCs w:val="16"/>
                <w:b w:val="1"/>
                <w:bCs w:val="1"/>
                <w:color w:val="auto"/>
              </w:rPr>
              <w:t>December 31, 2017</w:t>
            </w:r>
          </w:p>
        </w:tc>
      </w:tr>
      <w:tr>
        <w:trPr>
          <w:trHeight w:val="33"/>
        </w:trPr>
        <w:tc>
          <w:tcPr>
            <w:tcW w:w="360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30"/>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Energy revenue</w:t>
            </w: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7,205</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556</w:t>
            </w:r>
          </w:p>
        </w:tc>
      </w:tr>
      <w:tr>
        <w:trPr>
          <w:trHeight w:val="237"/>
        </w:trPr>
        <w:tc>
          <w:tcPr>
            <w:tcW w:w="3600" w:type="dxa"/>
            <w:vAlign w:val="bottom"/>
          </w:tcPr>
          <w:p>
            <w:pPr>
              <w:ind w:left="20"/>
              <w:spacing w:after="0"/>
              <w:rPr>
                <w:sz w:val="20"/>
                <w:szCs w:val="20"/>
                <w:color w:val="auto"/>
              </w:rPr>
            </w:pPr>
            <w:r>
              <w:rPr>
                <w:rFonts w:ascii="Arial" w:cs="Arial" w:eastAsia="Arial" w:hAnsi="Arial"/>
                <w:sz w:val="16"/>
                <w:szCs w:val="16"/>
                <w:color w:val="auto"/>
              </w:rPr>
              <w:t>Lease revenue</w:t>
            </w:r>
          </w:p>
        </w:tc>
        <w:tc>
          <w:tcPr>
            <w:tcW w:w="1680" w:type="dxa"/>
            <w:vAlign w:val="bottom"/>
          </w:tcPr>
          <w:p>
            <w:pPr>
              <w:spacing w:after="0"/>
              <w:rPr>
                <w:sz w:val="20"/>
                <w:szCs w:val="20"/>
                <w:color w:val="auto"/>
              </w:rPr>
            </w:pPr>
          </w:p>
        </w:tc>
        <w:tc>
          <w:tcPr>
            <w:tcW w:w="2160" w:type="dxa"/>
            <w:vAlign w:val="bottom"/>
          </w:tcPr>
          <w:p>
            <w:pPr>
              <w:jc w:val="right"/>
              <w:ind w:right="19"/>
              <w:spacing w:after="0"/>
              <w:rPr>
                <w:sz w:val="20"/>
                <w:szCs w:val="20"/>
                <w:color w:val="auto"/>
              </w:rPr>
            </w:pPr>
            <w:r>
              <w:rPr>
                <w:rFonts w:ascii="Arial" w:cs="Arial" w:eastAsia="Arial" w:hAnsi="Arial"/>
                <w:sz w:val="16"/>
                <w:szCs w:val="16"/>
                <w:color w:val="auto"/>
              </w:rPr>
              <w:t>272</w:t>
            </w:r>
          </w:p>
        </w:tc>
        <w:tc>
          <w:tcPr>
            <w:tcW w:w="280" w:type="dxa"/>
            <w:vAlign w:val="bottom"/>
          </w:tcPr>
          <w:p>
            <w:pPr>
              <w:spacing w:after="0"/>
              <w:rPr>
                <w:sz w:val="20"/>
                <w:szCs w:val="20"/>
                <w:color w:val="auto"/>
              </w:rPr>
            </w:pPr>
          </w:p>
        </w:tc>
        <w:tc>
          <w:tcPr>
            <w:tcW w:w="2160" w:type="dxa"/>
            <w:vAlign w:val="bottom"/>
          </w:tcPr>
          <w:p>
            <w:pPr>
              <w:jc w:val="right"/>
              <w:ind w:right="19"/>
              <w:spacing w:after="0"/>
              <w:rPr>
                <w:sz w:val="20"/>
                <w:szCs w:val="20"/>
                <w:color w:val="auto"/>
              </w:rPr>
            </w:pPr>
            <w:r>
              <w:rPr>
                <w:rFonts w:ascii="Arial" w:cs="Arial" w:eastAsia="Arial" w:hAnsi="Arial"/>
                <w:sz w:val="16"/>
                <w:szCs w:val="16"/>
                <w:color w:val="auto"/>
              </w:rPr>
              <w:t>54</w:t>
            </w:r>
          </w:p>
        </w:tc>
      </w:tr>
      <w:tr>
        <w:trPr>
          <w:trHeight w:val="33"/>
        </w:trPr>
        <w:tc>
          <w:tcPr>
            <w:tcW w:w="36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70"/>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Contract amortization</w:t>
            </w:r>
          </w:p>
        </w:tc>
        <w:tc>
          <w:tcPr>
            <w:tcW w:w="168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28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44"/>
        </w:trPr>
        <w:tc>
          <w:tcPr>
            <w:tcW w:w="3600" w:type="dxa"/>
            <w:vAlign w:val="bottom"/>
          </w:tcPr>
          <w:p>
            <w:pPr>
              <w:ind w:left="700"/>
              <w:spacing w:after="0"/>
              <w:rPr>
                <w:sz w:val="20"/>
                <w:szCs w:val="20"/>
                <w:color w:val="auto"/>
              </w:rPr>
            </w:pPr>
            <w:r>
              <w:rPr>
                <w:rFonts w:ascii="Arial" w:cs="Arial" w:eastAsia="Arial" w:hAnsi="Arial"/>
                <w:sz w:val="16"/>
                <w:szCs w:val="16"/>
                <w:color w:val="auto"/>
              </w:rPr>
              <w:t>Total electric revenue</w:t>
            </w: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1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7,417</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1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597</w:t>
            </w:r>
          </w:p>
        </w:tc>
      </w:tr>
      <w:tr>
        <w:trPr>
          <w:trHeight w:val="20"/>
        </w:trPr>
        <w:tc>
          <w:tcPr>
            <w:tcW w:w="36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Renewable Energy Certificates, or RECs</w:t>
      </w:r>
    </w:p>
    <w:p>
      <w:pPr>
        <w:spacing w:after="0" w:line="14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Company has entered into agreements with NRG Power Marketing LLC, or PML, a wholly owned subsidiary of NRG, to purchase and sell RECs generated from 2017 through 2028 by the Massachusetts projects in accordance with vintage years, quantities, and prices in the REC agreements with PML. Prices range between $123.16 and $270.00 per REC. PML sells the RECs to third parties. Revenue is recognized as the REC is generated based on actual production multiplied by the contract rates. REC revenue is billed and paid on a quarterly basis. REC revenue from PML is recorded as Renewable energy certificates – affiliate prior to the GIP Transaction, and as Renewable energy certificates after the GIP Transaction, in the consolidated statements of income.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Government Incentives</w:t>
      </w:r>
    </w:p>
    <w:p>
      <w:pPr>
        <w:spacing w:after="0" w:line="14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7"/>
          <w:szCs w:val="17"/>
          <w:color w:val="auto"/>
        </w:rPr>
        <w:t xml:space="preserve">The Company is entitled to state performance based incentives, or PBIs, paid by The New York State Energy Research and Development Authority, or NYSERDA, for the </w:t>
      </w:r>
      <w:r>
        <w:rPr>
          <w:rFonts w:ascii="Arial" w:cs="Arial" w:eastAsia="Arial" w:hAnsi="Arial"/>
          <w:sz w:val="17"/>
          <w:szCs w:val="17"/>
          <w:color w:val="211D1E"/>
        </w:rPr>
        <w:t>Minisink Solar 1 LLC and Minisink Solar 2 LLC</w:t>
      </w:r>
      <w:r>
        <w:rPr>
          <w:rFonts w:ascii="Arial" w:cs="Arial" w:eastAsia="Arial" w:hAnsi="Arial"/>
          <w:sz w:val="17"/>
          <w:szCs w:val="17"/>
          <w:color w:val="auto"/>
        </w:rPr>
        <w:t xml:space="preserve"> projects, not to exceed </w:t>
      </w:r>
      <w:r>
        <w:rPr>
          <w:rFonts w:ascii="Arial" w:cs="Arial" w:eastAsia="Arial" w:hAnsi="Arial"/>
          <w:sz w:val="17"/>
          <w:szCs w:val="17"/>
          <w:color w:val="211D1E"/>
        </w:rPr>
        <w:t>$900,607 for Minisink Solar 1 LLC and $1,092,655 for</w:t>
      </w:r>
      <w:r>
        <w:rPr>
          <w:rFonts w:ascii="Arial" w:cs="Arial" w:eastAsia="Arial" w:hAnsi="Arial"/>
          <w:sz w:val="17"/>
          <w:szCs w:val="17"/>
          <w:color w:val="auto"/>
        </w:rPr>
        <w:t xml:space="preserve"> </w:t>
      </w:r>
      <w:r>
        <w:rPr>
          <w:rFonts w:ascii="Arial" w:cs="Arial" w:eastAsia="Arial" w:hAnsi="Arial"/>
          <w:sz w:val="17"/>
          <w:szCs w:val="17"/>
          <w:color w:val="211D1E"/>
        </w:rPr>
        <w:t>Minisink Solar 2 LLC</w:t>
      </w:r>
      <w:r>
        <w:rPr>
          <w:rFonts w:ascii="Arial" w:cs="Arial" w:eastAsia="Arial" w:hAnsi="Arial"/>
          <w:sz w:val="17"/>
          <w:szCs w:val="17"/>
          <w:color w:val="000000"/>
        </w:rPr>
        <w:t>.</w:t>
      </w:r>
      <w:r>
        <w:rPr>
          <w:rFonts w:ascii="Arial" w:cs="Arial" w:eastAsia="Arial" w:hAnsi="Arial"/>
          <w:sz w:val="17"/>
          <w:szCs w:val="17"/>
          <w:color w:val="211D1E"/>
        </w:rPr>
        <w:t xml:space="preserve"> The incentive payments for each project will consist of one payment at commercial operation date for 50% of the awarded amount, which was recorded to property, plant, and equipment, and two annual performance-based payments each of which is estimated to be 25% of the incentive. The two annual performance based payments are earned monthly based upon the actual electricity produced by the project multiplied by a $0.111/kWh rate. PBI revenue i</w:t>
      </w:r>
      <w:r>
        <w:rPr>
          <w:rFonts w:ascii="Arial" w:cs="Arial" w:eastAsia="Arial" w:hAnsi="Arial"/>
          <w:sz w:val="17"/>
          <w:szCs w:val="17"/>
          <w:color w:val="000000"/>
        </w:rPr>
        <w:t>s recorded as Government incentives in the consolidated statements of income.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reflects the contract assets in the Company's consolidated balance sheets as of December 31, 2018 and 2017 (in thousands):</w:t>
      </w:r>
    </w:p>
    <w:p>
      <w:pPr>
        <w:spacing w:after="0" w:line="384" w:lineRule="exact"/>
        <w:rPr>
          <w:sz w:val="20"/>
          <w:szCs w:val="20"/>
          <w:color w:val="auto"/>
        </w:rPr>
      </w:pPr>
    </w:p>
    <w:tbl>
      <w:tblPr>
        <w:tblLayout w:type="fixed"/>
        <w:tblInd w:w="820" w:type="dxa"/>
        <w:tblCellMar>
          <w:top w:w="0" w:type="dxa"/>
          <w:left w:w="0" w:type="dxa"/>
          <w:bottom w:w="0" w:type="dxa"/>
          <w:right w:w="0" w:type="dxa"/>
        </w:tblCellMar>
      </w:tblPr>
      <w:tr>
        <w:trPr>
          <w:trHeight w:val="210"/>
        </w:trPr>
        <w:tc>
          <w:tcPr>
            <w:tcW w:w="4660" w:type="dxa"/>
            <w:vAlign w:val="bottom"/>
          </w:tcPr>
          <w:p>
            <w:pPr>
              <w:spacing w:after="0"/>
              <w:rPr>
                <w:sz w:val="18"/>
                <w:szCs w:val="18"/>
                <w:color w:val="auto"/>
              </w:rPr>
            </w:pPr>
          </w:p>
        </w:tc>
        <w:tc>
          <w:tcPr>
            <w:tcW w:w="27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2018</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right"/>
              <w:ind w:right="519"/>
              <w:spacing w:after="0"/>
              <w:rPr>
                <w:sz w:val="20"/>
                <w:szCs w:val="20"/>
                <w:color w:val="auto"/>
              </w:rPr>
            </w:pPr>
            <w:r>
              <w:rPr>
                <w:rFonts w:ascii="Arial" w:cs="Arial" w:eastAsia="Arial" w:hAnsi="Arial"/>
                <w:sz w:val="16"/>
                <w:szCs w:val="16"/>
                <w:b w:val="1"/>
                <w:bCs w:val="1"/>
                <w:color w:val="auto"/>
              </w:rPr>
              <w:t>2017</w:t>
            </w:r>
          </w:p>
        </w:tc>
      </w:tr>
      <w:tr>
        <w:trPr>
          <w:trHeight w:val="33"/>
        </w:trPr>
        <w:tc>
          <w:tcPr>
            <w:tcW w:w="466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Accounts receivable - contracts with customers</w:t>
            </w: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7,927</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557</w:t>
            </w:r>
          </w:p>
        </w:tc>
      </w:tr>
      <w:tr>
        <w:trPr>
          <w:trHeight w:val="237"/>
        </w:trPr>
        <w:tc>
          <w:tcPr>
            <w:tcW w:w="4660" w:type="dxa"/>
            <w:vAlign w:val="bottom"/>
          </w:tcPr>
          <w:p>
            <w:pPr>
              <w:ind w:left="20"/>
              <w:spacing w:after="0"/>
              <w:rPr>
                <w:sz w:val="20"/>
                <w:szCs w:val="20"/>
                <w:color w:val="auto"/>
              </w:rPr>
            </w:pPr>
            <w:r>
              <w:rPr>
                <w:rFonts w:ascii="Arial" w:cs="Arial" w:eastAsia="Arial" w:hAnsi="Arial"/>
                <w:sz w:val="16"/>
                <w:szCs w:val="16"/>
                <w:color w:val="auto"/>
              </w:rPr>
              <w:t>Accounts receivable - leases</w:t>
            </w:r>
          </w:p>
        </w:tc>
        <w:tc>
          <w:tcPr>
            <w:tcW w:w="17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2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33"/>
        </w:trPr>
        <w:tc>
          <w:tcPr>
            <w:tcW w:w="466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466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6"/>
                <w:szCs w:val="16"/>
                <w:color w:val="auto"/>
              </w:rPr>
              <w:t>Total accounts receivable - trade</w:t>
            </w: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7,942</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577</w:t>
            </w:r>
          </w:p>
        </w:tc>
      </w:tr>
      <w:tr>
        <w:trPr>
          <w:trHeight w:val="20"/>
        </w:trPr>
        <w:tc>
          <w:tcPr>
            <w:tcW w:w="46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 Derivative Financial Instruments</w:t>
      </w:r>
    </w:p>
    <w:p>
      <w:pPr>
        <w:spacing w:after="0" w:line="13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The Company accounts for derivative financial instruments in accordance with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which requires the Company to recognize all derivative instruments on the balance sheet as either assets or liabilities and to measure them at fair value each reporting period unless they qualify for a normal purchase normal sale exception. The Company uses interest rate swaps to manage its interest rate exposure on long-term debt, which are not designated as cash flow hedges. Changes in the fair value of non-hedge derivatives are immediately recognized in earnings. See note 5, </w:t>
      </w:r>
      <w:r>
        <w:rPr>
          <w:rFonts w:ascii="Arial" w:cs="Arial" w:eastAsia="Arial" w:hAnsi="Arial"/>
          <w:sz w:val="18"/>
          <w:szCs w:val="18"/>
          <w:i w:val="1"/>
          <w:iCs w:val="1"/>
          <w:color w:val="auto"/>
        </w:rPr>
        <w:t>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Derivative Instruments and Hedging Activities</w:t>
      </w:r>
      <w:r>
        <w:rPr>
          <w:rFonts w:ascii="Arial" w:cs="Arial" w:eastAsia="Arial" w:hAnsi="Arial"/>
          <w:sz w:val="18"/>
          <w:szCs w:val="18"/>
          <w:color w:val="auto"/>
        </w:rPr>
        <w:t>, for more information.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 Concentrations of Credit Risk</w:t>
      </w:r>
    </w:p>
    <w:p>
      <w:pPr>
        <w:spacing w:after="0" w:line="11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Financial instruments which potentially subject the Company to concentrations of credit risk consist primarily of cash, restricted cash, accounts receivable – trade, accounts receivable – affiliate, and derivative instruments. The Company maintains its cash and restricted cash in bank deposit accounts and believes it is not exposed to any significant credit risk. Accounts receivable are concentrated with residential, commercial, and municipal customers. The energy industry may impact the Company’s overall exposure to credit risk, either positively or negatively, in that the customer may be similarly affected by changes in economic, industry, or other conditions. Municipal entities are generally subject to budget decisions made at superior governmental levels, which may impede or delay the Company’s collection of accounts receivable from these customers. However, the Company believes that the credit risk posed by such concentrations is offset by the diversification and creditworthiness of its customer base. The Company is exposed to credit losses in the event of noncompliance by counterparties on its derivative financial instruments.</w:t>
      </w:r>
    </w:p>
    <w:p>
      <w:pPr>
        <w:spacing w:after="0" w:line="15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7"/>
          <w:szCs w:val="17"/>
          <w:color w:val="auto"/>
        </w:rPr>
        <w:t>Due to the concentration of sales of RECs to PML, the Company is exposed to credit risk of potential nonperformance by them, which could impact liquidity if this customer were to experience financial difficulties. As of December 31, 2018 and 2017, accounts receivable – trade with PML totaled $5.5 million and accounts receivable – affiliate with PML totaled $677 thousand, respectively. The maximum amount of loss due to credit risk, should the customer fail to perform, is the amount of the outstanding receivable, and any losses associated with replacing this customer.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 Fair Value of Financial Instruments</w:t>
      </w:r>
    </w:p>
    <w:p>
      <w:pPr>
        <w:spacing w:after="0" w:line="11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The Company accounts for the fair value of financial instruments in accordance with ASC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or ASC 820. The Company does not hold or issue financial instruments for trading purposes. The carrying amounts of cash, restricted cash, accounts receivable – trade, accounts receivable – affiliate, accounts payable – trade, accounts payable – affiliate and accrued liabilities approximate fair value because of the short-term maturity of these instruments and are classified as Level 1 within the fair value hierarchy.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28" w:name="page29"/>
    <w:bookmarkEnd w:id="28"/>
    <w:p>
      <w:pPr>
        <w:jc w:val="both"/>
        <w:ind w:firstLine="648"/>
        <w:spacing w:after="0" w:line="293" w:lineRule="auto"/>
        <w:rPr>
          <w:sz w:val="20"/>
          <w:szCs w:val="20"/>
          <w:color w:val="auto"/>
        </w:rPr>
      </w:pPr>
      <w:r>
        <w:rPr>
          <w:rFonts w:ascii="Arial" w:cs="Arial" w:eastAsia="Arial" w:hAnsi="Arial"/>
          <w:sz w:val="16"/>
          <w:szCs w:val="16"/>
          <w:color w:val="auto"/>
        </w:rPr>
        <w:t xml:space="preserve">Derivative instruments consisting of interest rate swaps are recorded at fair value on the Company’s consolidated balance sheet on a recurring basis and are classified as Level 2 within the fair value hierarchy as the fair value can be determined based on observable values of underlying interest rates. The fair value of each contract is discounted using a risk free interest rate. In addition, the Company applies a credit reserve to reflect credit risk, which for interest rate swaps is calculated utilizing the bilateral method based on published default probabilities. The credit reserve is added to the discounted fair value to reflect the exit price that a market participant would be willing to receive to assume the Company's liabilities or that a market participant would be willing to pay for the Company's assets. For further discussion of interest rate swaps, see note 5, </w:t>
      </w:r>
      <w:r>
        <w:rPr>
          <w:rFonts w:ascii="Arial" w:cs="Arial" w:eastAsia="Arial" w:hAnsi="Arial"/>
          <w:sz w:val="16"/>
          <w:szCs w:val="16"/>
          <w:i w:val="1"/>
          <w:iCs w:val="1"/>
          <w:color w:val="auto"/>
        </w:rPr>
        <w:t>Accounting for Derivatives Instruments and Hedging Activities</w:t>
      </w:r>
      <w:r>
        <w:rPr>
          <w:rFonts w:ascii="Arial" w:cs="Arial" w:eastAsia="Arial" w:hAnsi="Arial"/>
          <w:sz w:val="16"/>
          <w:szCs w:val="16"/>
          <w:color w:val="auto"/>
        </w:rPr>
        <w:t>.</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carrying value of long-term debt approximates fair value at December 31, 2018 and 2017 as the debt carries a variable interest rate. The fair value of long-term debt is based on current interest rates for similar instruments with equivalent credit quality and is classified as Level 3 inputs within the fair value hierarchy.</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ASC 820 establishes a fair value hierarchy that prioritizes the inputs to valuation techniques used to measure fair value into three levels as follows:</w:t>
      </w:r>
    </w:p>
    <w:p>
      <w:pPr>
        <w:spacing w:after="0" w:line="235" w:lineRule="exact"/>
        <w:rPr>
          <w:sz w:val="20"/>
          <w:szCs w:val="20"/>
          <w:color w:val="auto"/>
        </w:rPr>
      </w:pPr>
    </w:p>
    <w:p>
      <w:pPr>
        <w:ind w:firstLine="8"/>
        <w:spacing w:after="0" w:line="324" w:lineRule="auto"/>
        <w:tabs>
          <w:tab w:leader="none" w:pos="711"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Level 1 – Quoted prices (unadjusted) in active markets for identical assets or liabilities that the Company has the ability to access as of the measurement date.</w:t>
      </w:r>
    </w:p>
    <w:p>
      <w:pPr>
        <w:spacing w:after="0" w:line="35" w:lineRule="exact"/>
        <w:rPr>
          <w:rFonts w:ascii="Arial" w:cs="Arial" w:eastAsia="Arial" w:hAnsi="Arial"/>
          <w:sz w:val="18"/>
          <w:szCs w:val="18"/>
          <w:color w:val="auto"/>
        </w:rPr>
      </w:pPr>
    </w:p>
    <w:p>
      <w:pPr>
        <w:ind w:firstLine="8"/>
        <w:spacing w:after="0" w:line="277" w:lineRule="auto"/>
        <w:tabs>
          <w:tab w:leader="none" w:pos="297"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Level 2 – Inputs other than quoted prices included within Level 1 that are directly observable for the asset or liability or indirectly observable through corroboration with observable market data.</w:t>
      </w:r>
    </w:p>
    <w:p>
      <w:pPr>
        <w:spacing w:after="0" w:line="62" w:lineRule="exact"/>
        <w:rPr>
          <w:rFonts w:ascii="Arial" w:cs="Arial" w:eastAsia="Arial" w:hAnsi="Arial"/>
          <w:sz w:val="18"/>
          <w:szCs w:val="18"/>
          <w:color w:val="auto"/>
        </w:rPr>
      </w:pPr>
    </w:p>
    <w:p>
      <w:pPr>
        <w:ind w:firstLine="8"/>
        <w:spacing w:after="0" w:line="277" w:lineRule="auto"/>
        <w:tabs>
          <w:tab w:leader="none" w:pos="281"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Level 3 – Unobservable inputs for the asset or liability only used when there is little, if any, market activity for the asset or liability at the measurement date.</w:t>
      </w:r>
    </w:p>
    <w:p>
      <w:pPr>
        <w:spacing w:after="0" w:line="13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accordance with ASC 820, the Company determines the level in the fair value hierarchy within which each fair value measurement in its entirety falls, based on the lowest level input that is significant to the fair value measurement in its entirety.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 Asset Retirement Obligations</w:t>
      </w:r>
    </w:p>
    <w:p>
      <w:pPr>
        <w:spacing w:after="0" w:line="13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The Company accounts for its asset retirement obligations, or AROs, in accordance with ASC 410-20, </w:t>
      </w:r>
      <w:r>
        <w:rPr>
          <w:rFonts w:ascii="Arial" w:cs="Arial" w:eastAsia="Arial" w:hAnsi="Arial"/>
          <w:sz w:val="18"/>
          <w:szCs w:val="18"/>
          <w:i w:val="1"/>
          <w:iCs w:val="1"/>
          <w:color w:val="auto"/>
        </w:rPr>
        <w:t>Asset Retirement Obligations</w:t>
      </w:r>
      <w:r>
        <w:rPr>
          <w:rFonts w:ascii="Arial" w:cs="Arial" w:eastAsia="Arial" w:hAnsi="Arial"/>
          <w:sz w:val="18"/>
          <w:szCs w:val="18"/>
          <w:color w:val="auto"/>
        </w:rPr>
        <w:t>, or ASC 410-20. Retirement obligations associated with long-lived assets included within the scope of ASC 410-20 are those for which a legal obligation exists under enacted laws, statutes, and written or oral contracts, including obligations arising under the doctrine of promissory estoppel, and for which the timing and/or method of settlement may be conditional on a future event. ASC 410-20 requires the Company to recognize the fair value of a liability for an ARO in the period in which it is incurred and a reasonable estimate of fair value can be made.</w:t>
      </w:r>
    </w:p>
    <w:p>
      <w:pPr>
        <w:spacing w:after="0" w:line="14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Upon initial recognition of a liability for an ARO, the Company capitalizes the asset retirement cost by increasing the carrying amount of the related long-lived asset by the same amount. Over time, the liability is accreted to its future value, while the capitalized cost is depreciated over the useful life of the related asset. The Company’s AROs are the estimated cost to remove the above ground solar equipment and restore the site to conditions similar to the surrounding parcels.</w:t>
      </w:r>
    </w:p>
    <w:p>
      <w:pPr>
        <w:spacing w:after="0" w:line="1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represents the balance of the ARO obligation as of December 31, 2018 and 2017, along with the additions and accretion expense related to the Company's ARO for the year ended December 31, 2018 (in thousands):</w:t>
      </w:r>
    </w:p>
    <w:p>
      <w:pPr>
        <w:spacing w:after="0" w:line="297" w:lineRule="exact"/>
        <w:rPr>
          <w:sz w:val="20"/>
          <w:szCs w:val="20"/>
          <w:color w:val="auto"/>
        </w:rPr>
      </w:pPr>
    </w:p>
    <w:tbl>
      <w:tblPr>
        <w:tblLayout w:type="fixed"/>
        <w:tblInd w:w="2180" w:type="dxa"/>
        <w:tblCellMar>
          <w:top w:w="0" w:type="dxa"/>
          <w:left w:w="0" w:type="dxa"/>
          <w:bottom w:w="0" w:type="dxa"/>
          <w:right w:w="0" w:type="dxa"/>
        </w:tblCellMar>
      </w:tblPr>
      <w:tr>
        <w:trPr>
          <w:trHeight w:val="206"/>
        </w:trPr>
        <w:tc>
          <w:tcPr>
            <w:tcW w:w="3780" w:type="dxa"/>
            <w:vAlign w:val="bottom"/>
          </w:tcPr>
          <w:p>
            <w:pPr>
              <w:ind w:left="20"/>
              <w:spacing w:after="0"/>
              <w:rPr>
                <w:sz w:val="20"/>
                <w:szCs w:val="20"/>
                <w:color w:val="auto"/>
              </w:rPr>
            </w:pPr>
            <w:r>
              <w:rPr>
                <w:rFonts w:ascii="Arial" w:cs="Arial" w:eastAsia="Arial" w:hAnsi="Arial"/>
                <w:sz w:val="16"/>
                <w:szCs w:val="16"/>
                <w:color w:val="auto"/>
              </w:rPr>
              <w:t>Balance as of December 31, 2017</w:t>
            </w: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955</w:t>
            </w:r>
          </w:p>
        </w:tc>
      </w:tr>
      <w:tr>
        <w:trPr>
          <w:trHeight w:val="33"/>
        </w:trPr>
        <w:tc>
          <w:tcPr>
            <w:tcW w:w="378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0"/>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Additions</w:t>
            </w:r>
          </w:p>
        </w:tc>
        <w:tc>
          <w:tcPr>
            <w:tcW w:w="17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887</w:t>
            </w:r>
          </w:p>
        </w:tc>
      </w:tr>
      <w:tr>
        <w:trPr>
          <w:trHeight w:val="237"/>
        </w:trPr>
        <w:tc>
          <w:tcPr>
            <w:tcW w:w="3780" w:type="dxa"/>
            <w:vAlign w:val="bottom"/>
          </w:tcPr>
          <w:p>
            <w:pPr>
              <w:ind w:left="20"/>
              <w:spacing w:after="0"/>
              <w:rPr>
                <w:sz w:val="20"/>
                <w:szCs w:val="20"/>
                <w:color w:val="auto"/>
              </w:rPr>
            </w:pPr>
            <w:r>
              <w:rPr>
                <w:rFonts w:ascii="Arial" w:cs="Arial" w:eastAsia="Arial" w:hAnsi="Arial"/>
                <w:sz w:val="16"/>
                <w:szCs w:val="16"/>
                <w:color w:val="auto"/>
              </w:rPr>
              <w:t>Accretion expense</w:t>
            </w:r>
          </w:p>
        </w:tc>
        <w:tc>
          <w:tcPr>
            <w:tcW w:w="17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111</w:t>
            </w:r>
          </w:p>
        </w:tc>
      </w:tr>
      <w:tr>
        <w:trPr>
          <w:trHeight w:val="33"/>
        </w:trPr>
        <w:tc>
          <w:tcPr>
            <w:tcW w:w="378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December 31, 2018</w:t>
            </w: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1,953</w:t>
            </w:r>
          </w:p>
        </w:tc>
      </w:tr>
      <w:tr>
        <w:trPr>
          <w:trHeight w:val="20"/>
        </w:trPr>
        <w:tc>
          <w:tcPr>
            <w:tcW w:w="37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 Comprehensive Income</w:t>
      </w:r>
    </w:p>
    <w:p>
      <w:pPr>
        <w:spacing w:after="0" w:line="13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Company’s total comprehensive income is equal to its net income for the year ended December 31, 2018 and the the period from September 26, 2017 through December 31, 2017.</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(p) Redeemable Noncontrolling Interests</w:t>
      </w:r>
    </w:p>
    <w:p>
      <w:pPr>
        <w:spacing w:after="0" w:line="1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tax equity investor in the Chestnut Fund, Firstar, has the right to redeem its interests for cash or other assets and accordingly, the Company has included the noncontrolling interest attributable to Firstar as a component of temporary equity in the mezzanine section of the consolidated balance sheets. The following table reflects the changes in the Company's redeemable noncontrolling interest balance for the year ended December 31, 2018 and the period from September 26, 2017 through December 31, 2017 (in thousands):</w:t>
      </w:r>
    </w:p>
    <w:p>
      <w:pPr>
        <w:spacing w:after="0" w:line="313" w:lineRule="exact"/>
        <w:rPr>
          <w:sz w:val="20"/>
          <w:szCs w:val="20"/>
          <w:color w:val="auto"/>
        </w:rPr>
      </w:pPr>
    </w:p>
    <w:tbl>
      <w:tblPr>
        <w:tblLayout w:type="fixed"/>
        <w:tblInd w:w="2440" w:type="dxa"/>
        <w:tblCellMar>
          <w:top w:w="0" w:type="dxa"/>
          <w:left w:w="0" w:type="dxa"/>
          <w:bottom w:w="0" w:type="dxa"/>
          <w:right w:w="0" w:type="dxa"/>
        </w:tblCellMar>
      </w:tblPr>
      <w:tr>
        <w:trPr>
          <w:trHeight w:val="206"/>
        </w:trPr>
        <w:tc>
          <w:tcPr>
            <w:tcW w:w="5040" w:type="dxa"/>
            <w:vAlign w:val="bottom"/>
          </w:tcPr>
          <w:p>
            <w:pPr>
              <w:ind w:left="20"/>
              <w:spacing w:after="0"/>
              <w:rPr>
                <w:sz w:val="20"/>
                <w:szCs w:val="20"/>
                <w:color w:val="auto"/>
              </w:rPr>
            </w:pPr>
            <w:r>
              <w:rPr>
                <w:rFonts w:ascii="Arial" w:cs="Arial" w:eastAsia="Arial" w:hAnsi="Arial"/>
                <w:sz w:val="16"/>
                <w:szCs w:val="16"/>
                <w:color w:val="auto"/>
              </w:rPr>
              <w:t>Balance as of September 26, 2017</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5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Cash contributions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35,361</w:t>
            </w:r>
          </w:p>
        </w:tc>
      </w:tr>
      <w:tr>
        <w:trPr>
          <w:trHeight w:val="237"/>
        </w:trPr>
        <w:tc>
          <w:tcPr>
            <w:tcW w:w="5040" w:type="dxa"/>
            <w:vAlign w:val="bottom"/>
          </w:tcPr>
          <w:p>
            <w:pPr>
              <w:ind w:left="200"/>
              <w:spacing w:after="0"/>
              <w:rPr>
                <w:sz w:val="20"/>
                <w:szCs w:val="20"/>
                <w:color w:val="auto"/>
              </w:rPr>
            </w:pPr>
            <w:r>
              <w:rPr>
                <w:rFonts w:ascii="Arial" w:cs="Arial" w:eastAsia="Arial" w:hAnsi="Arial"/>
                <w:sz w:val="16"/>
                <w:szCs w:val="16"/>
                <w:color w:val="auto"/>
              </w:rPr>
              <w:t>Net loss attributable to noncontrolling interest</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(28,844)</w:t>
            </w:r>
          </w:p>
        </w:tc>
      </w:tr>
      <w:tr>
        <w:trPr>
          <w:trHeight w:val="33"/>
        </w:trPr>
        <w:tc>
          <w:tcPr>
            <w:tcW w:w="50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December 31, 2017</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6,517</w:t>
            </w:r>
          </w:p>
        </w:tc>
      </w:tr>
      <w:tr>
        <w:trPr>
          <w:trHeight w:val="237"/>
        </w:trPr>
        <w:tc>
          <w:tcPr>
            <w:tcW w:w="5040" w:type="dxa"/>
            <w:vAlign w:val="bottom"/>
          </w:tcPr>
          <w:p>
            <w:pPr>
              <w:ind w:left="200"/>
              <w:spacing w:after="0"/>
              <w:rPr>
                <w:sz w:val="20"/>
                <w:szCs w:val="20"/>
                <w:color w:val="auto"/>
              </w:rPr>
            </w:pPr>
            <w:r>
              <w:rPr>
                <w:rFonts w:ascii="Arial" w:cs="Arial" w:eastAsia="Arial" w:hAnsi="Arial"/>
                <w:sz w:val="16"/>
                <w:szCs w:val="16"/>
                <w:color w:val="auto"/>
              </w:rPr>
              <w:t>Cash contributions</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44,266</w:t>
            </w:r>
          </w:p>
        </w:tc>
      </w:tr>
      <w:tr>
        <w:trPr>
          <w:trHeight w:val="33"/>
        </w:trPr>
        <w:tc>
          <w:tcPr>
            <w:tcW w:w="5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Cash distributions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(928)</w:t>
            </w:r>
          </w:p>
        </w:tc>
      </w:tr>
      <w:tr>
        <w:trPr>
          <w:trHeight w:val="237"/>
        </w:trPr>
        <w:tc>
          <w:tcPr>
            <w:tcW w:w="5040" w:type="dxa"/>
            <w:vAlign w:val="bottom"/>
          </w:tcPr>
          <w:p>
            <w:pPr>
              <w:ind w:left="200"/>
              <w:spacing w:after="0"/>
              <w:rPr>
                <w:sz w:val="20"/>
                <w:szCs w:val="20"/>
                <w:color w:val="auto"/>
              </w:rPr>
            </w:pPr>
            <w:r>
              <w:rPr>
                <w:rFonts w:ascii="Arial" w:cs="Arial" w:eastAsia="Arial" w:hAnsi="Arial"/>
                <w:sz w:val="16"/>
                <w:szCs w:val="16"/>
                <w:color w:val="auto"/>
              </w:rPr>
              <w:t>Net loss attributable to noncontrolling interest</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(50,149)</w:t>
            </w:r>
          </w:p>
        </w:tc>
      </w:tr>
      <w:tr>
        <w:trPr>
          <w:trHeight w:val="33"/>
        </w:trPr>
        <w:tc>
          <w:tcPr>
            <w:tcW w:w="50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December 31, 2018</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w:t>
            </w:r>
          </w:p>
        </w:tc>
      </w:tr>
      <w:tr>
        <w:trPr>
          <w:trHeight w:val="20"/>
        </w:trPr>
        <w:tc>
          <w:tcPr>
            <w:tcW w:w="5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 Tax Equity Arrangements</w:t>
      </w:r>
    </w:p>
    <w:p>
      <w:pPr>
        <w:spacing w:after="0" w:line="13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Company has determined that the appropriate methodology for calculating its noncontrolling interest and redeemable noncontrolling interest is a balance sheet approach using the hypothetical liquidation at book value, or HLBV, method. Under the HLBV method, the amount reported as noncontrolling interests and redeemable noncontrolling interests represent the amount that each tax equity investor would hypothetically receive at each balance sheet date under the liquidation provisions of the contractual agreements assuming the net assets were liquidated at their recorded amounts determined in accordance with GAAP. The tax equity investors' interest in the results of operations are determined as the difference in the noncontrolling interest or redeemable noncontrolling interest at the start and end of each reporting period, after taking into account any capital transactions. The calculations utilized to apply the HLBV method include estimated calculations of taxable income or losses for the reporting period. These amounts are reconciled to the taxable income or loss included within the tax return once the tax return is filed.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 Use of Estimates</w:t>
      </w:r>
    </w:p>
    <w:p>
      <w:pPr>
        <w:spacing w:after="0" w:line="13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preparation of the consolidated financial statements in conformity with U.S. GAAP requires management to make estimates and assumptions that affect the reported amounts of assets and liabilities and disclosures of contingent assets and liabilities at the date of the consolidated financial statements, and the reported amounts of revenues and expenses during the reporting period. Actual results could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4"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(3) Tax Equity Arrangements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Chestnut Fund</w:t>
      </w:r>
    </w:p>
    <w:p>
      <w:pPr>
        <w:spacing w:after="0" w:line="1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wholly owned subsidiary Chestnut Class B LLC is the Class B Member and the Managing Member of the Chestnut Fund tax equity arrangement and it conducts and directs all operating activities of the fund. The Investor Member is Firstar. Chestnut Fund is a VIE and Chestnut Class B LLC is the primary beneficiary due to its role as Managing Member and the ability to direct the activities that most significantly impact the economics of the tax equity arrangement.</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summarized financial information for Chestnut Fund as of December 31, 2018 and 2017 is as follows (in thousands):</w:t>
      </w:r>
    </w:p>
    <w:p>
      <w:pPr>
        <w:spacing w:after="0" w:line="307" w:lineRule="exact"/>
        <w:rPr>
          <w:sz w:val="20"/>
          <w:szCs w:val="20"/>
          <w:color w:val="auto"/>
        </w:rPr>
      </w:pPr>
    </w:p>
    <w:tbl>
      <w:tblPr>
        <w:tblLayout w:type="fixed"/>
        <w:tblInd w:w="150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80" w:type="dxa"/>
            <w:vAlign w:val="bottom"/>
          </w:tcPr>
          <w:p>
            <w:pPr>
              <w:jc w:val="right"/>
              <w:ind w:right="399"/>
              <w:spacing w:after="0"/>
              <w:rPr>
                <w:sz w:val="20"/>
                <w:szCs w:val="20"/>
                <w:color w:val="auto"/>
              </w:rPr>
            </w:pPr>
            <w:r>
              <w:rPr>
                <w:rFonts w:ascii="Arial" w:cs="Arial" w:eastAsia="Arial" w:hAnsi="Arial"/>
                <w:sz w:val="16"/>
                <w:szCs w:val="16"/>
                <w:b w:val="1"/>
                <w:bCs w:val="1"/>
                <w:color w:val="auto"/>
              </w:rPr>
              <w:t>2018</w:t>
            </w:r>
          </w:p>
        </w:tc>
        <w:tc>
          <w:tcPr>
            <w:tcW w:w="220" w:type="dxa"/>
            <w:vAlign w:val="bottom"/>
          </w:tcPr>
          <w:p>
            <w:pPr>
              <w:spacing w:after="0"/>
              <w:rPr>
                <w:sz w:val="18"/>
                <w:szCs w:val="18"/>
                <w:color w:val="auto"/>
              </w:rPr>
            </w:pPr>
          </w:p>
        </w:tc>
        <w:tc>
          <w:tcPr>
            <w:tcW w:w="12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2017</w:t>
            </w:r>
          </w:p>
        </w:tc>
      </w:tr>
      <w:tr>
        <w:trPr>
          <w:trHeight w:val="33"/>
        </w:trPr>
        <w:tc>
          <w:tcPr>
            <w:tcW w:w="47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13,490</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2,438</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9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182,416</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132,240</w:t>
            </w:r>
          </w:p>
        </w:tc>
      </w:tr>
      <w:tr>
        <w:trPr>
          <w:trHeight w:val="33"/>
        </w:trPr>
        <w:tc>
          <w:tcPr>
            <w:tcW w:w="4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 for power purchase agreement, net</w:t>
            </w:r>
          </w:p>
        </w:tc>
        <w:tc>
          <w:tcPr>
            <w:tcW w:w="9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1,427</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1,487</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Other non-current assets</w:t>
            </w:r>
          </w:p>
        </w:tc>
        <w:tc>
          <w:tcPr>
            <w:tcW w:w="9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310</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310</w:t>
            </w:r>
          </w:p>
        </w:tc>
      </w:tr>
      <w:tr>
        <w:trPr>
          <w:trHeight w:val="33"/>
        </w:trPr>
        <w:tc>
          <w:tcPr>
            <w:tcW w:w="47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Total assets</w:t>
            </w:r>
          </w:p>
        </w:tc>
        <w:tc>
          <w:tcPr>
            <w:tcW w:w="9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197,643</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136,475</w:t>
            </w:r>
          </w:p>
        </w:tc>
      </w:tr>
      <w:tr>
        <w:trPr>
          <w:trHeight w:val="217"/>
        </w:trPr>
        <w:tc>
          <w:tcPr>
            <w:tcW w:w="4700" w:type="dxa"/>
            <w:vAlign w:val="bottom"/>
          </w:tcPr>
          <w:p>
            <w:pPr>
              <w:ind w:left="40"/>
              <w:spacing w:after="0"/>
              <w:rPr>
                <w:sz w:val="20"/>
                <w:szCs w:val="20"/>
                <w:color w:val="auto"/>
              </w:rPr>
            </w:pPr>
            <w:r>
              <w:rPr>
                <w:rFonts w:ascii="Arial" w:cs="Arial" w:eastAsia="Arial" w:hAnsi="Arial"/>
                <w:sz w:val="16"/>
                <w:szCs w:val="16"/>
                <w:color w:val="auto"/>
              </w:rPr>
              <w:t>Accounts payable – affiliate</w:t>
            </w:r>
          </w:p>
        </w:tc>
        <w:tc>
          <w:tcPr>
            <w:tcW w:w="960" w:type="dxa"/>
            <w:vAlign w:val="bottom"/>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3,473</w:t>
            </w:r>
          </w:p>
        </w:tc>
        <w:tc>
          <w:tcPr>
            <w:tcW w:w="22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86,869</w:t>
            </w:r>
          </w:p>
        </w:tc>
      </w:tr>
      <w:tr>
        <w:trPr>
          <w:trHeight w:val="33"/>
        </w:trPr>
        <w:tc>
          <w:tcPr>
            <w:tcW w:w="4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current and non-current liabilities</w:t>
            </w:r>
          </w:p>
        </w:tc>
        <w:tc>
          <w:tcPr>
            <w:tcW w:w="9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7,290</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4,317</w:t>
            </w:r>
          </w:p>
        </w:tc>
      </w:tr>
      <w:tr>
        <w:trPr>
          <w:trHeight w:val="217"/>
        </w:trPr>
        <w:tc>
          <w:tcPr>
            <w:tcW w:w="4700" w:type="dxa"/>
            <w:vAlign w:val="bottom"/>
          </w:tcPr>
          <w:p>
            <w:pPr>
              <w:ind w:left="620"/>
              <w:spacing w:after="0"/>
              <w:rPr>
                <w:sz w:val="20"/>
                <w:szCs w:val="20"/>
                <w:color w:val="auto"/>
              </w:rPr>
            </w:pPr>
            <w:r>
              <w:rPr>
                <w:rFonts w:ascii="Arial" w:cs="Arial" w:eastAsia="Arial" w:hAnsi="Arial"/>
                <w:sz w:val="16"/>
                <w:szCs w:val="16"/>
                <w:color w:val="auto"/>
              </w:rPr>
              <w:t>Total liabilities</w:t>
            </w:r>
          </w:p>
        </w:tc>
        <w:tc>
          <w:tcPr>
            <w:tcW w:w="960" w:type="dxa"/>
            <w:vAlign w:val="bottom"/>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10,763</w:t>
            </w:r>
          </w:p>
        </w:tc>
        <w:tc>
          <w:tcPr>
            <w:tcW w:w="22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91,186</w:t>
            </w:r>
          </w:p>
        </w:tc>
      </w:tr>
      <w:tr>
        <w:trPr>
          <w:trHeight w:val="33"/>
        </w:trPr>
        <w:tc>
          <w:tcPr>
            <w:tcW w:w="4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Redeemable noncontrolling interests</w:t>
            </w:r>
          </w:p>
        </w:tc>
        <w:tc>
          <w:tcPr>
            <w:tcW w:w="9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(294)</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6,517</w:t>
            </w:r>
          </w:p>
        </w:tc>
      </w:tr>
      <w:tr>
        <w:trPr>
          <w:trHeight w:val="244"/>
        </w:trPr>
        <w:tc>
          <w:tcPr>
            <w:tcW w:w="4700" w:type="dxa"/>
            <w:vAlign w:val="bottom"/>
          </w:tcPr>
          <w:p>
            <w:pPr>
              <w:ind w:left="620"/>
              <w:spacing w:after="0"/>
              <w:rPr>
                <w:sz w:val="20"/>
                <w:szCs w:val="20"/>
                <w:color w:val="auto"/>
              </w:rPr>
            </w:pPr>
            <w:r>
              <w:rPr>
                <w:rFonts w:ascii="Arial" w:cs="Arial" w:eastAsia="Arial" w:hAnsi="Arial"/>
                <w:sz w:val="16"/>
                <w:szCs w:val="16"/>
                <w:color w:val="auto"/>
              </w:rPr>
              <w:t>Net assets less redeemable noncontrolling interests</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187,174</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38,772</w:t>
            </w:r>
          </w:p>
        </w:tc>
      </w:tr>
      <w:tr>
        <w:trPr>
          <w:trHeight w:val="20"/>
        </w:trPr>
        <w:tc>
          <w:tcPr>
            <w:tcW w:w="4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CS4 Fund</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wholly owned subsidiary Renew Solar CS4 Class B LLC is the Class B Member and Managing Member of the CS4 Fund tax equity arrangement, and conducts and directs all operating activities of the fund. The Investor Member is PNC. CS4 Fund is a VIE and Renew Solar CS4 Class B LLC is the primary beneficiary due to its role as Managing Member and the ability to direct the activities that most significantly impact the economics of the tax equity arrangement.</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summarized financial information for CS4 Fund as of December 31, 2018 is as follows (in thousands):</w:t>
      </w:r>
    </w:p>
    <w:p>
      <w:pPr>
        <w:spacing w:after="0" w:line="307" w:lineRule="exact"/>
        <w:rPr>
          <w:sz w:val="20"/>
          <w:szCs w:val="20"/>
          <w:color w:val="auto"/>
        </w:rPr>
      </w:pPr>
    </w:p>
    <w:tbl>
      <w:tblPr>
        <w:tblLayout w:type="fixed"/>
        <w:tblInd w:w="1540" w:type="dxa"/>
        <w:tblCellMar>
          <w:top w:w="0" w:type="dxa"/>
          <w:left w:w="0" w:type="dxa"/>
          <w:bottom w:w="0" w:type="dxa"/>
          <w:right w:w="0" w:type="dxa"/>
        </w:tblCellMar>
      </w:tblPr>
      <w:tr>
        <w:trPr>
          <w:trHeight w:val="210"/>
        </w:trPr>
        <w:tc>
          <w:tcPr>
            <w:tcW w:w="50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60" w:type="dxa"/>
            <w:vAlign w:val="bottom"/>
          </w:tcPr>
          <w:p>
            <w:pPr>
              <w:jc w:val="right"/>
              <w:ind w:right="279"/>
              <w:spacing w:after="0"/>
              <w:rPr>
                <w:sz w:val="20"/>
                <w:szCs w:val="20"/>
                <w:color w:val="auto"/>
              </w:rPr>
            </w:pPr>
            <w:r>
              <w:rPr>
                <w:rFonts w:ascii="Arial" w:cs="Arial" w:eastAsia="Arial" w:hAnsi="Arial"/>
                <w:sz w:val="16"/>
                <w:szCs w:val="16"/>
                <w:b w:val="1"/>
                <w:bCs w:val="1"/>
                <w:color w:val="auto"/>
              </w:rPr>
              <w:t>2018</w:t>
            </w:r>
          </w:p>
        </w:tc>
      </w:tr>
      <w:tr>
        <w:trPr>
          <w:trHeight w:val="33"/>
        </w:trPr>
        <w:tc>
          <w:tcPr>
            <w:tcW w:w="500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2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500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20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43,274</w:t>
            </w:r>
          </w:p>
        </w:tc>
      </w:tr>
      <w:tr>
        <w:trPr>
          <w:trHeight w:val="33"/>
        </w:trPr>
        <w:tc>
          <w:tcPr>
            <w:tcW w:w="500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Total assets</w:t>
            </w:r>
          </w:p>
        </w:tc>
        <w:tc>
          <w:tcPr>
            <w:tcW w:w="20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43,274</w:t>
            </w:r>
          </w:p>
        </w:tc>
      </w:tr>
      <w:tr>
        <w:trPr>
          <w:trHeight w:val="217"/>
        </w:trPr>
        <w:tc>
          <w:tcPr>
            <w:tcW w:w="5000" w:type="dxa"/>
            <w:vAlign w:val="bottom"/>
          </w:tcPr>
          <w:p>
            <w:pPr>
              <w:ind w:left="40"/>
              <w:spacing w:after="0"/>
              <w:rPr>
                <w:sz w:val="20"/>
                <w:szCs w:val="20"/>
                <w:color w:val="auto"/>
              </w:rPr>
            </w:pPr>
            <w:r>
              <w:rPr>
                <w:rFonts w:ascii="Arial" w:cs="Arial" w:eastAsia="Arial" w:hAnsi="Arial"/>
                <w:sz w:val="16"/>
                <w:szCs w:val="16"/>
                <w:color w:val="auto"/>
              </w:rPr>
              <w:t>Accounts payable – affiliate</w:t>
            </w:r>
          </w:p>
        </w:tc>
        <w:tc>
          <w:tcPr>
            <w:tcW w:w="208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57,126</w:t>
            </w:r>
          </w:p>
        </w:tc>
      </w:tr>
      <w:tr>
        <w:trPr>
          <w:trHeight w:val="33"/>
        </w:trPr>
        <w:tc>
          <w:tcPr>
            <w:tcW w:w="50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current and non-current liabilities</w:t>
            </w:r>
          </w:p>
        </w:tc>
        <w:tc>
          <w:tcPr>
            <w:tcW w:w="20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2,750</w:t>
            </w:r>
          </w:p>
        </w:tc>
      </w:tr>
      <w:tr>
        <w:trPr>
          <w:trHeight w:val="217"/>
        </w:trPr>
        <w:tc>
          <w:tcPr>
            <w:tcW w:w="5000" w:type="dxa"/>
            <w:vAlign w:val="bottom"/>
          </w:tcPr>
          <w:p>
            <w:pPr>
              <w:ind w:left="620"/>
              <w:spacing w:after="0"/>
              <w:rPr>
                <w:sz w:val="20"/>
                <w:szCs w:val="20"/>
                <w:color w:val="auto"/>
              </w:rPr>
            </w:pPr>
            <w:r>
              <w:rPr>
                <w:rFonts w:ascii="Arial" w:cs="Arial" w:eastAsia="Arial" w:hAnsi="Arial"/>
                <w:sz w:val="16"/>
                <w:szCs w:val="16"/>
                <w:color w:val="auto"/>
              </w:rPr>
              <w:t>Total liabilities</w:t>
            </w:r>
          </w:p>
        </w:tc>
        <w:tc>
          <w:tcPr>
            <w:tcW w:w="208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59,876</w:t>
            </w:r>
          </w:p>
        </w:tc>
      </w:tr>
      <w:tr>
        <w:trPr>
          <w:trHeight w:val="33"/>
        </w:trPr>
        <w:tc>
          <w:tcPr>
            <w:tcW w:w="50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Noncontrolling interests</w:t>
            </w:r>
          </w:p>
        </w:tc>
        <w:tc>
          <w:tcPr>
            <w:tcW w:w="20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(1,652)</w:t>
            </w:r>
          </w:p>
        </w:tc>
      </w:tr>
      <w:tr>
        <w:trPr>
          <w:trHeight w:val="244"/>
        </w:trPr>
        <w:tc>
          <w:tcPr>
            <w:tcW w:w="5000" w:type="dxa"/>
            <w:vAlign w:val="bottom"/>
          </w:tcPr>
          <w:p>
            <w:pPr>
              <w:ind w:left="620"/>
              <w:spacing w:after="0"/>
              <w:rPr>
                <w:sz w:val="20"/>
                <w:szCs w:val="20"/>
                <w:color w:val="auto"/>
              </w:rPr>
            </w:pPr>
            <w:r>
              <w:rPr>
                <w:rFonts w:ascii="Arial" w:cs="Arial" w:eastAsia="Arial" w:hAnsi="Arial"/>
                <w:sz w:val="16"/>
                <w:szCs w:val="16"/>
                <w:color w:val="auto"/>
              </w:rPr>
              <w:t>Net assets less noncontrolling interests</w:t>
            </w:r>
          </w:p>
        </w:tc>
        <w:tc>
          <w:tcPr>
            <w:tcW w:w="20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(14,950)</w:t>
            </w:r>
          </w:p>
        </w:tc>
      </w:tr>
      <w:tr>
        <w:trPr>
          <w:trHeight w:val="20"/>
        </w:trPr>
        <w:tc>
          <w:tcPr>
            <w:tcW w:w="50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0" w:right="239" w:bottom="1440" w:gutter="0" w:footer="0" w:header="0"/>
        </w:sectPr>
      </w:pPr>
    </w:p>
    <w:bookmarkStart w:id="31" w:name="page32"/>
    <w:bookmarkEnd w:id="31"/>
    <w:p>
      <w:pPr>
        <w:ind w:left="280" w:hanging="272"/>
        <w:spacing w:after="0"/>
        <w:tabs>
          <w:tab w:leader="none" w:pos="280" w:val="left"/>
        </w:tabs>
        <w:numPr>
          <w:ilvl w:val="0"/>
          <w:numId w:val="15"/>
        </w:numPr>
        <w:rPr>
          <w:rFonts w:ascii="Arial" w:cs="Arial" w:eastAsia="Arial" w:hAnsi="Arial"/>
          <w:sz w:val="20"/>
          <w:szCs w:val="20"/>
          <w:b w:val="1"/>
          <w:bCs w:val="1"/>
          <w:color w:val="auto"/>
        </w:rPr>
      </w:pPr>
      <w:r>
        <w:rPr>
          <w:rFonts w:ascii="Arial" w:cs="Arial" w:eastAsia="Arial" w:hAnsi="Arial"/>
          <w:sz w:val="18"/>
          <w:szCs w:val="18"/>
          <w:b w:val="1"/>
          <w:bCs w:val="1"/>
          <w:color w:val="auto"/>
        </w:rPr>
        <w:t>Property, Plant, and Equipment</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major classes of property, plant, and equipment as of December 31, 2018 and 2017 were as follows (in thousands):</w:t>
      </w:r>
    </w:p>
    <w:p>
      <w:pPr>
        <w:spacing w:after="0" w:line="307" w:lineRule="exact"/>
        <w:rPr>
          <w:sz w:val="20"/>
          <w:szCs w:val="20"/>
          <w:color w:val="auto"/>
        </w:rPr>
      </w:pPr>
    </w:p>
    <w:tbl>
      <w:tblPr>
        <w:tblLayout w:type="fixed"/>
        <w:tblInd w:w="1520" w:type="dxa"/>
        <w:tblCellMar>
          <w:top w:w="0" w:type="dxa"/>
          <w:left w:w="0" w:type="dxa"/>
          <w:bottom w:w="0" w:type="dxa"/>
          <w:right w:w="0" w:type="dxa"/>
        </w:tblCellMar>
      </w:tblPr>
      <w:tr>
        <w:trPr>
          <w:trHeight w:val="210"/>
        </w:trPr>
        <w:tc>
          <w:tcPr>
            <w:tcW w:w="3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40" w:type="dxa"/>
            <w:vAlign w:val="bottom"/>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220" w:type="dxa"/>
            <w:vAlign w:val="bottom"/>
          </w:tcPr>
          <w:p>
            <w:pPr>
              <w:spacing w:after="0"/>
              <w:rPr>
                <w:sz w:val="18"/>
                <w:szCs w:val="18"/>
                <w:color w:val="auto"/>
              </w:rPr>
            </w:pPr>
          </w:p>
        </w:tc>
        <w:tc>
          <w:tcPr>
            <w:tcW w:w="1240" w:type="dxa"/>
            <w:vAlign w:val="bottom"/>
          </w:tcPr>
          <w:p>
            <w:pPr>
              <w:jc w:val="right"/>
              <w:ind w:right="399"/>
              <w:spacing w:after="0"/>
              <w:rPr>
                <w:sz w:val="20"/>
                <w:szCs w:val="20"/>
                <w:color w:val="auto"/>
              </w:rPr>
            </w:pPr>
            <w:r>
              <w:rPr>
                <w:rFonts w:ascii="Arial" w:cs="Arial" w:eastAsia="Arial" w:hAnsi="Arial"/>
                <w:sz w:val="16"/>
                <w:szCs w:val="16"/>
                <w:b w:val="1"/>
                <w:bCs w:val="1"/>
                <w:color w:val="auto"/>
              </w:rPr>
              <w:t>2017</w:t>
            </w:r>
          </w:p>
        </w:tc>
        <w:tc>
          <w:tcPr>
            <w:tcW w:w="1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0"/>
              </w:rPr>
              <w:t>Depreciable lives</w:t>
            </w:r>
          </w:p>
        </w:tc>
      </w:tr>
      <w:tr>
        <w:trPr>
          <w:trHeight w:val="33"/>
        </w:trPr>
        <w:tc>
          <w:tcPr>
            <w:tcW w:w="348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Plant equipment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184,558</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101,867</w:t>
            </w:r>
          </w:p>
        </w:tc>
        <w:tc>
          <w:tcPr>
            <w:tcW w:w="1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10 - 30 years</w:t>
            </w:r>
          </w:p>
        </w:tc>
      </w:tr>
      <w:tr>
        <w:trPr>
          <w:trHeight w:val="237"/>
        </w:trPr>
        <w:tc>
          <w:tcPr>
            <w:tcW w:w="3480" w:type="dxa"/>
            <w:vAlign w:val="bottom"/>
          </w:tcPr>
          <w:p>
            <w:pPr>
              <w:ind w:left="20"/>
              <w:spacing w:after="0"/>
              <w:rPr>
                <w:sz w:val="20"/>
                <w:szCs w:val="20"/>
                <w:color w:val="auto"/>
              </w:rPr>
            </w:pPr>
            <w:r>
              <w:rPr>
                <w:rFonts w:ascii="Arial" w:cs="Arial" w:eastAsia="Arial" w:hAnsi="Arial"/>
                <w:sz w:val="16"/>
                <w:szCs w:val="16"/>
                <w:color w:val="auto"/>
              </w:rPr>
              <w:t>Construction in progress</w:t>
            </w:r>
          </w:p>
        </w:tc>
        <w:tc>
          <w:tcPr>
            <w:tcW w:w="7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68,564</w:t>
            </w:r>
          </w:p>
        </w:tc>
        <w:tc>
          <w:tcPr>
            <w:tcW w:w="2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30,613</w:t>
            </w:r>
          </w:p>
        </w:tc>
        <w:tc>
          <w:tcPr>
            <w:tcW w:w="16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33"/>
        </w:trPr>
        <w:tc>
          <w:tcPr>
            <w:tcW w:w="348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30"/>
        </w:trPr>
        <w:tc>
          <w:tcPr>
            <w:tcW w:w="34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Total property, plant, and equipment</w:t>
            </w:r>
          </w:p>
        </w:tc>
        <w:tc>
          <w:tcPr>
            <w:tcW w:w="7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253,122</w:t>
            </w: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132,480</w:t>
            </w:r>
          </w:p>
        </w:tc>
        <w:tc>
          <w:tcPr>
            <w:tcW w:w="1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r>
      <w:tr>
        <w:trPr>
          <w:trHeight w:val="237"/>
        </w:trPr>
        <w:tc>
          <w:tcPr>
            <w:tcW w:w="3480" w:type="dxa"/>
            <w:vAlign w:val="bottom"/>
          </w:tcPr>
          <w:p>
            <w:pPr>
              <w:ind w:left="20"/>
              <w:spacing w:after="0"/>
              <w:rPr>
                <w:sz w:val="20"/>
                <w:szCs w:val="20"/>
                <w:color w:val="auto"/>
              </w:rPr>
            </w:pPr>
            <w:r>
              <w:rPr>
                <w:rFonts w:ascii="Arial" w:cs="Arial" w:eastAsia="Arial" w:hAnsi="Arial"/>
                <w:sz w:val="16"/>
                <w:szCs w:val="16"/>
                <w:color w:val="auto"/>
              </w:rPr>
              <w:t>Less accumulated depreciation</w:t>
            </w:r>
          </w:p>
        </w:tc>
        <w:tc>
          <w:tcPr>
            <w:tcW w:w="7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(5,363)</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(240)</w:t>
            </w: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3"/>
        </w:trPr>
        <w:tc>
          <w:tcPr>
            <w:tcW w:w="348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44"/>
        </w:trPr>
        <w:tc>
          <w:tcPr>
            <w:tcW w:w="34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Net property, plant, and equipment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247,759</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132,240</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0"/>
        </w:trPr>
        <w:tc>
          <w:tcPr>
            <w:tcW w:w="3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Chestnut Fund</w:t>
      </w:r>
    </w:p>
    <w:p>
      <w:pPr>
        <w:spacing w:after="0" w:line="13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Chestnut Fund purchased its solar installations through the acquisition of membership interests in its subsidiaries from Clearway Renew. The purchase price of the acquired property, plant, and equipment was $64.4 million and $194.7 million in 2018 and 2017, respectively, which approximates the fair market value determined through third-party appraisal. As of December 31, 2018 and 2017, $5.8 million and $88.4 million of the purchase price, respectively, was payable to Clearway Renew and was recorded on the Company's consolidated balance sheets in accounts payable – affiliate. As described in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the acquisitions were a transfer of assets under common control. Accordingly, the assets are recorded at Clearway Renew's historical cost. The purchase price less the historical cost is recorded as a developer fee and a corresponding reduction to equity. In addition, Chestnut Fund recorded an ARO of $613 thousand and $899 thousand in 2018 and 2017, respectively, as part of property, plant, and equipment. In 2018, $997 thousand was recorded as a reduction to property, plant, and equipment for a NYSERDA government incentive award related to the Minisink Solar 1 LLC and Minisink Solar 2 LLC facilities reaching commercial operation. For additional information on the award, see note 2(j), Revenue Recognition.</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94" w:right="239" w:bottom="1440" w:gutter="0" w:footer="0" w:header="0"/>
        </w:sectPr>
      </w:pPr>
    </w:p>
    <w:bookmarkStart w:id="32" w:name="page33"/>
    <w:bookmarkEnd w:id="32"/>
    <w:p>
      <w:pPr>
        <w:ind w:firstLine="648"/>
        <w:spacing w:after="0" w:line="277" w:lineRule="auto"/>
        <w:rPr>
          <w:sz w:val="20"/>
          <w:szCs w:val="20"/>
          <w:color w:val="auto"/>
        </w:rPr>
      </w:pPr>
      <w:r>
        <w:rPr>
          <w:rFonts w:ascii="Arial" w:cs="Arial" w:eastAsia="Arial" w:hAnsi="Arial"/>
          <w:sz w:val="18"/>
          <w:szCs w:val="18"/>
          <w:color w:val="auto"/>
        </w:rPr>
        <w:t>Chestnut Fund completed the following acquisitions of membership interests in its subsidiaries in 2017 and 2018, with the purchase price allocated primarily to property, plant, and equipment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Purchase</w:t>
            </w:r>
          </w:p>
        </w:tc>
        <w:tc>
          <w:tcPr>
            <w:tcW w:w="12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Historical</w:t>
            </w:r>
          </w:p>
        </w:tc>
        <w:tc>
          <w:tcPr>
            <w:tcW w:w="90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Developer</w:t>
            </w: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6"/>
                <w:szCs w:val="16"/>
                <w:b w:val="1"/>
                <w:bCs w:val="1"/>
                <w:color w:val="auto"/>
                <w:w w:val="87"/>
              </w:rPr>
              <w:t>Placed in service</w:t>
            </w:r>
          </w:p>
        </w:tc>
      </w:tr>
      <w:tr>
        <w:trPr>
          <w:trHeight w:val="210"/>
        </w:trPr>
        <w:tc>
          <w:tcPr>
            <w:tcW w:w="2460" w:type="dxa"/>
            <w:vAlign w:val="bottom"/>
            <w:gridSpan w:val="2"/>
          </w:tcPr>
          <w:p>
            <w:pPr>
              <w:ind w:left="600"/>
              <w:spacing w:after="0"/>
              <w:rPr>
                <w:sz w:val="20"/>
                <w:szCs w:val="20"/>
                <w:color w:val="auto"/>
              </w:rPr>
            </w:pPr>
            <w:r>
              <w:rPr>
                <w:rFonts w:ascii="Arial" w:cs="Arial" w:eastAsia="Arial" w:hAnsi="Arial"/>
                <w:sz w:val="16"/>
                <w:szCs w:val="16"/>
                <w:b w:val="1"/>
                <w:bCs w:val="1"/>
                <w:color w:val="auto"/>
              </w:rPr>
              <w:t>Project company</w:t>
            </w:r>
          </w:p>
        </w:tc>
        <w:tc>
          <w:tcPr>
            <w:tcW w:w="120" w:type="dxa"/>
            <w:vAlign w:val="bottom"/>
          </w:tcPr>
          <w:p>
            <w:pPr>
              <w:spacing w:after="0"/>
              <w:rPr>
                <w:sz w:val="18"/>
                <w:szCs w:val="18"/>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price</w:t>
            </w:r>
          </w:p>
        </w:tc>
        <w:tc>
          <w:tcPr>
            <w:tcW w:w="12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4"/>
              </w:rPr>
              <w:t>cost</w:t>
            </w:r>
          </w:p>
        </w:tc>
        <w:tc>
          <w:tcPr>
            <w:tcW w:w="220" w:type="dxa"/>
            <w:vAlign w:val="bottom"/>
          </w:tcPr>
          <w:p>
            <w:pPr>
              <w:spacing w:after="0"/>
              <w:rPr>
                <w:sz w:val="18"/>
                <w:szCs w:val="18"/>
                <w:color w:val="auto"/>
              </w:rPr>
            </w:pPr>
          </w:p>
        </w:tc>
        <w:tc>
          <w:tcPr>
            <w:tcW w:w="680" w:type="dxa"/>
            <w:vAlign w:val="bottom"/>
          </w:tcPr>
          <w:p>
            <w:pPr>
              <w:jc w:val="right"/>
              <w:ind w:right="279"/>
              <w:spacing w:after="0"/>
              <w:rPr>
                <w:sz w:val="20"/>
                <w:szCs w:val="20"/>
                <w:color w:val="auto"/>
              </w:rPr>
            </w:pPr>
            <w:r>
              <w:rPr>
                <w:rFonts w:ascii="Arial" w:cs="Arial" w:eastAsia="Arial" w:hAnsi="Arial"/>
                <w:sz w:val="16"/>
                <w:szCs w:val="16"/>
                <w:b w:val="1"/>
                <w:bCs w:val="1"/>
                <w:color w:val="auto"/>
              </w:rPr>
              <w:t>fee</w:t>
            </w:r>
          </w:p>
        </w:tc>
        <w:tc>
          <w:tcPr>
            <w:tcW w:w="120" w:type="dxa"/>
            <w:vAlign w:val="bottom"/>
          </w:tcPr>
          <w:p>
            <w:pPr>
              <w:spacing w:after="0"/>
              <w:rPr>
                <w:sz w:val="18"/>
                <w:szCs w:val="18"/>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Acquisition date</w:t>
            </w:r>
          </w:p>
        </w:tc>
        <w:tc>
          <w:tcPr>
            <w:tcW w:w="1420" w:type="dxa"/>
            <w:vAlign w:val="bottom"/>
          </w:tcPr>
          <w:p>
            <w:pPr>
              <w:jc w:val="center"/>
              <w:spacing w:after="0"/>
              <w:rPr>
                <w:sz w:val="20"/>
                <w:szCs w:val="20"/>
                <w:color w:val="auto"/>
              </w:rPr>
            </w:pPr>
            <w:r>
              <w:rPr>
                <w:rFonts w:ascii="Arial" w:cs="Arial" w:eastAsia="Arial" w:hAnsi="Arial"/>
                <w:sz w:val="16"/>
                <w:szCs w:val="16"/>
                <w:b w:val="1"/>
                <w:bCs w:val="1"/>
                <w:color w:val="auto"/>
                <w:w w:val="91"/>
              </w:rPr>
              <w:t>date</w:t>
            </w:r>
          </w:p>
        </w:tc>
      </w:tr>
      <w:tr>
        <w:trPr>
          <w:trHeight w:val="33"/>
        </w:trPr>
        <w:tc>
          <w:tcPr>
            <w:tcW w:w="2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0"/>
        </w:trPr>
        <w:tc>
          <w:tcPr>
            <w:tcW w:w="2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Black Cat Road Solar, LLC</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5,183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3,801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1,382</w:t>
            </w:r>
          </w:p>
        </w:tc>
        <w:tc>
          <w:tcPr>
            <w:tcW w:w="1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August 14, 2017</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0"/>
              </w:rPr>
              <w:t>August 30, 2017</w:t>
            </w:r>
          </w:p>
        </w:tc>
      </w:tr>
      <w:tr>
        <w:trPr>
          <w:trHeight w:val="237"/>
        </w:trPr>
        <w:tc>
          <w:tcPr>
            <w:tcW w:w="2460" w:type="dxa"/>
            <w:vAlign w:val="bottom"/>
            <w:gridSpan w:val="2"/>
          </w:tcPr>
          <w:p>
            <w:pPr>
              <w:ind w:left="40"/>
              <w:spacing w:after="0"/>
              <w:rPr>
                <w:sz w:val="20"/>
                <w:szCs w:val="20"/>
                <w:color w:val="auto"/>
              </w:rPr>
            </w:pPr>
            <w:r>
              <w:rPr>
                <w:rFonts w:ascii="Arial" w:cs="Arial" w:eastAsia="Arial" w:hAnsi="Arial"/>
                <w:sz w:val="16"/>
                <w:szCs w:val="16"/>
                <w:color w:val="auto"/>
              </w:rPr>
              <w:t>Brook St Solar 1, LLC</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25,593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18,853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6,740</w:t>
            </w:r>
          </w:p>
        </w:tc>
        <w:tc>
          <w:tcPr>
            <w:tcW w:w="120" w:type="dxa"/>
            <w:vAlign w:val="bottom"/>
          </w:tcPr>
          <w:p>
            <w:pPr>
              <w:spacing w:after="0"/>
              <w:rPr>
                <w:sz w:val="20"/>
                <w:szCs w:val="20"/>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August 14, 2017</w:t>
            </w:r>
          </w:p>
        </w:tc>
        <w:tc>
          <w:tcPr>
            <w:tcW w:w="1420" w:type="dxa"/>
            <w:vAlign w:val="bottom"/>
          </w:tcPr>
          <w:p>
            <w:pPr>
              <w:jc w:val="center"/>
              <w:spacing w:after="0"/>
              <w:rPr>
                <w:sz w:val="20"/>
                <w:szCs w:val="20"/>
                <w:color w:val="auto"/>
              </w:rPr>
            </w:pPr>
            <w:r>
              <w:rPr>
                <w:rFonts w:ascii="Arial" w:cs="Arial" w:eastAsia="Arial" w:hAnsi="Arial"/>
                <w:sz w:val="16"/>
                <w:szCs w:val="16"/>
                <w:color w:val="auto"/>
                <w:w w:val="89"/>
              </w:rPr>
              <w:t>September 6, 2017</w:t>
            </w:r>
          </w:p>
        </w:tc>
      </w:tr>
      <w:tr>
        <w:trPr>
          <w:trHeight w:val="33"/>
        </w:trPr>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Solar Mule, LLC</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1,069</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9"/>
              </w:rPr>
              <w:t>September 1, 2017</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September 18, 2017</w:t>
            </w:r>
          </w:p>
        </w:tc>
      </w:tr>
      <w:tr>
        <w:trPr>
          <w:trHeight w:val="237"/>
        </w:trPr>
        <w:tc>
          <w:tcPr>
            <w:tcW w:w="2460" w:type="dxa"/>
            <w:vAlign w:val="bottom"/>
            <w:gridSpan w:val="2"/>
          </w:tcPr>
          <w:p>
            <w:pPr>
              <w:ind w:left="40"/>
              <w:spacing w:after="0"/>
              <w:rPr>
                <w:sz w:val="20"/>
                <w:szCs w:val="20"/>
                <w:color w:val="auto"/>
              </w:rPr>
            </w:pPr>
            <w:r>
              <w:rPr>
                <w:rFonts w:ascii="Arial" w:cs="Arial" w:eastAsia="Arial" w:hAnsi="Arial"/>
                <w:sz w:val="16"/>
                <w:szCs w:val="16"/>
                <w:color w:val="auto"/>
              </w:rPr>
              <w:t>Big Lake Holdco LLC</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18,583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14,559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4,024</w:t>
            </w:r>
          </w:p>
        </w:tc>
        <w:tc>
          <w:tcPr>
            <w:tcW w:w="120" w:type="dxa"/>
            <w:vAlign w:val="bottom"/>
          </w:tcPr>
          <w:p>
            <w:pPr>
              <w:spacing w:after="0"/>
              <w:rPr>
                <w:sz w:val="20"/>
                <w:szCs w:val="20"/>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August 14, 2017</w:t>
            </w:r>
          </w:p>
        </w:tc>
        <w:tc>
          <w:tcPr>
            <w:tcW w:w="1420" w:type="dxa"/>
            <w:vAlign w:val="bottom"/>
          </w:tcPr>
          <w:p>
            <w:pPr>
              <w:jc w:val="center"/>
              <w:spacing w:after="0"/>
              <w:rPr>
                <w:sz w:val="20"/>
                <w:szCs w:val="20"/>
                <w:color w:val="auto"/>
              </w:rPr>
            </w:pPr>
            <w:r>
              <w:rPr>
                <w:rFonts w:ascii="Arial" w:cs="Arial" w:eastAsia="Arial" w:hAnsi="Arial"/>
                <w:sz w:val="16"/>
                <w:szCs w:val="16"/>
                <w:color w:val="auto"/>
                <w:w w:val="92"/>
              </w:rPr>
              <w:t>October 1, 2017</w:t>
            </w:r>
          </w:p>
        </w:tc>
      </w:tr>
      <w:tr>
        <w:trPr>
          <w:trHeight w:val="33"/>
        </w:trPr>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Solar West Shaft LLC</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1,224</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August 14, 2017</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October 10, 2017</w:t>
            </w:r>
          </w:p>
        </w:tc>
      </w:tr>
      <w:tr>
        <w:trPr>
          <w:trHeight w:val="270"/>
        </w:trPr>
        <w:tc>
          <w:tcPr>
            <w:tcW w:w="2460" w:type="dxa"/>
            <w:vAlign w:val="bottom"/>
            <w:gridSpan w:val="2"/>
          </w:tcPr>
          <w:p>
            <w:pPr>
              <w:ind w:left="40"/>
              <w:spacing w:after="0"/>
              <w:rPr>
                <w:sz w:val="20"/>
                <w:szCs w:val="20"/>
                <w:color w:val="auto"/>
              </w:rPr>
            </w:pPr>
            <w:r>
              <w:rPr>
                <w:rFonts w:ascii="Arial" w:cs="Arial" w:eastAsia="Arial" w:hAnsi="Arial"/>
                <w:sz w:val="16"/>
                <w:szCs w:val="16"/>
                <w:color w:val="auto"/>
              </w:rPr>
              <w:t xml:space="preserve">DG Foxborough Elm LLC </w:t>
            </w:r>
            <w:r>
              <w:rPr>
                <w:rFonts w:ascii="Arial" w:cs="Arial" w:eastAsia="Arial" w:hAnsi="Arial"/>
                <w:sz w:val="21"/>
                <w:szCs w:val="21"/>
                <w:color w:val="auto"/>
                <w:vertAlign w:val="superscript"/>
              </w:rPr>
              <w:t>(b)</w:t>
            </w: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10,183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7,838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2,345</w:t>
            </w:r>
          </w:p>
        </w:tc>
        <w:tc>
          <w:tcPr>
            <w:tcW w:w="120" w:type="dxa"/>
            <w:vAlign w:val="bottom"/>
          </w:tcPr>
          <w:p>
            <w:pPr>
              <w:spacing w:after="0"/>
              <w:rPr>
                <w:sz w:val="23"/>
                <w:szCs w:val="23"/>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September 27, 2017</w:t>
            </w:r>
          </w:p>
        </w:tc>
        <w:tc>
          <w:tcPr>
            <w:tcW w:w="1420" w:type="dxa"/>
            <w:vAlign w:val="bottom"/>
          </w:tcPr>
          <w:p>
            <w:pPr>
              <w:jc w:val="center"/>
              <w:spacing w:after="0"/>
              <w:rPr>
                <w:sz w:val="20"/>
                <w:szCs w:val="20"/>
                <w:color w:val="auto"/>
              </w:rPr>
            </w:pPr>
            <w:r>
              <w:rPr>
                <w:rFonts w:ascii="Arial" w:cs="Arial" w:eastAsia="Arial" w:hAnsi="Arial"/>
                <w:sz w:val="16"/>
                <w:szCs w:val="16"/>
                <w:color w:val="auto"/>
                <w:w w:val="92"/>
              </w:rPr>
              <w:t>October 12, 2017</w:t>
            </w:r>
          </w:p>
        </w:tc>
      </w:tr>
      <w:tr>
        <w:trPr>
          <w:trHeight w:val="250"/>
        </w:trPr>
        <w:tc>
          <w:tcPr>
            <w:tcW w:w="2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Redbrook Solar 1 LLC</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21,090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5,674</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9"/>
              </w:rPr>
              <w:t>September 27, 2017</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November 9, 2017</w:t>
            </w:r>
          </w:p>
        </w:tc>
      </w:tr>
      <w:tr>
        <w:trPr>
          <w:trHeight w:val="237"/>
        </w:trPr>
        <w:tc>
          <w:tcPr>
            <w:tcW w:w="2460" w:type="dxa"/>
            <w:vAlign w:val="bottom"/>
            <w:gridSpan w:val="2"/>
          </w:tcPr>
          <w:p>
            <w:pPr>
              <w:ind w:left="40"/>
              <w:spacing w:after="0"/>
              <w:rPr>
                <w:sz w:val="20"/>
                <w:szCs w:val="20"/>
                <w:color w:val="auto"/>
              </w:rPr>
            </w:pPr>
            <w:r>
              <w:rPr>
                <w:rFonts w:ascii="Arial" w:cs="Arial" w:eastAsia="Arial" w:hAnsi="Arial"/>
                <w:sz w:val="16"/>
                <w:szCs w:val="16"/>
                <w:color w:val="auto"/>
              </w:rPr>
              <w:t>Northfield Holdco LLC</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17,639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12,740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4,899</w:t>
            </w:r>
          </w:p>
        </w:tc>
        <w:tc>
          <w:tcPr>
            <w:tcW w:w="120" w:type="dxa"/>
            <w:vAlign w:val="bottom"/>
          </w:tcPr>
          <w:p>
            <w:pPr>
              <w:spacing w:after="0"/>
              <w:rPr>
                <w:sz w:val="20"/>
                <w:szCs w:val="20"/>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6"/>
                <w:szCs w:val="16"/>
                <w:color w:val="auto"/>
                <w:w w:val="90"/>
              </w:rPr>
              <w:t>October 27, 2017</w:t>
            </w:r>
          </w:p>
        </w:tc>
        <w:tc>
          <w:tcPr>
            <w:tcW w:w="1420" w:type="dxa"/>
            <w:vAlign w:val="bottom"/>
          </w:tcPr>
          <w:p>
            <w:pPr>
              <w:jc w:val="center"/>
              <w:spacing w:after="0"/>
              <w:rPr>
                <w:sz w:val="20"/>
                <w:szCs w:val="20"/>
                <w:color w:val="auto"/>
              </w:rPr>
            </w:pPr>
            <w:r>
              <w:rPr>
                <w:rFonts w:ascii="Arial" w:cs="Arial" w:eastAsia="Arial" w:hAnsi="Arial"/>
                <w:sz w:val="16"/>
                <w:szCs w:val="16"/>
                <w:color w:val="auto"/>
                <w:w w:val="89"/>
              </w:rPr>
              <w:t>December 1, 2017</w:t>
            </w:r>
          </w:p>
        </w:tc>
      </w:tr>
      <w:tr>
        <w:trPr>
          <w:trHeight w:val="33"/>
        </w:trPr>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Waterford Holdco LLC</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2,765</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0"/>
              </w:rPr>
              <w:t>October 27, 2017</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December 1, 2017</w:t>
            </w:r>
          </w:p>
        </w:tc>
      </w:tr>
      <w:tr>
        <w:trPr>
          <w:trHeight w:val="220"/>
        </w:trPr>
        <w:tc>
          <w:tcPr>
            <w:tcW w:w="2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89"/>
              </w:rPr>
              <w:t>December 21, 2017</w:t>
            </w:r>
          </w:p>
        </w:tc>
      </w:tr>
      <w:tr>
        <w:trPr>
          <w:trHeight w:val="206"/>
        </w:trPr>
        <w:tc>
          <w:tcPr>
            <w:tcW w:w="2460" w:type="dxa"/>
            <w:vAlign w:val="bottom"/>
            <w:gridSpan w:val="2"/>
          </w:tcPr>
          <w:p>
            <w:pPr>
              <w:ind w:left="40"/>
              <w:spacing w:after="0"/>
              <w:rPr>
                <w:sz w:val="20"/>
                <w:szCs w:val="20"/>
                <w:color w:val="auto"/>
              </w:rPr>
            </w:pPr>
            <w:r>
              <w:rPr>
                <w:rFonts w:ascii="Arial" w:cs="Arial" w:eastAsia="Arial" w:hAnsi="Arial"/>
                <w:sz w:val="16"/>
                <w:szCs w:val="16"/>
                <w:color w:val="auto"/>
              </w:rPr>
              <w:t>Center St Solar 1 LLC</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13,529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10,437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3,092</w:t>
            </w:r>
          </w:p>
        </w:tc>
        <w:tc>
          <w:tcPr>
            <w:tcW w:w="120" w:type="dxa"/>
            <w:vAlign w:val="bottom"/>
          </w:tcPr>
          <w:p>
            <w:pPr>
              <w:spacing w:after="0"/>
              <w:rPr>
                <w:sz w:val="17"/>
                <w:szCs w:val="17"/>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August 14, 2017</w:t>
            </w:r>
          </w:p>
        </w:tc>
        <w:tc>
          <w:tcPr>
            <w:tcW w:w="1420" w:type="dxa"/>
            <w:vAlign w:val="bottom"/>
          </w:tcPr>
          <w:p>
            <w:pPr>
              <w:jc w:val="center"/>
              <w:spacing w:after="0"/>
              <w:rPr>
                <w:sz w:val="20"/>
                <w:szCs w:val="20"/>
                <w:color w:val="auto"/>
              </w:rPr>
            </w:pPr>
            <w:r>
              <w:rPr>
                <w:rFonts w:ascii="Arial" w:cs="Arial" w:eastAsia="Arial" w:hAnsi="Arial"/>
                <w:sz w:val="16"/>
                <w:szCs w:val="16"/>
                <w:color w:val="auto"/>
                <w:w w:val="90"/>
              </w:rPr>
              <w:t>&amp; January 3, 2018</w:t>
            </w:r>
          </w:p>
        </w:tc>
      </w:tr>
      <w:tr>
        <w:trPr>
          <w:trHeight w:val="33"/>
        </w:trPr>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TOS Solar 1, LLC</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695</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0"/>
              </w:rPr>
              <w:t>October 27, 2017</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December 30, 2017</w:t>
            </w:r>
          </w:p>
        </w:tc>
      </w:tr>
      <w:tr>
        <w:trPr>
          <w:trHeight w:val="237"/>
        </w:trPr>
        <w:tc>
          <w:tcPr>
            <w:tcW w:w="2460" w:type="dxa"/>
            <w:vAlign w:val="bottom"/>
            <w:gridSpan w:val="2"/>
          </w:tcPr>
          <w:p>
            <w:pPr>
              <w:ind w:left="40"/>
              <w:spacing w:after="0"/>
              <w:rPr>
                <w:sz w:val="20"/>
                <w:szCs w:val="20"/>
                <w:color w:val="auto"/>
              </w:rPr>
            </w:pPr>
            <w:r>
              <w:rPr>
                <w:rFonts w:ascii="Arial" w:cs="Arial" w:eastAsia="Arial" w:hAnsi="Arial"/>
                <w:sz w:val="16"/>
                <w:szCs w:val="16"/>
                <w:color w:val="auto"/>
              </w:rPr>
              <w:t>TOS Solar 2, LLC</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4,210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1,196</w:t>
            </w:r>
          </w:p>
        </w:tc>
        <w:tc>
          <w:tcPr>
            <w:tcW w:w="120" w:type="dxa"/>
            <w:vAlign w:val="bottom"/>
          </w:tcPr>
          <w:p>
            <w:pPr>
              <w:spacing w:after="0"/>
              <w:rPr>
                <w:sz w:val="20"/>
                <w:szCs w:val="20"/>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6"/>
                <w:szCs w:val="16"/>
                <w:color w:val="auto"/>
                <w:w w:val="90"/>
              </w:rPr>
              <w:t>October 27, 2017</w:t>
            </w:r>
          </w:p>
        </w:tc>
        <w:tc>
          <w:tcPr>
            <w:tcW w:w="1420" w:type="dxa"/>
            <w:vAlign w:val="bottom"/>
          </w:tcPr>
          <w:p>
            <w:pPr>
              <w:jc w:val="center"/>
              <w:spacing w:after="0"/>
              <w:rPr>
                <w:sz w:val="20"/>
                <w:szCs w:val="20"/>
                <w:color w:val="auto"/>
              </w:rPr>
            </w:pPr>
            <w:r>
              <w:rPr>
                <w:rFonts w:ascii="Arial" w:cs="Arial" w:eastAsia="Arial" w:hAnsi="Arial"/>
                <w:sz w:val="16"/>
                <w:szCs w:val="16"/>
                <w:color w:val="auto"/>
                <w:w w:val="89"/>
              </w:rPr>
              <w:t>December 30, 2017</w:t>
            </w:r>
          </w:p>
        </w:tc>
      </w:tr>
      <w:tr>
        <w:trPr>
          <w:trHeight w:val="33"/>
        </w:trPr>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Stafford St Solar 1, LLC</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10,367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2,475</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August 14, 2017</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December 31, 2017</w:t>
            </w:r>
          </w:p>
        </w:tc>
      </w:tr>
      <w:tr>
        <w:trPr>
          <w:trHeight w:val="237"/>
        </w:trPr>
        <w:tc>
          <w:tcPr>
            <w:tcW w:w="2460" w:type="dxa"/>
            <w:vAlign w:val="bottom"/>
            <w:gridSpan w:val="2"/>
          </w:tcPr>
          <w:p>
            <w:pPr>
              <w:ind w:left="40"/>
              <w:spacing w:after="0"/>
              <w:rPr>
                <w:sz w:val="20"/>
                <w:szCs w:val="20"/>
                <w:color w:val="auto"/>
              </w:rPr>
            </w:pPr>
            <w:r>
              <w:rPr>
                <w:rFonts w:ascii="Arial" w:cs="Arial" w:eastAsia="Arial" w:hAnsi="Arial"/>
                <w:sz w:val="16"/>
                <w:szCs w:val="16"/>
                <w:color w:val="auto"/>
              </w:rPr>
              <w:t>Stafford St Solar 3, LLC</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5,448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4,143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1,305</w:t>
            </w:r>
          </w:p>
        </w:tc>
        <w:tc>
          <w:tcPr>
            <w:tcW w:w="120" w:type="dxa"/>
            <w:vAlign w:val="bottom"/>
          </w:tcPr>
          <w:p>
            <w:pPr>
              <w:spacing w:after="0"/>
              <w:rPr>
                <w:sz w:val="20"/>
                <w:szCs w:val="20"/>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August 14, 2017</w:t>
            </w:r>
          </w:p>
        </w:tc>
        <w:tc>
          <w:tcPr>
            <w:tcW w:w="1420" w:type="dxa"/>
            <w:vAlign w:val="bottom"/>
          </w:tcPr>
          <w:p>
            <w:pPr>
              <w:jc w:val="center"/>
              <w:spacing w:after="0"/>
              <w:rPr>
                <w:sz w:val="20"/>
                <w:szCs w:val="20"/>
                <w:color w:val="auto"/>
              </w:rPr>
            </w:pPr>
            <w:r>
              <w:rPr>
                <w:rFonts w:ascii="Arial" w:cs="Arial" w:eastAsia="Arial" w:hAnsi="Arial"/>
                <w:sz w:val="16"/>
                <w:szCs w:val="16"/>
                <w:color w:val="auto"/>
                <w:w w:val="89"/>
              </w:rPr>
              <w:t>December 31, 2017</w:t>
            </w:r>
          </w:p>
        </w:tc>
      </w:tr>
      <w:tr>
        <w:trPr>
          <w:trHeight w:val="33"/>
        </w:trPr>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ETCAP NES CS MN 02 LLC</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3,147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1,170</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0"/>
              </w:rPr>
              <w:t>January 25, 2018</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May 1, 2018</w:t>
            </w:r>
          </w:p>
        </w:tc>
      </w:tr>
      <w:tr>
        <w:trPr>
          <w:trHeight w:val="237"/>
        </w:trPr>
        <w:tc>
          <w:tcPr>
            <w:tcW w:w="2460" w:type="dxa"/>
            <w:vAlign w:val="bottom"/>
            <w:gridSpan w:val="2"/>
          </w:tcPr>
          <w:p>
            <w:pPr>
              <w:ind w:left="40"/>
              <w:spacing w:after="0"/>
              <w:rPr>
                <w:sz w:val="20"/>
                <w:szCs w:val="20"/>
                <w:color w:val="auto"/>
              </w:rPr>
            </w:pPr>
            <w:r>
              <w:rPr>
                <w:rFonts w:ascii="Arial" w:cs="Arial" w:eastAsia="Arial" w:hAnsi="Arial"/>
                <w:sz w:val="16"/>
                <w:szCs w:val="16"/>
                <w:color w:val="auto"/>
              </w:rPr>
              <w:t>ETCAP NES CS MN 06 LLC</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10,684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7,088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3,596</w:t>
            </w:r>
          </w:p>
        </w:tc>
        <w:tc>
          <w:tcPr>
            <w:tcW w:w="120" w:type="dxa"/>
            <w:vAlign w:val="bottom"/>
          </w:tcPr>
          <w:p>
            <w:pPr>
              <w:spacing w:after="0"/>
              <w:rPr>
                <w:sz w:val="20"/>
                <w:szCs w:val="20"/>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6"/>
                <w:szCs w:val="16"/>
                <w:color w:val="auto"/>
                <w:w w:val="90"/>
              </w:rPr>
              <w:t>January 25, 2018</w:t>
            </w:r>
          </w:p>
        </w:tc>
        <w:tc>
          <w:tcPr>
            <w:tcW w:w="1420" w:type="dxa"/>
            <w:vAlign w:val="bottom"/>
          </w:tcPr>
          <w:p>
            <w:pPr>
              <w:jc w:val="center"/>
              <w:spacing w:after="0"/>
              <w:rPr>
                <w:sz w:val="20"/>
                <w:szCs w:val="20"/>
                <w:color w:val="auto"/>
              </w:rPr>
            </w:pPr>
            <w:r>
              <w:rPr>
                <w:rFonts w:ascii="Arial" w:cs="Arial" w:eastAsia="Arial" w:hAnsi="Arial"/>
                <w:sz w:val="16"/>
                <w:szCs w:val="16"/>
                <w:color w:val="auto"/>
                <w:w w:val="93"/>
              </w:rPr>
              <w:t>May 1, 2018</w:t>
            </w:r>
          </w:p>
        </w:tc>
      </w:tr>
      <w:tr>
        <w:trPr>
          <w:trHeight w:val="33"/>
        </w:trPr>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Stafford St Solar 2, LLC</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10,553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2,481</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August 14, 2017</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May 9, 2018</w:t>
            </w:r>
          </w:p>
        </w:tc>
      </w:tr>
      <w:tr>
        <w:trPr>
          <w:trHeight w:val="237"/>
        </w:trPr>
        <w:tc>
          <w:tcPr>
            <w:tcW w:w="2460" w:type="dxa"/>
            <w:vAlign w:val="bottom"/>
            <w:gridSpan w:val="2"/>
          </w:tcPr>
          <w:p>
            <w:pPr>
              <w:ind w:left="40"/>
              <w:spacing w:after="0"/>
              <w:rPr>
                <w:sz w:val="20"/>
                <w:szCs w:val="20"/>
                <w:color w:val="auto"/>
              </w:rPr>
            </w:pPr>
            <w:r>
              <w:rPr>
                <w:rFonts w:ascii="Arial" w:cs="Arial" w:eastAsia="Arial" w:hAnsi="Arial"/>
                <w:sz w:val="16"/>
                <w:szCs w:val="16"/>
                <w:color w:val="auto"/>
              </w:rPr>
              <w:t>Bullock Road Solar 1, LLC</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20,687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15,794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4,893</w:t>
            </w:r>
          </w:p>
        </w:tc>
        <w:tc>
          <w:tcPr>
            <w:tcW w:w="120" w:type="dxa"/>
            <w:vAlign w:val="bottom"/>
          </w:tcPr>
          <w:p>
            <w:pPr>
              <w:spacing w:after="0"/>
              <w:rPr>
                <w:sz w:val="20"/>
                <w:szCs w:val="20"/>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August 14, 2017</w:t>
            </w:r>
          </w:p>
        </w:tc>
        <w:tc>
          <w:tcPr>
            <w:tcW w:w="1420" w:type="dxa"/>
            <w:vAlign w:val="bottom"/>
          </w:tcPr>
          <w:p>
            <w:pPr>
              <w:jc w:val="center"/>
              <w:spacing w:after="0"/>
              <w:rPr>
                <w:sz w:val="20"/>
                <w:szCs w:val="20"/>
                <w:color w:val="auto"/>
              </w:rPr>
            </w:pPr>
            <w:r>
              <w:rPr>
                <w:rFonts w:ascii="Arial" w:cs="Arial" w:eastAsia="Arial" w:hAnsi="Arial"/>
                <w:sz w:val="16"/>
                <w:szCs w:val="16"/>
                <w:color w:val="auto"/>
                <w:w w:val="90"/>
              </w:rPr>
              <w:t>July 25, 2018</w:t>
            </w:r>
          </w:p>
        </w:tc>
      </w:tr>
      <w:tr>
        <w:trPr>
          <w:trHeight w:val="33"/>
        </w:trPr>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Mapleton Solar LLC</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4,443</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3"/>
              </w:rPr>
              <w:t>March 29, 2018</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September 1, 2018</w:t>
            </w:r>
          </w:p>
        </w:tc>
      </w:tr>
      <w:tr>
        <w:trPr>
          <w:trHeight w:val="237"/>
        </w:trPr>
        <w:tc>
          <w:tcPr>
            <w:tcW w:w="2460" w:type="dxa"/>
            <w:vAlign w:val="bottom"/>
            <w:gridSpan w:val="2"/>
          </w:tcPr>
          <w:p>
            <w:pPr>
              <w:ind w:left="40"/>
              <w:spacing w:after="0"/>
              <w:rPr>
                <w:sz w:val="20"/>
                <w:szCs w:val="20"/>
                <w:color w:val="auto"/>
              </w:rPr>
            </w:pPr>
            <w:r>
              <w:rPr>
                <w:rFonts w:ascii="Arial" w:cs="Arial" w:eastAsia="Arial" w:hAnsi="Arial"/>
                <w:sz w:val="16"/>
                <w:szCs w:val="16"/>
                <w:color w:val="auto"/>
              </w:rPr>
              <w:t>Osakis Solar LLC</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18,993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13,598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5,395</w:t>
            </w:r>
          </w:p>
        </w:tc>
        <w:tc>
          <w:tcPr>
            <w:tcW w:w="120" w:type="dxa"/>
            <w:vAlign w:val="bottom"/>
          </w:tcPr>
          <w:p>
            <w:pPr>
              <w:spacing w:after="0"/>
              <w:rPr>
                <w:sz w:val="20"/>
                <w:szCs w:val="20"/>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March 29, 2018</w:t>
            </w:r>
          </w:p>
        </w:tc>
        <w:tc>
          <w:tcPr>
            <w:tcW w:w="1420" w:type="dxa"/>
            <w:vAlign w:val="bottom"/>
          </w:tcPr>
          <w:p>
            <w:pPr>
              <w:jc w:val="center"/>
              <w:spacing w:after="0"/>
              <w:rPr>
                <w:sz w:val="20"/>
                <w:szCs w:val="20"/>
                <w:color w:val="auto"/>
              </w:rPr>
            </w:pPr>
            <w:r>
              <w:rPr>
                <w:rFonts w:ascii="Arial" w:cs="Arial" w:eastAsia="Arial" w:hAnsi="Arial"/>
                <w:sz w:val="16"/>
                <w:szCs w:val="16"/>
                <w:color w:val="auto"/>
                <w:w w:val="89"/>
              </w:rPr>
              <w:t>September 1, 2018</w:t>
            </w:r>
          </w:p>
        </w:tc>
      </w:tr>
      <w:tr>
        <w:trPr>
          <w:trHeight w:val="33"/>
        </w:trPr>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Solar Wauwinet LLC</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5,345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1,254</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0"/>
              </w:rPr>
              <w:t>October 27, 2017</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September 17, 2018</w:t>
            </w:r>
          </w:p>
        </w:tc>
      </w:tr>
      <w:tr>
        <w:trPr>
          <w:trHeight w:val="237"/>
        </w:trPr>
        <w:tc>
          <w:tcPr>
            <w:tcW w:w="2460" w:type="dxa"/>
            <w:vAlign w:val="bottom"/>
            <w:gridSpan w:val="2"/>
          </w:tcPr>
          <w:p>
            <w:pPr>
              <w:ind w:left="40"/>
              <w:spacing w:after="0"/>
              <w:rPr>
                <w:sz w:val="20"/>
                <w:szCs w:val="20"/>
                <w:color w:val="auto"/>
              </w:rPr>
            </w:pPr>
            <w:r>
              <w:rPr>
                <w:rFonts w:ascii="Arial" w:cs="Arial" w:eastAsia="Arial" w:hAnsi="Arial"/>
                <w:sz w:val="16"/>
                <w:szCs w:val="16"/>
                <w:color w:val="auto"/>
              </w:rPr>
              <w:t>Minisink Solar 1 LLC</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7,746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5,273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2,473</w:t>
            </w:r>
          </w:p>
        </w:tc>
        <w:tc>
          <w:tcPr>
            <w:tcW w:w="120" w:type="dxa"/>
            <w:vAlign w:val="bottom"/>
          </w:tcPr>
          <w:p>
            <w:pPr>
              <w:spacing w:after="0"/>
              <w:rPr>
                <w:sz w:val="20"/>
                <w:szCs w:val="20"/>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6"/>
                <w:szCs w:val="16"/>
                <w:color w:val="auto"/>
                <w:w w:val="90"/>
              </w:rPr>
              <w:t>January 25, 2018</w:t>
            </w:r>
          </w:p>
        </w:tc>
        <w:tc>
          <w:tcPr>
            <w:tcW w:w="1420" w:type="dxa"/>
            <w:vAlign w:val="bottom"/>
          </w:tcPr>
          <w:p>
            <w:pPr>
              <w:jc w:val="center"/>
              <w:spacing w:after="0"/>
              <w:rPr>
                <w:sz w:val="20"/>
                <w:szCs w:val="20"/>
                <w:color w:val="auto"/>
              </w:rPr>
            </w:pPr>
            <w:r>
              <w:rPr>
                <w:rFonts w:ascii="Arial" w:cs="Arial" w:eastAsia="Arial" w:hAnsi="Arial"/>
                <w:sz w:val="16"/>
                <w:szCs w:val="16"/>
                <w:color w:val="auto"/>
                <w:w w:val="92"/>
              </w:rPr>
              <w:t>October 26, 2018</w:t>
            </w:r>
          </w:p>
        </w:tc>
      </w:tr>
      <w:tr>
        <w:trPr>
          <w:trHeight w:val="33"/>
        </w:trPr>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Minisink Solar 2 LLC</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8,673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2,737</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0"/>
              </w:rPr>
              <w:t>January 25, 2018</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October 31, 2018</w:t>
            </w:r>
          </w:p>
        </w:tc>
      </w:tr>
      <w:tr>
        <w:trPr>
          <w:trHeight w:val="270"/>
        </w:trPr>
        <w:tc>
          <w:tcPr>
            <w:tcW w:w="24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DG Marathon LLC</w:t>
            </w:r>
          </w:p>
        </w:tc>
        <w:tc>
          <w:tcPr>
            <w:tcW w:w="1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7,215</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4,201</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3,014</w:t>
            </w:r>
          </w:p>
        </w:tc>
        <w:tc>
          <w:tcPr>
            <w:tcW w:w="120" w:type="dxa"/>
            <w:vAlign w:val="bottom"/>
            <w:tcBorders>
              <w:bottom w:val="single" w:sz="8" w:color="CCEEFF"/>
            </w:tcBorders>
          </w:tcPr>
          <w:p>
            <w:pPr>
              <w:spacing w:after="0"/>
              <w:rPr>
                <w:sz w:val="23"/>
                <w:szCs w:val="23"/>
                <w:color w:val="auto"/>
              </w:rPr>
            </w:pPr>
          </w:p>
        </w:tc>
        <w:tc>
          <w:tcPr>
            <w:tcW w:w="172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6"/>
                <w:szCs w:val="16"/>
                <w:color w:val="auto"/>
                <w:w w:val="89"/>
              </w:rPr>
              <w:t>September 27, 2017</w:t>
            </w:r>
          </w:p>
        </w:tc>
        <w:tc>
          <w:tcPr>
            <w:tcW w:w="142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86"/>
              </w:rPr>
              <w:t xml:space="preserve">January 4, 2019 </w:t>
            </w:r>
            <w:r>
              <w:rPr>
                <w:rFonts w:ascii="Arial" w:cs="Arial" w:eastAsia="Arial" w:hAnsi="Arial"/>
                <w:sz w:val="21"/>
                <w:szCs w:val="21"/>
                <w:color w:val="auto"/>
                <w:w w:val="86"/>
                <w:vertAlign w:val="superscript"/>
              </w:rPr>
              <w:t>(a)</w:t>
            </w:r>
          </w:p>
        </w:tc>
      </w:tr>
      <w:tr>
        <w:trPr>
          <w:trHeight w:val="230"/>
        </w:trPr>
        <w:tc>
          <w:tcPr>
            <w:tcW w:w="2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acquisitions</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259,105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188,764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70,341</w:t>
            </w:r>
          </w:p>
        </w:tc>
        <w:tc>
          <w:tcPr>
            <w:tcW w:w="1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37"/>
        </w:trPr>
        <w:tc>
          <w:tcPr>
            <w:tcW w:w="2460" w:type="dxa"/>
            <w:vAlign w:val="bottom"/>
            <w:gridSpan w:val="2"/>
          </w:tcPr>
          <w:p>
            <w:pPr>
              <w:ind w:left="40"/>
              <w:spacing w:after="0"/>
              <w:rPr>
                <w:sz w:val="20"/>
                <w:szCs w:val="20"/>
                <w:color w:val="auto"/>
              </w:rPr>
            </w:pPr>
            <w:r>
              <w:rPr>
                <w:rFonts w:ascii="Arial" w:cs="Arial" w:eastAsia="Arial" w:hAnsi="Arial"/>
                <w:sz w:val="16"/>
                <w:szCs w:val="16"/>
                <w:color w:val="auto"/>
              </w:rPr>
              <w:t>less: 2017 acquisitions</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194,744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133,081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61,663</w:t>
            </w: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33"/>
        </w:trPr>
        <w:tc>
          <w:tcPr>
            <w:tcW w:w="2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r>
      <w:tr>
        <w:trPr>
          <w:trHeight w:val="244"/>
        </w:trPr>
        <w:tc>
          <w:tcPr>
            <w:tcW w:w="2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2018 acquisitions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64,361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55,683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8,678</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0"/>
        </w:trPr>
        <w:tc>
          <w:tcPr>
            <w:tcW w:w="2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1404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8">
                      <a:extLst>
                        <a:ext uri="{28A0092B-C50C-407E-A947-70E740481C1C}"/>
                      </a:extLst>
                    </a:blip>
                    <a:srcRect/>
                    <a:stretch>
                      <a:fillRect/>
                    </a:stretch>
                  </pic:blipFill>
                  <pic:spPr bwMode="auto">
                    <a:xfrm>
                      <a:off x="0" y="0"/>
                      <a:ext cx="1140460" cy="8890"/>
                    </a:xfrm>
                    <a:prstGeom prst="rect">
                      <a:avLst/>
                    </a:prstGeom>
                    <a:noFill/>
                  </pic:spPr>
                </pic:pic>
              </a:graphicData>
            </a:graphic>
          </wp:anchor>
        </w:drawing>
      </w:r>
    </w:p>
    <w:p>
      <w:pPr>
        <w:spacing w:after="0" w:line="348" w:lineRule="exact"/>
        <w:rPr>
          <w:sz w:val="20"/>
          <w:szCs w:val="20"/>
          <w:color w:val="auto"/>
        </w:rPr>
      </w:pPr>
    </w:p>
    <w:p>
      <w:pPr>
        <w:ind w:left="220" w:hanging="212"/>
        <w:spacing w:after="0"/>
        <w:tabs>
          <w:tab w:leader="none" w:pos="2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Project is under construction as of December 31, 2018.</w:t>
      </w:r>
    </w:p>
    <w:p>
      <w:pPr>
        <w:spacing w:after="0" w:line="59" w:lineRule="exact"/>
        <w:rPr>
          <w:rFonts w:ascii="Arial" w:cs="Arial" w:eastAsia="Arial" w:hAnsi="Arial"/>
          <w:sz w:val="16"/>
          <w:szCs w:val="16"/>
          <w:color w:val="auto"/>
        </w:rPr>
      </w:pPr>
    </w:p>
    <w:p>
      <w:pPr>
        <w:ind w:left="240" w:hanging="232"/>
        <w:spacing w:after="0"/>
        <w:tabs>
          <w:tab w:leader="none" w:pos="2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 xml:space="preserve">Included in the historical cost of Foxborough is $1.5 million for an intangible asset, as described further in note 2(f), </w:t>
      </w:r>
      <w:r>
        <w:rPr>
          <w:rFonts w:ascii="Arial" w:cs="Arial" w:eastAsia="Arial" w:hAnsi="Arial"/>
          <w:sz w:val="15"/>
          <w:szCs w:val="15"/>
          <w:i w:val="1"/>
          <w:iCs w:val="1"/>
          <w:color w:val="auto"/>
        </w:rPr>
        <w:t>Summary of Significant Accounting Policies</w:t>
      </w:r>
      <w:r>
        <w:rPr>
          <w:rFonts w:ascii="Arial" w:cs="Arial" w:eastAsia="Arial" w:hAnsi="Arial"/>
          <w:sz w:val="15"/>
          <w:szCs w:val="15"/>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CS4 Fund</w:t>
      </w:r>
    </w:p>
    <w:p>
      <w:pPr>
        <w:spacing w:after="0" w:line="1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CS4 Fund purchased its solar installations through the acquisition of membership interests in its subsidiaries from CS4 Seller, a wholly owned subsidiary of the Company. CS4 Seller funded the construction of the projects through borrowings under the financing arrangement for CS4 Borrower, as further described in note 6, </w:t>
      </w:r>
      <w:r>
        <w:rPr>
          <w:rFonts w:ascii="Arial" w:cs="Arial" w:eastAsia="Arial" w:hAnsi="Arial"/>
          <w:sz w:val="18"/>
          <w:szCs w:val="18"/>
          <w:i w:val="1"/>
          <w:iCs w:val="1"/>
          <w:color w:val="auto"/>
        </w:rPr>
        <w:t>Long-term Debt</w:t>
      </w:r>
      <w:r>
        <w:rPr>
          <w:rFonts w:ascii="Arial" w:cs="Arial" w:eastAsia="Arial" w:hAnsi="Arial"/>
          <w:sz w:val="18"/>
          <w:szCs w:val="18"/>
          <w:color w:val="auto"/>
        </w:rPr>
        <w:t>. As of December 31, 2018, CS4 Borrower had Construction in progress of $65.3 million, which included $43.3 million acquired by CS4 Fund and $22 million at subsidiaries of CS4 Seller.</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4" w:right="239" w:bottom="1440" w:gutter="0" w:footer="0" w:header="0"/>
        </w:sectPr>
      </w:pPr>
    </w:p>
    <w:bookmarkStart w:id="33" w:name="page34"/>
    <w:bookmarkEnd w:id="33"/>
    <w:p>
      <w:pPr>
        <w:ind w:left="280" w:hanging="272"/>
        <w:spacing w:after="0"/>
        <w:tabs>
          <w:tab w:leader="none" w:pos="280" w:val="left"/>
        </w:tabs>
        <w:numPr>
          <w:ilvl w:val="0"/>
          <w:numId w:val="17"/>
        </w:numPr>
        <w:rPr>
          <w:rFonts w:ascii="Arial" w:cs="Arial" w:eastAsia="Arial" w:hAnsi="Arial"/>
          <w:sz w:val="20"/>
          <w:szCs w:val="20"/>
          <w:b w:val="1"/>
          <w:bCs w:val="1"/>
          <w:color w:val="auto"/>
        </w:rPr>
      </w:pPr>
      <w:r>
        <w:rPr>
          <w:rFonts w:ascii="Arial" w:cs="Arial" w:eastAsia="Arial" w:hAnsi="Arial"/>
          <w:sz w:val="18"/>
          <w:szCs w:val="18"/>
          <w:b w:val="1"/>
          <w:bCs w:val="1"/>
          <w:color w:val="auto"/>
        </w:rPr>
        <w:t>Accounting for Derivative Instruments and Hedging Activities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Interest Rate Swaps</w:t>
      </w:r>
    </w:p>
    <w:p>
      <w:pPr>
        <w:spacing w:after="0" w:line="13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In accordance with the financing agreements described in note 6, </w:t>
      </w:r>
      <w:r>
        <w:rPr>
          <w:rFonts w:ascii="Arial" w:cs="Arial" w:eastAsia="Arial" w:hAnsi="Arial"/>
          <w:sz w:val="18"/>
          <w:szCs w:val="18"/>
          <w:i w:val="1"/>
          <w:iCs w:val="1"/>
          <w:color w:val="auto"/>
        </w:rPr>
        <w:t>Long-Term Debt</w:t>
      </w:r>
      <w:r>
        <w:rPr>
          <w:rFonts w:ascii="Arial" w:cs="Arial" w:eastAsia="Arial" w:hAnsi="Arial"/>
          <w:sz w:val="18"/>
          <w:szCs w:val="18"/>
          <w:color w:val="auto"/>
        </w:rPr>
        <w:t>, Chestnut Fund Borrower and CS4 Borrower each entered into a series of fixed for floating forward interest rate swaps for at least 80% and not more than 105% of the expected borrowings under the term loan, intended to hedge the risks associated with floating interest rates. Chestnut Fund and CS4 Borrower will pay their counterparties the equivalent of a fixed interest payment on a predetermined notional value, and quarterly each borrower will receive the equivalent of a floating interest payment based on a three-month LIBOR from the effective date through the termination date. The swaps are not designated as cash flow hedges. All unrealized gains and losses are recognized in the consolidated statements of income.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Volumetric Underlying Derivative Transactions</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notional amount of the interest rate swaps decreases in proportion to the loan.</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outstanding notional amounts and terms of the forward starting interest rate swaps as of December 31, 2018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292" w:lineRule="exact"/>
        <w:rPr>
          <w:sz w:val="20"/>
          <w:szCs w:val="20"/>
          <w:color w:val="auto"/>
        </w:rPr>
      </w:pPr>
    </w:p>
    <w:p>
      <w:pPr>
        <w:jc w:val="center"/>
        <w:ind w:right="400"/>
        <w:spacing w:after="0"/>
        <w:rPr>
          <w:sz w:val="20"/>
          <w:szCs w:val="20"/>
          <w:color w:val="auto"/>
        </w:rPr>
      </w:pPr>
      <w:r>
        <w:rPr>
          <w:rFonts w:ascii="Arial" w:cs="Arial" w:eastAsia="Arial" w:hAnsi="Arial"/>
          <w:sz w:val="16"/>
          <w:szCs w:val="16"/>
          <w:b w:val="1"/>
          <w:bCs w:val="1"/>
          <w:color w:val="auto"/>
        </w:rPr>
        <w:t>Notional amount</w:t>
      </w:r>
    </w:p>
    <w:p>
      <w:pPr>
        <w:spacing w:after="0" w:line="86" w:lineRule="exact"/>
        <w:rPr>
          <w:sz w:val="20"/>
          <w:szCs w:val="20"/>
          <w:color w:val="auto"/>
        </w:rPr>
      </w:pPr>
    </w:p>
    <w:p>
      <w:pPr>
        <w:jc w:val="center"/>
        <w:ind w:right="400"/>
        <w:spacing w:after="0"/>
        <w:rPr>
          <w:sz w:val="20"/>
          <w:szCs w:val="20"/>
          <w:color w:val="auto"/>
        </w:rPr>
      </w:pPr>
      <w:r>
        <w:rPr>
          <w:rFonts w:ascii="Arial" w:cs="Arial" w:eastAsia="Arial" w:hAnsi="Arial"/>
          <w:sz w:val="16"/>
          <w:szCs w:val="16"/>
          <w:b w:val="1"/>
          <w:bCs w:val="1"/>
          <w:color w:val="auto"/>
        </w:rPr>
        <w:t>(in thousands)</w:t>
      </w:r>
    </w:p>
    <w:p>
      <w:pPr>
        <w:spacing w:after="0" w:line="39" w:lineRule="exact"/>
        <w:rPr>
          <w:sz w:val="20"/>
          <w:szCs w:val="20"/>
          <w:color w:val="auto"/>
        </w:rPr>
      </w:pPr>
    </w:p>
    <w:tbl>
      <w:tblPr>
        <w:tblLayout w:type="fixed"/>
        <w:tblInd w:w="2040" w:type="dxa"/>
        <w:tblCellMar>
          <w:top w:w="0" w:type="dxa"/>
          <w:left w:w="0" w:type="dxa"/>
          <w:bottom w:w="0" w:type="dxa"/>
          <w:right w:w="0" w:type="dxa"/>
        </w:tblCellMar>
      </w:tblPr>
      <w:tr>
        <w:trPr>
          <w:trHeight w:val="284"/>
        </w:trPr>
        <w:tc>
          <w:tcPr>
            <w:tcW w:w="188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2"/>
              </w:rPr>
              <w:t>Effective date</w:t>
            </w:r>
          </w:p>
        </w:tc>
        <w:tc>
          <w:tcPr>
            <w:tcW w:w="220" w:type="dxa"/>
            <w:vAlign w:val="bottom"/>
            <w:tcBorders>
              <w:top w:val="single" w:sz="8" w:color="CCEEFF"/>
              <w:bottom w:val="single" w:sz="8" w:color="CCEEFF"/>
            </w:tcBorders>
            <w:shd w:val="clear" w:color="auto" w:fill="CCEEFF"/>
          </w:tcPr>
          <w:p>
            <w:pPr>
              <w:spacing w:after="0"/>
              <w:rPr>
                <w:sz w:val="24"/>
                <w:szCs w:val="24"/>
                <w:color w:val="auto"/>
              </w:rPr>
            </w:pPr>
          </w:p>
        </w:tc>
        <w:tc>
          <w:tcPr>
            <w:tcW w:w="1240" w:type="dxa"/>
            <w:vAlign w:val="bottom"/>
            <w:tcBorders>
              <w:top w:val="single" w:sz="8" w:color="auto"/>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220" w:type="dxa"/>
            <w:vAlign w:val="bottom"/>
            <w:tcBorders>
              <w:top w:val="single" w:sz="8" w:color="auto"/>
              <w:bottom w:val="single" w:sz="8" w:color="CCEEFF"/>
            </w:tcBorders>
            <w:shd w:val="clear" w:color="auto" w:fill="CCEEFF"/>
          </w:tcPr>
          <w:p>
            <w:pPr>
              <w:spacing w:after="0"/>
              <w:rPr>
                <w:sz w:val="24"/>
                <w:szCs w:val="24"/>
                <w:color w:val="auto"/>
              </w:rPr>
            </w:pPr>
          </w:p>
        </w:tc>
        <w:tc>
          <w:tcPr>
            <w:tcW w:w="1260" w:type="dxa"/>
            <w:vAlign w:val="bottom"/>
            <w:tcBorders>
              <w:top w:val="single" w:sz="8" w:color="auto"/>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b w:val="1"/>
                <w:bCs w:val="1"/>
                <w:color w:val="auto"/>
              </w:rPr>
              <w:t>2017</w:t>
            </w:r>
          </w:p>
        </w:tc>
        <w:tc>
          <w:tcPr>
            <w:tcW w:w="220" w:type="dxa"/>
            <w:vAlign w:val="bottom"/>
            <w:tcBorders>
              <w:top w:val="single" w:sz="8" w:color="CCEEFF"/>
              <w:bottom w:val="single" w:sz="8" w:color="CCEEFF"/>
            </w:tcBorders>
            <w:shd w:val="clear" w:color="auto" w:fill="CCEEFF"/>
          </w:tcPr>
          <w:p>
            <w:pPr>
              <w:spacing w:after="0"/>
              <w:rPr>
                <w:sz w:val="24"/>
                <w:szCs w:val="24"/>
                <w:color w:val="auto"/>
              </w:rPr>
            </w:pPr>
          </w:p>
        </w:tc>
        <w:tc>
          <w:tcPr>
            <w:tcW w:w="1280" w:type="dxa"/>
            <w:vAlign w:val="bottom"/>
            <w:tcBorders>
              <w:top w:val="single" w:sz="8" w:color="CCEEFF"/>
              <w:bottom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6"/>
                <w:szCs w:val="16"/>
                <w:b w:val="1"/>
                <w:bCs w:val="1"/>
                <w:color w:val="auto"/>
                <w:w w:val="91"/>
              </w:rPr>
              <w:t>Fixed Rate</w:t>
            </w:r>
          </w:p>
        </w:tc>
        <w:tc>
          <w:tcPr>
            <w:tcW w:w="168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3"/>
              </w:rPr>
              <w:t>Termination Date</w:t>
            </w:r>
          </w:p>
        </w:tc>
      </w:tr>
      <w:tr>
        <w:trPr>
          <w:trHeight w:val="217"/>
        </w:trPr>
        <w:tc>
          <w:tcPr>
            <w:tcW w:w="18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0"/>
              </w:rPr>
              <w:t>January 30, 2019</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46,869</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46,869</w:t>
            </w:r>
          </w:p>
        </w:tc>
        <w:tc>
          <w:tcPr>
            <w:tcW w:w="220" w:type="dxa"/>
            <w:vAlign w:val="bottom"/>
          </w:tcPr>
          <w:p>
            <w:pPr>
              <w:spacing w:after="0"/>
              <w:rPr>
                <w:sz w:val="18"/>
                <w:szCs w:val="18"/>
                <w:color w:val="auto"/>
              </w:rPr>
            </w:pP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2.380%</w:t>
            </w:r>
          </w:p>
        </w:tc>
        <w:tc>
          <w:tcPr>
            <w:tcW w:w="200" w:type="dxa"/>
            <w:vAlign w:val="bottom"/>
          </w:tcPr>
          <w:p>
            <w:pPr>
              <w:spacing w:after="0"/>
              <w:rPr>
                <w:sz w:val="18"/>
                <w:szCs w:val="18"/>
                <w:color w:val="auto"/>
              </w:rPr>
            </w:pPr>
          </w:p>
        </w:tc>
        <w:tc>
          <w:tcPr>
            <w:tcW w:w="16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0"/>
              </w:rPr>
              <w:t>January 30, 2040</w:t>
            </w:r>
          </w:p>
        </w:tc>
      </w:tr>
      <w:tr>
        <w:trPr>
          <w:trHeight w:val="33"/>
        </w:trPr>
        <w:tc>
          <w:tcPr>
            <w:tcW w:w="1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1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0"/>
              </w:rPr>
              <w:t>January 30, 2019</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11,755</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11,755</w:t>
            </w:r>
          </w:p>
        </w:tc>
        <w:tc>
          <w:tcPr>
            <w:tcW w:w="1300" w:type="dxa"/>
            <w:vAlign w:val="bottom"/>
            <w:tcBorders>
              <w:bottom w:val="single" w:sz="8" w:color="CCEEFF"/>
            </w:tcBorders>
            <w:gridSpan w:val="2"/>
            <w:shd w:val="clear" w:color="auto" w:fill="CCEEFF"/>
          </w:tcPr>
          <w:p>
            <w:pPr>
              <w:jc w:val="center"/>
              <w:ind w:left="119"/>
              <w:spacing w:after="0"/>
              <w:rPr>
                <w:sz w:val="20"/>
                <w:szCs w:val="20"/>
                <w:color w:val="auto"/>
              </w:rPr>
            </w:pPr>
            <w:r>
              <w:rPr>
                <w:rFonts w:ascii="Arial" w:cs="Arial" w:eastAsia="Arial" w:hAnsi="Arial"/>
                <w:sz w:val="16"/>
                <w:szCs w:val="16"/>
                <w:color w:val="auto"/>
                <w:w w:val="92"/>
              </w:rPr>
              <w:t>2.502%</w:t>
            </w: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0"/>
              </w:rPr>
              <w:t>January 30, 2041</w:t>
            </w:r>
          </w:p>
        </w:tc>
      </w:tr>
      <w:tr>
        <w:trPr>
          <w:trHeight w:val="237"/>
        </w:trPr>
        <w:tc>
          <w:tcPr>
            <w:tcW w:w="1880" w:type="dxa"/>
            <w:vAlign w:val="bottom"/>
          </w:tcPr>
          <w:p>
            <w:pPr>
              <w:jc w:val="center"/>
              <w:spacing w:after="0"/>
              <w:rPr>
                <w:sz w:val="20"/>
                <w:szCs w:val="20"/>
                <w:color w:val="auto"/>
              </w:rPr>
            </w:pPr>
            <w:r>
              <w:rPr>
                <w:rFonts w:ascii="Arial" w:cs="Arial" w:eastAsia="Arial" w:hAnsi="Arial"/>
                <w:sz w:val="16"/>
                <w:szCs w:val="16"/>
                <w:color w:val="auto"/>
                <w:w w:val="90"/>
              </w:rPr>
              <w:t>January 30, 2019</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29,742</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29,742</w:t>
            </w:r>
          </w:p>
        </w:tc>
        <w:tc>
          <w:tcPr>
            <w:tcW w:w="1300" w:type="dxa"/>
            <w:vAlign w:val="bottom"/>
            <w:gridSpan w:val="2"/>
          </w:tcPr>
          <w:p>
            <w:pPr>
              <w:jc w:val="center"/>
              <w:ind w:left="119"/>
              <w:spacing w:after="0"/>
              <w:rPr>
                <w:sz w:val="20"/>
                <w:szCs w:val="20"/>
                <w:color w:val="auto"/>
              </w:rPr>
            </w:pPr>
            <w:r>
              <w:rPr>
                <w:rFonts w:ascii="Arial" w:cs="Arial" w:eastAsia="Arial" w:hAnsi="Arial"/>
                <w:sz w:val="16"/>
                <w:szCs w:val="16"/>
                <w:color w:val="auto"/>
                <w:w w:val="92"/>
              </w:rPr>
              <w:t>2.495%</w:t>
            </w:r>
          </w:p>
        </w:tc>
        <w:tc>
          <w:tcPr>
            <w:tcW w:w="20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w w:val="90"/>
              </w:rPr>
              <w:t>January 30, 2041</w:t>
            </w:r>
          </w:p>
        </w:tc>
      </w:tr>
      <w:tr>
        <w:trPr>
          <w:trHeight w:val="33"/>
        </w:trPr>
        <w:tc>
          <w:tcPr>
            <w:tcW w:w="1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1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0"/>
              </w:rPr>
              <w:t>January 30, 2019</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7,709</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gridSpan w:val="2"/>
            <w:shd w:val="clear" w:color="auto" w:fill="CCEEFF"/>
          </w:tcPr>
          <w:p>
            <w:pPr>
              <w:jc w:val="center"/>
              <w:ind w:left="119"/>
              <w:spacing w:after="0"/>
              <w:rPr>
                <w:sz w:val="20"/>
                <w:szCs w:val="20"/>
                <w:color w:val="auto"/>
              </w:rPr>
            </w:pPr>
            <w:r>
              <w:rPr>
                <w:rFonts w:ascii="Arial" w:cs="Arial" w:eastAsia="Arial" w:hAnsi="Arial"/>
                <w:sz w:val="16"/>
                <w:szCs w:val="16"/>
                <w:color w:val="auto"/>
                <w:w w:val="92"/>
              </w:rPr>
              <w:t>3.065%</w:t>
            </w:r>
          </w:p>
        </w:tc>
        <w:tc>
          <w:tcPr>
            <w:tcW w:w="2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October 30, 2041</w:t>
            </w:r>
          </w:p>
        </w:tc>
      </w:tr>
      <w:tr>
        <w:trPr>
          <w:trHeight w:val="244"/>
        </w:trPr>
        <w:tc>
          <w:tcPr>
            <w:tcW w:w="1880" w:type="dxa"/>
            <w:vAlign w:val="bottom"/>
          </w:tcPr>
          <w:p>
            <w:pPr>
              <w:spacing w:after="0"/>
              <w:rPr>
                <w:sz w:val="21"/>
                <w:szCs w:val="21"/>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96,075</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88,366</w:t>
            </w: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0"/>
        </w:trPr>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Fair Value of Derivative Transactions</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Company’s derivative assets and liabilities on the consolidated balance sheets as of December 31, 2018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2017 (in thousands):</w:t>
      </w:r>
    </w:p>
    <w:p>
      <w:pPr>
        <w:spacing w:after="0" w:line="292" w:lineRule="exact"/>
        <w:rPr>
          <w:sz w:val="20"/>
          <w:szCs w:val="20"/>
          <w:color w:val="auto"/>
        </w:rPr>
      </w:pPr>
    </w:p>
    <w:tbl>
      <w:tblPr>
        <w:tblLayout w:type="fixed"/>
        <w:tblInd w:w="2080" w:type="dxa"/>
        <w:tblCellMar>
          <w:top w:w="0" w:type="dxa"/>
          <w:left w:w="0" w:type="dxa"/>
          <w:bottom w:w="0" w:type="dxa"/>
          <w:right w:w="0" w:type="dxa"/>
        </w:tblCellMar>
      </w:tblPr>
      <w:tr>
        <w:trPr>
          <w:trHeight w:val="210"/>
        </w:trPr>
        <w:tc>
          <w:tcPr>
            <w:tcW w:w="4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220" w:type="dxa"/>
            <w:vAlign w:val="bottom"/>
          </w:tcPr>
          <w:p>
            <w:pPr>
              <w:spacing w:after="0"/>
              <w:rPr>
                <w:sz w:val="18"/>
                <w:szCs w:val="18"/>
                <w:color w:val="auto"/>
              </w:rPr>
            </w:pPr>
          </w:p>
        </w:tc>
        <w:tc>
          <w:tcPr>
            <w:tcW w:w="12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4060" w:type="dxa"/>
            <w:vAlign w:val="bottom"/>
            <w:vMerge w:val="restart"/>
          </w:tcPr>
          <w:p>
            <w:pPr>
              <w:ind w:left="20"/>
              <w:spacing w:after="0"/>
              <w:rPr>
                <w:sz w:val="20"/>
                <w:szCs w:val="20"/>
                <w:color w:val="auto"/>
              </w:rPr>
            </w:pPr>
            <w:r>
              <w:rPr>
                <w:rFonts w:ascii="Arial" w:cs="Arial" w:eastAsia="Arial" w:hAnsi="Arial"/>
                <w:sz w:val="16"/>
                <w:szCs w:val="16"/>
                <w:color w:val="auto"/>
              </w:rPr>
              <w:t>Derivatives not designated as cash flow hedges:</w:t>
            </w:r>
          </w:p>
        </w:tc>
        <w:tc>
          <w:tcPr>
            <w:tcW w:w="11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60" w:type="dxa"/>
            <w:vAlign w:val="bottom"/>
            <w:vMerge w:val="continue"/>
          </w:tcPr>
          <w:p>
            <w:pPr>
              <w:spacing w:after="0"/>
              <w:rPr>
                <w:sz w:val="20"/>
                <w:szCs w:val="20"/>
                <w:color w:val="auto"/>
              </w:rPr>
            </w:pPr>
          </w:p>
        </w:tc>
        <w:tc>
          <w:tcPr>
            <w:tcW w:w="1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Derivative assets:</w:t>
            </w:r>
          </w:p>
        </w:tc>
        <w:tc>
          <w:tcPr>
            <w:tcW w:w="1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60" w:type="dxa"/>
            <w:vAlign w:val="bottom"/>
          </w:tcPr>
          <w:p>
            <w:pPr>
              <w:ind w:left="420"/>
              <w:spacing w:after="0"/>
              <w:rPr>
                <w:sz w:val="20"/>
                <w:szCs w:val="20"/>
                <w:color w:val="auto"/>
              </w:rPr>
            </w:pPr>
            <w:r>
              <w:rPr>
                <w:rFonts w:ascii="Arial" w:cs="Arial" w:eastAsia="Arial" w:hAnsi="Arial"/>
                <w:sz w:val="16"/>
                <w:szCs w:val="16"/>
                <w:color w:val="auto"/>
              </w:rPr>
              <w:t>Interest rate contracts current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184</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Interest rate contracts long-term</w:t>
            </w:r>
          </w:p>
        </w:tc>
        <w:tc>
          <w:tcPr>
            <w:tcW w:w="1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1,489</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r>
        <w:trPr>
          <w:trHeight w:val="284"/>
        </w:trPr>
        <w:tc>
          <w:tcPr>
            <w:tcW w:w="4060" w:type="dxa"/>
            <w:vAlign w:val="bottom"/>
            <w:tcBorders>
              <w:bottom w:val="single" w:sz="8" w:color="CCEEFF"/>
            </w:tcBorders>
          </w:tcPr>
          <w:p>
            <w:pPr>
              <w:ind w:left="1020"/>
              <w:spacing w:after="0"/>
              <w:rPr>
                <w:sz w:val="20"/>
                <w:szCs w:val="20"/>
                <w:color w:val="auto"/>
              </w:rPr>
            </w:pPr>
            <w:r>
              <w:rPr>
                <w:rFonts w:ascii="Arial" w:cs="Arial" w:eastAsia="Arial" w:hAnsi="Arial"/>
                <w:sz w:val="16"/>
                <w:szCs w:val="16"/>
                <w:color w:val="auto"/>
              </w:rPr>
              <w:t>Total assets</w:t>
            </w:r>
          </w:p>
        </w:tc>
        <w:tc>
          <w:tcPr>
            <w:tcW w:w="114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1,673</w:t>
            </w:r>
          </w:p>
        </w:tc>
        <w:tc>
          <w:tcPr>
            <w:tcW w:w="22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r>
        <w:trPr>
          <w:trHeight w:val="237"/>
        </w:trPr>
        <w:tc>
          <w:tcPr>
            <w:tcW w:w="4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Derivative liabilities:</w:t>
            </w:r>
          </w:p>
        </w:tc>
        <w:tc>
          <w:tcPr>
            <w:tcW w:w="1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60" w:type="dxa"/>
            <w:vAlign w:val="bottom"/>
          </w:tcPr>
          <w:p>
            <w:pPr>
              <w:ind w:left="420"/>
              <w:spacing w:after="0"/>
              <w:rPr>
                <w:sz w:val="20"/>
                <w:szCs w:val="20"/>
                <w:color w:val="auto"/>
              </w:rPr>
            </w:pPr>
            <w:r>
              <w:rPr>
                <w:rFonts w:ascii="Arial" w:cs="Arial" w:eastAsia="Arial" w:hAnsi="Arial"/>
                <w:sz w:val="16"/>
                <w:szCs w:val="16"/>
                <w:color w:val="auto"/>
              </w:rPr>
              <w:t>Interest rate contracts current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72</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Interest rate contracts long-term</w:t>
            </w:r>
          </w:p>
        </w:tc>
        <w:tc>
          <w:tcPr>
            <w:tcW w:w="1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993</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44"/>
        </w:trPr>
        <w:tc>
          <w:tcPr>
            <w:tcW w:w="4060" w:type="dxa"/>
            <w:vAlign w:val="bottom"/>
          </w:tcPr>
          <w:p>
            <w:pPr>
              <w:ind w:left="1020"/>
              <w:spacing w:after="0"/>
              <w:rPr>
                <w:sz w:val="20"/>
                <w:szCs w:val="20"/>
                <w:color w:val="auto"/>
              </w:rPr>
            </w:pPr>
            <w:r>
              <w:rPr>
                <w:rFonts w:ascii="Arial" w:cs="Arial" w:eastAsia="Arial" w:hAnsi="Arial"/>
                <w:sz w:val="16"/>
                <w:szCs w:val="16"/>
                <w:color w:val="auto"/>
              </w:rPr>
              <w:t>Total liabilities</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1,065</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280" w:hanging="272"/>
        <w:spacing w:after="0"/>
        <w:tabs>
          <w:tab w:leader="none" w:pos="280" w:val="left"/>
        </w:tabs>
        <w:numPr>
          <w:ilvl w:val="0"/>
          <w:numId w:val="18"/>
        </w:numPr>
        <w:rPr>
          <w:rFonts w:ascii="Arial" w:cs="Arial" w:eastAsia="Arial" w:hAnsi="Arial"/>
          <w:sz w:val="20"/>
          <w:szCs w:val="20"/>
          <w:b w:val="1"/>
          <w:bCs w:val="1"/>
          <w:i w:val="1"/>
          <w:iCs w:val="1"/>
          <w:color w:val="auto"/>
        </w:rPr>
      </w:pPr>
      <w:r>
        <w:rPr>
          <w:rFonts w:ascii="Arial" w:cs="Arial" w:eastAsia="Arial" w:hAnsi="Arial"/>
          <w:sz w:val="18"/>
          <w:szCs w:val="18"/>
          <w:b w:val="1"/>
          <w:bCs w:val="1"/>
          <w:i w:val="1"/>
          <w:iCs w:val="1"/>
          <w:color w:val="auto"/>
        </w:rPr>
        <w:t>Impact of Derivative Instruments on the Consolidated Statements of Income</w:t>
      </w:r>
    </w:p>
    <w:p>
      <w:pPr>
        <w:spacing w:after="0" w:line="1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presents the amounts of unrealized gains associated with changes in the fair value of derivative instruments, which are recorded to interest expense in the consolidated statements of income (in thousands):</w:t>
      </w:r>
    </w:p>
    <w:p>
      <w:pPr>
        <w:spacing w:after="0" w:line="238" w:lineRule="exact"/>
        <w:rPr>
          <w:sz w:val="20"/>
          <w:szCs w:val="20"/>
          <w:color w:val="auto"/>
        </w:rPr>
      </w:pPr>
    </w:p>
    <w:tbl>
      <w:tblPr>
        <w:tblLayout w:type="fixed"/>
        <w:tblInd w:w="1720" w:type="dxa"/>
        <w:tblCellMar>
          <w:top w:w="0" w:type="dxa"/>
          <w:left w:w="0" w:type="dxa"/>
          <w:bottom w:w="0" w:type="dxa"/>
          <w:right w:w="0" w:type="dxa"/>
        </w:tblCellMar>
      </w:tblPr>
      <w:tr>
        <w:trPr>
          <w:trHeight w:val="203"/>
        </w:trPr>
        <w:tc>
          <w:tcPr>
            <w:tcW w:w="4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0"/>
              </w:rPr>
              <w:t>Year ended</w:t>
            </w:r>
          </w:p>
        </w:tc>
        <w:tc>
          <w:tcPr>
            <w:tcW w:w="20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0"/>
              </w:rPr>
              <w:t>Year ended</w:t>
            </w:r>
          </w:p>
        </w:tc>
      </w:tr>
      <w:tr>
        <w:trPr>
          <w:trHeight w:val="203"/>
        </w:trPr>
        <w:tc>
          <w:tcPr>
            <w:tcW w:w="4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2"/>
              </w:rPr>
              <w:t>December 31,</w:t>
            </w:r>
          </w:p>
        </w:tc>
        <w:tc>
          <w:tcPr>
            <w:tcW w:w="20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4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89"/>
              </w:rPr>
              <w:t>2018</w:t>
            </w:r>
          </w:p>
        </w:tc>
        <w:tc>
          <w:tcPr>
            <w:tcW w:w="2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89"/>
              </w:rPr>
              <w:t>2017</w:t>
            </w:r>
          </w:p>
        </w:tc>
      </w:tr>
      <w:tr>
        <w:trPr>
          <w:trHeight w:val="33"/>
        </w:trPr>
        <w:tc>
          <w:tcPr>
            <w:tcW w:w="466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w w:val="99"/>
              </w:rPr>
              <w:t>Unrealized mark-to-market gain on interest rate swap contracts</w:t>
            </w: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468</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w:t>
            </w:r>
          </w:p>
        </w:tc>
      </w:tr>
      <w:tr>
        <w:trPr>
          <w:trHeight w:val="244"/>
        </w:trPr>
        <w:tc>
          <w:tcPr>
            <w:tcW w:w="4660" w:type="dxa"/>
            <w:vAlign w:val="bottom"/>
          </w:tcPr>
          <w:p>
            <w:pPr>
              <w:ind w:left="1020"/>
              <w:spacing w:after="0"/>
              <w:rPr>
                <w:sz w:val="20"/>
                <w:szCs w:val="20"/>
                <w:color w:val="auto"/>
              </w:rPr>
            </w:pPr>
            <w:r>
              <w:rPr>
                <w:rFonts w:ascii="Arial" w:cs="Arial" w:eastAsia="Arial" w:hAnsi="Arial"/>
                <w:sz w:val="16"/>
                <w:szCs w:val="16"/>
                <w:color w:val="auto"/>
              </w:rPr>
              <w:t>Total unrealized gain</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468</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140</w:t>
            </w:r>
          </w:p>
        </w:tc>
      </w:tr>
      <w:tr>
        <w:trPr>
          <w:trHeight w:val="20"/>
        </w:trPr>
        <w:tc>
          <w:tcPr>
            <w:tcW w:w="4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94" w:right="239" w:bottom="1440" w:gutter="0" w:footer="0" w:header="0"/>
        </w:sectPr>
      </w:pPr>
    </w:p>
    <w:bookmarkStart w:id="34" w:name="page35"/>
    <w:bookmarkEnd w:id="34"/>
    <w:p>
      <w:pPr>
        <w:spacing w:after="0"/>
        <w:rPr>
          <w:sz w:val="20"/>
          <w:szCs w:val="20"/>
          <w:color w:val="auto"/>
        </w:rPr>
      </w:pPr>
      <w:r>
        <w:rPr>
          <w:rFonts w:ascii="Arial" w:cs="Arial" w:eastAsia="Arial" w:hAnsi="Arial"/>
          <w:sz w:val="20"/>
          <w:szCs w:val="20"/>
          <w:b w:val="1"/>
          <w:bCs w:val="1"/>
          <w:color w:val="auto"/>
        </w:rPr>
        <w:t>(6) Long-Term Debt</w:t>
      </w:r>
    </w:p>
    <w:p>
      <w:pPr>
        <w:spacing w:after="0" w:line="130" w:lineRule="exact"/>
        <w:rPr>
          <w:sz w:val="20"/>
          <w:szCs w:val="20"/>
          <w:color w:val="auto"/>
        </w:rPr>
      </w:pPr>
    </w:p>
    <w:p>
      <w:pPr>
        <w:ind w:left="260" w:hanging="252"/>
        <w:spacing w:after="0"/>
        <w:tabs>
          <w:tab w:leader="none" w:pos="2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Chestnut Borrower Credit Agreement</w:t>
      </w:r>
    </w:p>
    <w:p>
      <w:pPr>
        <w:spacing w:after="0" w:line="185"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In July 2017, the Company entered into a credit agreement with Deutsche Bank AG, (subsequently amended in June 2018), for term loans of up to $120.3 million and letters of credit of up to $7.5 million. In January 2019, the letters of credit commitment amount under the credit agreement was increased to $7.9 million. The loans bear annual interest at a rate of LIBOR plus an applicable margin, which is 2.50% per annum through the fifth anniversary of the financial closing date, or July 2022, and 2.75% per annum thereafter through the maturity date in March 2024. In addition to interest on the outstanding borrowings, the Company will pay a commitment fee on the unused portions of the term loan and letter of credit commitments equal to 0.75% per year. The borrowings are secured by the Company's interests in the project companies.</w:t>
      </w:r>
    </w:p>
    <w:p>
      <w:pPr>
        <w:spacing w:after="0" w:line="138"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As of December 31, 2018, the Company had issued a letter of credit for a commitment of $8.5 million to support the Company’s debt service reserve requirements. The Company pays a letter of credit fee of 2.50% per annum on issued amounts under the letter of credit facility on a quarterly basis, which is recorded in interest expense in the consolidated statements of income.</w:t>
      </w:r>
    </w:p>
    <w:p>
      <w:pPr>
        <w:spacing w:after="0" w:line="14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December 31, 2018 and 2017, long-term debt consists of the following (in thousands):</w:t>
      </w:r>
    </w:p>
    <w:p>
      <w:pPr>
        <w:spacing w:after="0" w:line="185" w:lineRule="exact"/>
        <w:rPr>
          <w:sz w:val="20"/>
          <w:szCs w:val="20"/>
          <w:color w:val="auto"/>
        </w:rPr>
      </w:pPr>
    </w:p>
    <w:tbl>
      <w:tblPr>
        <w:tblLayout w:type="fixed"/>
        <w:tblInd w:w="1500" w:type="dxa"/>
        <w:tblCellMar>
          <w:top w:w="0" w:type="dxa"/>
          <w:left w:w="0" w:type="dxa"/>
          <w:bottom w:w="0" w:type="dxa"/>
          <w:right w:w="0" w:type="dxa"/>
        </w:tblCellMar>
      </w:tblPr>
      <w:tr>
        <w:trPr>
          <w:trHeight w:val="210"/>
        </w:trPr>
        <w:tc>
          <w:tcPr>
            <w:tcW w:w="4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80" w:type="dxa"/>
            <w:vAlign w:val="bottom"/>
          </w:tcPr>
          <w:p>
            <w:pPr>
              <w:jc w:val="right"/>
              <w:ind w:right="399"/>
              <w:spacing w:after="0"/>
              <w:rPr>
                <w:sz w:val="20"/>
                <w:szCs w:val="20"/>
                <w:color w:val="auto"/>
              </w:rPr>
            </w:pPr>
            <w:r>
              <w:rPr>
                <w:rFonts w:ascii="Arial" w:cs="Arial" w:eastAsia="Arial" w:hAnsi="Arial"/>
                <w:sz w:val="16"/>
                <w:szCs w:val="16"/>
                <w:b w:val="1"/>
                <w:bCs w:val="1"/>
                <w:color w:val="auto"/>
              </w:rPr>
              <w:t>2018</w:t>
            </w:r>
          </w:p>
        </w:tc>
        <w:tc>
          <w:tcPr>
            <w:tcW w:w="220" w:type="dxa"/>
            <w:vAlign w:val="bottom"/>
          </w:tcPr>
          <w:p>
            <w:pPr>
              <w:spacing w:after="0"/>
              <w:rPr>
                <w:sz w:val="18"/>
                <w:szCs w:val="18"/>
                <w:color w:val="auto"/>
              </w:rPr>
            </w:pPr>
          </w:p>
        </w:tc>
        <w:tc>
          <w:tcPr>
            <w:tcW w:w="1280" w:type="dxa"/>
            <w:vAlign w:val="bottom"/>
          </w:tcPr>
          <w:p>
            <w:pPr>
              <w:jc w:val="right"/>
              <w:ind w:right="399"/>
              <w:spacing w:after="0"/>
              <w:rPr>
                <w:sz w:val="20"/>
                <w:szCs w:val="20"/>
                <w:color w:val="auto"/>
              </w:rPr>
            </w:pPr>
            <w:r>
              <w:rPr>
                <w:rFonts w:ascii="Arial" w:cs="Arial" w:eastAsia="Arial" w:hAnsi="Arial"/>
                <w:sz w:val="16"/>
                <w:szCs w:val="16"/>
                <w:b w:val="1"/>
                <w:bCs w:val="1"/>
                <w:color w:val="auto"/>
              </w:rPr>
              <w:t>2017</w:t>
            </w:r>
          </w:p>
        </w:tc>
      </w:tr>
      <w:tr>
        <w:trPr>
          <w:trHeight w:val="33"/>
        </w:trPr>
        <w:tc>
          <w:tcPr>
            <w:tcW w:w="44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long-term debt (including current maturities)</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117,570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37,832</w:t>
            </w:r>
          </w:p>
        </w:tc>
      </w:tr>
      <w:tr>
        <w:trPr>
          <w:trHeight w:val="237"/>
        </w:trPr>
        <w:tc>
          <w:tcPr>
            <w:tcW w:w="4400" w:type="dxa"/>
            <w:vAlign w:val="bottom"/>
          </w:tcPr>
          <w:p>
            <w:pPr>
              <w:ind w:left="20"/>
              <w:spacing w:after="0"/>
              <w:rPr>
                <w:sz w:val="20"/>
                <w:szCs w:val="20"/>
                <w:color w:val="auto"/>
              </w:rPr>
            </w:pPr>
            <w:r>
              <w:rPr>
                <w:rFonts w:ascii="Arial" w:cs="Arial" w:eastAsia="Arial" w:hAnsi="Arial"/>
                <w:sz w:val="16"/>
                <w:szCs w:val="16"/>
                <w:color w:val="auto"/>
              </w:rPr>
              <w:t>Less current maturities</w:t>
            </w:r>
          </w:p>
        </w:tc>
        <w:tc>
          <w:tcPr>
            <w:tcW w:w="1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(5,646)</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4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Less debt issuance costs, net</w:t>
            </w:r>
          </w:p>
        </w:tc>
        <w:tc>
          <w:tcPr>
            <w:tcW w:w="1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(4,368)</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(4,617)</w:t>
            </w:r>
          </w:p>
        </w:tc>
      </w:tr>
      <w:tr>
        <w:trPr>
          <w:trHeight w:val="244"/>
        </w:trPr>
        <w:tc>
          <w:tcPr>
            <w:tcW w:w="4400" w:type="dxa"/>
            <w:vAlign w:val="bottom"/>
          </w:tcPr>
          <w:p>
            <w:pPr>
              <w:ind w:left="600"/>
              <w:spacing w:after="0"/>
              <w:rPr>
                <w:sz w:val="20"/>
                <w:szCs w:val="20"/>
                <w:color w:val="auto"/>
              </w:rPr>
            </w:pPr>
            <w:r>
              <w:rPr>
                <w:rFonts w:ascii="Arial" w:cs="Arial" w:eastAsia="Arial" w:hAnsi="Arial"/>
                <w:sz w:val="16"/>
                <w:szCs w:val="16"/>
                <w:color w:val="auto"/>
              </w:rPr>
              <w:t>Long-term debt</w:t>
            </w: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107,556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33,215</w:t>
            </w:r>
          </w:p>
        </w:tc>
      </w:tr>
      <w:tr>
        <w:trPr>
          <w:trHeight w:val="20"/>
        </w:trPr>
        <w:tc>
          <w:tcPr>
            <w:tcW w:w="4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Distributions from the Company are subject to compliance with the terms and conditions defined in the credit agreement, including a covenant to meet a required debt service coverage ratio of at least 1.20 to 1.0. At December 31, 2018, the Company was in compliance with various restrictive covenants defined in the credit agreement; however the Company's distributions are limited due to an event of default under the credit agreement arising from the placement of mechanic's liens at the Armstrong and Nystuen facilities.</w:t>
      </w:r>
    </w:p>
    <w:p>
      <w:pPr>
        <w:spacing w:after="0" w:line="14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Long-term debt maturities as of December 31, 2018 are summarized as follows (in thousands):</w:t>
      </w:r>
    </w:p>
    <w:p>
      <w:pPr>
        <w:spacing w:after="0" w:line="351" w:lineRule="exact"/>
        <w:rPr>
          <w:sz w:val="20"/>
          <w:szCs w:val="20"/>
          <w:color w:val="auto"/>
        </w:rPr>
      </w:pPr>
    </w:p>
    <w:tbl>
      <w:tblPr>
        <w:tblLayout w:type="fixed"/>
        <w:tblInd w:w="3060" w:type="dxa"/>
        <w:tblCellMar>
          <w:top w:w="0" w:type="dxa"/>
          <w:left w:w="0" w:type="dxa"/>
          <w:bottom w:w="0" w:type="dxa"/>
          <w:right w:w="0" w:type="dxa"/>
        </w:tblCellMar>
      </w:tblPr>
      <w:tr>
        <w:trPr>
          <w:trHeight w:val="206"/>
        </w:trPr>
        <w:tc>
          <w:tcPr>
            <w:tcW w:w="3080" w:type="dxa"/>
            <w:vAlign w:val="bottom"/>
          </w:tcPr>
          <w:p>
            <w:pPr>
              <w:ind w:left="20"/>
              <w:spacing w:after="0"/>
              <w:rPr>
                <w:sz w:val="20"/>
                <w:szCs w:val="20"/>
                <w:color w:val="auto"/>
              </w:rPr>
            </w:pPr>
            <w:r>
              <w:rPr>
                <w:rFonts w:ascii="Arial" w:cs="Arial" w:eastAsia="Arial" w:hAnsi="Arial"/>
                <w:sz w:val="16"/>
                <w:szCs w:val="16"/>
                <w:color w:val="auto"/>
              </w:rPr>
              <w:t>Year ending December 31:</w:t>
            </w:r>
          </w:p>
        </w:tc>
        <w:tc>
          <w:tcPr>
            <w:tcW w:w="14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33"/>
        </w:trPr>
        <w:tc>
          <w:tcPr>
            <w:tcW w:w="30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7"/>
        </w:trPr>
        <w:tc>
          <w:tcPr>
            <w:tcW w:w="3080" w:type="dxa"/>
            <w:vAlign w:val="bottom"/>
          </w:tcPr>
          <w:p>
            <w:pPr>
              <w:ind w:left="380"/>
              <w:spacing w:after="0"/>
              <w:rPr>
                <w:sz w:val="20"/>
                <w:szCs w:val="20"/>
                <w:color w:val="auto"/>
              </w:rPr>
            </w:pPr>
            <w:r>
              <w:rPr>
                <w:rFonts w:ascii="Arial" w:cs="Arial" w:eastAsia="Arial" w:hAnsi="Arial"/>
                <w:sz w:val="16"/>
                <w:szCs w:val="16"/>
                <w:color w:val="auto"/>
              </w:rPr>
              <w:t>2019</w:t>
            </w: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5,646</w:t>
            </w:r>
          </w:p>
        </w:tc>
      </w:tr>
      <w:tr>
        <w:trPr>
          <w:trHeight w:val="33"/>
        </w:trPr>
        <w:tc>
          <w:tcPr>
            <w:tcW w:w="30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2020</w:t>
            </w:r>
          </w:p>
        </w:tc>
        <w:tc>
          <w:tcPr>
            <w:tcW w:w="1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7,666</w:t>
            </w:r>
          </w:p>
        </w:tc>
      </w:tr>
      <w:tr>
        <w:trPr>
          <w:trHeight w:val="237"/>
        </w:trPr>
        <w:tc>
          <w:tcPr>
            <w:tcW w:w="3080" w:type="dxa"/>
            <w:vAlign w:val="bottom"/>
          </w:tcPr>
          <w:p>
            <w:pPr>
              <w:ind w:left="380"/>
              <w:spacing w:after="0"/>
              <w:rPr>
                <w:sz w:val="20"/>
                <w:szCs w:val="20"/>
                <w:color w:val="auto"/>
              </w:rPr>
            </w:pPr>
            <w:r>
              <w:rPr>
                <w:rFonts w:ascii="Arial" w:cs="Arial" w:eastAsia="Arial" w:hAnsi="Arial"/>
                <w:sz w:val="16"/>
                <w:szCs w:val="16"/>
                <w:color w:val="auto"/>
              </w:rPr>
              <w:t>2021</w:t>
            </w:r>
          </w:p>
        </w:tc>
        <w:tc>
          <w:tcPr>
            <w:tcW w:w="14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7,841</w:t>
            </w:r>
          </w:p>
        </w:tc>
      </w:tr>
      <w:tr>
        <w:trPr>
          <w:trHeight w:val="33"/>
        </w:trPr>
        <w:tc>
          <w:tcPr>
            <w:tcW w:w="30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2022</w:t>
            </w:r>
          </w:p>
        </w:tc>
        <w:tc>
          <w:tcPr>
            <w:tcW w:w="1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7,143</w:t>
            </w:r>
          </w:p>
        </w:tc>
      </w:tr>
      <w:tr>
        <w:trPr>
          <w:trHeight w:val="237"/>
        </w:trPr>
        <w:tc>
          <w:tcPr>
            <w:tcW w:w="3080" w:type="dxa"/>
            <w:vAlign w:val="bottom"/>
          </w:tcPr>
          <w:p>
            <w:pPr>
              <w:ind w:left="380"/>
              <w:spacing w:after="0"/>
              <w:rPr>
                <w:sz w:val="20"/>
                <w:szCs w:val="20"/>
                <w:color w:val="auto"/>
              </w:rPr>
            </w:pPr>
            <w:r>
              <w:rPr>
                <w:rFonts w:ascii="Arial" w:cs="Arial" w:eastAsia="Arial" w:hAnsi="Arial"/>
                <w:sz w:val="16"/>
                <w:szCs w:val="16"/>
                <w:color w:val="auto"/>
              </w:rPr>
              <w:t>2023</w:t>
            </w:r>
          </w:p>
        </w:tc>
        <w:tc>
          <w:tcPr>
            <w:tcW w:w="14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6,463</w:t>
            </w:r>
          </w:p>
        </w:tc>
      </w:tr>
      <w:tr>
        <w:trPr>
          <w:trHeight w:val="33"/>
        </w:trPr>
        <w:tc>
          <w:tcPr>
            <w:tcW w:w="30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Thereafter</w:t>
            </w:r>
          </w:p>
        </w:tc>
        <w:tc>
          <w:tcPr>
            <w:tcW w:w="14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82,811</w:t>
            </w:r>
          </w:p>
        </w:tc>
      </w:tr>
      <w:tr>
        <w:trPr>
          <w:trHeight w:val="244"/>
        </w:trPr>
        <w:tc>
          <w:tcPr>
            <w:tcW w:w="30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117,570</w:t>
            </w:r>
          </w:p>
        </w:tc>
      </w:tr>
      <w:tr>
        <w:trPr>
          <w:trHeight w:val="20"/>
        </w:trPr>
        <w:tc>
          <w:tcPr>
            <w:tcW w:w="30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792" w:right="239" w:bottom="1440" w:gutter="0" w:footer="0" w:header="0"/>
        </w:sectPr>
      </w:pPr>
    </w:p>
    <w:bookmarkStart w:id="35" w:name="page36"/>
    <w:bookmarkEnd w:id="35"/>
    <w:p>
      <w:pPr>
        <w:ind w:left="280" w:hanging="272"/>
        <w:spacing w:after="0"/>
        <w:tabs>
          <w:tab w:leader="none" w:pos="28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CS4 Borrower Credit Agreement</w:t>
      </w:r>
    </w:p>
    <w:p>
      <w:pPr>
        <w:spacing w:after="0" w:line="18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September 2018, the Company entered into a credit agreement with three financial institutions for construction loans up to $97.4 million that will convert to a term loan by June 30, 2019, an investment tax credit bridge loan, or ITC bridge loan, for up to $89.9 million and letter of credit facilities up to $4.9 million. The construction loan and the ITC bridge loan both have an interest rate of LIBOR plus an applicable margin of 1.75% per annum. The ITC bridge loan matures upon the conversion of the construction loans to a term loan. The Company pays quarterly commitment fees of 0.625% per annum on any unused portion of all of the financing commitments described above, with the exception of the term loan. The term loan will bear annual interest at a rate of LIBOR plus an applicable margin, which is 2.00% per annum through the third anniversary of the term conversion, and 2.25% per annum thereafter through the maturity date in June 2026. The construction loan and the ITC bridge loan, and the future term loan, will be secured by the Company's membership interests in the project companies.</w:t>
      </w:r>
    </w:p>
    <w:p>
      <w:pPr>
        <w:spacing w:after="0" w:line="152"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As of December 31, 2018, the Company had no issued letters of credit outstanding. The Company pays an availability fee of 1.75% per annum on issued amounts under the letter of credit facility on a quarterly basis, which is recorded in interest expense in the consolidated statement of income.</w:t>
      </w:r>
    </w:p>
    <w:p>
      <w:pPr>
        <w:spacing w:after="0" w:line="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2018, long-term debt consists of the following (in thousands):</w:t>
      </w:r>
    </w:p>
    <w:p>
      <w:pPr>
        <w:spacing w:after="0" w:line="361" w:lineRule="exact"/>
        <w:rPr>
          <w:sz w:val="20"/>
          <w:szCs w:val="20"/>
          <w:color w:val="auto"/>
        </w:rPr>
      </w:pPr>
    </w:p>
    <w:tbl>
      <w:tblPr>
        <w:tblLayout w:type="fixed"/>
        <w:tblInd w:w="1520" w:type="dxa"/>
        <w:tblCellMar>
          <w:top w:w="0" w:type="dxa"/>
          <w:left w:w="0" w:type="dxa"/>
          <w:bottom w:w="0" w:type="dxa"/>
          <w:right w:w="0" w:type="dxa"/>
        </w:tblCellMar>
      </w:tblPr>
      <w:tr>
        <w:trPr>
          <w:trHeight w:val="210"/>
        </w:trPr>
        <w:tc>
          <w:tcPr>
            <w:tcW w:w="5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300" w:type="dxa"/>
            <w:vAlign w:val="bottom"/>
          </w:tcPr>
          <w:p>
            <w:pPr>
              <w:jc w:val="right"/>
              <w:ind w:right="419"/>
              <w:spacing w:after="0"/>
              <w:rPr>
                <w:sz w:val="20"/>
                <w:szCs w:val="20"/>
                <w:color w:val="auto"/>
              </w:rPr>
            </w:pPr>
            <w:r>
              <w:rPr>
                <w:rFonts w:ascii="Arial" w:cs="Arial" w:eastAsia="Arial" w:hAnsi="Arial"/>
                <w:sz w:val="16"/>
                <w:szCs w:val="16"/>
                <w:b w:val="1"/>
                <w:bCs w:val="1"/>
                <w:color w:val="auto"/>
              </w:rPr>
              <w:t>2018</w:t>
            </w:r>
          </w:p>
        </w:tc>
      </w:tr>
      <w:tr>
        <w:trPr>
          <w:trHeight w:val="33"/>
        </w:trPr>
        <w:tc>
          <w:tcPr>
            <w:tcW w:w="512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Construction loan</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20,387</w:t>
            </w:r>
          </w:p>
        </w:tc>
      </w:tr>
      <w:tr>
        <w:trPr>
          <w:trHeight w:val="237"/>
        </w:trPr>
        <w:tc>
          <w:tcPr>
            <w:tcW w:w="5120" w:type="dxa"/>
            <w:vAlign w:val="bottom"/>
          </w:tcPr>
          <w:p>
            <w:pPr>
              <w:ind w:left="20"/>
              <w:spacing w:after="0"/>
              <w:rPr>
                <w:sz w:val="20"/>
                <w:szCs w:val="20"/>
                <w:color w:val="auto"/>
              </w:rPr>
            </w:pPr>
            <w:r>
              <w:rPr>
                <w:rFonts w:ascii="Arial" w:cs="Arial" w:eastAsia="Arial" w:hAnsi="Arial"/>
                <w:sz w:val="16"/>
                <w:szCs w:val="16"/>
                <w:color w:val="auto"/>
              </w:rPr>
              <w:t>ITC bridge loan</w:t>
            </w:r>
          </w:p>
        </w:tc>
        <w:tc>
          <w:tcPr>
            <w:tcW w:w="198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32,164</w:t>
            </w:r>
          </w:p>
        </w:tc>
      </w:tr>
      <w:tr>
        <w:trPr>
          <w:trHeight w:val="33"/>
        </w:trPr>
        <w:tc>
          <w:tcPr>
            <w:tcW w:w="512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long-term debt (including current maturities)</w:t>
            </w:r>
          </w:p>
        </w:tc>
        <w:tc>
          <w:tcPr>
            <w:tcW w:w="19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52,551</w:t>
            </w:r>
          </w:p>
        </w:tc>
      </w:tr>
      <w:tr>
        <w:trPr>
          <w:trHeight w:val="237"/>
        </w:trPr>
        <w:tc>
          <w:tcPr>
            <w:tcW w:w="5120" w:type="dxa"/>
            <w:vAlign w:val="bottom"/>
          </w:tcPr>
          <w:p>
            <w:pPr>
              <w:ind w:left="20"/>
              <w:spacing w:after="0"/>
              <w:rPr>
                <w:sz w:val="20"/>
                <w:szCs w:val="20"/>
                <w:color w:val="auto"/>
              </w:rPr>
            </w:pPr>
            <w:r>
              <w:rPr>
                <w:rFonts w:ascii="Arial" w:cs="Arial" w:eastAsia="Arial" w:hAnsi="Arial"/>
                <w:sz w:val="16"/>
                <w:szCs w:val="16"/>
                <w:color w:val="auto"/>
              </w:rPr>
              <w:t>Less current maturities</w:t>
            </w:r>
          </w:p>
        </w:tc>
        <w:tc>
          <w:tcPr>
            <w:tcW w:w="19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(21,404)</w:t>
            </w:r>
          </w:p>
        </w:tc>
      </w:tr>
      <w:tr>
        <w:trPr>
          <w:trHeight w:val="33"/>
        </w:trPr>
        <w:tc>
          <w:tcPr>
            <w:tcW w:w="51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Less debt issuance costs</w:t>
            </w:r>
          </w:p>
        </w:tc>
        <w:tc>
          <w:tcPr>
            <w:tcW w:w="19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(5,425)</w:t>
            </w:r>
          </w:p>
        </w:tc>
      </w:tr>
      <w:tr>
        <w:trPr>
          <w:trHeight w:val="244"/>
        </w:trPr>
        <w:tc>
          <w:tcPr>
            <w:tcW w:w="5120" w:type="dxa"/>
            <w:vAlign w:val="bottom"/>
          </w:tcPr>
          <w:p>
            <w:pPr>
              <w:ind w:left="620"/>
              <w:spacing w:after="0"/>
              <w:rPr>
                <w:sz w:val="20"/>
                <w:szCs w:val="20"/>
                <w:color w:val="auto"/>
              </w:rPr>
            </w:pPr>
            <w:r>
              <w:rPr>
                <w:rFonts w:ascii="Arial" w:cs="Arial" w:eastAsia="Arial" w:hAnsi="Arial"/>
                <w:sz w:val="16"/>
                <w:szCs w:val="16"/>
                <w:color w:val="auto"/>
              </w:rPr>
              <w:t>Long-term debt</w:t>
            </w:r>
          </w:p>
        </w:tc>
        <w:tc>
          <w:tcPr>
            <w:tcW w:w="19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25,722</w:t>
            </w:r>
          </w:p>
        </w:tc>
      </w:tr>
      <w:tr>
        <w:trPr>
          <w:trHeight w:val="20"/>
        </w:trPr>
        <w:tc>
          <w:tcPr>
            <w:tcW w:w="5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Distributions from the Company are subject to compliance with the terms and conditions defined in the credit agreement, including a covenant to meet a required debt service coverage ratio of at least 1.20 to 1.0. As of December 31, 2018, the Company was in compliance with the various restrictive covenants defined in the credit agreement.</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Long-term debt maturities as of December 31, 2018 are summarized as follows (in thousands):</w:t>
      </w:r>
    </w:p>
    <w:p>
      <w:pPr>
        <w:spacing w:after="0" w:line="351" w:lineRule="exact"/>
        <w:rPr>
          <w:sz w:val="20"/>
          <w:szCs w:val="20"/>
          <w:color w:val="auto"/>
        </w:rPr>
      </w:pPr>
    </w:p>
    <w:tbl>
      <w:tblPr>
        <w:tblLayout w:type="fixed"/>
        <w:tblInd w:w="3620" w:type="dxa"/>
        <w:tblCellMar>
          <w:top w:w="0" w:type="dxa"/>
          <w:left w:w="0" w:type="dxa"/>
          <w:bottom w:w="0" w:type="dxa"/>
          <w:right w:w="0" w:type="dxa"/>
        </w:tblCellMar>
      </w:tblPr>
      <w:tr>
        <w:trPr>
          <w:trHeight w:val="206"/>
        </w:trPr>
        <w:tc>
          <w:tcPr>
            <w:tcW w:w="2280" w:type="dxa"/>
            <w:vAlign w:val="bottom"/>
          </w:tcPr>
          <w:p>
            <w:pPr>
              <w:ind w:left="40"/>
              <w:spacing w:after="0"/>
              <w:rPr>
                <w:sz w:val="20"/>
                <w:szCs w:val="20"/>
                <w:color w:val="auto"/>
              </w:rPr>
            </w:pPr>
            <w:r>
              <w:rPr>
                <w:rFonts w:ascii="Arial" w:cs="Arial" w:eastAsia="Arial" w:hAnsi="Arial"/>
                <w:sz w:val="16"/>
                <w:szCs w:val="16"/>
                <w:color w:val="auto"/>
              </w:rPr>
              <w:t>Year ending December 31:</w:t>
            </w:r>
          </w:p>
        </w:tc>
        <w:tc>
          <w:tcPr>
            <w:tcW w:w="6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33"/>
        </w:trPr>
        <w:tc>
          <w:tcPr>
            <w:tcW w:w="228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2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2019</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21,404</w:t>
            </w:r>
          </w:p>
        </w:tc>
      </w:tr>
      <w:tr>
        <w:trPr>
          <w:trHeight w:val="237"/>
        </w:trPr>
        <w:tc>
          <w:tcPr>
            <w:tcW w:w="2280" w:type="dxa"/>
            <w:vAlign w:val="bottom"/>
          </w:tcPr>
          <w:p>
            <w:pPr>
              <w:ind w:left="380"/>
              <w:spacing w:after="0"/>
              <w:rPr>
                <w:sz w:val="20"/>
                <w:szCs w:val="20"/>
                <w:color w:val="auto"/>
              </w:rPr>
            </w:pPr>
            <w:r>
              <w:rPr>
                <w:rFonts w:ascii="Arial" w:cs="Arial" w:eastAsia="Arial" w:hAnsi="Arial"/>
                <w:sz w:val="16"/>
                <w:szCs w:val="16"/>
                <w:color w:val="auto"/>
              </w:rPr>
              <w:t>2020</w:t>
            </w:r>
          </w:p>
        </w:tc>
        <w:tc>
          <w:tcPr>
            <w:tcW w:w="6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1,492</w:t>
            </w:r>
          </w:p>
        </w:tc>
      </w:tr>
      <w:tr>
        <w:trPr>
          <w:trHeight w:val="33"/>
        </w:trPr>
        <w:tc>
          <w:tcPr>
            <w:tcW w:w="2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2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2021</w:t>
            </w:r>
          </w:p>
        </w:tc>
        <w:tc>
          <w:tcPr>
            <w:tcW w:w="6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1,486</w:t>
            </w:r>
          </w:p>
        </w:tc>
      </w:tr>
      <w:tr>
        <w:trPr>
          <w:trHeight w:val="237"/>
        </w:trPr>
        <w:tc>
          <w:tcPr>
            <w:tcW w:w="2280" w:type="dxa"/>
            <w:vAlign w:val="bottom"/>
          </w:tcPr>
          <w:p>
            <w:pPr>
              <w:ind w:left="380"/>
              <w:spacing w:after="0"/>
              <w:rPr>
                <w:sz w:val="20"/>
                <w:szCs w:val="20"/>
                <w:color w:val="auto"/>
              </w:rPr>
            </w:pPr>
            <w:r>
              <w:rPr>
                <w:rFonts w:ascii="Arial" w:cs="Arial" w:eastAsia="Arial" w:hAnsi="Arial"/>
                <w:sz w:val="16"/>
                <w:szCs w:val="16"/>
                <w:color w:val="auto"/>
              </w:rPr>
              <w:t>2022</w:t>
            </w:r>
          </w:p>
        </w:tc>
        <w:tc>
          <w:tcPr>
            <w:tcW w:w="6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1,371</w:t>
            </w:r>
          </w:p>
        </w:tc>
      </w:tr>
      <w:tr>
        <w:trPr>
          <w:trHeight w:val="33"/>
        </w:trPr>
        <w:tc>
          <w:tcPr>
            <w:tcW w:w="2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2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2023</w:t>
            </w:r>
          </w:p>
        </w:tc>
        <w:tc>
          <w:tcPr>
            <w:tcW w:w="6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1,010</w:t>
            </w:r>
          </w:p>
        </w:tc>
      </w:tr>
      <w:tr>
        <w:trPr>
          <w:trHeight w:val="237"/>
        </w:trPr>
        <w:tc>
          <w:tcPr>
            <w:tcW w:w="2280" w:type="dxa"/>
            <w:vAlign w:val="bottom"/>
          </w:tcPr>
          <w:p>
            <w:pPr>
              <w:ind w:left="380"/>
              <w:spacing w:after="0"/>
              <w:rPr>
                <w:sz w:val="20"/>
                <w:szCs w:val="20"/>
                <w:color w:val="auto"/>
              </w:rPr>
            </w:pPr>
            <w:r>
              <w:rPr>
                <w:rFonts w:ascii="Arial" w:cs="Arial" w:eastAsia="Arial" w:hAnsi="Arial"/>
                <w:sz w:val="16"/>
                <w:szCs w:val="16"/>
                <w:color w:val="auto"/>
              </w:rPr>
              <w:t>Thereafter</w:t>
            </w:r>
          </w:p>
        </w:tc>
        <w:tc>
          <w:tcPr>
            <w:tcW w:w="6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25,788</w:t>
            </w:r>
          </w:p>
        </w:tc>
      </w:tr>
      <w:tr>
        <w:trPr>
          <w:trHeight w:val="33"/>
        </w:trPr>
        <w:tc>
          <w:tcPr>
            <w:tcW w:w="228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22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52,551</w:t>
            </w:r>
          </w:p>
        </w:tc>
      </w:tr>
      <w:tr>
        <w:trPr>
          <w:trHeight w:val="20"/>
        </w:trPr>
        <w:tc>
          <w:tcPr>
            <w:tcW w:w="2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4"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(7) Related Party Transactions</w:t>
      </w:r>
    </w:p>
    <w:p>
      <w:pPr>
        <w:spacing w:after="0" w:line="13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The Company has the following related party transactions and relationships in in addition to the acquisition of solar energy systems from Clearway Renew described in note 4, </w:t>
      </w:r>
      <w:r>
        <w:rPr>
          <w:rFonts w:ascii="Arial" w:cs="Arial" w:eastAsia="Arial" w:hAnsi="Arial"/>
          <w:sz w:val="16"/>
          <w:szCs w:val="16"/>
          <w:i w:val="1"/>
          <w:iCs w:val="1"/>
          <w:color w:val="auto"/>
        </w:rPr>
        <w:t>Property, Plant, and Equipment</w:t>
      </w:r>
      <w:r>
        <w:rPr>
          <w:rFonts w:ascii="Arial" w:cs="Arial" w:eastAsia="Arial" w:hAnsi="Arial"/>
          <w:sz w:val="16"/>
          <w:szCs w:val="16"/>
          <w:color w:val="auto"/>
        </w:rPr>
        <w:t xml:space="preserve"> and renewable energy certificate revenue described in note 2(j), </w:t>
      </w:r>
      <w:r>
        <w:rPr>
          <w:rFonts w:ascii="Arial" w:cs="Arial" w:eastAsia="Arial" w:hAnsi="Arial"/>
          <w:sz w:val="16"/>
          <w:szCs w:val="16"/>
          <w:i w:val="1"/>
          <w:iCs w:val="1"/>
          <w:color w:val="auto"/>
        </w:rPr>
        <w:t>Summary of Significant</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 Policies</w:t>
      </w:r>
      <w:r>
        <w:rPr>
          <w:rFonts w:ascii="Arial" w:cs="Arial" w:eastAsia="Arial" w:hAnsi="Arial"/>
          <w:sz w:val="16"/>
          <w:szCs w:val="16"/>
          <w:color w:val="auto"/>
        </w:rPr>
        <w:t>. Amounts due to related parties are recorded as accounts payable – affiliate and amounts due to the Company from related parties are</w:t>
      </w:r>
      <w:r>
        <w:rPr>
          <w:rFonts w:ascii="Arial" w:cs="Arial" w:eastAsia="Arial" w:hAnsi="Arial"/>
          <w:sz w:val="16"/>
          <w:szCs w:val="16"/>
          <w:i w:val="1"/>
          <w:iCs w:val="1"/>
          <w:color w:val="auto"/>
        </w:rPr>
        <w:t xml:space="preserve"> </w:t>
      </w:r>
      <w:r>
        <w:rPr>
          <w:rFonts w:ascii="Arial" w:cs="Arial" w:eastAsia="Arial" w:hAnsi="Arial"/>
          <w:sz w:val="16"/>
          <w:szCs w:val="16"/>
          <w:color w:val="auto"/>
        </w:rPr>
        <w:t>recorded as accounts receivable – affiliate on the Company’s consolidated balance sheets. These account balances are netted by affiliate party.</w:t>
      </w:r>
    </w:p>
    <w:p>
      <w:pPr>
        <w:spacing w:after="0" w:line="11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Both Chestnut Fund and CS4 Fund have asset management agreements with Solar Asset Management LLC, a subsidiary of Clearway Renew, where Solar Asset Management LLC performs administrative services related to the acquired project companies and receives an asset management fee in an annual amount per project. The Funds will also reimburse Solar Asset Management LLC for certain out-of-pocket costs. Chestnut Fund incurred costs under the agreement of $185 thousand and $12 thousand for the year ended December 31, 2018 and the period from September 26, 2017 through December 31, 2017, respectively. These costs are included in cost of operations – affiliate in the consolidated statements of income. CS4 Fund did not incur any costs under the agreement for the year ended December 31, 2018.</w:t>
      </w:r>
    </w:p>
    <w:p>
      <w:pPr>
        <w:spacing w:after="0" w:line="15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Effective January 1, 2018, Chestnut Fund has an operations and maintenance agreement with Clearway Renewable Operation &amp; Maintenance LLC, or RENOM, a subsidiary of Clearway Energy Group, to operate and maintain the PV Systems owned by the acquired project companies. RENOM receives a fee in a set annual amount for each project plus reimbursable costs, with an annual escalation of 2.25%. The fee is also subject to adjustments for additional site maintenance, panel washing and replacement costs. The Company incurred costs under the agreement of $488 thousand for the year ended December 31, 2018. These costs are included in cost of operations – affiliate in the consolidated statements of income. CS4 Fund has a similar agreement in place, with no costs incurred as of December 31, 2018.</w:t>
      </w:r>
    </w:p>
    <w:p>
      <w:pPr>
        <w:spacing w:after="0" w:line="15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Subject to the Chestnut Fund Limited Liability Company Agreement, in the event that additional working capital is required by to cause the assets to be properly operated and maintained and to pay for the costs, expenses, obligations and liabilities of Chestnut Fund, then the Company shall have the right, but not the obligation, to provide all or part of the funds needed by the Company in the form of a member loan. This loan was funded through an intercompany borrowing from the Company's Class B Member, Renew DG Holding. As of December 31, 2018 and 2017, $1.6 million and $1.9 million, respectively, was outstanding under a member loan, which is recorded in short-term debt – affiliate on the consolidated balance sheets.</w:t>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3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In the normal course of business, the Company is subject to various claims and litigation. Management of the Company expects that these various litigation items will not have a material adverse effect on the results of operations, cash flows, or financial position of the Company.</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0"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Land Leases</w:t>
      </w:r>
    </w:p>
    <w:p>
      <w:pPr>
        <w:spacing w:after="0" w:line="18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projects owned by the Company entered into various land lease agreements through 2053 where their respective solar energy facilities are located. During the terms of the leases, the Company will operate the solar energy facilities to supply electric energy to the customers of the previously described community solar installations. The Company is responsible for all operating costs, repairs and maintenance, and insurance related to the facilities. Lease expense is recognized on a straight-line basis when the agreements include escalating payments over the lease term. For the year ended December 31, 2018 and the period from September 26, 2017 through December 31, 2017, the Company recorded rent expense of $2.4 million and $123 thousand, respectively, which is included in cost of operations in the consolidated statement of income.</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minimum payments under noncancelable land leases as of December 31, 2018 are estimated as follows (in thousands):</w:t>
      </w:r>
    </w:p>
    <w:p>
      <w:pPr>
        <w:spacing w:after="0" w:line="307" w:lineRule="exact"/>
        <w:rPr>
          <w:sz w:val="20"/>
          <w:szCs w:val="20"/>
          <w:color w:val="auto"/>
        </w:rPr>
      </w:pPr>
    </w:p>
    <w:tbl>
      <w:tblPr>
        <w:tblLayout w:type="fixed"/>
        <w:tblInd w:w="2500" w:type="dxa"/>
        <w:tblCellMar>
          <w:top w:w="0" w:type="dxa"/>
          <w:left w:w="0" w:type="dxa"/>
          <w:bottom w:w="0" w:type="dxa"/>
          <w:right w:w="0" w:type="dxa"/>
        </w:tblCellMar>
      </w:tblPr>
      <w:tr>
        <w:trPr>
          <w:trHeight w:val="210"/>
        </w:trPr>
        <w:tc>
          <w:tcPr>
            <w:tcW w:w="2620" w:type="dxa"/>
            <w:vAlign w:val="bottom"/>
          </w:tcPr>
          <w:p>
            <w:pPr>
              <w:ind w:left="20"/>
              <w:spacing w:after="0"/>
              <w:rPr>
                <w:sz w:val="20"/>
                <w:szCs w:val="20"/>
                <w:color w:val="auto"/>
              </w:rPr>
            </w:pPr>
            <w:r>
              <w:rPr>
                <w:rFonts w:ascii="Arial" w:cs="Arial" w:eastAsia="Arial" w:hAnsi="Arial"/>
                <w:sz w:val="16"/>
                <w:szCs w:val="16"/>
                <w:color w:val="auto"/>
              </w:rPr>
              <w:t>Year ending December 31:</w:t>
            </w:r>
          </w:p>
        </w:tc>
        <w:tc>
          <w:tcPr>
            <w:tcW w:w="1000" w:type="dxa"/>
            <w:vAlign w:val="bottom"/>
          </w:tcPr>
          <w:p>
            <w:pPr>
              <w:spacing w:after="0"/>
              <w:rPr>
                <w:sz w:val="18"/>
                <w:szCs w:val="18"/>
                <w:color w:val="auto"/>
              </w:rPr>
            </w:pPr>
          </w:p>
        </w:tc>
        <w:tc>
          <w:tcPr>
            <w:tcW w:w="1360" w:type="dxa"/>
            <w:vAlign w:val="bottom"/>
            <w:gridSpan w:val="2"/>
          </w:tcPr>
          <w:p>
            <w:pPr>
              <w:ind w:left="280"/>
              <w:spacing w:after="0"/>
              <w:rPr>
                <w:sz w:val="20"/>
                <w:szCs w:val="20"/>
                <w:color w:val="auto"/>
              </w:rPr>
            </w:pPr>
            <w:r>
              <w:rPr>
                <w:rFonts w:ascii="Arial" w:cs="Arial" w:eastAsia="Arial" w:hAnsi="Arial"/>
                <w:sz w:val="16"/>
                <w:szCs w:val="16"/>
                <w:b w:val="1"/>
                <w:bCs w:val="1"/>
                <w:color w:val="auto"/>
              </w:rPr>
              <w:t>CS4 Fund</w:t>
            </w:r>
          </w:p>
        </w:tc>
        <w:tc>
          <w:tcPr>
            <w:tcW w:w="1460" w:type="dxa"/>
            <w:vAlign w:val="bottom"/>
          </w:tcPr>
          <w:p>
            <w:pPr>
              <w:jc w:val="right"/>
              <w:ind w:right="119"/>
              <w:spacing w:after="0"/>
              <w:rPr>
                <w:sz w:val="20"/>
                <w:szCs w:val="20"/>
                <w:color w:val="auto"/>
              </w:rPr>
            </w:pPr>
            <w:r>
              <w:rPr>
                <w:rFonts w:ascii="Arial" w:cs="Arial" w:eastAsia="Arial" w:hAnsi="Arial"/>
                <w:sz w:val="16"/>
                <w:szCs w:val="16"/>
                <w:b w:val="1"/>
                <w:bCs w:val="1"/>
                <w:color w:val="auto"/>
              </w:rPr>
              <w:t>Chestnut Fund</w:t>
            </w:r>
          </w:p>
        </w:tc>
      </w:tr>
      <w:tr>
        <w:trPr>
          <w:trHeight w:val="33"/>
        </w:trPr>
        <w:tc>
          <w:tcPr>
            <w:tcW w:w="26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0"/>
        </w:trPr>
        <w:tc>
          <w:tcPr>
            <w:tcW w:w="2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2019</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1,377</w:t>
            </w:r>
          </w:p>
        </w:tc>
      </w:tr>
      <w:tr>
        <w:trPr>
          <w:trHeight w:val="237"/>
        </w:trPr>
        <w:tc>
          <w:tcPr>
            <w:tcW w:w="2620" w:type="dxa"/>
            <w:vAlign w:val="bottom"/>
          </w:tcPr>
          <w:p>
            <w:pPr>
              <w:ind w:left="380"/>
              <w:spacing w:after="0"/>
              <w:rPr>
                <w:sz w:val="20"/>
                <w:szCs w:val="20"/>
                <w:color w:val="auto"/>
              </w:rPr>
            </w:pPr>
            <w:r>
              <w:rPr>
                <w:rFonts w:ascii="Arial" w:cs="Arial" w:eastAsia="Arial" w:hAnsi="Arial"/>
                <w:sz w:val="16"/>
                <w:szCs w:val="16"/>
                <w:color w:val="auto"/>
              </w:rPr>
              <w:t>2020</w:t>
            </w:r>
          </w:p>
        </w:tc>
        <w:tc>
          <w:tcPr>
            <w:tcW w:w="10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254</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1,399</w:t>
            </w:r>
          </w:p>
        </w:tc>
      </w:tr>
      <w:tr>
        <w:trPr>
          <w:trHeight w:val="33"/>
        </w:trPr>
        <w:tc>
          <w:tcPr>
            <w:tcW w:w="2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2021</w:t>
            </w:r>
          </w:p>
        </w:tc>
        <w:tc>
          <w:tcPr>
            <w:tcW w:w="10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1,422</w:t>
            </w:r>
          </w:p>
        </w:tc>
      </w:tr>
      <w:tr>
        <w:trPr>
          <w:trHeight w:val="237"/>
        </w:trPr>
        <w:tc>
          <w:tcPr>
            <w:tcW w:w="2620" w:type="dxa"/>
            <w:vAlign w:val="bottom"/>
          </w:tcPr>
          <w:p>
            <w:pPr>
              <w:ind w:left="380"/>
              <w:spacing w:after="0"/>
              <w:rPr>
                <w:sz w:val="20"/>
                <w:szCs w:val="20"/>
                <w:color w:val="auto"/>
              </w:rPr>
            </w:pPr>
            <w:r>
              <w:rPr>
                <w:rFonts w:ascii="Arial" w:cs="Arial" w:eastAsia="Arial" w:hAnsi="Arial"/>
                <w:sz w:val="16"/>
                <w:szCs w:val="16"/>
                <w:color w:val="auto"/>
              </w:rPr>
              <w:t>2022</w:t>
            </w:r>
          </w:p>
        </w:tc>
        <w:tc>
          <w:tcPr>
            <w:tcW w:w="10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263</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1,475</w:t>
            </w:r>
          </w:p>
        </w:tc>
      </w:tr>
      <w:tr>
        <w:trPr>
          <w:trHeight w:val="33"/>
        </w:trPr>
        <w:tc>
          <w:tcPr>
            <w:tcW w:w="2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2023</w:t>
            </w:r>
          </w:p>
        </w:tc>
        <w:tc>
          <w:tcPr>
            <w:tcW w:w="10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267</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1,499</w:t>
            </w:r>
          </w:p>
        </w:tc>
      </w:tr>
      <w:tr>
        <w:trPr>
          <w:trHeight w:val="237"/>
        </w:trPr>
        <w:tc>
          <w:tcPr>
            <w:tcW w:w="2620" w:type="dxa"/>
            <w:vAlign w:val="bottom"/>
          </w:tcPr>
          <w:p>
            <w:pPr>
              <w:ind w:left="380"/>
              <w:spacing w:after="0"/>
              <w:rPr>
                <w:sz w:val="20"/>
                <w:szCs w:val="20"/>
                <w:color w:val="auto"/>
              </w:rPr>
            </w:pPr>
            <w:r>
              <w:rPr>
                <w:rFonts w:ascii="Arial" w:cs="Arial" w:eastAsia="Arial" w:hAnsi="Arial"/>
                <w:sz w:val="16"/>
                <w:szCs w:val="16"/>
                <w:color w:val="auto"/>
              </w:rPr>
              <w:t>Thereafter</w:t>
            </w:r>
          </w:p>
        </w:tc>
        <w:tc>
          <w:tcPr>
            <w:tcW w:w="10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7,706</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29,815</w:t>
            </w:r>
          </w:p>
        </w:tc>
      </w:tr>
      <w:tr>
        <w:trPr>
          <w:trHeight w:val="33"/>
        </w:trPr>
        <w:tc>
          <w:tcPr>
            <w:tcW w:w="26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26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8,952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36,987</w:t>
            </w:r>
          </w:p>
        </w:tc>
      </w:tr>
      <w:tr>
        <w:trPr>
          <w:trHeight w:val="20"/>
        </w:trPr>
        <w:tc>
          <w:tcPr>
            <w:tcW w:w="2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Subsequent Events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January 15, 2019, CS4 Borrower borrowed an additional $1.5 million under the construction loan and $8.5 million under the ITC bridge loan.</w:t>
      </w:r>
    </w:p>
    <w:p>
      <w:pPr>
        <w:spacing w:after="0" w:line="208"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On January 28, 2019, Chestnut Fund made the second installment payment related to DG Marathon LLC of $6.0 million, of which $1.8 million was contributed by its tax equity investor and $4.2 million was contributed by the Company.</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January 31, 2019, Chestnut Fund Borrower borrowed an additional $2.6 million under the term loan in accordance with its credit agreement.</w:t>
      </w:r>
    </w:p>
    <w:p>
      <w:pPr>
        <w:spacing w:after="0" w:line="208"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On February 19, 2019, CS4 Fund acquired Sartell Solar LLC from CS4 Seller and made its first installment payment of $4.2 million, of which $1.5 million was contributed by the tax equity investor and $2.7 million was contributed by the Company.</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March 21, 2019, CS4 Borrower borrowed an additional $27.7 million under the construction loan and $16.5 million under the ITC bridge loan.</w:t>
      </w:r>
    </w:p>
    <w:p>
      <w:pPr>
        <w:spacing w:after="0" w:line="20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 has evaluated subsequent events from the balance sheet date through March 28, 2019, the date at which the consolidated financial statements were available to be issued, and determined that there are no other items to disclose.</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x"/>
      <w:numFmt w:val="bullet"/>
      <w:start w:val="1"/>
    </w:lvl>
  </w:abstractNum>
  <w:abstractNum w:abstractNumId="1">
    <w:nsid w:val="1F16E9E8"/>
    <w:multiLevelType w:val="hybridMultilevel"/>
    <w:lvl w:ilvl="0">
      <w:lvlJc w:val="left"/>
      <w:lvlText w:val="o"/>
      <w:numFmt w:val="bullet"/>
      <w:start w:val="1"/>
    </w:lvl>
  </w:abstractNum>
  <w:abstractNum w:abstractNumId="2">
    <w:nsid w:val="1190CDE7"/>
    <w:multiLevelType w:val="hybridMultilevel"/>
    <w:lvl w:ilvl="0">
      <w:lvlJc w:val="left"/>
      <w:lvlText w:val="(%1)"/>
      <w:numFmt w:val="lowerLetter"/>
      <w:start w:val="2"/>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1."/>
      <w:numFmt w:val="decimal"/>
      <w:start w:val="1"/>
    </w:lvl>
    <w:lvl w:ilvl="1">
      <w:lvlJc w:val="left"/>
      <w:lvlText w:val="(%2)"/>
      <w:numFmt w:val="lowerLetter"/>
      <w:start w:val="1"/>
    </w:lvl>
  </w:abstractNum>
  <w:abstractNum w:abstractNumId="7">
    <w:nsid w:val="DED7263"/>
    <w:multiLevelType w:val="hybridMultilevel"/>
    <w:lvl w:ilvl="0">
      <w:lvlJc w:val="left"/>
      <w:lvlText w:val="%1."/>
      <w:numFmt w:val="decimal"/>
      <w:start w:val="1"/>
    </w:lvl>
    <w:lvl w:ilvl="1">
      <w:lvlJc w:val="left"/>
      <w:lvlText w:val="(%2)"/>
      <w:numFmt w:val="lowerLetter"/>
      <w:start w:val="1"/>
    </w:lvl>
  </w:abstractNum>
  <w:abstractNum w:abstractNumId="8">
    <w:nsid w:val="7FDCC233"/>
    <w:multiLevelType w:val="hybridMultilevel"/>
    <w:lvl w:ilvl="0">
      <w:lvlJc w:val="left"/>
      <w:lvlText w:val="%1."/>
      <w:numFmt w:val="decimal"/>
      <w:start w:val="1"/>
    </w:lvl>
    <w:lvl w:ilvl="1">
      <w:lvlJc w:val="left"/>
      <w:lvlText w:val="(%2)"/>
      <w:numFmt w:val="lowerLetter"/>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1"/>
      <w:numFmt w:val="lowerLetter"/>
      <w:start w:val="1"/>
    </w:lvl>
    <w:lvl w:ilvl="1">
      <w:lvlJc w:val="left"/>
      <w:lvlText w:val="(%2)"/>
      <w:numFmt w:val="lowerLetter"/>
      <w:start w:val="1"/>
    </w:lvl>
  </w:abstractNum>
  <w:abstractNum w:abstractNumId="11">
    <w:nsid w:val="6B68079A"/>
    <w:multiLevelType w:val="hybridMultilevel"/>
    <w:lvl w:ilvl="0">
      <w:lvlJc w:val="left"/>
      <w:lvlText w:val="(%1)"/>
      <w:numFmt w:val="lowerLetter"/>
      <w:start w:val="2"/>
    </w:lvl>
    <w:lvl w:ilvl="1">
      <w:lvlJc w:val="left"/>
      <w:lvlText w:val="%2"/>
      <w:numFmt w:val="lowerLetter"/>
      <w:start w:val="1"/>
    </w:lvl>
  </w:abstractNum>
  <w:abstractNum w:abstractNumId="12">
    <w:nsid w:val="4E6AFB66"/>
    <w:multiLevelType w:val="hybridMultilevel"/>
    <w:lvl w:ilvl="0">
      <w:lvlJc w:val="left"/>
      <w:lvlText w:val="(%1)"/>
      <w:numFmt w:val="lowerLetter"/>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1)"/>
      <w:numFmt w:val="decimal"/>
      <w:start w:val="4"/>
    </w:lvl>
  </w:abstractNum>
  <w:abstractNum w:abstractNumId="15">
    <w:nsid w:val="431BD7B7"/>
    <w:multiLevelType w:val="hybridMultilevel"/>
    <w:lvl w:ilvl="0">
      <w:lvlJc w:val="left"/>
      <w:lvlText w:val="(%1)"/>
      <w:numFmt w:val="lowerLetter"/>
      <w:start w:val="1"/>
    </w:lvl>
  </w:abstractNum>
  <w:abstractNum w:abstractNumId="16">
    <w:nsid w:val="3F2DBA31"/>
    <w:multiLevelType w:val="hybridMultilevel"/>
    <w:lvl w:ilvl="0">
      <w:lvlJc w:val="left"/>
      <w:lvlText w:val="(%1)"/>
      <w:numFmt w:val="decimal"/>
      <w:start w:val="5"/>
    </w:lvl>
  </w:abstractNum>
  <w:abstractNum w:abstractNumId="17">
    <w:nsid w:val="7C83E458"/>
    <w:multiLevelType w:val="hybridMultilevel"/>
    <w:lvl w:ilvl="0">
      <w:lvlJc w:val="left"/>
      <w:lvlText w:val="(%1)"/>
      <w:numFmt w:val="lowerLetter"/>
      <w:start w:val="4"/>
    </w:lvl>
  </w:abstractNum>
  <w:abstractNum w:abstractNumId="18">
    <w:nsid w:val="257130A3"/>
    <w:multiLevelType w:val="hybridMultilevel"/>
    <w:lvl w:ilvl="0">
      <w:lvlJc w:val="left"/>
      <w:lvlText w:val="(%1)"/>
      <w:numFmt w:val="lowerLetter"/>
      <w:start w:val="1"/>
    </w:lvl>
  </w:abstractNum>
  <w:abstractNum w:abstractNumId="19">
    <w:nsid w:val="62BBD95A"/>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98" Type="http://schemas.openxmlformats.org/officeDocument/2006/relationships/image" Target="media/image5.png"/><Relationship Id="rId99" Type="http://schemas.openxmlformats.org/officeDocument/2006/relationships/image" Target="media/image6.png"/><Relationship Id="rId100" Type="http://schemas.openxmlformats.org/officeDocument/2006/relationships/image" Target="media/image7.png"/><Relationship Id="rId101" Type="http://schemas.openxmlformats.org/officeDocument/2006/relationships/image" Target="media/image8.png"/><Relationship Id="rId102" Type="http://schemas.openxmlformats.org/officeDocument/2006/relationships/image" Target="media/image9.png"/><Relationship Id="rId103" Type="http://schemas.openxmlformats.org/officeDocument/2006/relationships/image" Target="media/image10.png"/><Relationship Id="rId104" Type="http://schemas.openxmlformats.org/officeDocument/2006/relationships/image" Target="media/image11.png"/><Relationship Id="rId105" Type="http://schemas.openxmlformats.org/officeDocument/2006/relationships/image" Target="media/image12.png"/><Relationship Id="rId106" Type="http://schemas.openxmlformats.org/officeDocument/2006/relationships/image" Target="media/image13.png"/><Relationship Id="rId107" Type="http://schemas.openxmlformats.org/officeDocument/2006/relationships/image" Target="media/image14.jpeg"/><Relationship Id="rId108" Type="http://schemas.openxmlformats.org/officeDocument/2006/relationships/image" Target="media/image15.png"/><Relationship Id="rId12" Type="http://schemas.openxmlformats.org/officeDocument/2006/relationships/hyperlink" Target="http://www.sec.gov/Archives/edgar/data/1567683/000110465914037090/a14-12466_1ex2d1.htm" TargetMode="External"/><Relationship Id="rId13" Type="http://schemas.openxmlformats.org/officeDocument/2006/relationships/hyperlink" Target="http://www.sec.gov/Archives/edgar/data/1567683/000110465914037090/a14-12466_1ex2d2.htm" TargetMode="External"/><Relationship Id="rId14" Type="http://schemas.openxmlformats.org/officeDocument/2006/relationships/hyperlink" Target="http://www.sec.gov/Archives/edgar/data/1567683/000110465914037090/a14-12466_1ex2d3.htm" TargetMode="External"/><Relationship Id="rId15" Type="http://schemas.openxmlformats.org/officeDocument/2006/relationships/hyperlink" Target="http://www.sec.gov/Archives/edgar/data/1567683/000110465914044820/a14-14976_1ex10d1.htm" TargetMode="External"/><Relationship Id="rId16" Type="http://schemas.openxmlformats.org/officeDocument/2006/relationships/hyperlink" Target="http://www.sec.gov/Archives/edgar/data/1567683/000156768314000020/exhibit21.htm" TargetMode="External"/><Relationship Id="rId17" Type="http://schemas.openxmlformats.org/officeDocument/2006/relationships/hyperlink" Target="http://www.sec.gov/Archives/edgar/data/1567683/000156768314000020/exhibit22.htm" TargetMode="External"/><Relationship Id="rId18" Type="http://schemas.openxmlformats.org/officeDocument/2006/relationships/hyperlink" Target="http://www.sec.gov/Archives/edgar/data/1567683/000156768315000022/yieldincex212015q2dspsaexh.htm" TargetMode="External"/><Relationship Id="rId19" Type="http://schemas.openxmlformats.org/officeDocument/2006/relationships/hyperlink" Target="http://www.sec.gov/Archives/edgar/data/1567683/000110465915066291/a15-19906_1ex2d1.htm" TargetMode="External"/><Relationship Id="rId20" Type="http://schemas.openxmlformats.org/officeDocument/2006/relationships/hyperlink" Target="http://www.sec.gov/Archives/edgar/data/1567683/000110465916138087/a16-16348_1ex2d1.htm" TargetMode="External"/><Relationship Id="rId21" Type="http://schemas.openxmlformats.org/officeDocument/2006/relationships/hyperlink" Target="http://www.sec.gov/Archives/edgar/data/1567683/000156768318000008/yieldincex210201710-k.htm" TargetMode="External"/><Relationship Id="rId22" Type="http://schemas.openxmlformats.org/officeDocument/2006/relationships/hyperlink" Target="http://www.sec.gov/Archives/edgar/data/1567683/000156768316000043/yieldincex312016q1.htm" TargetMode="External"/><Relationship Id="rId23" Type="http://schemas.openxmlformats.org/officeDocument/2006/relationships/hyperlink" Target="http://www.sec.gov/Archives/edgar/data/1567683/000110465918055334/a18-24111_1ex3d1.htm#Exhibit3_1_040838" TargetMode="External"/><Relationship Id="rId24" Type="http://schemas.openxmlformats.org/officeDocument/2006/relationships/hyperlink" Target="http://www.sec.gov/Archives/edgar/data/1567683/000110465918055334/a18-24111_1ex3d2.htm#Exhibit3_2_042157" TargetMode="External"/><Relationship Id="rId25" Type="http://schemas.openxmlformats.org/officeDocument/2006/relationships/hyperlink" Target="http://www.sec.gov/Archives/edgar/data/1567683/000110465918055334/a18-24111_1ex10d6.htm#Exhibit10_6_052216" TargetMode="External"/><Relationship Id="rId26" Type="http://schemas.openxmlformats.org/officeDocument/2006/relationships/hyperlink" Target="http://www.sec.gov/Archives/edgar/data/1567683/000110465914008496/a14-4771_3ex4d1.htm" TargetMode="External"/><Relationship Id="rId27" Type="http://schemas.openxmlformats.org/officeDocument/2006/relationships/hyperlink" Target="http://www.sec.gov/Archives/edgar/data/1567683/000110465914056777/a14-18411_1ex4d1.htm" TargetMode="External"/><Relationship Id="rId28" Type="http://schemas.openxmlformats.org/officeDocument/2006/relationships/hyperlink" Target="http://www.sec.gov/Archives/edgar/data/1567683/000110465914056777/a14-18411_1ex4d3.htm" TargetMode="External"/><Relationship Id="rId29" Type="http://schemas.openxmlformats.org/officeDocument/2006/relationships/hyperlink" Target="http://www.sec.gov/Archives/edgar/data/1567683/000110465914080390/a14-24401_1ex4d1.htm" TargetMode="External"/><Relationship Id="rId30" Type="http://schemas.openxmlformats.org/officeDocument/2006/relationships/hyperlink" Target="http://www.sec.gov/Archives/edgar/data/1567683/000110465915015282/a15-5420_1ex4d1.htm" TargetMode="External"/><Relationship Id="rId31" Type="http://schemas.openxmlformats.org/officeDocument/2006/relationships/hyperlink" Target="http://www.sec.gov/Archives/edgar/data/1567683/000110465915027995/a15-9326_1ex4d1.htm" TargetMode="External"/><Relationship Id="rId32" Type="http://schemas.openxmlformats.org/officeDocument/2006/relationships/hyperlink" Target="http://www.sec.gov/Archives/edgar/data/1567683/000110465915036232/a15-11016_2ex4d1.htm" TargetMode="External"/><Relationship Id="rId33" Type="http://schemas.openxmlformats.org/officeDocument/2006/relationships/hyperlink" Target="http://www.sec.gov/Archives/edgar/data/1567683/000110465915048473/a15-14936_1ex4d1.htm" TargetMode="External"/><Relationship Id="rId34" Type="http://schemas.openxmlformats.org/officeDocument/2006/relationships/hyperlink" Target="http://www.sec.gov/Archives/edgar/data/1567683/000156768319000014/exhibit_1.htm" TargetMode="External"/><Relationship Id="rId35" Type="http://schemas.openxmlformats.org/officeDocument/2006/relationships/hyperlink" Target="http://www.sec.gov/Archives/edgar/data/1567683/000156768319000014/exhibit_2.htm" TargetMode="External"/><Relationship Id="rId36" Type="http://schemas.openxmlformats.org/officeDocument/2006/relationships/hyperlink" Target="http://www.sec.gov/Archives/edgar/data/1567683/000110465916140473/a16-16967_1ex4d1.htm" TargetMode="External"/><Relationship Id="rId37" Type="http://schemas.openxmlformats.org/officeDocument/2006/relationships/hyperlink" Target="http://www.sec.gov/Archives/edgar/data/1567683/000110465916140473/a16-16967_1ex4d3.htm" TargetMode="External"/><Relationship Id="rId38" Type="http://schemas.openxmlformats.org/officeDocument/2006/relationships/hyperlink" Target="http://www.sec.gov/Archives/edgar/data/1637757/000110465918005466/a18-5088_1ex4d1.htm#Exhibit4_1_091658" TargetMode="External"/><Relationship Id="rId39" Type="http://schemas.openxmlformats.org/officeDocument/2006/relationships/hyperlink" Target="http://www.sec.gov/Archives/edgar/data/1637757/000110465918005466/a18-5088_1ex4d2.htm#Exhibit4_2_091723" TargetMode="External"/><Relationship Id="rId40" Type="http://schemas.openxmlformats.org/officeDocument/2006/relationships/hyperlink" Target="http://www.sec.gov/Archives/edgar/data/1567683/000110465918039601/a18-15261_1ex4d1.htm#Exhibit4_1_110220" TargetMode="External"/><Relationship Id="rId41" Type="http://schemas.openxmlformats.org/officeDocument/2006/relationships/hyperlink" Target="http://www.sec.gov/Archives/edgar/data/1567683/000110465918039601/a18-15261_1ex4d2.htm#Exhibit4_2_111650" TargetMode="External"/><Relationship Id="rId42" Type="http://schemas.openxmlformats.org/officeDocument/2006/relationships/hyperlink" Target="http://www.sec.gov/Archives/edgar/data/1567683/000156768318000028/yieldincex432018q2.htm" TargetMode="External"/><Relationship Id="rId43" Type="http://schemas.openxmlformats.org/officeDocument/2006/relationships/hyperlink" Target="http://www.sec.gov/Archives/edgar/data/1567683/000156768318000028/yieldincex442018q2.htm" TargetMode="External"/><Relationship Id="rId44" Type="http://schemas.openxmlformats.org/officeDocument/2006/relationships/hyperlink" Target="http://www.sec.gov/Archives/edgar/data/1567683/000110465918055585/a18-27020_1ex4d1.htm#Exhibit4_1_065610" TargetMode="External"/><Relationship Id="rId45" Type="http://schemas.openxmlformats.org/officeDocument/2006/relationships/hyperlink" Target="http://www.sec.gov/Archives/edgar/data/1567683/000110465918055585/a18-27020_1ex4d2.htm" TargetMode="External"/><Relationship Id="rId46" Type="http://schemas.openxmlformats.org/officeDocument/2006/relationships/hyperlink" Target="http://www.sec.gov/Archives/edgar/data/1567683/000110465918060026/a18-36222_1ex4d1.htm#Exhibit4_1_070903" TargetMode="External"/><Relationship Id="rId47" Type="http://schemas.openxmlformats.org/officeDocument/2006/relationships/hyperlink" Target="http://www.sec.gov/Archives/edgar/data/1567683/000110465918060026/a18-36222_1ex4d1.htm" TargetMode="External"/><Relationship Id="rId48" Type="http://schemas.openxmlformats.org/officeDocument/2006/relationships/hyperlink" Target="http://www.sec.gov/Archives/edgar/data/1567683/000110465918060026/a18-36222_1ex4d3.htm#Exhibit4_3_105106" TargetMode="External"/><Relationship Id="rId49" Type="http://schemas.openxmlformats.org/officeDocument/2006/relationships/hyperlink" Target="http://www.sec.gov/Archives/edgar/data/1567683/000110465918065131/a18-38184_1ex4d1.htm#Exhibit4_1_084653" TargetMode="External"/><Relationship Id="rId50" Type="http://schemas.openxmlformats.org/officeDocument/2006/relationships/hyperlink" Target="http://www.sec.gov/Archives/edgar/data/1567683/000110465918065131/a18-38184_1ex4d2.htm#Exhibit4_2_085140" TargetMode="External"/><Relationship Id="rId51" Type="http://schemas.openxmlformats.org/officeDocument/2006/relationships/hyperlink" Target="http://www.sec.gov/Archives/edgar/data/1567683/000110465918065131/a18-38184_1ex4d3.htm#Exhibit4_3_084706" TargetMode="External"/><Relationship Id="rId52" Type="http://schemas.openxmlformats.org/officeDocument/2006/relationships/hyperlink" Target="http://www.sec.gov/Archives/edgar/data/1567683/000110465918072575/a18-41414_1ex4d1.htm#Exhibit4_1_123152" TargetMode="External"/><Relationship Id="rId53" Type="http://schemas.openxmlformats.org/officeDocument/2006/relationships/hyperlink" Target="http://www.sec.gov/Archives/edgar/data/1567683/000110465918072575/a18-41414_1ex4d2.htm#Exhibit4_2_124619" TargetMode="External"/><Relationship Id="rId54" Type="http://schemas.openxmlformats.org/officeDocument/2006/relationships/hyperlink" Target="http://www.sec.gov/Archives/edgar/data/1567683/000110465918072575/a18-41414_1ex4d3.htm#Exhibit4_3_125432" TargetMode="External"/><Relationship Id="rId55" Type="http://schemas.openxmlformats.org/officeDocument/2006/relationships/hyperlink" Target="http://www.sec.gov/Archives/edgar/data/1567683/000110465918055334/a18-24111_1ex10d1.htm#Exhibit10_1_072506" TargetMode="External"/><Relationship Id="rId56" Type="http://schemas.openxmlformats.org/officeDocument/2006/relationships/hyperlink" Target="http://www.sec.gov/Archives/edgar/data/1567683/000110465918055334/a18-24111_1ex10d2.htm#Exhibit10_2_072636" TargetMode="External"/><Relationship Id="rId57" Type="http://schemas.openxmlformats.org/officeDocument/2006/relationships/hyperlink" Target="http://www.sec.gov/Archives/edgar/data/1567683/000110465918055334/a18-24111_1ex10d3.htm" TargetMode="External"/><Relationship Id="rId58" Type="http://schemas.openxmlformats.org/officeDocument/2006/relationships/hyperlink" Target="http://www.sec.gov/Archives/edgar/data/1567683/000110465919008742/a19-4739_1ex10d1.htm#Exhibit99_1_09271" TargetMode="External"/><Relationship Id="rId59" Type="http://schemas.openxmlformats.org/officeDocument/2006/relationships/hyperlink" Target="http://www.sec.gov/Archives/edgar/data/1567683/000110465918055334/a18-24111_1ex10d4.htm#Exhibit10_4_041820" TargetMode="External"/><Relationship Id="rId60" Type="http://schemas.openxmlformats.org/officeDocument/2006/relationships/hyperlink" Target="http://www.sec.gov/Archives/edgar/data/1567683/000110465918055334/a18-24111_1ex10d5.htm#EXHIBIT10_5_051412" TargetMode="External"/><Relationship Id="rId61" Type="http://schemas.openxmlformats.org/officeDocument/2006/relationships/hyperlink" Target="http://www.sec.gov/Archives/edgar/data/1567683/000110465918055334/a18-24111_1ex10d7.htm#Exhibit10_7_114008" TargetMode="External"/><Relationship Id="rId62" Type="http://schemas.openxmlformats.org/officeDocument/2006/relationships/hyperlink" Target="http://www.sec.gov/Archives/edgar/data/1567683/000110465918055334/a18-24111_1ex10d9.htm" TargetMode="External"/><Relationship Id="rId63" Type="http://schemas.openxmlformats.org/officeDocument/2006/relationships/hyperlink" Target="http://www.sec.gov/Archives/edgar/data/1567683/000091205713000038/filename3.htm" TargetMode="External"/><Relationship Id="rId64" Type="http://schemas.openxmlformats.org/officeDocument/2006/relationships/hyperlink" Target="http://www.sec.gov/Archives/edgar/data/1567683/000156768319000014/clearwayincex109201810-k.htm" TargetMode="External"/><Relationship Id="rId65" Type="http://schemas.openxmlformats.org/officeDocument/2006/relationships/hyperlink" Target="http://www.sec.gov/Archives/edgar/data/1567683/000156768319000014/clearwayincex1010201810-k.htm" TargetMode="External"/><Relationship Id="rId66" Type="http://schemas.openxmlformats.org/officeDocument/2006/relationships/hyperlink" Target="http://www.sec.gov/Archives/edgar/data/1567683/000110465914031308/a14-11252_1ex10d1.htm" TargetMode="External"/><Relationship Id="rId67" Type="http://schemas.openxmlformats.org/officeDocument/2006/relationships/hyperlink" Target="http://www.sec.gov/Archives/edgar/data/1567683/000156768315000022/yieldincex1092015q2opllcam.htm" TargetMode="External"/><Relationship Id="rId68" Type="http://schemas.openxmlformats.org/officeDocument/2006/relationships/hyperlink" Target="http://www.sec.gov/Archives/edgar/data/1567683/000110465918008195/a18-5849_1ex10d1.htm#Exhibit10_1_093100" TargetMode="External"/><Relationship Id="rId69" Type="http://schemas.openxmlformats.org/officeDocument/2006/relationships/hyperlink" Target="http://www.sec.gov/Archives/edgar/data/1567683/000156768318000021/a101.htm" TargetMode="External"/><Relationship Id="rId70" Type="http://schemas.openxmlformats.org/officeDocument/2006/relationships/hyperlink" Target="http://www.sec.gov/Archives/edgar/data/1567683/000110465918071712/a18-41171_1ex10d1.htm#Exhibit10_1_112713" TargetMode="External"/><Relationship Id="rId71" Type="http://schemas.openxmlformats.org/officeDocument/2006/relationships/hyperlink" Target="http://www.sec.gov/Archives/edgar/data/1567683/000156768314000015/yieldcoex102q214.htm" TargetMode="External"/><Relationship Id="rId72" Type="http://schemas.openxmlformats.org/officeDocument/2006/relationships/hyperlink" Target="http://www.sec.gov/Archives/edgar/data/1567683/000156768314000015/yieldcoex103q214.htm" TargetMode="External"/><Relationship Id="rId73" Type="http://schemas.openxmlformats.org/officeDocument/2006/relationships/hyperlink" Target="http://www.sec.gov/Archives/edgar/data/1567683/000156768314000015/yieldcoex104q214.htm" TargetMode="External"/><Relationship Id="rId74" Type="http://schemas.openxmlformats.org/officeDocument/2006/relationships/hyperlink" Target="http://www.sec.gov/Archives/edgar/data/1567683/000156768315000022/yieldincex1062015q2esecame.htm" TargetMode="External"/><Relationship Id="rId75" Type="http://schemas.openxmlformats.org/officeDocument/2006/relationships/hyperlink" Target="http://www.sec.gov/Archives/edgar/data/1567683/000156768315000022/yieldincex1072015q2esecame.htm" TargetMode="External"/><Relationship Id="rId76" Type="http://schemas.openxmlformats.org/officeDocument/2006/relationships/hyperlink" Target="http://www.sec.gov/Archives/edgar/data/1567683/000156768315000022/yieldincex1082015q2esecame.htm" TargetMode="External"/><Relationship Id="rId77" Type="http://schemas.openxmlformats.org/officeDocument/2006/relationships/hyperlink" Target="http://www.sec.gov/Archives/edgar/data/1567683/000156768314000015/yieldcoex105q22014.htm" TargetMode="External"/><Relationship Id="rId78" Type="http://schemas.openxmlformats.org/officeDocument/2006/relationships/hyperlink" Target="http://www.sec.gov/Archives/edgar/data/1567683/000156768314000015/yieldcoex106q22014.htm" TargetMode="External"/><Relationship Id="rId79" Type="http://schemas.openxmlformats.org/officeDocument/2006/relationships/hyperlink" Target="http://www.sec.gov/Archives/edgar/data/1567683/000156768315000022/yieldincex1012015q2rpv.htm" TargetMode="External"/><Relationship Id="rId80" Type="http://schemas.openxmlformats.org/officeDocument/2006/relationships/hyperlink" Target="http://www.sec.gov/Archives/edgar/data/1567683/000156768315000022/yieldincex1022015q2dgpv.htm" TargetMode="External"/><Relationship Id="rId81" Type="http://schemas.openxmlformats.org/officeDocument/2006/relationships/hyperlink" Target="http://www.sec.gov/Archives/edgar/data/1567683/000156768316000043/yieldincex1012016q1.htm" TargetMode="External"/><Relationship Id="rId82" Type="http://schemas.openxmlformats.org/officeDocument/2006/relationships/hyperlink" Target="http://www.sec.gov/Archives/edgar/data/1567683/000156768316000043/yieldincex1022016q1.htm" TargetMode="External"/><Relationship Id="rId83" Type="http://schemas.openxmlformats.org/officeDocument/2006/relationships/hyperlink" Target="http://www.sec.gov/Archives/edgar/data/1567683/000156768316000043/yieldincex1032016q1.htm" TargetMode="External"/><Relationship Id="rId84" Type="http://schemas.openxmlformats.org/officeDocument/2006/relationships/hyperlink" Target="http://www.sec.gov/Archives/edgar/data/1567683/000156768316000055/yieldincex1012016q2-rpvame.htm" TargetMode="External"/><Relationship Id="rId85" Type="http://schemas.openxmlformats.org/officeDocument/2006/relationships/hyperlink" Target="http://www.sec.gov/Archives/edgar/data/1567683/000110465916138081/a16-16348_2ex10d1.htm" TargetMode="External"/><Relationship Id="rId86" Type="http://schemas.openxmlformats.org/officeDocument/2006/relationships/hyperlink" Target="http://www.sec.gov/Archives/edgar/data/1567683/000156768318000008/yieldincex1028201710-k.htm" TargetMode="External"/><Relationship Id="rId87" Type="http://schemas.openxmlformats.org/officeDocument/2006/relationships/hyperlink" Target="http://www.sec.gov/Archives/edgar/data/1567683/000156768319000014/clearwayincex1022201810-k.htm" TargetMode="External"/><Relationship Id="rId88" Type="http://schemas.openxmlformats.org/officeDocument/2006/relationships/hyperlink" Target="http://www.sec.gov/Archives/edgar/data/1567683/000156768319000014/clearwayincex1023201810-k.htm" TargetMode="External"/><Relationship Id="rId89" Type="http://schemas.openxmlformats.org/officeDocument/2006/relationships/hyperlink" Target="http://www.sec.gov/Archives/edgar/data/1567683/000156768319000014/clearwayincex1024201810-k.htm" TargetMode="External"/><Relationship Id="rId90" Type="http://schemas.openxmlformats.org/officeDocument/2006/relationships/hyperlink" Target="http://www.sec.gov/Archives/edgar/data/1567683/000156768319000014/clearwayincex1025201810-k.htm" TargetMode="External"/><Relationship Id="rId91" Type="http://schemas.openxmlformats.org/officeDocument/2006/relationships/hyperlink" Target="http://www.sec.gov/Archives/edgar/data/1567683/000156768319000014/clearwayincex1026201810-k.htm" TargetMode="External"/><Relationship Id="rId92" Type="http://schemas.openxmlformats.org/officeDocument/2006/relationships/hyperlink" Target="http://www.sec.gov/Archives/edgar/data/1567683/000156768319000014/clearwayincex1027201810-k.htm" TargetMode="External"/><Relationship Id="rId93" Type="http://schemas.openxmlformats.org/officeDocument/2006/relationships/hyperlink" Target="http://www.sec.gov/Archives/edgar/data/1567683/000156768319000014/clearwayincex1028201810-k.htm" TargetMode="External"/><Relationship Id="rId94" Type="http://schemas.openxmlformats.org/officeDocument/2006/relationships/hyperlink" Target="http://www.sec.gov/Archives/edgar/data/1567683/000156768318000008/yieldincex1034201710-k.htm" TargetMode="External"/><Relationship Id="rId95" Type="http://schemas.openxmlformats.org/officeDocument/2006/relationships/hyperlink" Target="http://www.sec.gov/Archives/edgar/data/1567683/000156768319000014/clearwayincex1030201810-k.htm" TargetMode="External"/><Relationship Id="rId96" Type="http://schemas.openxmlformats.org/officeDocument/2006/relationships/hyperlink" Target="http://www.sec.gov/Archives/edgar/data/1567683/000156768319000014/clearwayincex211201810-k.htm" TargetMode="External"/><Relationship Id="rId97" Type="http://schemas.openxmlformats.org/officeDocument/2006/relationships/hyperlink" Target="http://www.sec.gov/Archives/edgar/data/1567683/000156768319000014/clearwayincex231201810-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2019-12-28T14:10:00Z</dcterms:created>
  <dcterms:modified xsi:type="dcterms:W3CDTF">2019-12-28T14:10:00Z</dcterms:modified>
</cp:coreProperties>
</file>