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14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143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80" w:type="dxa"/>
            <w:vAlign w:val="bottom"/>
            <w:gridSpan w:val="2"/>
            <w:vMerge w:val="restart"/>
          </w:tcPr>
          <w:p>
            <w:pPr>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BlackRock Portfolio</w:t>
              </w:r>
            </w:hyperlink>
          </w:p>
        </w:tc>
        <w:tc>
          <w:tcPr>
            <w:tcW w:w="104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980" w:type="dxa"/>
            <w:vAlign w:val="bottom"/>
            <w:tcBorders>
              <w:bottom w:val="single" w:sz="8" w:color="0000EE"/>
            </w:tcBorders>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Management LLC</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01/28/2025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Clearway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CWEN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40"/>
              <w:spacing w:after="0"/>
              <w:rPr>
                <w:sz w:val="20"/>
                <w:szCs w:val="20"/>
                <w:color w:val="auto"/>
              </w:rPr>
            </w:pPr>
            <w:r>
              <w:rPr>
                <w:rFonts w:ascii="Arial" w:cs="Arial" w:eastAsia="Arial" w:hAnsi="Arial"/>
                <w:sz w:val="15"/>
                <w:szCs w:val="15"/>
                <w:color w:val="auto"/>
              </w:rPr>
              <w:t>(First)</w:t>
            </w:r>
          </w:p>
        </w:tc>
        <w:tc>
          <w:tcPr>
            <w:tcW w:w="1160" w:type="dxa"/>
            <w:vAlign w:val="bottom"/>
          </w:tcPr>
          <w:p>
            <w:pPr>
              <w:ind w:left="1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50 HUDSON YARDS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10001</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1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20"/>
                <w:szCs w:val="20"/>
                <w:color w:val="0000FF"/>
              </w:rPr>
              <w:t>21,841</w:t>
            </w:r>
          </w:p>
        </w:tc>
        <w:tc>
          <w:tcPr>
            <w:tcW w:w="10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20"/>
                <w:szCs w:val="20"/>
                <w:color w:val="0000FF"/>
                <w:w w:val="89"/>
              </w:rPr>
              <w:t>I</w:t>
            </w:r>
          </w:p>
        </w:tc>
        <w:tc>
          <w:tcPr>
            <w:tcW w:w="3380" w:type="dxa"/>
            <w:vAlign w:val="bottom"/>
            <w:tcBorders>
              <w:bottom w:val="single" w:sz="8" w:color="2C2C2C"/>
            </w:tcBorders>
            <w:gridSpan w:val="3"/>
          </w:tcPr>
          <w:p>
            <w:pPr>
              <w:jc w:val="center"/>
              <w:ind w:right="562"/>
              <w:spacing w:after="0"/>
              <w:rPr>
                <w:sz w:val="20"/>
                <w:szCs w:val="20"/>
                <w:color w:val="auto"/>
              </w:rPr>
            </w:pPr>
            <w:r>
              <w:rPr>
                <w:rFonts w:ascii="Times New Roman" w:cs="Times New Roman" w:eastAsia="Times New Roman" w:hAnsi="Times New Roman"/>
                <w:sz w:val="20"/>
                <w:szCs w:val="20"/>
                <w:color w:val="0000FF"/>
                <w:w w:val="89"/>
              </w:rPr>
              <w:t>See footnotes</w:t>
            </w:r>
            <w:r>
              <w:rPr>
                <w:rFonts w:ascii="Times New Roman" w:cs="Times New Roman" w:eastAsia="Times New Roman" w:hAnsi="Times New Roman"/>
                <w:sz w:val="25"/>
                <w:szCs w:val="25"/>
                <w:color w:val="008000"/>
                <w:w w:val="89"/>
                <w:vertAlign w:val="superscript"/>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C 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20"/>
                <w:szCs w:val="20"/>
                <w:color w:val="0000FF"/>
              </w:rPr>
              <w:t>114,199</w:t>
            </w:r>
          </w:p>
        </w:tc>
        <w:tc>
          <w:tcPr>
            <w:tcW w:w="10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20"/>
                <w:szCs w:val="20"/>
                <w:color w:val="0000FF"/>
                <w:w w:val="89"/>
              </w:rPr>
              <w:t>I</w:t>
            </w:r>
          </w:p>
        </w:tc>
        <w:tc>
          <w:tcPr>
            <w:tcW w:w="3400" w:type="dxa"/>
            <w:vAlign w:val="bottom"/>
            <w:tcBorders>
              <w:bottom w:val="single" w:sz="8" w:color="2C2C2C"/>
            </w:tcBorders>
            <w:gridSpan w:val="4"/>
          </w:tcPr>
          <w:p>
            <w:pPr>
              <w:jc w:val="center"/>
              <w:ind w:right="660"/>
              <w:spacing w:after="0"/>
              <w:rPr>
                <w:sz w:val="20"/>
                <w:szCs w:val="20"/>
                <w:color w:val="auto"/>
              </w:rPr>
            </w:pPr>
            <w:r>
              <w:rPr>
                <w:rFonts w:ascii="Times New Roman" w:cs="Times New Roman" w:eastAsia="Times New Roman" w:hAnsi="Times New Roman"/>
                <w:sz w:val="20"/>
                <w:szCs w:val="20"/>
                <w:color w:val="0000FF"/>
                <w:w w:val="89"/>
              </w:rPr>
              <w:t>See footnotes</w:t>
            </w:r>
            <w:r>
              <w:rPr>
                <w:rFonts w:ascii="Times New Roman" w:cs="Times New Roman" w:eastAsia="Times New Roman" w:hAnsi="Times New Roman"/>
                <w:sz w:val="25"/>
                <w:szCs w:val="25"/>
                <w:color w:val="008000"/>
                <w:w w:val="89"/>
                <w:vertAlign w:val="superscript"/>
              </w:rPr>
              <w:t>(1)(2)(3)</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640" w:type="dxa"/>
            <w:vAlign w:val="bottom"/>
            <w:tcBorders>
              <w:top w:val="single" w:sz="8" w:color="2C2C2C"/>
            </w:tcBorders>
            <w:gridSpan w:val="7"/>
          </w:tcPr>
          <w:p>
            <w:pPr>
              <w:ind w:left="3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780" w:type="dxa"/>
            <w:vAlign w:val="bottom"/>
            <w:gridSpan w:val="8"/>
          </w:tcPr>
          <w:p>
            <w:pPr>
              <w:ind w:left="10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4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6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7"/>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B Units of Clearway</w:t>
            </w:r>
          </w:p>
        </w:tc>
        <w:tc>
          <w:tcPr>
            <w:tcW w:w="11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w w:val="97"/>
              </w:rPr>
              <w:t>42,738,750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8000"/>
              </w:rPr>
              <w:t>(4)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4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w w:val="99"/>
              </w:rPr>
              <w:t>See footnotes</w:t>
            </w:r>
            <w:r>
              <w:rPr>
                <w:rFonts w:ascii="Times New Roman" w:cs="Times New Roman" w:eastAsia="Times New Roman" w:hAnsi="Times New Roman"/>
                <w:sz w:val="25"/>
                <w:szCs w:val="25"/>
                <w:color w:val="008000"/>
                <w:w w:val="99"/>
                <w:vertAlign w:val="superscript"/>
              </w:rPr>
              <w:t>(1)(2)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Energy LLC</w:t>
            </w:r>
          </w:p>
        </w:tc>
        <w:tc>
          <w:tcPr>
            <w:tcW w:w="11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D Units of Clearway</w:t>
            </w:r>
          </w:p>
        </w:tc>
        <w:tc>
          <w:tcPr>
            <w:tcW w:w="11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C Common</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w w:val="97"/>
              </w:rPr>
              <w:t>41,961,750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8000"/>
              </w:rPr>
              <w:t>(5)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4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w w:val="99"/>
              </w:rPr>
              <w:t>See footnotes</w:t>
            </w:r>
            <w:r>
              <w:rPr>
                <w:rFonts w:ascii="Times New Roman" w:cs="Times New Roman" w:eastAsia="Times New Roman" w:hAnsi="Times New Roman"/>
                <w:sz w:val="25"/>
                <w:szCs w:val="25"/>
                <w:color w:val="008000"/>
                <w:w w:val="99"/>
                <w:vertAlign w:val="superscript"/>
              </w:rPr>
              <w:t>(1)(2)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Energy LLC</w:t>
            </w:r>
          </w:p>
        </w:tc>
        <w:tc>
          <w:tcPr>
            <w:tcW w:w="11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stock</w:t>
            </w: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30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(collectively with Clearway Energy Group, the "GIP Entities"), may be deemed to share beneficial ownership of the securities owned by Clearway Energy Group.</w:t>
      </w:r>
    </w:p>
    <w:p>
      <w:pPr>
        <w:spacing w:after="0" w:line="33" w:lineRule="exact"/>
        <w:rPr>
          <w:rFonts w:ascii="Times New Roman" w:cs="Times New Roman" w:eastAsia="Times New Roman" w:hAnsi="Times New Roman"/>
          <w:sz w:val="15"/>
          <w:szCs w:val="15"/>
          <w:color w:val="008000"/>
        </w:rPr>
      </w:pPr>
    </w:p>
    <w:p>
      <w:pPr>
        <w:ind w:left="40" w:right="2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Times New Roman" w:cs="Times New Roman" w:eastAsia="Times New Roman" w:hAnsi="Times New Roman"/>
          <w:sz w:val="15"/>
          <w:szCs w:val="15"/>
          <w:color w:val="008000"/>
        </w:rPr>
      </w:pPr>
    </w:p>
    <w:p>
      <w:pPr>
        <w:ind w:left="40" w:right="10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33" w:lineRule="exact"/>
        <w:rPr>
          <w:rFonts w:ascii="Times New Roman" w:cs="Times New Roman" w:eastAsia="Times New Roman" w:hAnsi="Times New Roman"/>
          <w:sz w:val="15"/>
          <w:szCs w:val="15"/>
          <w:color w:val="008000"/>
        </w:rPr>
      </w:pPr>
    </w:p>
    <w:p>
      <w:pPr>
        <w:ind w:left="40" w:right="1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an Amended and Restated Exchange Agreement, dated as of May 14, 2015, among the Issuer, Clearway LLC and other parties thereto (the "Exchange Agreement"), the Class B Units of Clearway LLC are exchangeable at any time for shares of Class A Common Stock on a one-for-one basis, subject to equitable adjustments for stock splits, stock dividends and reclassifications. As the holder exchanges the Class B Units for shares of Class A Common Stock pursuant to the Exchange Agreement, an equivalent number of shares of Class B Common Stock issued to the holder will automatically be canceled.</w:t>
      </w:r>
    </w:p>
    <w:p>
      <w:pPr>
        <w:spacing w:after="0" w:line="33" w:lineRule="exact"/>
        <w:rPr>
          <w:rFonts w:ascii="Times New Roman" w:cs="Times New Roman" w:eastAsia="Times New Roman" w:hAnsi="Times New Roman"/>
          <w:sz w:val="15"/>
          <w:szCs w:val="15"/>
          <w:color w:val="008000"/>
        </w:rPr>
      </w:pPr>
    </w:p>
    <w:p>
      <w:pPr>
        <w:ind w:left="40" w:right="2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Exchange Agreement, the Class D Units of Clearway LLC are exchangeable at any time for shares of Class C Common Stock on a one-for-one basis, subject to equitable adjustments for stock splits, stock dividends and reclassifications. As the holder exchanges the Class D Units for shares of Class C Common Stock pursuant to the Exchange Agreement, an equivalent number of shares of Class D Common Stock issued to the holder will automatically be canceled.</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right="80"/>
        <w:spacing w:after="0" w:line="239" w:lineRule="auto"/>
        <w:rPr>
          <w:sz w:val="20"/>
          <w:szCs w:val="20"/>
          <w:color w:val="auto"/>
        </w:rPr>
      </w:pPr>
      <w:r>
        <w:rPr>
          <w:rFonts w:ascii="Times New Roman" w:cs="Times New Roman" w:eastAsia="Times New Roman" w:hAnsi="Times New Roman"/>
          <w:sz w:val="15"/>
          <w:szCs w:val="15"/>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ectPr>
          <w:pgSz w:w="11900" w:h="16838" w:orient="portrait"/>
          <w:cols w:equalWidth="0" w:num="1">
            <w:col w:w="10940"/>
          </w:cols>
          <w:pgMar w:left="480" w:top="230" w:right="479" w:bottom="0" w:gutter="0" w:footer="0" w:header="0"/>
          <w:type w:val="continuous"/>
        </w:sectPr>
      </w:pPr>
    </w:p>
    <w:p>
      <w:pPr>
        <w:spacing w:after="0" w:line="43" w:lineRule="exact"/>
        <w:rPr>
          <w:sz w:val="20"/>
          <w:szCs w:val="20"/>
          <w:color w:val="auto"/>
        </w:rPr>
      </w:pPr>
    </w:p>
    <w:tbl>
      <w:tblPr>
        <w:tblLayout w:type="fixed"/>
        <w:tblInd w:w="6580" w:type="dxa"/>
        <w:tblCellMar>
          <w:top w:w="0" w:type="dxa"/>
          <w:left w:w="0" w:type="dxa"/>
          <w:bottom w:w="0" w:type="dxa"/>
          <w:right w:w="0" w:type="dxa"/>
        </w:tblCellMar>
      </w:tblPr>
      <w:tr>
        <w:trPr>
          <w:trHeight w:val="230"/>
        </w:trPr>
        <w:tc>
          <w:tcPr>
            <w:tcW w:w="20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BlackRock Portfolio</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FF"/>
              </w:rPr>
              <w:t>01/30/2025</w:t>
            </w:r>
          </w:p>
        </w:tc>
      </w:tr>
      <w:tr>
        <w:trPr>
          <w:trHeight w:val="20"/>
        </w:trPr>
        <w:tc>
          <w:tcPr>
            <w:tcW w:w="1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20"/>
        </w:trPr>
        <w:tc>
          <w:tcPr>
            <w:tcW w:w="200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Management LLC By: /s/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Julie Ashworth,</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68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Authorized Signatory</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4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560" w:type="dxa"/>
            <w:vAlign w:val="bottom"/>
            <w:vMerge w:val="restart"/>
          </w:tcPr>
          <w:p>
            <w:pPr>
              <w:ind w:left="24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4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4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8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052113" TargetMode="External"/><Relationship Id="rId11"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2025-01-30T18:34:19Z</dcterms:created>
  <dcterms:modified xsi:type="dcterms:W3CDTF">2025-01-30T18:34:19Z</dcterms:modified>
</cp:coreProperties>
</file>