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2"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COMPENSATION DISCUSSION AND ANALYSIS</w:t>
        </w:r>
      </w:hyperlink>
    </w:p>
    <w:p>
      <w:pPr>
        <w:spacing w:after="0" w:line="186" w:lineRule="exact"/>
        <w:rPr>
          <w:sz w:val="24"/>
          <w:szCs w:val="24"/>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3" w:lineRule="exact"/>
        <w:rPr>
          <w:sz w:val="24"/>
          <w:szCs w:val="24"/>
          <w:color w:val="auto"/>
        </w:rPr>
      </w:pPr>
    </w:p>
    <w:p>
      <w:pPr>
        <w:jc w:val="center"/>
        <w:ind w:right="-1179"/>
        <w:spacing w:after="0"/>
        <w:rPr>
          <w:sz w:val="20"/>
          <w:szCs w:val="20"/>
          <w:color w:val="auto"/>
        </w:rPr>
      </w:pPr>
      <w:r>
        <w:rPr>
          <w:rFonts w:ascii="Arial" w:cs="Arial" w:eastAsia="Arial" w:hAnsi="Arial"/>
          <w:sz w:val="15"/>
          <w:szCs w:val="15"/>
          <w:b w:val="1"/>
          <w:bCs w:val="1"/>
          <w:color w:val="auto"/>
        </w:rPr>
        <w:t>UNITED STATES</w:t>
      </w:r>
    </w:p>
    <w:p>
      <w:pPr>
        <w:spacing w:after="0" w:line="17" w:lineRule="exact"/>
        <w:rPr>
          <w:sz w:val="24"/>
          <w:szCs w:val="24"/>
          <w:color w:val="auto"/>
        </w:rPr>
      </w:pPr>
    </w:p>
    <w:p>
      <w:pPr>
        <w:jc w:val="center"/>
        <w:ind w:right="-1179"/>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sz w:val="24"/>
          <w:szCs w:val="24"/>
          <w:color w:val="auto"/>
        </w:rPr>
      </w:pPr>
    </w:p>
    <w:p>
      <w:pPr>
        <w:jc w:val="center"/>
        <w:ind w:right="-1179"/>
        <w:spacing w:after="0"/>
        <w:rPr>
          <w:sz w:val="20"/>
          <w:szCs w:val="20"/>
          <w:color w:val="auto"/>
        </w:rPr>
      </w:pPr>
      <w:r>
        <w:rPr>
          <w:rFonts w:ascii="Arial" w:cs="Arial" w:eastAsia="Arial" w:hAnsi="Arial"/>
          <w:sz w:val="15"/>
          <w:szCs w:val="15"/>
          <w:b w:val="1"/>
          <w:bCs w:val="1"/>
          <w:color w:val="auto"/>
        </w:rPr>
        <w:t>Washington, D.C. 20549</w:t>
      </w:r>
    </w:p>
    <w:p>
      <w:pPr>
        <w:spacing w:after="0" w:line="149" w:lineRule="exact"/>
        <w:rPr>
          <w:sz w:val="24"/>
          <w:szCs w:val="24"/>
          <w:color w:val="auto"/>
        </w:rPr>
      </w:pPr>
    </w:p>
    <w:p>
      <w:pPr>
        <w:ind w:left="4940"/>
        <w:spacing w:after="0"/>
        <w:rPr>
          <w:sz w:val="20"/>
          <w:szCs w:val="20"/>
          <w:color w:val="auto"/>
        </w:rPr>
      </w:pPr>
      <w:r>
        <w:rPr>
          <w:rFonts w:ascii="Arial" w:cs="Arial" w:eastAsia="Arial" w:hAnsi="Arial"/>
          <w:sz w:val="21"/>
          <w:szCs w:val="21"/>
          <w:b w:val="1"/>
          <w:bCs w:val="1"/>
          <w:color w:val="auto"/>
        </w:rPr>
        <w:t>SCHEDULE 14A</w:t>
      </w:r>
    </w:p>
    <w:p>
      <w:pPr>
        <w:sectPr>
          <w:pgSz w:w="11900" w:h="16838" w:orient="portrait"/>
          <w:cols w:equalWidth="0" w:num="1">
            <w:col w:w="10240"/>
          </w:cols>
          <w:pgMar w:left="240" w:top="599" w:right="1419" w:bottom="1440" w:gutter="0" w:footer="0" w:header="0"/>
        </w:sectPr>
      </w:pPr>
    </w:p>
    <w:p>
      <w:pPr>
        <w:spacing w:after="0" w:line="211" w:lineRule="exact"/>
        <w:rPr>
          <w:sz w:val="24"/>
          <w:szCs w:val="24"/>
          <w:color w:val="auto"/>
        </w:rPr>
      </w:pPr>
    </w:p>
    <w:p>
      <w:pPr>
        <w:ind w:left="4220"/>
        <w:spacing w:after="0"/>
        <w:rPr>
          <w:sz w:val="20"/>
          <w:szCs w:val="20"/>
          <w:color w:val="auto"/>
        </w:rPr>
      </w:pPr>
      <w:r>
        <w:rPr>
          <w:rFonts w:ascii="Arial" w:cs="Arial" w:eastAsia="Arial" w:hAnsi="Arial"/>
          <w:sz w:val="15"/>
          <w:szCs w:val="15"/>
          <w:color w:val="auto"/>
        </w:rPr>
        <w:t>Proxy Statement Pursuant to Section 14(a) of</w:t>
      </w:r>
    </w:p>
    <w:p>
      <w:pPr>
        <w:ind w:left="368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178" w:lineRule="exact"/>
        <w:rPr>
          <w:sz w:val="24"/>
          <w:szCs w:val="24"/>
          <w:color w:val="auto"/>
        </w:rPr>
      </w:pPr>
    </w:p>
    <w:p>
      <w:pPr>
        <w:sectPr>
          <w:pgSz w:w="11900" w:h="16838" w:orient="portrait"/>
          <w:cols w:equalWidth="0" w:num="2">
            <w:col w:w="7240" w:space="460"/>
            <w:col w:w="2540"/>
          </w:cols>
          <w:pgMar w:left="240" w:top="599" w:right="1419" w:bottom="1440" w:gutter="0" w:footer="0" w:header="0"/>
          <w:type w:val="continuous"/>
        </w:sect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43"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0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0240"/>
          </w:cols>
          <w:pgMar w:left="240" w:top="599" w:right="1419" w:bottom="1440" w:gutter="0" w:footer="0" w:header="0"/>
          <w:type w:val="continuous"/>
        </w:sectPr>
      </w:pPr>
    </w:p>
    <w:p>
      <w:pPr>
        <w:spacing w:after="0" w:line="19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40"/>
            <w:col w:w="8780"/>
          </w:cols>
          <w:pgMar w:left="240" w:top="599" w:right="1419" w:bottom="1440" w:gutter="0" w:footer="0" w:header="0"/>
          <w:type w:val="continuous"/>
        </w:sectPr>
      </w:pPr>
    </w:p>
    <w:p>
      <w:pPr>
        <w:spacing w:after="0" w:line="1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7" w:lineRule="exact"/>
        <w:rPr>
          <w:sz w:val="24"/>
          <w:szCs w:val="24"/>
          <w:color w:val="auto"/>
        </w:rPr>
      </w:pPr>
    </w:p>
    <w:p>
      <w:pPr>
        <w:sectPr>
          <w:pgSz w:w="11900" w:h="16838" w:orient="portrait"/>
          <w:cols w:equalWidth="0" w:num="2">
            <w:col w:w="1220" w:space="240"/>
            <w:col w:w="8780"/>
          </w:cols>
          <w:pgMar w:left="240" w:top="599" w:right="1419" w:bottom="1440" w:gutter="0" w:footer="0" w:header="0"/>
          <w:type w:val="continuous"/>
        </w:sectPr>
      </w:pPr>
    </w:p>
    <w:p>
      <w:pPr>
        <w:ind w:left="11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60" w:space="200"/>
            <w:col w:w="8780"/>
          </w:cols>
          <w:pgMar w:left="240" w:top="599" w:right="1419" w:bottom="1440" w:gutter="0" w:footer="0" w:header="0"/>
          <w:type w:val="continuous"/>
        </w:sectPr>
      </w:pPr>
    </w:p>
    <w:p>
      <w:pPr>
        <w:spacing w:after="0" w:line="1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Definitive Additional Materials</w:t>
      </w:r>
    </w:p>
    <w:p>
      <w:pPr>
        <w:spacing w:after="0" w:line="200" w:lineRule="exact"/>
        <w:rPr>
          <w:sz w:val="24"/>
          <w:szCs w:val="24"/>
          <w:color w:val="auto"/>
        </w:rPr>
      </w:pPr>
    </w:p>
    <w:p>
      <w:pPr>
        <w:sectPr>
          <w:pgSz w:w="11900" w:h="16838" w:orient="portrait"/>
          <w:cols w:equalWidth="0" w:num="2">
            <w:col w:w="1220" w:space="240"/>
            <w:col w:w="8780"/>
          </w:cols>
          <w:pgMar w:left="240" w:top="599" w:right="1419" w:bottom="1440" w:gutter="0" w:footer="0" w:header="0"/>
          <w:type w:val="continuous"/>
        </w:sectPr>
      </w:pPr>
    </w:p>
    <w:p>
      <w:pPr>
        <w:spacing w:after="0" w:line="1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40"/>
            <w:col w:w="8780"/>
          </w:cols>
          <w:pgMar w:left="240" w:top="599" w:right="1419" w:bottom="1440" w:gutter="0" w:footer="0" w:header="0"/>
          <w:type w:val="continuous"/>
        </w:sectPr>
      </w:pPr>
    </w:p>
    <w:p>
      <w:pPr>
        <w:spacing w:after="0" w:line="339" w:lineRule="exact"/>
        <w:rPr>
          <w:sz w:val="24"/>
          <w:szCs w:val="24"/>
          <w:color w:val="auto"/>
        </w:rPr>
      </w:pPr>
    </w:p>
    <w:p>
      <w:pPr>
        <w:jc w:val="center"/>
        <w:ind w:right="-1199"/>
        <w:spacing w:after="0"/>
        <w:rPr>
          <w:sz w:val="20"/>
          <w:szCs w:val="20"/>
          <w:color w:val="auto"/>
        </w:rPr>
      </w:pPr>
      <w:r>
        <w:rPr>
          <w:rFonts w:ascii="Arial" w:cs="Arial" w:eastAsia="Arial" w:hAnsi="Arial"/>
          <w:sz w:val="15"/>
          <w:szCs w:val="15"/>
          <w:b w:val="1"/>
          <w:bCs w:val="1"/>
          <w:color w:val="auto"/>
        </w:rPr>
        <w:t>NRG YIELD,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59690</wp:posOffset>
            </wp:positionV>
            <wp:extent cx="58273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7395" cy="6985"/>
                    </a:xfrm>
                    <a:prstGeom prst="rect">
                      <a:avLst/>
                    </a:prstGeom>
                    <a:noFill/>
                  </pic:spPr>
                </pic:pic>
              </a:graphicData>
            </a:graphic>
          </wp:anchor>
        </w:drawing>
      </w:r>
    </w:p>
    <w:p>
      <w:pPr>
        <w:spacing w:after="0" w:line="156" w:lineRule="exact"/>
        <w:rPr>
          <w:sz w:val="24"/>
          <w:szCs w:val="24"/>
          <w:color w:val="auto"/>
        </w:rPr>
      </w:pPr>
    </w:p>
    <w:p>
      <w:pPr>
        <w:jc w:val="center"/>
        <w:ind w:right="-1199"/>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287020</wp:posOffset>
            </wp:positionV>
            <wp:extent cx="58273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7395" cy="698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336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70"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04" w:lineRule="exact"/>
        <w:rPr>
          <w:sz w:val="24"/>
          <w:szCs w:val="24"/>
          <w:color w:val="auto"/>
        </w:rPr>
      </w:pPr>
    </w:p>
    <w:p>
      <w:pPr>
        <w:ind w:left="1460" w:hanging="323"/>
        <w:spacing w:after="0"/>
        <w:tabs>
          <w:tab w:leader="none" w:pos="1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5" w:lineRule="exact"/>
        <w:rPr>
          <w:sz w:val="24"/>
          <w:szCs w:val="24"/>
          <w:color w:val="auto"/>
        </w:rPr>
      </w:pPr>
    </w:p>
    <w:p>
      <w:pPr>
        <w:ind w:left="1460" w:hanging="323"/>
        <w:spacing w:after="0"/>
        <w:tabs>
          <w:tab w:leader="none" w:pos="1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9" w:lineRule="exact"/>
        <w:rPr>
          <w:rFonts w:ascii="Arial" w:cs="Arial" w:eastAsia="Arial" w:hAnsi="Arial"/>
          <w:sz w:val="15"/>
          <w:szCs w:val="15"/>
          <w:color w:val="auto"/>
        </w:rPr>
      </w:pPr>
    </w:p>
    <w:p>
      <w:pPr>
        <w:ind w:left="1800" w:hanging="333"/>
        <w:spacing w:after="0"/>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15" w:lineRule="exact"/>
        <w:rPr>
          <w:rFonts w:ascii="Arial" w:cs="Arial" w:eastAsia="Arial" w:hAnsi="Arial"/>
          <w:sz w:val="15"/>
          <w:szCs w:val="15"/>
          <w:color w:val="auto"/>
        </w:rPr>
      </w:pPr>
    </w:p>
    <w:p>
      <w:pPr>
        <w:ind w:left="1800" w:hanging="333"/>
        <w:spacing w:after="0"/>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15" w:lineRule="exact"/>
        <w:rPr>
          <w:rFonts w:ascii="Arial" w:cs="Arial" w:eastAsia="Arial" w:hAnsi="Arial"/>
          <w:sz w:val="15"/>
          <w:szCs w:val="15"/>
          <w:color w:val="auto"/>
        </w:rPr>
      </w:pPr>
    </w:p>
    <w:p>
      <w:pPr>
        <w:ind w:left="1800" w:right="220" w:hanging="333"/>
        <w:spacing w:after="0" w:line="245" w:lineRule="auto"/>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06" w:lineRule="exact"/>
        <w:rPr>
          <w:rFonts w:ascii="Arial" w:cs="Arial" w:eastAsia="Arial" w:hAnsi="Arial"/>
          <w:sz w:val="15"/>
          <w:szCs w:val="15"/>
          <w:color w:val="auto"/>
        </w:rPr>
      </w:pPr>
    </w:p>
    <w:p>
      <w:pPr>
        <w:ind w:left="1800" w:hanging="333"/>
        <w:spacing w:after="0"/>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15" w:lineRule="exact"/>
        <w:rPr>
          <w:rFonts w:ascii="Arial" w:cs="Arial" w:eastAsia="Arial" w:hAnsi="Arial"/>
          <w:sz w:val="15"/>
          <w:szCs w:val="15"/>
          <w:color w:val="auto"/>
        </w:rPr>
      </w:pPr>
    </w:p>
    <w:p>
      <w:pPr>
        <w:ind w:left="1800" w:hanging="333"/>
        <w:spacing w:after="0"/>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20" w:lineRule="exact"/>
        <w:rPr>
          <w:rFonts w:ascii="Arial" w:cs="Arial" w:eastAsia="Arial" w:hAnsi="Arial"/>
          <w:sz w:val="15"/>
          <w:szCs w:val="15"/>
          <w:color w:val="auto"/>
        </w:rPr>
      </w:pPr>
    </w:p>
    <w:p>
      <w:pPr>
        <w:ind w:left="1460" w:hanging="323"/>
        <w:spacing w:after="0"/>
        <w:tabs>
          <w:tab w:leader="none" w:pos="1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5" w:lineRule="exact"/>
        <w:rPr>
          <w:rFonts w:ascii="Arial" w:cs="Arial" w:eastAsia="Arial" w:hAnsi="Arial"/>
          <w:sz w:val="15"/>
          <w:szCs w:val="15"/>
          <w:color w:val="auto"/>
        </w:rPr>
      </w:pPr>
    </w:p>
    <w:p>
      <w:pPr>
        <w:ind w:left="1460" w:hanging="323"/>
        <w:spacing w:after="0" w:line="254" w:lineRule="auto"/>
        <w:tabs>
          <w:tab w:leader="none" w:pos="1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4"/>
          <w:szCs w:val="14"/>
          <w:color w:val="auto"/>
        </w:rPr>
      </w:pPr>
    </w:p>
    <w:p>
      <w:pPr>
        <w:ind w:left="1800" w:hanging="333"/>
        <w:spacing w:after="0"/>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15" w:lineRule="exact"/>
        <w:rPr>
          <w:rFonts w:ascii="Arial" w:cs="Arial" w:eastAsia="Arial" w:hAnsi="Arial"/>
          <w:sz w:val="15"/>
          <w:szCs w:val="15"/>
          <w:color w:val="auto"/>
        </w:rPr>
      </w:pPr>
    </w:p>
    <w:p>
      <w:pPr>
        <w:ind w:left="1800" w:hanging="333"/>
        <w:spacing w:after="0"/>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15" w:lineRule="exact"/>
        <w:rPr>
          <w:rFonts w:ascii="Arial" w:cs="Arial" w:eastAsia="Arial" w:hAnsi="Arial"/>
          <w:sz w:val="15"/>
          <w:szCs w:val="15"/>
          <w:color w:val="auto"/>
        </w:rPr>
      </w:pPr>
    </w:p>
    <w:p>
      <w:pPr>
        <w:ind w:left="1800" w:hanging="333"/>
        <w:spacing w:after="0"/>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15" w:lineRule="exact"/>
        <w:rPr>
          <w:rFonts w:ascii="Arial" w:cs="Arial" w:eastAsia="Arial" w:hAnsi="Arial"/>
          <w:sz w:val="15"/>
          <w:szCs w:val="15"/>
          <w:color w:val="auto"/>
        </w:rPr>
      </w:pPr>
    </w:p>
    <w:p>
      <w:pPr>
        <w:ind w:left="1800" w:hanging="333"/>
        <w:spacing w:after="0"/>
        <w:tabs>
          <w:tab w:leader="none" w:pos="1800" w:val="left"/>
        </w:tabs>
        <w:numPr>
          <w:ilvl w:val="1"/>
          <w:numId w:val="2"/>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727329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3290" cy="196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-2543175</wp:posOffset>
            </wp:positionV>
            <wp:extent cx="53860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6070"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-2296795</wp:posOffset>
            </wp:positionV>
            <wp:extent cx="53860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6070"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-1941830</wp:posOffset>
            </wp:positionV>
            <wp:extent cx="53860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6070"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-1696085</wp:posOffset>
            </wp:positionV>
            <wp:extent cx="53860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6070"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-1449705</wp:posOffset>
            </wp:positionV>
            <wp:extent cx="53860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6070"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-610235</wp:posOffset>
            </wp:positionV>
            <wp:extent cx="53860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86070"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-363855</wp:posOffset>
            </wp:positionV>
            <wp:extent cx="53860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6070"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-118110</wp:posOffset>
            </wp:positionV>
            <wp:extent cx="538607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6070"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127635</wp:posOffset>
            </wp:positionV>
            <wp:extent cx="538607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6070" cy="6985"/>
                    </a:xfrm>
                    <a:prstGeom prst="rect">
                      <a:avLst/>
                    </a:prstGeom>
                    <a:noFill/>
                  </pic:spPr>
                </pic:pic>
              </a:graphicData>
            </a:graphic>
          </wp:anchor>
        </w:drawing>
      </w:r>
    </w:p>
    <w:p>
      <w:pPr>
        <w:sectPr>
          <w:pgSz w:w="11900" w:h="16838" w:orient="portrait"/>
          <w:cols w:equalWidth="0" w:num="1">
            <w:col w:w="10240"/>
          </w:cols>
          <w:pgMar w:left="240" w:top="599" w:right="14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73290" cy="8537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290" cy="8537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113030</wp:posOffset>
            </wp:positionV>
            <wp:extent cx="2258695" cy="521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8695"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March 15, 2018</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Dear Stockholder:</w:t>
      </w:r>
    </w:p>
    <w:p>
      <w:pPr>
        <w:spacing w:after="0" w:line="181"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We are pleased to invite you to attend NRG Yield, Inc.'s Annual Meeting of Stockholders, which will be held at 9 a.m., Eastern Time, on Tuesday, April 24, 2018, at the Hyatt Regency Princeton, located at 102 Carnegie Center, Princeton, New Jersey 08540. Details regarding admission to the meeting and the business to be conducted are more fully described in the accompanying Notice of Annual Meeting of Stockholders and Proxy Statement.</w:t>
      </w:r>
    </w:p>
    <w:p>
      <w:pPr>
        <w:spacing w:after="0" w:line="176" w:lineRule="exact"/>
        <w:rPr>
          <w:sz w:val="20"/>
          <w:szCs w:val="20"/>
          <w:color w:val="auto"/>
        </w:rPr>
      </w:pPr>
    </w:p>
    <w:p>
      <w:pPr>
        <w:ind w:right="180"/>
        <w:spacing w:after="0" w:line="245" w:lineRule="auto"/>
        <w:rPr>
          <w:sz w:val="20"/>
          <w:szCs w:val="20"/>
          <w:color w:val="auto"/>
        </w:rPr>
      </w:pPr>
      <w:r>
        <w:rPr>
          <w:rFonts w:ascii="Arial" w:cs="Arial" w:eastAsia="Arial" w:hAnsi="Arial"/>
          <w:sz w:val="15"/>
          <w:szCs w:val="15"/>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72" w:lineRule="exact"/>
        <w:rPr>
          <w:sz w:val="20"/>
          <w:szCs w:val="20"/>
          <w:color w:val="auto"/>
        </w:rPr>
      </w:pPr>
    </w:p>
    <w:p>
      <w:pPr>
        <w:ind w:right="540"/>
        <w:spacing w:after="0" w:line="245" w:lineRule="auto"/>
        <w:rPr>
          <w:sz w:val="20"/>
          <w:szCs w:val="20"/>
          <w:color w:val="auto"/>
        </w:rPr>
      </w:pPr>
      <w:r>
        <w:rPr>
          <w:rFonts w:ascii="Arial" w:cs="Arial" w:eastAsia="Arial" w:hAnsi="Arial"/>
          <w:sz w:val="15"/>
          <w:szCs w:val="15"/>
          <w:color w:val="auto"/>
        </w:rPr>
        <w:t>On behalf of NRG Yield, Inc., I thank you for your ongoing interest and investment in NRG Yield, Inc. We are committed to acting in your best interests. If you have any questions with respect to voting, please call our proxy solicitor, MacKenzie Partners, Inc. at (800) 322-2885 (toll free).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433195"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31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MAURICIO GUTIERREZ</w:t>
      </w:r>
    </w:p>
    <w:p>
      <w:pPr>
        <w:spacing w:after="0"/>
        <w:rPr>
          <w:sz w:val="20"/>
          <w:szCs w:val="20"/>
          <w:color w:val="auto"/>
        </w:rPr>
      </w:pPr>
      <w:r>
        <w:rPr>
          <w:rFonts w:ascii="Arial" w:cs="Arial" w:eastAsia="Arial" w:hAnsi="Arial"/>
          <w:sz w:val="15"/>
          <w:szCs w:val="15"/>
          <w:i w:val="1"/>
          <w:iCs w:val="1"/>
          <w:color w:val="auto"/>
        </w:rPr>
        <w:t>Chairman of the Board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PROXY STATEMENT AND PROXY CARD ARE</w:t>
      </w:r>
    </w:p>
    <w:p>
      <w:pPr>
        <w:jc w:val="center"/>
        <w:spacing w:after="0"/>
        <w:rPr>
          <w:sz w:val="20"/>
          <w:szCs w:val="20"/>
          <w:color w:val="auto"/>
        </w:rPr>
      </w:pPr>
      <w:r>
        <w:rPr>
          <w:rFonts w:ascii="Arial" w:cs="Arial" w:eastAsia="Arial" w:hAnsi="Arial"/>
          <w:sz w:val="15"/>
          <w:szCs w:val="15"/>
          <w:color w:val="auto"/>
        </w:rPr>
        <w:t>BEING DISTRIBUTED ON OR ABOUT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110490</wp:posOffset>
            </wp:positionV>
            <wp:extent cx="727329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 w:name="page4"/>
    <w:bookmarkEnd w:id="3"/>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3"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58844D"/>
        </w:rPr>
        <w:t>NRG Yield, Inc.</w:t>
      </w:r>
    </w:p>
    <w:p>
      <w:pPr>
        <w:spacing w:after="0" w:line="17" w:lineRule="exact"/>
        <w:rPr>
          <w:sz w:val="20"/>
          <w:szCs w:val="20"/>
          <w:color w:val="auto"/>
        </w:rPr>
      </w:pPr>
    </w:p>
    <w:p>
      <w:pPr>
        <w:jc w:val="center"/>
        <w:ind w:right="-28"/>
        <w:spacing w:after="0"/>
        <w:rPr>
          <w:sz w:val="20"/>
          <w:szCs w:val="20"/>
          <w:color w:val="auto"/>
        </w:rPr>
      </w:pPr>
      <w:r>
        <w:rPr>
          <w:rFonts w:ascii="Arial" w:cs="Arial" w:eastAsia="Arial" w:hAnsi="Arial"/>
          <w:sz w:val="15"/>
          <w:szCs w:val="15"/>
          <w:b w:val="1"/>
          <w:bCs w:val="1"/>
          <w:color w:val="58844D"/>
        </w:rPr>
        <w:t>804 Carnegie Center, Princeton, New Jersey 08540</w:t>
      </w:r>
    </w:p>
    <w:p>
      <w:pPr>
        <w:spacing w:after="0" w:line="163" w:lineRule="exact"/>
        <w:rPr>
          <w:sz w:val="20"/>
          <w:szCs w:val="20"/>
          <w:color w:val="auto"/>
        </w:rPr>
      </w:pPr>
    </w:p>
    <w:p>
      <w:pPr>
        <w:jc w:val="center"/>
        <w:ind w:right="-28"/>
        <w:spacing w:after="0"/>
        <w:rPr>
          <w:sz w:val="20"/>
          <w:szCs w:val="20"/>
          <w:color w:val="auto"/>
        </w:rPr>
      </w:pPr>
      <w:r>
        <w:rPr>
          <w:rFonts w:ascii="Arial" w:cs="Arial" w:eastAsia="Arial" w:hAnsi="Arial"/>
          <w:sz w:val="14"/>
          <w:szCs w:val="14"/>
          <w:b w:val="1"/>
          <w:bCs w:val="1"/>
          <w:color w:val="58844D"/>
        </w:rPr>
        <w:t>NOTICE OF ANNUAL MEETING OF STOCKHOLDERS</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 xml:space="preserve">When: </w:t>
      </w:r>
      <w:r>
        <w:rPr>
          <w:rFonts w:ascii="Arial" w:cs="Arial" w:eastAsia="Arial" w:hAnsi="Arial"/>
          <w:sz w:val="15"/>
          <w:szCs w:val="15"/>
          <w:color w:val="auto"/>
        </w:rPr>
        <w:t>Tuesday, April 24, 2018, 9:00 a.m. Eastern Time</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 xml:space="preserve">Where: </w:t>
      </w:r>
      <w:r>
        <w:rPr>
          <w:rFonts w:ascii="Arial" w:cs="Arial" w:eastAsia="Arial" w:hAnsi="Arial"/>
          <w:sz w:val="15"/>
          <w:szCs w:val="15"/>
          <w:color w:val="auto"/>
        </w:rPr>
        <w:t>Hyatt Regency Princeton, located at 102 Carnegie Center, Princeton, New Jersey 08540</w:t>
      </w:r>
    </w:p>
    <w:p>
      <w:pPr>
        <w:sectPr>
          <w:pgSz w:w="11900" w:h="16838" w:orient="portrait"/>
          <w:cols w:equalWidth="0" w:num="1">
            <w:col w:w="11429"/>
          </w:cols>
          <w:pgMar w:left="231" w:top="142" w:right="239" w:bottom="1440" w:gutter="0" w:footer="0" w:header="0"/>
        </w:sectPr>
      </w:pPr>
    </w:p>
    <w:p>
      <w:pPr>
        <w:spacing w:after="0" w:line="363" w:lineRule="exact"/>
        <w:rPr>
          <w:sz w:val="20"/>
          <w:szCs w:val="20"/>
          <w:color w:val="auto"/>
        </w:rPr>
      </w:pPr>
    </w:p>
    <w:p>
      <w:pPr>
        <w:ind w:left="9" w:right="360"/>
        <w:spacing w:after="0" w:line="307" w:lineRule="auto"/>
        <w:rPr>
          <w:sz w:val="20"/>
          <w:szCs w:val="20"/>
          <w:color w:val="auto"/>
        </w:rPr>
      </w:pPr>
      <w:r>
        <w:rPr>
          <w:rFonts w:ascii="Arial" w:cs="Arial" w:eastAsia="Arial" w:hAnsi="Arial"/>
          <w:sz w:val="14"/>
          <w:szCs w:val="14"/>
          <w:b w:val="1"/>
          <w:bCs w:val="1"/>
          <w:color w:val="auto"/>
        </w:rPr>
        <w:t>We are pleased to invite you to join our Board of Directors and senior leadership at the NRG Yield, Inc. 2018 Annual Meeting of Stockholders.</w:t>
      </w:r>
    </w:p>
    <w:p>
      <w:pPr>
        <w:spacing w:after="0" w:line="11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58844D"/>
        </w:rPr>
        <w:t>ITEMS OF BUSINESS:</w:t>
      </w:r>
    </w:p>
    <w:p>
      <w:pPr>
        <w:spacing w:after="0" w:line="199" w:lineRule="exact"/>
        <w:rPr>
          <w:sz w:val="20"/>
          <w:szCs w:val="20"/>
          <w:color w:val="auto"/>
        </w:rPr>
      </w:pPr>
    </w:p>
    <w:p>
      <w:pPr>
        <w:ind w:left="449" w:hanging="449"/>
        <w:spacing w:after="0"/>
        <w:tabs>
          <w:tab w:leader="none" w:pos="449"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elect seven directors.</w:t>
      </w:r>
    </w:p>
    <w:p>
      <w:pPr>
        <w:spacing w:after="0" w:line="180" w:lineRule="exact"/>
        <w:rPr>
          <w:rFonts w:ascii="Arial" w:cs="Arial" w:eastAsia="Arial" w:hAnsi="Arial"/>
          <w:sz w:val="15"/>
          <w:szCs w:val="15"/>
          <w:color w:val="auto"/>
        </w:rPr>
      </w:pPr>
    </w:p>
    <w:p>
      <w:pPr>
        <w:ind w:left="449" w:right="120" w:hanging="449"/>
        <w:spacing w:after="0" w:line="245" w:lineRule="auto"/>
        <w:tabs>
          <w:tab w:leader="none" w:pos="449"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approve, on a non-binding advisory basis, NRG Yield, Inc.'s executive compensation.</w:t>
      </w:r>
    </w:p>
    <w:p>
      <w:pPr>
        <w:spacing w:after="0" w:line="160" w:lineRule="exact"/>
        <w:rPr>
          <w:rFonts w:ascii="Arial" w:cs="Arial" w:eastAsia="Arial" w:hAnsi="Arial"/>
          <w:sz w:val="15"/>
          <w:szCs w:val="15"/>
          <w:color w:val="auto"/>
        </w:rPr>
      </w:pPr>
    </w:p>
    <w:p>
      <w:pPr>
        <w:ind w:left="449" w:right="100" w:hanging="449"/>
        <w:spacing w:after="0" w:line="245" w:lineRule="auto"/>
        <w:tabs>
          <w:tab w:leader="none" w:pos="449"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ratify the appointment of KPMG LLP as NRG Yield, Inc.'s independent registered public accounting firm for the 2018 fiscal year.</w:t>
      </w:r>
    </w:p>
    <w:p>
      <w:pPr>
        <w:spacing w:after="0" w:line="160" w:lineRule="exact"/>
        <w:rPr>
          <w:rFonts w:ascii="Arial" w:cs="Arial" w:eastAsia="Arial" w:hAnsi="Arial"/>
          <w:sz w:val="15"/>
          <w:szCs w:val="15"/>
          <w:color w:val="auto"/>
        </w:rPr>
      </w:pPr>
    </w:p>
    <w:p>
      <w:pPr>
        <w:ind w:left="449" w:right="100" w:hanging="449"/>
        <w:spacing w:after="0" w:line="245" w:lineRule="auto"/>
        <w:tabs>
          <w:tab w:leader="none" w:pos="449"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Annual Meeting and any adjournment or postponement.</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58844D"/>
        </w:rPr>
        <w:t>RECORD DATE:</w:t>
      </w:r>
    </w:p>
    <w:p>
      <w:pPr>
        <w:spacing w:after="0" w:line="199" w:lineRule="exact"/>
        <w:rPr>
          <w:sz w:val="20"/>
          <w:szCs w:val="20"/>
          <w:color w:val="auto"/>
        </w:rPr>
      </w:pPr>
    </w:p>
    <w:p>
      <w:pPr>
        <w:ind w:left="9" w:right="100"/>
        <w:spacing w:after="0" w:line="241" w:lineRule="auto"/>
        <w:rPr>
          <w:sz w:val="20"/>
          <w:szCs w:val="20"/>
          <w:color w:val="auto"/>
        </w:rPr>
      </w:pPr>
      <w:r>
        <w:rPr>
          <w:rFonts w:ascii="Arial" w:cs="Arial" w:eastAsia="Arial" w:hAnsi="Arial"/>
          <w:sz w:val="15"/>
          <w:szCs w:val="15"/>
          <w:color w:val="auto"/>
        </w:rPr>
        <w:t>You are entitled to vote if you were a stockholder of record of our Class A, Class B, Class C or Class D common stock at the close of business on March 1, 2018.</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8844D"/>
        </w:rPr>
        <w:t>Voting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HOW TO VOTE: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Even if you plan to attend the Annual Meeting in person, please vote right away using one of the following advance voting methods. Make sure to have your proxy card or voting instruction form in hand and follow the instructions in the card or form.</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Via the Internet:</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 xml:space="preserve">You may vote at </w:t>
      </w:r>
      <w:r>
        <w:rPr>
          <w:rFonts w:ascii="Arial" w:cs="Arial" w:eastAsia="Arial" w:hAnsi="Arial"/>
          <w:sz w:val="15"/>
          <w:szCs w:val="15"/>
          <w:i w:val="1"/>
          <w:iCs w:val="1"/>
          <w:color w:val="auto"/>
        </w:rPr>
        <w:t>www.proxyvote.com</w:t>
      </w:r>
      <w:r>
        <w:rPr>
          <w:rFonts w:ascii="Arial" w:cs="Arial" w:eastAsia="Arial" w:hAnsi="Arial"/>
          <w:sz w:val="15"/>
          <w:szCs w:val="15"/>
          <w:color w:val="auto"/>
        </w:rPr>
        <w:t>, from anywhere in the world, 24 hours a day, 7 days a week, up until 11:59 p.m. Eastern Time on April 23, 2018.</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By phone:</w:t>
      </w:r>
    </w:p>
    <w:p>
      <w:pPr>
        <w:spacing w:after="0" w:line="199"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If you live in the United States, you may vote 24 hours a day, 7 days a week, up until 11:59 p.m. Eastern Time on April 23, 2018, by calling 1-800-690-6903 from a touch-tone phone.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By mail:</w:t>
      </w:r>
    </w:p>
    <w:p>
      <w:pPr>
        <w:spacing w:after="0" w:line="199"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If you received a paper copy of the materials, you may mark, sign, date and mail your proxy card or voting instruction card in the enclosed, postage-paid address envelope, as soon as possible as it must be received by the Company prior to April 24, 2018, the Annual Meeting date.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In person:</w:t>
      </w:r>
    </w:p>
    <w:p>
      <w:pPr>
        <w:spacing w:after="0" w:line="199" w:lineRule="exact"/>
        <w:rPr>
          <w:sz w:val="20"/>
          <w:szCs w:val="20"/>
          <w:color w:val="auto"/>
        </w:rPr>
      </w:pPr>
    </w:p>
    <w:p>
      <w:pPr>
        <w:ind w:right="180"/>
        <w:spacing w:after="0"/>
        <w:rPr>
          <w:sz w:val="20"/>
          <w:szCs w:val="20"/>
          <w:color w:val="auto"/>
        </w:rPr>
      </w:pPr>
      <w:r>
        <w:rPr>
          <w:rFonts w:ascii="Arial" w:cs="Arial" w:eastAsia="Arial" w:hAnsi="Arial"/>
          <w:sz w:val="15"/>
          <w:szCs w:val="15"/>
          <w:color w:val="auto"/>
        </w:rPr>
        <w:t>You can vote by a ballot that will be provided to you at the Annual Meeting. However, if you are a beneficial owner of shares held in street name (through a bank, broker or other nominee), you must bring a legal proxy from your bank, broker or other nominee to vote in person.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041525" cy="419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1525" cy="419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9" w:space="720"/>
            <w:col w:w="5360"/>
          </w:cols>
          <w:pgMar w:left="231" w:top="1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69"/>
        <w:spacing w:after="0"/>
        <w:rPr>
          <w:sz w:val="20"/>
          <w:szCs w:val="20"/>
          <w:color w:val="auto"/>
        </w:rPr>
      </w:pPr>
      <w:r>
        <w:rPr>
          <w:rFonts w:ascii="Arial" w:cs="Arial" w:eastAsia="Arial" w:hAnsi="Arial"/>
          <w:sz w:val="15"/>
          <w:szCs w:val="15"/>
          <w:color w:val="auto"/>
        </w:rPr>
        <w:t>BRIAN E. CURCI</w:t>
      </w:r>
    </w:p>
    <w:p>
      <w:pPr>
        <w:ind w:left="6069"/>
        <w:spacing w:after="0"/>
        <w:rPr>
          <w:sz w:val="20"/>
          <w:szCs w:val="20"/>
          <w:color w:val="auto"/>
        </w:rPr>
      </w:pPr>
      <w:r>
        <w:rPr>
          <w:rFonts w:ascii="Arial" w:cs="Arial" w:eastAsia="Arial" w:hAnsi="Arial"/>
          <w:sz w:val="14"/>
          <w:szCs w:val="14"/>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175895</wp:posOffset>
            </wp:positionV>
            <wp:extent cx="727329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9"/>
          </w:cols>
          <w:pgMar w:left="231" w:top="142" w:right="239" w:bottom="1440" w:gutter="0" w:footer="0" w:header="0"/>
          <w:type w:val="continuous"/>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58844D"/>
        </w:rPr>
        <w:t>2018 ANNUAL MEETING OF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58844D"/>
        </w:rPr>
        <w:t>PROXY STATEMENT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58844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124460</wp:posOffset>
            </wp:positionV>
            <wp:extent cx="3409315" cy="115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9315" cy="11557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E"/>
        </w:rPr>
        <w:t>PAGE</w:t>
      </w:r>
    </w:p>
    <w:p>
      <w:pPr>
        <w:sectPr>
          <w:pgSz w:w="11900" w:h="16838" w:orient="portrait"/>
          <w:cols w:equalWidth="0" w:num="1">
            <w:col w:w="11440"/>
          </w:cols>
          <w:pgMar w:left="240" w:top="142" w:right="21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shd w:val="clear" w:color="auto" w:fill="58854E"/>
          </w:tcPr>
          <w:p>
            <w:pPr>
              <w:spacing w:after="0"/>
              <w:rPr>
                <w:sz w:val="14"/>
                <w:szCs w:val="14"/>
                <w:color w:val="auto"/>
              </w:rPr>
            </w:pPr>
          </w:p>
        </w:tc>
        <w:tc>
          <w:tcPr>
            <w:tcW w:w="320" w:type="dxa"/>
            <w:vAlign w:val="bottom"/>
            <w:shd w:val="clear" w:color="auto" w:fill="58854E"/>
          </w:tcPr>
          <w:p>
            <w:pPr>
              <w:spacing w:after="0"/>
              <w:rPr>
                <w:sz w:val="14"/>
                <w:szCs w:val="14"/>
                <w:color w:val="auto"/>
              </w:rPr>
            </w:pPr>
          </w:p>
        </w:tc>
        <w:tc>
          <w:tcPr>
            <w:tcW w:w="640" w:type="dxa"/>
            <w:vAlign w:val="bottom"/>
            <w:shd w:val="clear" w:color="auto" w:fill="58854E"/>
          </w:tcPr>
          <w:p>
            <w:pPr>
              <w:spacing w:after="0"/>
              <w:rPr>
                <w:sz w:val="14"/>
                <w:szCs w:val="14"/>
                <w:color w:val="auto"/>
              </w:rPr>
            </w:pPr>
          </w:p>
        </w:tc>
        <w:tc>
          <w:tcPr>
            <w:tcW w:w="340" w:type="dxa"/>
            <w:vAlign w:val="bottom"/>
            <w:shd w:val="clear" w:color="auto" w:fill="58854E"/>
          </w:tcPr>
          <w:p>
            <w:pPr>
              <w:spacing w:after="0"/>
              <w:rPr>
                <w:sz w:val="14"/>
                <w:szCs w:val="14"/>
                <w:color w:val="auto"/>
              </w:rPr>
            </w:pPr>
          </w:p>
        </w:tc>
        <w:tc>
          <w:tcPr>
            <w:tcW w:w="180" w:type="dxa"/>
            <w:vAlign w:val="bottom"/>
            <w:shd w:val="clear" w:color="auto" w:fill="58854E"/>
          </w:tcPr>
          <w:p>
            <w:pPr>
              <w:spacing w:after="0"/>
              <w:rPr>
                <w:sz w:val="14"/>
                <w:szCs w:val="14"/>
                <w:color w:val="auto"/>
              </w:rPr>
            </w:pPr>
          </w:p>
        </w:tc>
        <w:tc>
          <w:tcPr>
            <w:tcW w:w="580" w:type="dxa"/>
            <w:vAlign w:val="bottom"/>
            <w:tcBorders>
              <w:right w:val="single" w:sz="8" w:color="58854E"/>
            </w:tcBorders>
            <w:shd w:val="clear" w:color="auto" w:fill="58854E"/>
          </w:tcPr>
          <w:p>
            <w:pPr>
              <w:spacing w:after="0"/>
              <w:rPr>
                <w:sz w:val="14"/>
                <w:szCs w:val="14"/>
                <w:color w:val="auto"/>
              </w:rPr>
            </w:pPr>
          </w:p>
        </w:tc>
        <w:tc>
          <w:tcPr>
            <w:tcW w:w="180" w:type="dxa"/>
            <w:vAlign w:val="bottom"/>
            <w:shd w:val="clear" w:color="auto" w:fill="58854E"/>
          </w:tcPr>
          <w:p>
            <w:pPr>
              <w:spacing w:after="0"/>
              <w:rPr>
                <w:sz w:val="14"/>
                <w:szCs w:val="14"/>
                <w:color w:val="auto"/>
              </w:rPr>
            </w:pPr>
          </w:p>
        </w:tc>
        <w:tc>
          <w:tcPr>
            <w:tcW w:w="40" w:type="dxa"/>
            <w:vAlign w:val="bottom"/>
            <w:shd w:val="clear" w:color="auto" w:fill="58854E"/>
          </w:tcPr>
          <w:p>
            <w:pPr>
              <w:spacing w:after="0"/>
              <w:rPr>
                <w:sz w:val="14"/>
                <w:szCs w:val="14"/>
                <w:color w:val="auto"/>
              </w:rPr>
            </w:pPr>
          </w:p>
        </w:tc>
        <w:tc>
          <w:tcPr>
            <w:tcW w:w="80" w:type="dxa"/>
            <w:vAlign w:val="bottom"/>
            <w:shd w:val="clear" w:color="auto" w:fill="58854E"/>
          </w:tcPr>
          <w:p>
            <w:pPr>
              <w:spacing w:after="0"/>
              <w:rPr>
                <w:sz w:val="14"/>
                <w:szCs w:val="14"/>
                <w:color w:val="auto"/>
              </w:rPr>
            </w:pPr>
          </w:p>
        </w:tc>
        <w:tc>
          <w:tcPr>
            <w:tcW w:w="320" w:type="dxa"/>
            <w:vAlign w:val="bottom"/>
            <w:shd w:val="clear" w:color="auto" w:fill="58854E"/>
          </w:tcPr>
          <w:p>
            <w:pPr>
              <w:spacing w:after="0"/>
              <w:rPr>
                <w:sz w:val="14"/>
                <w:szCs w:val="14"/>
                <w:color w:val="auto"/>
              </w:rPr>
            </w:pPr>
          </w:p>
        </w:tc>
        <w:tc>
          <w:tcPr>
            <w:tcW w:w="580" w:type="dxa"/>
            <w:vAlign w:val="bottom"/>
            <w:shd w:val="clear" w:color="auto" w:fill="58854E"/>
          </w:tcPr>
          <w:p>
            <w:pPr>
              <w:spacing w:after="0"/>
              <w:rPr>
                <w:sz w:val="14"/>
                <w:szCs w:val="14"/>
                <w:color w:val="auto"/>
              </w:rPr>
            </w:pPr>
          </w:p>
        </w:tc>
        <w:tc>
          <w:tcPr>
            <w:tcW w:w="720" w:type="dxa"/>
            <w:vAlign w:val="bottom"/>
            <w:shd w:val="clear" w:color="auto" w:fill="58854E"/>
          </w:tcPr>
          <w:p>
            <w:pPr>
              <w:spacing w:after="0"/>
              <w:rPr>
                <w:sz w:val="14"/>
                <w:szCs w:val="14"/>
                <w:color w:val="auto"/>
              </w:rPr>
            </w:pPr>
          </w:p>
        </w:tc>
        <w:tc>
          <w:tcPr>
            <w:tcW w:w="20" w:type="dxa"/>
            <w:vAlign w:val="bottom"/>
            <w:shd w:val="clear" w:color="auto" w:fill="58854E"/>
          </w:tcPr>
          <w:p>
            <w:pPr>
              <w:spacing w:after="0"/>
              <w:rPr>
                <w:sz w:val="14"/>
                <w:szCs w:val="14"/>
                <w:color w:val="auto"/>
              </w:rPr>
            </w:pPr>
          </w:p>
        </w:tc>
        <w:tc>
          <w:tcPr>
            <w:tcW w:w="420" w:type="dxa"/>
            <w:vAlign w:val="bottom"/>
            <w:shd w:val="clear" w:color="auto" w:fill="58854E"/>
          </w:tcPr>
          <w:p>
            <w:pPr>
              <w:spacing w:after="0"/>
              <w:rPr>
                <w:sz w:val="14"/>
                <w:szCs w:val="14"/>
                <w:color w:val="auto"/>
              </w:rPr>
            </w:pPr>
          </w:p>
        </w:tc>
        <w:tc>
          <w:tcPr>
            <w:tcW w:w="800" w:type="dxa"/>
            <w:vAlign w:val="bottom"/>
            <w:tcBorders>
              <w:right w:val="single" w:sz="8" w:color="58854E"/>
            </w:tcBorders>
            <w:shd w:val="clear" w:color="auto" w:fill="58854E"/>
          </w:tcPr>
          <w:p>
            <w:pPr>
              <w:jc w:val="right"/>
              <w:spacing w:after="0"/>
              <w:rPr>
                <w:sz w:val="20"/>
                <w:szCs w:val="20"/>
                <w:color w:val="auto"/>
              </w:rPr>
            </w:pPr>
            <w:r>
              <w:rPr>
                <w:rFonts w:ascii="Arial" w:cs="Arial" w:eastAsia="Arial" w:hAnsi="Arial"/>
                <w:sz w:val="12"/>
                <w:szCs w:val="12"/>
                <w:b w:val="1"/>
                <w:bCs w:val="1"/>
                <w:color w:val="FFFFFE"/>
              </w:rPr>
              <w:t>PAGE</w:t>
            </w:r>
          </w:p>
        </w:tc>
        <w:tc>
          <w:tcPr>
            <w:tcW w:w="0" w:type="dxa"/>
            <w:vAlign w:val="bottom"/>
          </w:tcPr>
          <w:p>
            <w:pPr>
              <w:spacing w:after="0"/>
              <w:rPr>
                <w:sz w:val="1"/>
                <w:szCs w:val="1"/>
                <w:color w:val="auto"/>
              </w:rPr>
            </w:pPr>
          </w:p>
        </w:tc>
      </w:tr>
      <w:tr>
        <w:trPr>
          <w:trHeight w:val="331"/>
        </w:trPr>
        <w:tc>
          <w:tcPr>
            <w:tcW w:w="2380" w:type="dxa"/>
            <w:vAlign w:val="bottom"/>
            <w:tcBorders>
              <w:bottom w:val="single" w:sz="8" w:color="0000EE"/>
            </w:tcBorders>
            <w:gridSpan w:val="7"/>
          </w:tcPr>
          <w:p>
            <w:pPr>
              <w:spacing w:after="0"/>
              <w:rPr>
                <w:rFonts w:ascii="Arial" w:cs="Arial" w:eastAsia="Arial" w:hAnsi="Arial"/>
                <w:sz w:val="15"/>
                <w:szCs w:val="15"/>
                <w:color w:val="0000EE"/>
                <w:w w:val="96"/>
              </w:rPr>
            </w:pPr>
            <w:hyperlink w:anchor="page6">
              <w:r>
                <w:rPr>
                  <w:rFonts w:ascii="Arial" w:cs="Arial" w:eastAsia="Arial" w:hAnsi="Arial"/>
                  <w:sz w:val="15"/>
                  <w:szCs w:val="15"/>
                  <w:color w:val="0000EE"/>
                  <w:w w:val="96"/>
                </w:rPr>
                <w:t>PROXY STATEMENT HIGHLIGHTS</w:t>
              </w:r>
            </w:hyperlink>
          </w:p>
        </w:tc>
        <w:tc>
          <w:tcPr>
            <w:tcW w:w="2180" w:type="dxa"/>
            <w:vAlign w:val="bottom"/>
            <w:gridSpan w:val="7"/>
          </w:tcPr>
          <w:p>
            <w:pPr>
              <w:spacing w:after="0"/>
              <w:rPr>
                <w:sz w:val="24"/>
                <w:szCs w:val="24"/>
                <w:color w:val="auto"/>
              </w:rPr>
            </w:pPr>
          </w:p>
        </w:tc>
        <w:tc>
          <w:tcPr>
            <w:tcW w:w="800" w:type="dxa"/>
            <w:vAlign w:val="bottom"/>
          </w:tcPr>
          <w:p>
            <w:pPr>
              <w:jc w:val="right"/>
              <w:spacing w:after="0"/>
              <w:rPr>
                <w:rFonts w:ascii="Arial" w:cs="Arial" w:eastAsia="Arial" w:hAnsi="Arial"/>
                <w:sz w:val="12"/>
                <w:szCs w:val="12"/>
                <w:b w:val="1"/>
                <w:bCs w:val="1"/>
                <w:color w:val="58844D"/>
              </w:rPr>
            </w:pPr>
            <w:hyperlink w:anchor="page6">
              <w:r>
                <w:rPr>
                  <w:rFonts w:ascii="Arial" w:cs="Arial" w:eastAsia="Arial" w:hAnsi="Arial"/>
                  <w:sz w:val="12"/>
                  <w:szCs w:val="12"/>
                  <w:b w:val="1"/>
                  <w:bCs w:val="1"/>
                  <w:color w:val="58844D"/>
                </w:rPr>
                <w:t>1</w:t>
              </w:r>
            </w:hyperlink>
          </w:p>
        </w:tc>
        <w:tc>
          <w:tcPr>
            <w:tcW w:w="0" w:type="dxa"/>
            <w:vAlign w:val="bottom"/>
          </w:tcPr>
          <w:p>
            <w:pPr>
              <w:spacing w:after="0"/>
              <w:rPr>
                <w:sz w:val="1"/>
                <w:szCs w:val="1"/>
                <w:color w:val="auto"/>
              </w:rPr>
            </w:pPr>
          </w:p>
        </w:tc>
      </w:tr>
      <w:tr>
        <w:trPr>
          <w:trHeight w:val="20"/>
        </w:trPr>
        <w:tc>
          <w:tcPr>
            <w:tcW w:w="1440" w:type="dxa"/>
            <w:vAlign w:val="bottom"/>
            <w:gridSpan w:val="4"/>
            <w:vMerge w:val="restart"/>
          </w:tcPr>
          <w:p>
            <w:pPr>
              <w:spacing w:after="0"/>
              <w:rPr>
                <w:rFonts w:ascii="Arial" w:cs="Arial" w:eastAsia="Arial" w:hAnsi="Arial"/>
                <w:sz w:val="15"/>
                <w:szCs w:val="15"/>
                <w:color w:val="0000EE"/>
                <w:w w:val="96"/>
              </w:rPr>
            </w:pPr>
            <w:hyperlink w:anchor="page9">
              <w:r>
                <w:rPr>
                  <w:rFonts w:ascii="Arial" w:cs="Arial" w:eastAsia="Arial" w:hAnsi="Arial"/>
                  <w:sz w:val="15"/>
                  <w:szCs w:val="15"/>
                  <w:color w:val="0000EE"/>
                  <w:w w:val="96"/>
                </w:rPr>
                <w:t>PROXY STATEMENT</w:t>
              </w:r>
            </w:hyperlink>
          </w:p>
        </w:tc>
        <w:tc>
          <w:tcPr>
            <w:tcW w:w="3120" w:type="dxa"/>
            <w:vAlign w:val="bottom"/>
            <w:gridSpan w:val="10"/>
            <w:vMerge w:val="restart"/>
          </w:tcPr>
          <w:p>
            <w:pPr>
              <w:spacing w:after="0" w:line="20" w:lineRule="exact"/>
              <w:rPr>
                <w:sz w:val="1"/>
                <w:szCs w:val="1"/>
                <w:color w:val="auto"/>
              </w:rPr>
            </w:pPr>
          </w:p>
        </w:tc>
        <w:tc>
          <w:tcPr>
            <w:tcW w:w="800" w:type="dxa"/>
            <w:vAlign w:val="bottom"/>
            <w:tcBorders>
              <w:right w:val="single" w:sz="8" w:color="58844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Borders>
              <w:bottom w:val="single" w:sz="8" w:color="0000EE"/>
            </w:tcBorders>
            <w:gridSpan w:val="4"/>
            <w:vMerge w:val="continue"/>
          </w:tcPr>
          <w:p>
            <w:pPr>
              <w:spacing w:after="0"/>
              <w:rPr>
                <w:sz w:val="24"/>
                <w:szCs w:val="24"/>
                <w:color w:val="auto"/>
              </w:rPr>
            </w:pPr>
          </w:p>
        </w:tc>
        <w:tc>
          <w:tcPr>
            <w:tcW w:w="3120" w:type="dxa"/>
            <w:vAlign w:val="bottom"/>
            <w:gridSpan w:val="10"/>
            <w:vMerge w:val="continue"/>
          </w:tcPr>
          <w:p>
            <w:pPr>
              <w:spacing w:after="0"/>
              <w:rPr>
                <w:sz w:val="24"/>
                <w:szCs w:val="24"/>
                <w:color w:val="auto"/>
              </w:rPr>
            </w:pPr>
          </w:p>
        </w:tc>
        <w:tc>
          <w:tcPr>
            <w:tcW w:w="800" w:type="dxa"/>
            <w:vAlign w:val="bottom"/>
          </w:tcPr>
          <w:p>
            <w:pPr>
              <w:jc w:val="right"/>
              <w:spacing w:after="0"/>
              <w:rPr>
                <w:rFonts w:ascii="Arial" w:cs="Arial" w:eastAsia="Arial" w:hAnsi="Arial"/>
                <w:sz w:val="12"/>
                <w:szCs w:val="12"/>
                <w:b w:val="1"/>
                <w:bCs w:val="1"/>
                <w:color w:val="58844D"/>
              </w:rPr>
            </w:pPr>
            <w:hyperlink w:anchor="page9">
              <w:r>
                <w:rPr>
                  <w:rFonts w:ascii="Arial" w:cs="Arial" w:eastAsia="Arial" w:hAnsi="Arial"/>
                  <w:sz w:val="12"/>
                  <w:szCs w:val="12"/>
                  <w:b w:val="1"/>
                  <w:bCs w:val="1"/>
                  <w:color w:val="58844D"/>
                </w:rPr>
                <w:t>4</w:t>
              </w:r>
            </w:hyperlink>
          </w:p>
        </w:tc>
        <w:tc>
          <w:tcPr>
            <w:tcW w:w="0" w:type="dxa"/>
            <w:vAlign w:val="bottom"/>
          </w:tcPr>
          <w:p>
            <w:pPr>
              <w:spacing w:after="0"/>
              <w:rPr>
                <w:sz w:val="1"/>
                <w:szCs w:val="1"/>
                <w:color w:val="auto"/>
              </w:rPr>
            </w:pPr>
          </w:p>
        </w:tc>
      </w:tr>
      <w:tr>
        <w:trPr>
          <w:trHeight w:val="20"/>
        </w:trPr>
        <w:tc>
          <w:tcPr>
            <w:tcW w:w="2420" w:type="dxa"/>
            <w:vAlign w:val="bottom"/>
            <w:gridSpan w:val="8"/>
            <w:vMerge w:val="restart"/>
          </w:tcPr>
          <w:p>
            <w:pPr>
              <w:spacing w:after="0"/>
              <w:rPr>
                <w:rFonts w:ascii="Arial" w:cs="Arial" w:eastAsia="Arial" w:hAnsi="Arial"/>
                <w:sz w:val="15"/>
                <w:szCs w:val="15"/>
                <w:color w:val="0000EE"/>
                <w:w w:val="97"/>
              </w:rPr>
            </w:pPr>
            <w:hyperlink w:anchor="page10">
              <w:r>
                <w:rPr>
                  <w:rFonts w:ascii="Arial" w:cs="Arial" w:eastAsia="Arial" w:hAnsi="Arial"/>
                  <w:sz w:val="15"/>
                  <w:szCs w:val="15"/>
                  <w:color w:val="0000EE"/>
                  <w:w w:val="97"/>
                </w:rPr>
                <w:t>GOVERNANCE OF THE COMPANY</w:t>
              </w:r>
            </w:hyperlink>
          </w:p>
        </w:tc>
        <w:tc>
          <w:tcPr>
            <w:tcW w:w="2140" w:type="dxa"/>
            <w:vAlign w:val="bottom"/>
            <w:gridSpan w:val="6"/>
            <w:vMerge w:val="restart"/>
          </w:tcPr>
          <w:p>
            <w:pPr>
              <w:spacing w:after="0" w:line="20" w:lineRule="exact"/>
              <w:rPr>
                <w:sz w:val="1"/>
                <w:szCs w:val="1"/>
                <w:color w:val="auto"/>
              </w:rPr>
            </w:pPr>
          </w:p>
        </w:tc>
        <w:tc>
          <w:tcPr>
            <w:tcW w:w="800" w:type="dxa"/>
            <w:vAlign w:val="bottom"/>
            <w:tcBorders>
              <w:right w:val="single" w:sz="8" w:color="58844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Borders>
              <w:bottom w:val="single" w:sz="8" w:color="0000EE"/>
            </w:tcBorders>
            <w:gridSpan w:val="8"/>
            <w:vMerge w:val="continue"/>
          </w:tcPr>
          <w:p>
            <w:pPr>
              <w:spacing w:after="0"/>
              <w:rPr>
                <w:sz w:val="24"/>
                <w:szCs w:val="24"/>
                <w:color w:val="auto"/>
              </w:rPr>
            </w:pPr>
          </w:p>
        </w:tc>
        <w:tc>
          <w:tcPr>
            <w:tcW w:w="2140" w:type="dxa"/>
            <w:vAlign w:val="bottom"/>
            <w:gridSpan w:val="6"/>
            <w:vMerge w:val="continue"/>
          </w:tcPr>
          <w:p>
            <w:pPr>
              <w:spacing w:after="0"/>
              <w:rPr>
                <w:sz w:val="24"/>
                <w:szCs w:val="24"/>
                <w:color w:val="auto"/>
              </w:rPr>
            </w:pPr>
          </w:p>
        </w:tc>
        <w:tc>
          <w:tcPr>
            <w:tcW w:w="800" w:type="dxa"/>
            <w:vAlign w:val="bottom"/>
          </w:tcPr>
          <w:p>
            <w:pPr>
              <w:jc w:val="right"/>
              <w:spacing w:after="0"/>
              <w:rPr>
                <w:rFonts w:ascii="Arial" w:cs="Arial" w:eastAsia="Arial" w:hAnsi="Arial"/>
                <w:sz w:val="12"/>
                <w:szCs w:val="12"/>
                <w:b w:val="1"/>
                <w:bCs w:val="1"/>
                <w:color w:val="58844D"/>
              </w:rPr>
            </w:pPr>
            <w:hyperlink w:anchor="page10">
              <w:r>
                <w:rPr>
                  <w:rFonts w:ascii="Arial" w:cs="Arial" w:eastAsia="Arial" w:hAnsi="Arial"/>
                  <w:sz w:val="12"/>
                  <w:szCs w:val="12"/>
                  <w:b w:val="1"/>
                  <w:bCs w:val="1"/>
                  <w:color w:val="58844D"/>
                </w:rPr>
                <w:t>5</w:t>
              </w:r>
            </w:hyperlink>
          </w:p>
        </w:tc>
        <w:tc>
          <w:tcPr>
            <w:tcW w:w="0" w:type="dxa"/>
            <w:vAlign w:val="bottom"/>
          </w:tcPr>
          <w:p>
            <w:pPr>
              <w:spacing w:after="0"/>
              <w:rPr>
                <w:sz w:val="1"/>
                <w:szCs w:val="1"/>
                <w:color w:val="auto"/>
              </w:rPr>
            </w:pPr>
          </w:p>
        </w:tc>
      </w:tr>
      <w:tr>
        <w:trPr>
          <w:trHeight w:val="20"/>
        </w:trPr>
        <w:tc>
          <w:tcPr>
            <w:tcW w:w="4560" w:type="dxa"/>
            <w:vAlign w:val="bottom"/>
            <w:gridSpan w:val="14"/>
            <w:vMerge w:val="restart"/>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PROPOSALS TO BE VOTED ON</w:t>
              </w:r>
            </w:hyperlink>
          </w:p>
        </w:tc>
        <w:tc>
          <w:tcPr>
            <w:tcW w:w="800" w:type="dxa"/>
            <w:vAlign w:val="bottom"/>
            <w:tcBorders>
              <w:right w:val="single" w:sz="8" w:color="58844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560" w:type="dxa"/>
            <w:vAlign w:val="bottom"/>
            <w:gridSpan w:val="14"/>
            <w:vMerge w:val="continue"/>
          </w:tcPr>
          <w:p>
            <w:pPr>
              <w:spacing w:after="0"/>
              <w:rPr>
                <w:sz w:val="24"/>
                <w:szCs w:val="24"/>
                <w:color w:val="auto"/>
              </w:rPr>
            </w:pPr>
          </w:p>
        </w:tc>
        <w:tc>
          <w:tcPr>
            <w:tcW w:w="800" w:type="dxa"/>
            <w:vAlign w:val="bottom"/>
          </w:tcPr>
          <w:p>
            <w:pPr>
              <w:jc w:val="right"/>
              <w:spacing w:after="0"/>
              <w:rPr>
                <w:rFonts w:ascii="Arial" w:cs="Arial" w:eastAsia="Arial" w:hAnsi="Arial"/>
                <w:sz w:val="12"/>
                <w:szCs w:val="12"/>
                <w:b w:val="1"/>
                <w:bCs w:val="1"/>
                <w:color w:val="58844D"/>
              </w:rPr>
            </w:pPr>
            <w:hyperlink w:anchor="page16">
              <w:r>
                <w:rPr>
                  <w:rFonts w:ascii="Arial" w:cs="Arial" w:eastAsia="Arial" w:hAnsi="Arial"/>
                  <w:sz w:val="12"/>
                  <w:szCs w:val="12"/>
                  <w:b w:val="1"/>
                  <w:bCs w:val="1"/>
                  <w:color w:val="58844D"/>
                </w:rPr>
                <w:t>11</w:t>
              </w:r>
            </w:hyperlink>
          </w:p>
        </w:tc>
        <w:tc>
          <w:tcPr>
            <w:tcW w:w="0" w:type="dxa"/>
            <w:vAlign w:val="bottom"/>
          </w:tcPr>
          <w:p>
            <w:pPr>
              <w:spacing w:after="0"/>
              <w:rPr>
                <w:sz w:val="1"/>
                <w:szCs w:val="1"/>
                <w:color w:val="auto"/>
              </w:rPr>
            </w:pPr>
          </w:p>
        </w:tc>
      </w:tr>
      <w:tr>
        <w:trPr>
          <w:trHeight w:val="40"/>
        </w:trPr>
        <w:tc>
          <w:tcPr>
            <w:tcW w:w="1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520" w:type="dxa"/>
            <w:vAlign w:val="bottom"/>
            <w:gridSpan w:val="2"/>
            <w:shd w:val="clear" w:color="auto" w:fill="0000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300" w:type="dxa"/>
            <w:vAlign w:val="bottom"/>
            <w:gridSpan w:val="3"/>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4420" w:type="dxa"/>
            <w:vAlign w:val="bottom"/>
            <w:gridSpan w:val="13"/>
          </w:tcPr>
          <w:p>
            <w:pPr>
              <w:ind w:left="20"/>
              <w:spacing w:after="0"/>
              <w:rPr>
                <w:rFonts w:ascii="Arial" w:cs="Arial" w:eastAsia="Arial" w:hAnsi="Arial"/>
                <w:sz w:val="15"/>
                <w:szCs w:val="15"/>
                <w:color w:val="0000EE"/>
              </w:rPr>
            </w:pPr>
            <w:hyperlink w:anchor="page16">
              <w:r>
                <w:rPr>
                  <w:rFonts w:ascii="Arial" w:cs="Arial" w:eastAsia="Arial" w:hAnsi="Arial"/>
                  <w:sz w:val="15"/>
                  <w:szCs w:val="15"/>
                  <w:color w:val="0000EE"/>
                </w:rPr>
                <w:t>Proposal No. 1 Election of Directors</w:t>
              </w:r>
            </w:hyperlink>
          </w:p>
        </w:tc>
        <w:tc>
          <w:tcPr>
            <w:tcW w:w="800" w:type="dxa"/>
            <w:vAlign w:val="bottom"/>
          </w:tcPr>
          <w:p>
            <w:pPr>
              <w:jc w:val="right"/>
              <w:spacing w:after="0"/>
              <w:rPr>
                <w:rFonts w:ascii="Arial" w:cs="Arial" w:eastAsia="Arial" w:hAnsi="Arial"/>
                <w:sz w:val="12"/>
                <w:szCs w:val="12"/>
                <w:b w:val="1"/>
                <w:bCs w:val="1"/>
                <w:color w:val="58844D"/>
              </w:rPr>
            </w:pPr>
            <w:hyperlink w:anchor="page16">
              <w:r>
                <w:rPr>
                  <w:rFonts w:ascii="Arial" w:cs="Arial" w:eastAsia="Arial" w:hAnsi="Arial"/>
                  <w:sz w:val="12"/>
                  <w:szCs w:val="12"/>
                  <w:b w:val="1"/>
                  <w:bCs w:val="1"/>
                  <w:color w:val="58844D"/>
                </w:rPr>
                <w:t>11</w:t>
              </w:r>
            </w:hyperlink>
          </w:p>
        </w:tc>
        <w:tc>
          <w:tcPr>
            <w:tcW w:w="0" w:type="dxa"/>
            <w:vAlign w:val="bottom"/>
          </w:tcPr>
          <w:p>
            <w:pPr>
              <w:spacing w:after="0"/>
              <w:rPr>
                <w:sz w:val="1"/>
                <w:szCs w:val="1"/>
                <w:color w:val="auto"/>
              </w:rPr>
            </w:pPr>
          </w:p>
        </w:tc>
      </w:tr>
      <w:tr>
        <w:trPr>
          <w:trHeight w:val="20"/>
        </w:trPr>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gridSpan w:val="4"/>
            <w:vMerge w:val="restart"/>
          </w:tcPr>
          <w:p>
            <w:pPr>
              <w:ind w:left="160"/>
              <w:spacing w:after="0"/>
              <w:rPr>
                <w:rFonts w:ascii="Arial" w:cs="Arial" w:eastAsia="Arial" w:hAnsi="Arial"/>
                <w:sz w:val="15"/>
                <w:szCs w:val="15"/>
                <w:color w:val="0000EE"/>
              </w:rPr>
            </w:pPr>
            <w:hyperlink w:anchor="page21">
              <w:r>
                <w:rPr>
                  <w:rFonts w:ascii="Arial" w:cs="Arial" w:eastAsia="Arial" w:hAnsi="Arial"/>
                  <w:sz w:val="15"/>
                  <w:szCs w:val="15"/>
                  <w:color w:val="0000EE"/>
                </w:rPr>
                <w:t>Director Compensation</w:t>
              </w:r>
            </w:hyperlink>
          </w:p>
        </w:tc>
        <w:tc>
          <w:tcPr>
            <w:tcW w:w="300" w:type="dxa"/>
            <w:vAlign w:val="bottom"/>
            <w:tcBorders>
              <w:top w:val="single" w:sz="8" w:color="0000EE"/>
            </w:tcBorders>
            <w:gridSpan w:val="3"/>
            <w:vMerge w:val="restart"/>
          </w:tcPr>
          <w:p>
            <w:pPr>
              <w:spacing w:after="0" w:line="20" w:lineRule="exact"/>
              <w:rPr>
                <w:sz w:val="1"/>
                <w:szCs w:val="1"/>
                <w:color w:val="auto"/>
              </w:rPr>
            </w:pPr>
          </w:p>
        </w:tc>
        <w:tc>
          <w:tcPr>
            <w:tcW w:w="2060" w:type="dxa"/>
            <w:vAlign w:val="bottom"/>
            <w:gridSpan w:val="5"/>
            <w:vMerge w:val="restart"/>
          </w:tcPr>
          <w:p>
            <w:pPr>
              <w:spacing w:after="0" w:line="20" w:lineRule="exact"/>
              <w:rPr>
                <w:sz w:val="1"/>
                <w:szCs w:val="1"/>
                <w:color w:val="auto"/>
              </w:rPr>
            </w:pPr>
          </w:p>
        </w:tc>
        <w:tc>
          <w:tcPr>
            <w:tcW w:w="800" w:type="dxa"/>
            <w:vAlign w:val="bottom"/>
            <w:tcBorders>
              <w:right w:val="single" w:sz="8" w:color="58844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Borders>
              <w:bottom w:val="single" w:sz="8" w:color="0000EE"/>
            </w:tcBorders>
            <w:gridSpan w:val="4"/>
            <w:vMerge w:val="continue"/>
          </w:tcPr>
          <w:p>
            <w:pPr>
              <w:spacing w:after="0"/>
              <w:rPr>
                <w:sz w:val="24"/>
                <w:szCs w:val="24"/>
                <w:color w:val="auto"/>
              </w:rPr>
            </w:pPr>
          </w:p>
        </w:tc>
        <w:tc>
          <w:tcPr>
            <w:tcW w:w="300" w:type="dxa"/>
            <w:vAlign w:val="bottom"/>
            <w:gridSpan w:val="3"/>
            <w:vMerge w:val="continue"/>
          </w:tcPr>
          <w:p>
            <w:pPr>
              <w:spacing w:after="0"/>
              <w:rPr>
                <w:sz w:val="24"/>
                <w:szCs w:val="24"/>
                <w:color w:val="auto"/>
              </w:rPr>
            </w:pPr>
          </w:p>
        </w:tc>
        <w:tc>
          <w:tcPr>
            <w:tcW w:w="2060" w:type="dxa"/>
            <w:vAlign w:val="bottom"/>
            <w:gridSpan w:val="5"/>
            <w:vMerge w:val="continue"/>
          </w:tcPr>
          <w:p>
            <w:pPr>
              <w:spacing w:after="0"/>
              <w:rPr>
                <w:sz w:val="24"/>
                <w:szCs w:val="24"/>
                <w:color w:val="auto"/>
              </w:rPr>
            </w:pPr>
          </w:p>
        </w:tc>
        <w:tc>
          <w:tcPr>
            <w:tcW w:w="800" w:type="dxa"/>
            <w:vAlign w:val="bottom"/>
          </w:tcPr>
          <w:p>
            <w:pPr>
              <w:jc w:val="right"/>
              <w:spacing w:after="0"/>
              <w:rPr>
                <w:rFonts w:ascii="Arial" w:cs="Arial" w:eastAsia="Arial" w:hAnsi="Arial"/>
                <w:sz w:val="12"/>
                <w:szCs w:val="12"/>
                <w:b w:val="1"/>
                <w:bCs w:val="1"/>
                <w:color w:val="58844D"/>
              </w:rPr>
            </w:pPr>
            <w:hyperlink w:anchor="page21">
              <w:r>
                <w:rPr>
                  <w:rFonts w:ascii="Arial" w:cs="Arial" w:eastAsia="Arial" w:hAnsi="Arial"/>
                  <w:sz w:val="12"/>
                  <w:szCs w:val="12"/>
                  <w:b w:val="1"/>
                  <w:bCs w:val="1"/>
                  <w:color w:val="58844D"/>
                </w:rPr>
                <w:t>16</w:t>
              </w:r>
            </w:hyperlink>
          </w:p>
        </w:tc>
        <w:tc>
          <w:tcPr>
            <w:tcW w:w="0" w:type="dxa"/>
            <w:vAlign w:val="bottom"/>
          </w:tcPr>
          <w:p>
            <w:pPr>
              <w:spacing w:after="0"/>
              <w:rPr>
                <w:sz w:val="1"/>
                <w:szCs w:val="1"/>
                <w:color w:val="auto"/>
              </w:rPr>
            </w:pPr>
          </w:p>
        </w:tc>
      </w:tr>
      <w:tr>
        <w:trPr>
          <w:trHeight w:val="313"/>
        </w:trPr>
        <w:tc>
          <w:tcPr>
            <w:tcW w:w="140" w:type="dxa"/>
            <w:vAlign w:val="bottom"/>
            <w:tcBorders>
              <w:bottom w:val="single" w:sz="8" w:color="0000EE"/>
            </w:tcBorders>
          </w:tcPr>
          <w:p>
            <w:pPr>
              <w:spacing w:after="0"/>
              <w:rPr>
                <w:sz w:val="24"/>
                <w:szCs w:val="24"/>
                <w:color w:val="auto"/>
              </w:rPr>
            </w:pPr>
          </w:p>
        </w:tc>
        <w:tc>
          <w:tcPr>
            <w:tcW w:w="4420" w:type="dxa"/>
            <w:vAlign w:val="bottom"/>
            <w:tcBorders>
              <w:bottom w:val="single" w:sz="8" w:color="0000EE"/>
            </w:tcBorders>
            <w:gridSpan w:val="13"/>
          </w:tcPr>
          <w:p>
            <w:pPr>
              <w:ind w:left="20"/>
              <w:spacing w:after="0"/>
              <w:rPr>
                <w:rFonts w:ascii="Arial" w:cs="Arial" w:eastAsia="Arial" w:hAnsi="Arial"/>
                <w:sz w:val="15"/>
                <w:szCs w:val="15"/>
                <w:color w:val="0000EE"/>
                <w:w w:val="98"/>
              </w:rPr>
            </w:pPr>
            <w:hyperlink w:anchor="page23">
              <w:r>
                <w:rPr>
                  <w:rFonts w:ascii="Arial" w:cs="Arial" w:eastAsia="Arial" w:hAnsi="Arial"/>
                  <w:sz w:val="15"/>
                  <w:szCs w:val="15"/>
                  <w:color w:val="0000EE"/>
                  <w:w w:val="98"/>
                </w:rPr>
                <w:t>Proposal No. 2 Advisory Vote to Approve the Company's Executive</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4420" w:type="dxa"/>
            <w:vAlign w:val="bottom"/>
            <w:gridSpan w:val="13"/>
          </w:tcPr>
          <w:p>
            <w:pPr>
              <w:spacing w:after="0" w:line="140" w:lineRule="exact"/>
              <w:rPr>
                <w:rFonts w:ascii="Arial" w:cs="Arial" w:eastAsia="Arial" w:hAnsi="Arial"/>
                <w:sz w:val="15"/>
                <w:szCs w:val="15"/>
                <w:color w:val="0000EE"/>
              </w:rPr>
            </w:pPr>
            <w:hyperlink w:anchor="page23">
              <w:r>
                <w:rPr>
                  <w:rFonts w:ascii="Arial" w:cs="Arial" w:eastAsia="Arial" w:hAnsi="Arial"/>
                  <w:sz w:val="15"/>
                  <w:szCs w:val="15"/>
                  <w:color w:val="0000EE"/>
                </w:rPr>
                <w:t>Compensation</w:t>
              </w:r>
            </w:hyperlink>
          </w:p>
        </w:tc>
        <w:tc>
          <w:tcPr>
            <w:tcW w:w="800" w:type="dxa"/>
            <w:vAlign w:val="bottom"/>
          </w:tcPr>
          <w:p>
            <w:pPr>
              <w:jc w:val="right"/>
              <w:spacing w:after="0"/>
              <w:rPr>
                <w:rFonts w:ascii="Arial" w:cs="Arial" w:eastAsia="Arial" w:hAnsi="Arial"/>
                <w:sz w:val="12"/>
                <w:szCs w:val="12"/>
                <w:b w:val="1"/>
                <w:bCs w:val="1"/>
                <w:color w:val="58844D"/>
              </w:rPr>
            </w:pPr>
            <w:hyperlink w:anchor="page23">
              <w:r>
                <w:rPr>
                  <w:rFonts w:ascii="Arial" w:cs="Arial" w:eastAsia="Arial" w:hAnsi="Arial"/>
                  <w:sz w:val="12"/>
                  <w:szCs w:val="12"/>
                  <w:b w:val="1"/>
                  <w:bCs w:val="1"/>
                  <w:color w:val="58844D"/>
                </w:rPr>
                <w:t>18</w:t>
              </w:r>
            </w:hyperlink>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960" w:type="dxa"/>
            <w:vAlign w:val="bottom"/>
            <w:gridSpan w:val="2"/>
            <w:shd w:val="clear" w:color="auto" w:fill="0000EE"/>
          </w:tcPr>
          <w:p>
            <w:pPr>
              <w:spacing w:after="0"/>
              <w:rPr>
                <w:sz w:val="3"/>
                <w:szCs w:val="3"/>
                <w:color w:val="auto"/>
              </w:rPr>
            </w:pPr>
          </w:p>
        </w:tc>
        <w:tc>
          <w:tcPr>
            <w:tcW w:w="520" w:type="dxa"/>
            <w:vAlign w:val="bottom"/>
            <w:gridSpan w:val="2"/>
          </w:tcPr>
          <w:p>
            <w:pPr>
              <w:spacing w:after="0"/>
              <w:rPr>
                <w:sz w:val="3"/>
                <w:szCs w:val="3"/>
                <w:color w:val="auto"/>
              </w:rPr>
            </w:pPr>
          </w:p>
        </w:tc>
        <w:tc>
          <w:tcPr>
            <w:tcW w:w="1200" w:type="dxa"/>
            <w:vAlign w:val="bottom"/>
            <w:gridSpan w:val="5"/>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4420" w:type="dxa"/>
            <w:vAlign w:val="bottom"/>
            <w:gridSpan w:val="13"/>
          </w:tcPr>
          <w:p>
            <w:pPr>
              <w:ind w:left="20"/>
              <w:spacing w:after="0"/>
              <w:rPr>
                <w:rFonts w:ascii="Arial" w:cs="Arial" w:eastAsia="Arial" w:hAnsi="Arial"/>
                <w:sz w:val="15"/>
                <w:szCs w:val="15"/>
                <w:color w:val="0000EE"/>
              </w:rPr>
            </w:pPr>
            <w:hyperlink w:anchor="page24">
              <w:r>
                <w:rPr>
                  <w:rFonts w:ascii="Arial" w:cs="Arial" w:eastAsia="Arial" w:hAnsi="Arial"/>
                  <w:sz w:val="15"/>
                  <w:szCs w:val="15"/>
                  <w:color w:val="0000EE"/>
                </w:rPr>
                <w:t>Proposal No. 3 Ratification of Independent Registered Public</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40" w:type="dxa"/>
            <w:vAlign w:val="bottom"/>
            <w:tcBorders>
              <w:top w:val="single" w:sz="8" w:color="0000EE"/>
            </w:tcBorders>
          </w:tcPr>
          <w:p>
            <w:pPr>
              <w:spacing w:after="0"/>
              <w:rPr>
                <w:sz w:val="13"/>
                <w:szCs w:val="13"/>
                <w:color w:val="auto"/>
              </w:rPr>
            </w:pPr>
          </w:p>
        </w:tc>
        <w:tc>
          <w:tcPr>
            <w:tcW w:w="2680" w:type="dxa"/>
            <w:vAlign w:val="bottom"/>
            <w:tcBorders>
              <w:top w:val="single" w:sz="8" w:color="0000EE"/>
              <w:bottom w:val="single" w:sz="8" w:color="0000EE"/>
            </w:tcBorders>
            <w:gridSpan w:val="9"/>
          </w:tcPr>
          <w:p>
            <w:pPr>
              <w:spacing w:after="0" w:line="140" w:lineRule="exact"/>
              <w:rPr>
                <w:rFonts w:ascii="Arial" w:cs="Arial" w:eastAsia="Arial" w:hAnsi="Arial"/>
                <w:sz w:val="15"/>
                <w:szCs w:val="15"/>
                <w:color w:val="0000EE"/>
                <w:w w:val="97"/>
              </w:rPr>
            </w:pPr>
            <w:hyperlink w:anchor="page24">
              <w:r>
                <w:rPr>
                  <w:rFonts w:ascii="Arial" w:cs="Arial" w:eastAsia="Arial" w:hAnsi="Arial"/>
                  <w:sz w:val="15"/>
                  <w:szCs w:val="15"/>
                  <w:color w:val="0000EE"/>
                  <w:w w:val="97"/>
                </w:rPr>
                <w:t>Accounting Firm for the 2018 Fiscal Year</w:t>
              </w:r>
            </w:hyperlink>
          </w:p>
        </w:tc>
        <w:tc>
          <w:tcPr>
            <w:tcW w:w="1320" w:type="dxa"/>
            <w:vAlign w:val="bottom"/>
            <w:tcBorders>
              <w:top w:val="single" w:sz="8" w:color="0000EE"/>
            </w:tcBorders>
            <w:gridSpan w:val="3"/>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spacing w:after="0"/>
              <w:rPr>
                <w:rFonts w:ascii="Arial" w:cs="Arial" w:eastAsia="Arial" w:hAnsi="Arial"/>
                <w:sz w:val="12"/>
                <w:szCs w:val="12"/>
                <w:b w:val="1"/>
                <w:bCs w:val="1"/>
                <w:color w:val="58844D"/>
              </w:rPr>
            </w:pPr>
            <w:hyperlink w:anchor="page24">
              <w:r>
                <w:rPr>
                  <w:rFonts w:ascii="Arial" w:cs="Arial" w:eastAsia="Arial" w:hAnsi="Arial"/>
                  <w:sz w:val="12"/>
                  <w:szCs w:val="12"/>
                  <w:b w:val="1"/>
                  <w:bCs w:val="1"/>
                  <w:color w:val="58844D"/>
                </w:rPr>
                <w:t>19</w:t>
              </w:r>
            </w:hyperlink>
          </w:p>
        </w:tc>
        <w:tc>
          <w:tcPr>
            <w:tcW w:w="0" w:type="dxa"/>
            <w:vAlign w:val="bottom"/>
          </w:tcPr>
          <w:p>
            <w:pPr>
              <w:spacing w:after="0"/>
              <w:rPr>
                <w:sz w:val="1"/>
                <w:szCs w:val="1"/>
                <w:color w:val="auto"/>
              </w:rPr>
            </w:pPr>
          </w:p>
        </w:tc>
      </w:tr>
      <w:tr>
        <w:trPr>
          <w:trHeight w:val="20"/>
        </w:trPr>
        <w:tc>
          <w:tcPr>
            <w:tcW w:w="4560" w:type="dxa"/>
            <w:vAlign w:val="bottom"/>
            <w:gridSpan w:val="14"/>
            <w:vMerge w:val="restart"/>
          </w:tcPr>
          <w:p>
            <w:pPr>
              <w:spacing w:after="0"/>
              <w:rPr>
                <w:rFonts w:ascii="Arial" w:cs="Arial" w:eastAsia="Arial" w:hAnsi="Arial"/>
                <w:sz w:val="15"/>
                <w:szCs w:val="15"/>
                <w:color w:val="0000EE"/>
              </w:rPr>
            </w:pPr>
            <w:hyperlink w:anchor="page25">
              <w:r>
                <w:rPr>
                  <w:rFonts w:ascii="Arial" w:cs="Arial" w:eastAsia="Arial" w:hAnsi="Arial"/>
                  <w:sz w:val="15"/>
                  <w:szCs w:val="15"/>
                  <w:color w:val="0000EE"/>
                </w:rPr>
                <w:t>EXECUTIVE OFFICERS</w:t>
              </w:r>
            </w:hyperlink>
          </w:p>
        </w:tc>
        <w:tc>
          <w:tcPr>
            <w:tcW w:w="800" w:type="dxa"/>
            <w:vAlign w:val="bottom"/>
            <w:tcBorders>
              <w:right w:val="single" w:sz="8" w:color="58844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560" w:type="dxa"/>
            <w:vAlign w:val="bottom"/>
            <w:gridSpan w:val="14"/>
            <w:vMerge w:val="continue"/>
          </w:tcPr>
          <w:p>
            <w:pPr>
              <w:spacing w:after="0"/>
              <w:rPr>
                <w:sz w:val="24"/>
                <w:szCs w:val="24"/>
                <w:color w:val="auto"/>
              </w:rPr>
            </w:pPr>
          </w:p>
        </w:tc>
        <w:tc>
          <w:tcPr>
            <w:tcW w:w="800" w:type="dxa"/>
            <w:vAlign w:val="bottom"/>
          </w:tcPr>
          <w:p>
            <w:pPr>
              <w:jc w:val="right"/>
              <w:spacing w:after="0"/>
              <w:rPr>
                <w:rFonts w:ascii="Arial" w:cs="Arial" w:eastAsia="Arial" w:hAnsi="Arial"/>
                <w:sz w:val="12"/>
                <w:szCs w:val="12"/>
                <w:b w:val="1"/>
                <w:bCs w:val="1"/>
                <w:color w:val="58844D"/>
              </w:rPr>
            </w:pPr>
            <w:hyperlink w:anchor="page25">
              <w:r>
                <w:rPr>
                  <w:rFonts w:ascii="Arial" w:cs="Arial" w:eastAsia="Arial" w:hAnsi="Arial"/>
                  <w:sz w:val="12"/>
                  <w:szCs w:val="12"/>
                  <w:b w:val="1"/>
                  <w:bCs w:val="1"/>
                  <w:color w:val="58844D"/>
                </w:rPr>
                <w:t>20</w:t>
              </w:r>
            </w:hyperlink>
          </w:p>
        </w:tc>
        <w:tc>
          <w:tcPr>
            <w:tcW w:w="0" w:type="dxa"/>
            <w:vAlign w:val="bottom"/>
          </w:tcPr>
          <w:p>
            <w:pPr>
              <w:spacing w:after="0"/>
              <w:rPr>
                <w:sz w:val="1"/>
                <w:szCs w:val="1"/>
                <w:color w:val="auto"/>
              </w:rPr>
            </w:pPr>
          </w:p>
        </w:tc>
      </w:tr>
      <w:tr>
        <w:trPr>
          <w:trHeight w:val="40"/>
        </w:trPr>
        <w:tc>
          <w:tcPr>
            <w:tcW w:w="1620" w:type="dxa"/>
            <w:vAlign w:val="bottom"/>
            <w:gridSpan w:val="5"/>
            <w:shd w:val="clear" w:color="auto" w:fill="0000EE"/>
          </w:tcPr>
          <w:p>
            <w:pPr>
              <w:spacing w:after="0"/>
              <w:rPr>
                <w:sz w:val="3"/>
                <w:szCs w:val="3"/>
                <w:color w:val="auto"/>
              </w:rPr>
            </w:pPr>
          </w:p>
        </w:tc>
        <w:tc>
          <w:tcPr>
            <w:tcW w:w="1780" w:type="dxa"/>
            <w:vAlign w:val="bottom"/>
            <w:gridSpan w:val="6"/>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3"/>
        </w:trPr>
        <w:tc>
          <w:tcPr>
            <w:tcW w:w="4120" w:type="dxa"/>
            <w:vAlign w:val="bottom"/>
            <w:tcBorders>
              <w:bottom w:val="single" w:sz="8" w:color="0000EE"/>
            </w:tcBorders>
            <w:gridSpan w:val="12"/>
          </w:tcPr>
          <w:p>
            <w:pPr>
              <w:spacing w:after="0"/>
              <w:rPr>
                <w:rFonts w:ascii="Arial" w:cs="Arial" w:eastAsia="Arial" w:hAnsi="Arial"/>
                <w:sz w:val="15"/>
                <w:szCs w:val="15"/>
                <w:color w:val="0000EE"/>
                <w:w w:val="98"/>
              </w:rPr>
            </w:pPr>
            <w:hyperlink w:anchor="page26">
              <w:r>
                <w:rPr>
                  <w:rFonts w:ascii="Arial" w:cs="Arial" w:eastAsia="Arial" w:hAnsi="Arial"/>
                  <w:sz w:val="15"/>
                  <w:szCs w:val="15"/>
                  <w:color w:val="0000EE"/>
                  <w:w w:val="98"/>
                </w:rPr>
                <w:t>STOCK OWNERSHIP OF DIRECTORS, NAMED EXECUTIVE</w:t>
              </w:r>
            </w:hyperlink>
          </w:p>
        </w:tc>
        <w:tc>
          <w:tcPr>
            <w:tcW w:w="4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400" w:type="dxa"/>
            <w:vAlign w:val="bottom"/>
            <w:gridSpan w:val="11"/>
          </w:tcPr>
          <w:p>
            <w:pPr>
              <w:spacing w:after="0" w:line="140" w:lineRule="exact"/>
              <w:rPr>
                <w:rFonts w:ascii="Arial" w:cs="Arial" w:eastAsia="Arial" w:hAnsi="Arial"/>
                <w:sz w:val="15"/>
                <w:szCs w:val="15"/>
                <w:color w:val="0000EE"/>
                <w:w w:val="97"/>
              </w:rPr>
            </w:pPr>
            <w:hyperlink w:anchor="page26">
              <w:r>
                <w:rPr>
                  <w:rFonts w:ascii="Arial" w:cs="Arial" w:eastAsia="Arial" w:hAnsi="Arial"/>
                  <w:sz w:val="15"/>
                  <w:szCs w:val="15"/>
                  <w:color w:val="0000EE"/>
                  <w:w w:val="97"/>
                </w:rPr>
                <w:t>OFFICERS AND CERTAIN BENEFICIAL OWNERS</w:t>
              </w:r>
            </w:hyperlink>
          </w:p>
        </w:tc>
        <w:tc>
          <w:tcPr>
            <w:tcW w:w="1160" w:type="dxa"/>
            <w:vAlign w:val="bottom"/>
            <w:gridSpan w:val="3"/>
          </w:tcPr>
          <w:p>
            <w:pPr>
              <w:spacing w:after="0"/>
              <w:rPr>
                <w:sz w:val="13"/>
                <w:szCs w:val="13"/>
                <w:color w:val="auto"/>
              </w:rPr>
            </w:pPr>
          </w:p>
        </w:tc>
        <w:tc>
          <w:tcPr>
            <w:tcW w:w="800" w:type="dxa"/>
            <w:vAlign w:val="bottom"/>
          </w:tcPr>
          <w:p>
            <w:pPr>
              <w:jc w:val="right"/>
              <w:spacing w:after="0"/>
              <w:rPr>
                <w:rFonts w:ascii="Arial" w:cs="Arial" w:eastAsia="Arial" w:hAnsi="Arial"/>
                <w:sz w:val="12"/>
                <w:szCs w:val="12"/>
                <w:b w:val="1"/>
                <w:bCs w:val="1"/>
                <w:color w:val="58844D"/>
              </w:rPr>
            </w:pPr>
            <w:hyperlink w:anchor="page26">
              <w:r>
                <w:rPr>
                  <w:rFonts w:ascii="Arial" w:cs="Arial" w:eastAsia="Arial" w:hAnsi="Arial"/>
                  <w:sz w:val="12"/>
                  <w:szCs w:val="12"/>
                  <w:b w:val="1"/>
                  <w:bCs w:val="1"/>
                  <w:color w:val="58844D"/>
                </w:rPr>
                <w:t>21</w:t>
              </w:r>
            </w:hyperlink>
          </w:p>
        </w:tc>
        <w:tc>
          <w:tcPr>
            <w:tcW w:w="0" w:type="dxa"/>
            <w:vAlign w:val="bottom"/>
          </w:tcPr>
          <w:p>
            <w:pPr>
              <w:spacing w:after="0"/>
              <w:rPr>
                <w:sz w:val="1"/>
                <w:szCs w:val="1"/>
                <w:color w:val="auto"/>
              </w:rPr>
            </w:pPr>
          </w:p>
        </w:tc>
      </w:tr>
      <w:tr>
        <w:trPr>
          <w:trHeight w:val="23"/>
        </w:trPr>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right w:val="single" w:sz="8" w:color="58844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CERTAIN RELATIONSHIPS AND RELATED PERSON TRANSACTIONS</w:t>
        </w:r>
      </w:hyperlink>
    </w:p>
    <w:p>
      <w:pPr>
        <w:spacing w:after="0" w:line="181" w:lineRule="exact"/>
        <w:rPr>
          <w:sz w:val="20"/>
          <w:szCs w:val="20"/>
          <w:color w:val="auto"/>
        </w:rPr>
      </w:pPr>
    </w:p>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EXECUTIVE COMPENSATION</w:t>
        </w:r>
      </w:hyperlink>
    </w:p>
    <w:p>
      <w:pPr>
        <w:spacing w:after="0" w:line="181" w:lineRule="exact"/>
        <w:rPr>
          <w:sz w:val="20"/>
          <w:szCs w:val="20"/>
          <w:color w:val="auto"/>
        </w:rPr>
      </w:pPr>
    </w:p>
    <w:p>
      <w:pPr>
        <w:ind w:right="980"/>
        <w:spacing w:after="0" w:line="245" w:lineRule="auto"/>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COMPENSATION COMMITTEE REPORT ON EXECUTIVE</w:t>
        </w:r>
      </w:hyperlink>
      <w:r>
        <w:rPr>
          <w:rFonts w:ascii="Arial" w:cs="Arial" w:eastAsia="Arial" w:hAnsi="Arial"/>
          <w:sz w:val="15"/>
          <w:szCs w:val="15"/>
          <w:u w:val="single" w:color="auto"/>
          <w:color w:val="0000EE"/>
        </w:rPr>
        <w:t xml:space="preserve"> </w:t>
      </w:r>
      <w:hyperlink w:anchor="page55">
        <w:r>
          <w:rPr>
            <w:rFonts w:ascii="Arial" w:cs="Arial" w:eastAsia="Arial" w:hAnsi="Arial"/>
            <w:sz w:val="15"/>
            <w:szCs w:val="15"/>
            <w:u w:val="single" w:color="auto"/>
            <w:color w:val="0000EE"/>
          </w:rPr>
          <w:t>COMPENSATION</w:t>
        </w:r>
      </w:hyperlink>
    </w:p>
    <w:p>
      <w:pPr>
        <w:spacing w:after="0" w:line="172" w:lineRule="exact"/>
        <w:rPr>
          <w:sz w:val="20"/>
          <w:szCs w:val="20"/>
          <w:color w:val="auto"/>
        </w:rPr>
      </w:pPr>
    </w:p>
    <w:p>
      <w:pPr>
        <w:ind w:right="800"/>
        <w:spacing w:after="0" w:line="245" w:lineRule="auto"/>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COMPENSATION COMMITTEE INTERLOCKS AND INSIDER</w:t>
        </w:r>
      </w:hyperlink>
      <w:r>
        <w:rPr>
          <w:rFonts w:ascii="Arial" w:cs="Arial" w:eastAsia="Arial" w:hAnsi="Arial"/>
          <w:sz w:val="15"/>
          <w:szCs w:val="15"/>
          <w:u w:val="single" w:color="auto"/>
          <w:color w:val="0000EE"/>
        </w:rPr>
        <w:t xml:space="preserve"> </w:t>
      </w:r>
      <w:hyperlink w:anchor="page55">
        <w:r>
          <w:rPr>
            <w:rFonts w:ascii="Arial" w:cs="Arial" w:eastAsia="Arial" w:hAnsi="Arial"/>
            <w:sz w:val="15"/>
            <w:szCs w:val="15"/>
            <w:u w:val="single" w:color="auto"/>
            <w:color w:val="0000EE"/>
          </w:rPr>
          <w:t>PARTICIPATION</w:t>
        </w:r>
      </w:hyperlink>
    </w:p>
    <w:p>
      <w:pPr>
        <w:spacing w:after="0" w:line="172" w:lineRule="exact"/>
        <w:rPr>
          <w:sz w:val="20"/>
          <w:szCs w:val="20"/>
          <w:color w:val="auto"/>
        </w:rPr>
      </w:pPr>
    </w:p>
    <w:p>
      <w:pPr>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SECTION 16(A) BENEFICIAL OWNERSHIP REPORTING COMPLIANCE</w:t>
        </w:r>
      </w:hyperlink>
    </w:p>
    <w:p>
      <w:pPr>
        <w:spacing w:after="0" w:line="192" w:lineRule="exact"/>
        <w:rPr>
          <w:sz w:val="20"/>
          <w:szCs w:val="20"/>
          <w:color w:val="auto"/>
        </w:rPr>
      </w:pPr>
    </w:p>
    <w:p>
      <w:pPr>
        <w:spacing w:after="0"/>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AUDIT COMMITTEE REPORT</w:t>
        </w:r>
      </w:hyperlink>
    </w:p>
    <w:p>
      <w:pPr>
        <w:spacing w:after="0" w:line="181" w:lineRule="exact"/>
        <w:rPr>
          <w:sz w:val="20"/>
          <w:szCs w:val="20"/>
          <w:color w:val="auto"/>
        </w:rPr>
      </w:pPr>
    </w:p>
    <w:p>
      <w:pPr>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INDEPENDENT REGISTERED PUBLIC ACCOUNTING FIRM</w:t>
        </w:r>
      </w:hyperlink>
    </w:p>
    <w:p>
      <w:pPr>
        <w:spacing w:after="0" w:line="181" w:lineRule="exact"/>
        <w:rPr>
          <w:sz w:val="20"/>
          <w:szCs w:val="20"/>
          <w:color w:val="auto"/>
        </w:rPr>
      </w:pPr>
    </w:p>
    <w:p>
      <w:pPr>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QUESTIONS AND ANSWERS</w:t>
        </w:r>
      </w:hyperlink>
    </w:p>
    <w:p>
      <w:pPr>
        <w:spacing w:after="0" w:line="181" w:lineRule="exact"/>
        <w:rPr>
          <w:sz w:val="20"/>
          <w:szCs w:val="20"/>
          <w:color w:val="auto"/>
        </w:rPr>
      </w:pPr>
    </w:p>
    <w:p>
      <w:pPr>
        <w:spacing w:after="0" w:line="280" w:lineRule="auto"/>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REQUIREMENTS FOR SUBMISSION OF STOCKHOLDER PROPOSALS</w:t>
        </w:r>
      </w:hyperlink>
      <w:r>
        <w:rPr>
          <w:rFonts w:ascii="Arial" w:cs="Arial" w:eastAsia="Arial" w:hAnsi="Arial"/>
          <w:sz w:val="14"/>
          <w:szCs w:val="14"/>
          <w:u w:val="single" w:color="auto"/>
          <w:color w:val="0000EE"/>
        </w:rPr>
        <w:t xml:space="preserve"> </w:t>
      </w:r>
      <w:hyperlink w:anchor="page63">
        <w:r>
          <w:rPr>
            <w:rFonts w:ascii="Arial" w:cs="Arial" w:eastAsia="Arial" w:hAnsi="Arial"/>
            <w:sz w:val="14"/>
            <w:szCs w:val="14"/>
            <w:u w:val="single" w:color="auto"/>
            <w:color w:val="0000EE"/>
          </w:rPr>
          <w:t>FOR THE 2019 ANNUAL MEETING OF STOCKHOLDERS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488315</wp:posOffset>
            </wp:positionV>
            <wp:extent cx="727329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rFonts w:ascii="Arial" w:cs="Arial" w:eastAsia="Arial" w:hAnsi="Arial"/>
          <w:sz w:val="12"/>
          <w:szCs w:val="12"/>
          <w:b w:val="1"/>
          <w:bCs w:val="1"/>
          <w:u w:val="single" w:color="auto"/>
          <w:color w:val="58844D"/>
        </w:rPr>
      </w:pPr>
      <w:hyperlink w:anchor="page30">
        <w:r>
          <w:rPr>
            <w:rFonts w:ascii="Arial" w:cs="Arial" w:eastAsia="Arial" w:hAnsi="Arial"/>
            <w:sz w:val="12"/>
            <w:szCs w:val="12"/>
            <w:b w:val="1"/>
            <w:bCs w:val="1"/>
            <w:u w:val="single" w:color="auto"/>
            <w:color w:val="58844D"/>
          </w:rPr>
          <w:t>25</w:t>
        </w:r>
      </w:hyperlink>
    </w:p>
    <w:p>
      <w:pPr>
        <w:spacing w:after="0" w:line="215" w:lineRule="exact"/>
        <w:rPr>
          <w:sz w:val="20"/>
          <w:szCs w:val="20"/>
          <w:color w:val="auto"/>
        </w:rPr>
      </w:pPr>
    </w:p>
    <w:p>
      <w:pPr>
        <w:spacing w:after="0"/>
        <w:rPr>
          <w:rFonts w:ascii="Arial" w:cs="Arial" w:eastAsia="Arial" w:hAnsi="Arial"/>
          <w:sz w:val="12"/>
          <w:szCs w:val="12"/>
          <w:b w:val="1"/>
          <w:bCs w:val="1"/>
          <w:u w:val="single" w:color="auto"/>
          <w:color w:val="58844D"/>
        </w:rPr>
      </w:pPr>
      <w:hyperlink w:anchor="page42">
        <w:r>
          <w:rPr>
            <w:rFonts w:ascii="Arial" w:cs="Arial" w:eastAsia="Arial" w:hAnsi="Arial"/>
            <w:sz w:val="12"/>
            <w:szCs w:val="12"/>
            <w:b w:val="1"/>
            <w:bCs w:val="1"/>
            <w:u w:val="single" w:color="auto"/>
            <w:color w:val="58844D"/>
          </w:rPr>
          <w:t>37</w:t>
        </w:r>
      </w:hyperlink>
    </w:p>
    <w:p>
      <w:pPr>
        <w:spacing w:after="0" w:line="386" w:lineRule="exact"/>
        <w:rPr>
          <w:sz w:val="20"/>
          <w:szCs w:val="20"/>
          <w:color w:val="auto"/>
        </w:rPr>
      </w:pPr>
    </w:p>
    <w:p>
      <w:pPr>
        <w:spacing w:after="0"/>
        <w:rPr>
          <w:rFonts w:ascii="Arial" w:cs="Arial" w:eastAsia="Arial" w:hAnsi="Arial"/>
          <w:sz w:val="12"/>
          <w:szCs w:val="12"/>
          <w:b w:val="1"/>
          <w:bCs w:val="1"/>
          <w:u w:val="single" w:color="auto"/>
          <w:color w:val="58844D"/>
        </w:rPr>
      </w:pPr>
      <w:hyperlink w:anchor="page55">
        <w:r>
          <w:rPr>
            <w:rFonts w:ascii="Arial" w:cs="Arial" w:eastAsia="Arial" w:hAnsi="Arial"/>
            <w:sz w:val="12"/>
            <w:szCs w:val="12"/>
            <w:b w:val="1"/>
            <w:bCs w:val="1"/>
            <w:u w:val="single" w:color="auto"/>
            <w:color w:val="58844D"/>
          </w:rPr>
          <w:t>50</w:t>
        </w:r>
      </w:hyperlink>
    </w:p>
    <w:p>
      <w:pPr>
        <w:spacing w:after="0" w:line="386" w:lineRule="exact"/>
        <w:rPr>
          <w:sz w:val="20"/>
          <w:szCs w:val="20"/>
          <w:color w:val="auto"/>
        </w:rPr>
      </w:pPr>
    </w:p>
    <w:p>
      <w:pPr>
        <w:spacing w:after="0"/>
        <w:rPr>
          <w:rFonts w:ascii="Arial" w:cs="Arial" w:eastAsia="Arial" w:hAnsi="Arial"/>
          <w:sz w:val="12"/>
          <w:szCs w:val="12"/>
          <w:b w:val="1"/>
          <w:bCs w:val="1"/>
          <w:u w:val="single" w:color="auto"/>
          <w:color w:val="58844D"/>
        </w:rPr>
      </w:pPr>
      <w:hyperlink w:anchor="page55">
        <w:r>
          <w:rPr>
            <w:rFonts w:ascii="Arial" w:cs="Arial" w:eastAsia="Arial" w:hAnsi="Arial"/>
            <w:sz w:val="12"/>
            <w:szCs w:val="12"/>
            <w:b w:val="1"/>
            <w:bCs w:val="1"/>
            <w:u w:val="single" w:color="auto"/>
            <w:color w:val="58844D"/>
          </w:rPr>
          <w:t>50</w:t>
        </w:r>
      </w:hyperlink>
    </w:p>
    <w:p>
      <w:pPr>
        <w:spacing w:after="0" w:line="215" w:lineRule="exact"/>
        <w:rPr>
          <w:sz w:val="20"/>
          <w:szCs w:val="20"/>
          <w:color w:val="auto"/>
        </w:rPr>
      </w:pPr>
    </w:p>
    <w:p>
      <w:pPr>
        <w:spacing w:after="0"/>
        <w:rPr>
          <w:rFonts w:ascii="Arial" w:cs="Arial" w:eastAsia="Arial" w:hAnsi="Arial"/>
          <w:sz w:val="12"/>
          <w:szCs w:val="12"/>
          <w:b w:val="1"/>
          <w:bCs w:val="1"/>
          <w:u w:val="single" w:color="auto"/>
          <w:color w:val="58844D"/>
        </w:rPr>
      </w:pPr>
      <w:hyperlink w:anchor="page55">
        <w:r>
          <w:rPr>
            <w:rFonts w:ascii="Arial" w:cs="Arial" w:eastAsia="Arial" w:hAnsi="Arial"/>
            <w:sz w:val="12"/>
            <w:szCs w:val="12"/>
            <w:b w:val="1"/>
            <w:bCs w:val="1"/>
            <w:u w:val="single" w:color="auto"/>
            <w:color w:val="58844D"/>
          </w:rPr>
          <w:t>50</w:t>
        </w:r>
      </w:hyperlink>
    </w:p>
    <w:p>
      <w:pPr>
        <w:spacing w:after="0" w:line="215" w:lineRule="exact"/>
        <w:rPr>
          <w:sz w:val="20"/>
          <w:szCs w:val="20"/>
          <w:color w:val="auto"/>
        </w:rPr>
      </w:pPr>
    </w:p>
    <w:p>
      <w:pPr>
        <w:spacing w:after="0"/>
        <w:rPr>
          <w:rFonts w:ascii="Arial" w:cs="Arial" w:eastAsia="Arial" w:hAnsi="Arial"/>
          <w:sz w:val="12"/>
          <w:szCs w:val="12"/>
          <w:b w:val="1"/>
          <w:bCs w:val="1"/>
          <w:u w:val="single" w:color="auto"/>
          <w:color w:val="58844D"/>
        </w:rPr>
      </w:pPr>
      <w:hyperlink w:anchor="page56">
        <w:r>
          <w:rPr>
            <w:rFonts w:ascii="Arial" w:cs="Arial" w:eastAsia="Arial" w:hAnsi="Arial"/>
            <w:sz w:val="12"/>
            <w:szCs w:val="12"/>
            <w:b w:val="1"/>
            <w:bCs w:val="1"/>
            <w:u w:val="single" w:color="auto"/>
            <w:color w:val="58844D"/>
          </w:rPr>
          <w:t>51</w:t>
        </w:r>
      </w:hyperlink>
    </w:p>
    <w:p>
      <w:pPr>
        <w:spacing w:after="0" w:line="215" w:lineRule="exact"/>
        <w:rPr>
          <w:sz w:val="20"/>
          <w:szCs w:val="20"/>
          <w:color w:val="auto"/>
        </w:rPr>
      </w:pPr>
    </w:p>
    <w:p>
      <w:pPr>
        <w:spacing w:after="0"/>
        <w:rPr>
          <w:rFonts w:ascii="Arial" w:cs="Arial" w:eastAsia="Arial" w:hAnsi="Arial"/>
          <w:sz w:val="12"/>
          <w:szCs w:val="12"/>
          <w:b w:val="1"/>
          <w:bCs w:val="1"/>
          <w:u w:val="single" w:color="auto"/>
          <w:color w:val="58844D"/>
        </w:rPr>
      </w:pPr>
      <w:hyperlink w:anchor="page57">
        <w:r>
          <w:rPr>
            <w:rFonts w:ascii="Arial" w:cs="Arial" w:eastAsia="Arial" w:hAnsi="Arial"/>
            <w:sz w:val="12"/>
            <w:szCs w:val="12"/>
            <w:b w:val="1"/>
            <w:bCs w:val="1"/>
            <w:u w:val="single" w:color="auto"/>
            <w:color w:val="58844D"/>
          </w:rPr>
          <w:t>52</w:t>
        </w:r>
      </w:hyperlink>
    </w:p>
    <w:p>
      <w:pPr>
        <w:spacing w:after="0" w:line="215" w:lineRule="exact"/>
        <w:rPr>
          <w:sz w:val="20"/>
          <w:szCs w:val="20"/>
          <w:color w:val="auto"/>
        </w:rPr>
      </w:pPr>
    </w:p>
    <w:p>
      <w:pPr>
        <w:spacing w:after="0"/>
        <w:rPr>
          <w:rFonts w:ascii="Arial" w:cs="Arial" w:eastAsia="Arial" w:hAnsi="Arial"/>
          <w:sz w:val="12"/>
          <w:szCs w:val="12"/>
          <w:b w:val="1"/>
          <w:bCs w:val="1"/>
          <w:u w:val="single" w:color="auto"/>
          <w:color w:val="58844D"/>
        </w:rPr>
      </w:pPr>
      <w:hyperlink w:anchor="page58">
        <w:r>
          <w:rPr>
            <w:rFonts w:ascii="Arial" w:cs="Arial" w:eastAsia="Arial" w:hAnsi="Arial"/>
            <w:sz w:val="12"/>
            <w:szCs w:val="12"/>
            <w:b w:val="1"/>
            <w:bCs w:val="1"/>
            <w:u w:val="single" w:color="auto"/>
            <w:color w:val="58844D"/>
          </w:rPr>
          <w:t>53</w:t>
        </w:r>
      </w:hyperlink>
    </w:p>
    <w:p>
      <w:pPr>
        <w:spacing w:after="0" w:line="386" w:lineRule="exact"/>
        <w:rPr>
          <w:sz w:val="20"/>
          <w:szCs w:val="20"/>
          <w:color w:val="auto"/>
        </w:rPr>
      </w:pPr>
    </w:p>
    <w:p>
      <w:pPr>
        <w:spacing w:after="0"/>
        <w:rPr>
          <w:rFonts w:ascii="Arial" w:cs="Arial" w:eastAsia="Arial" w:hAnsi="Arial"/>
          <w:sz w:val="12"/>
          <w:szCs w:val="12"/>
          <w:b w:val="1"/>
          <w:bCs w:val="1"/>
          <w:u w:val="single" w:color="auto"/>
          <w:color w:val="58844D"/>
        </w:rPr>
      </w:pPr>
      <w:hyperlink w:anchor="page63">
        <w:r>
          <w:rPr>
            <w:rFonts w:ascii="Arial" w:cs="Arial" w:eastAsia="Arial" w:hAnsi="Arial"/>
            <w:sz w:val="12"/>
            <w:szCs w:val="12"/>
            <w:b w:val="1"/>
            <w:bCs w:val="1"/>
            <w:u w:val="single" w:color="auto"/>
            <w:color w:val="58844D"/>
          </w:rPr>
          <w:t>58</w:t>
        </w:r>
      </w:hyperlink>
    </w:p>
    <w:p>
      <w:pPr>
        <w:sectPr>
          <w:pgSz w:w="11900" w:h="16838" w:orient="portrait"/>
          <w:cols w:equalWidth="0" w:num="3">
            <w:col w:w="5360" w:space="700"/>
            <w:col w:w="4900" w:space="340"/>
            <w:col w:w="140"/>
          </w:cols>
          <w:pgMar w:left="240" w:top="142" w:right="219" w:bottom="1440" w:gutter="0" w:footer="0" w:header="0"/>
          <w:type w:val="continuous"/>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280"/>
        <w:spacing w:after="0"/>
        <w:rPr>
          <w:sz w:val="20"/>
          <w:szCs w:val="20"/>
          <w:color w:val="auto"/>
        </w:rPr>
      </w:pPr>
      <w:r>
        <w:rPr>
          <w:rFonts w:ascii="Arial" w:cs="Arial" w:eastAsia="Arial" w:hAnsi="Arial"/>
          <w:sz w:val="12"/>
          <w:szCs w:val="12"/>
          <w:color w:val="FFFFFE"/>
        </w:rPr>
        <w:t xml:space="preserve">PROXY STATEMENT HIGHLIGHTS </w:t>
      </w:r>
      <w:r>
        <w:rPr>
          <w:rFonts w:ascii="Arial" w:cs="Arial" w:eastAsia="Arial" w:hAnsi="Arial"/>
          <w:sz w:val="12"/>
          <w:szCs w:val="12"/>
          <w:b w:val="1"/>
          <w:bCs w:val="1"/>
          <w:color w:val="FFFFFE"/>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Proxy Statement Highlights</w:t>
      </w:r>
    </w:p>
    <w:p>
      <w:pPr>
        <w:spacing w:after="0" w:line="359" w:lineRule="exact"/>
        <w:rPr>
          <w:sz w:val="20"/>
          <w:szCs w:val="20"/>
          <w:color w:val="auto"/>
        </w:rPr>
      </w:pPr>
    </w:p>
    <w:p>
      <w:pPr>
        <w:ind w:right="360"/>
        <w:spacing w:after="0" w:line="252" w:lineRule="auto"/>
        <w:rPr>
          <w:sz w:val="20"/>
          <w:szCs w:val="20"/>
          <w:color w:val="auto"/>
        </w:rPr>
      </w:pPr>
      <w:r>
        <w:rPr>
          <w:rFonts w:ascii="Arial" w:cs="Arial" w:eastAsia="Arial" w:hAnsi="Arial"/>
          <w:sz w:val="15"/>
          <w:szCs w:val="15"/>
          <w:i w:val="1"/>
          <w:iCs w:val="1"/>
          <w:color w:val="auto"/>
        </w:rPr>
        <w:t>This summary highlights information contained elsewhere in this proxy statement (Proxy Statement). This summary does not contain all of the information that you should consider, and you should read the entire Proxy Statement before voting. For information regarding NRG Yield, Inc.'s 2017 performance, please review NRG Yield, Inc.'s Annual Report on Form 10-K for the year ended December 31, 2017 (2017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58844D"/>
        </w:rPr>
        <w:t>Roadmap of Voting Matters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Stockholders are being asked to vote on the following matters at the 2018 Annual Meeting of Stockholders (Annual Meeting):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7620" w:type="dxa"/>
            <w:vAlign w:val="bottom"/>
            <w:shd w:val="clear" w:color="auto" w:fill="58854E"/>
          </w:tcPr>
          <w:p>
            <w:pPr>
              <w:spacing w:after="0"/>
              <w:rPr>
                <w:sz w:val="12"/>
                <w:szCs w:val="12"/>
                <w:color w:val="auto"/>
              </w:rPr>
            </w:pPr>
          </w:p>
        </w:tc>
        <w:tc>
          <w:tcPr>
            <w:tcW w:w="1520" w:type="dxa"/>
            <w:vAlign w:val="bottom"/>
            <w:shd w:val="clear" w:color="auto" w:fill="58854E"/>
          </w:tcPr>
          <w:p>
            <w:pPr>
              <w:jc w:val="center"/>
              <w:ind w:left="10"/>
              <w:spacing w:after="0"/>
              <w:rPr>
                <w:sz w:val="20"/>
                <w:szCs w:val="20"/>
                <w:color w:val="auto"/>
              </w:rPr>
            </w:pPr>
            <w:r>
              <w:rPr>
                <w:rFonts w:ascii="Arial" w:cs="Arial" w:eastAsia="Arial" w:hAnsi="Arial"/>
                <w:sz w:val="12"/>
                <w:szCs w:val="12"/>
                <w:b w:val="1"/>
                <w:bCs w:val="1"/>
                <w:color w:val="FFFFFE"/>
                <w:w w:val="99"/>
              </w:rPr>
              <w:t>BOARD</w:t>
            </w:r>
          </w:p>
        </w:tc>
        <w:tc>
          <w:tcPr>
            <w:tcW w:w="1160" w:type="dxa"/>
            <w:vAlign w:val="bottom"/>
          </w:tcPr>
          <w:p>
            <w:pPr>
              <w:spacing w:after="0"/>
              <w:rPr>
                <w:sz w:val="12"/>
                <w:szCs w:val="12"/>
                <w:color w:val="auto"/>
              </w:rPr>
            </w:pPr>
          </w:p>
        </w:tc>
      </w:tr>
      <w:tr>
        <w:trPr>
          <w:trHeight w:val="147"/>
        </w:trPr>
        <w:tc>
          <w:tcPr>
            <w:tcW w:w="1140" w:type="dxa"/>
            <w:vAlign w:val="bottom"/>
          </w:tcPr>
          <w:p>
            <w:pPr>
              <w:spacing w:after="0"/>
              <w:rPr>
                <w:sz w:val="12"/>
                <w:szCs w:val="12"/>
                <w:color w:val="auto"/>
              </w:rPr>
            </w:pPr>
          </w:p>
        </w:tc>
        <w:tc>
          <w:tcPr>
            <w:tcW w:w="7620" w:type="dxa"/>
            <w:vAlign w:val="bottom"/>
            <w:shd w:val="clear" w:color="auto" w:fill="58854E"/>
          </w:tcPr>
          <w:p>
            <w:pPr>
              <w:spacing w:after="0"/>
              <w:rPr>
                <w:sz w:val="12"/>
                <w:szCs w:val="12"/>
                <w:color w:val="auto"/>
              </w:rPr>
            </w:pPr>
          </w:p>
        </w:tc>
        <w:tc>
          <w:tcPr>
            <w:tcW w:w="152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RECOMMENDATION</w:t>
            </w:r>
          </w:p>
        </w:tc>
        <w:tc>
          <w:tcPr>
            <w:tcW w:w="1160" w:type="dxa"/>
            <w:vAlign w:val="bottom"/>
          </w:tcPr>
          <w:p>
            <w:pPr>
              <w:spacing w:after="0"/>
              <w:rPr>
                <w:sz w:val="12"/>
                <w:szCs w:val="12"/>
                <w:color w:val="auto"/>
              </w:rPr>
            </w:pPr>
          </w:p>
        </w:tc>
      </w:tr>
      <w:tr>
        <w:trPr>
          <w:trHeight w:val="363"/>
        </w:trPr>
        <w:tc>
          <w:tcPr>
            <w:tcW w:w="1140" w:type="dxa"/>
            <w:vAlign w:val="bottom"/>
          </w:tcPr>
          <w:p>
            <w:pPr>
              <w:spacing w:after="0"/>
              <w:rPr>
                <w:sz w:val="24"/>
                <w:szCs w:val="24"/>
                <w:color w:val="auto"/>
              </w:rPr>
            </w:pPr>
          </w:p>
        </w:tc>
        <w:tc>
          <w:tcPr>
            <w:tcW w:w="7620" w:type="dxa"/>
            <w:vAlign w:val="bottom"/>
          </w:tcPr>
          <w:p>
            <w:pPr>
              <w:ind w:left="140"/>
              <w:spacing w:after="0"/>
              <w:rPr>
                <w:sz w:val="20"/>
                <w:szCs w:val="20"/>
                <w:color w:val="auto"/>
              </w:rPr>
            </w:pPr>
            <w:r>
              <w:rPr>
                <w:rFonts w:ascii="Arial" w:cs="Arial" w:eastAsia="Arial" w:hAnsi="Arial"/>
                <w:sz w:val="15"/>
                <w:szCs w:val="15"/>
                <w:b w:val="1"/>
                <w:bCs w:val="1"/>
                <w:color w:val="auto"/>
              </w:rPr>
              <w:t>Proposal 1. Election of Directors (page 11)</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5"/>
        </w:trPr>
        <w:tc>
          <w:tcPr>
            <w:tcW w:w="1140" w:type="dxa"/>
            <w:vAlign w:val="bottom"/>
          </w:tcPr>
          <w:p>
            <w:pPr>
              <w:spacing w:after="0"/>
              <w:rPr>
                <w:sz w:val="24"/>
                <w:szCs w:val="24"/>
                <w:color w:val="auto"/>
              </w:rPr>
            </w:pPr>
          </w:p>
        </w:tc>
        <w:tc>
          <w:tcPr>
            <w:tcW w:w="7620" w:type="dxa"/>
            <w:vAlign w:val="bottom"/>
          </w:tcPr>
          <w:p>
            <w:pPr>
              <w:ind w:left="140"/>
              <w:spacing w:after="0"/>
              <w:rPr>
                <w:sz w:val="20"/>
                <w:szCs w:val="20"/>
                <w:color w:val="auto"/>
              </w:rPr>
            </w:pPr>
            <w:r>
              <w:rPr>
                <w:rFonts w:ascii="Arial" w:cs="Arial" w:eastAsia="Arial" w:hAnsi="Arial"/>
                <w:sz w:val="15"/>
                <w:szCs w:val="15"/>
                <w:color w:val="auto"/>
              </w:rPr>
              <w:t>The Board of Directors (Board) and the Corporate Governance, Conflicts and Nominating Committee believe</w:t>
            </w:r>
          </w:p>
        </w:tc>
        <w:tc>
          <w:tcPr>
            <w:tcW w:w="2680" w:type="dxa"/>
            <w:vAlign w:val="bottom"/>
            <w:gridSpan w:val="2"/>
          </w:tcPr>
          <w:p>
            <w:pPr>
              <w:jc w:val="center"/>
              <w:ind w:right="1080"/>
              <w:spacing w:after="0"/>
              <w:rPr>
                <w:sz w:val="20"/>
                <w:szCs w:val="20"/>
                <w:color w:val="auto"/>
              </w:rPr>
            </w:pPr>
            <w:r>
              <w:rPr>
                <w:rFonts w:ascii="Arial" w:cs="Arial" w:eastAsia="Arial" w:hAnsi="Arial"/>
                <w:sz w:val="15"/>
                <w:szCs w:val="15"/>
                <w:b w:val="1"/>
                <w:bCs w:val="1"/>
                <w:color w:val="auto"/>
              </w:rPr>
              <w:t>FOR</w:t>
            </w:r>
          </w:p>
        </w:tc>
      </w:tr>
      <w:tr>
        <w:trPr>
          <w:trHeight w:val="171"/>
        </w:trPr>
        <w:tc>
          <w:tcPr>
            <w:tcW w:w="1140" w:type="dxa"/>
            <w:vAlign w:val="bottom"/>
          </w:tcPr>
          <w:p>
            <w:pPr>
              <w:spacing w:after="0"/>
              <w:rPr>
                <w:sz w:val="14"/>
                <w:szCs w:val="14"/>
                <w:color w:val="auto"/>
              </w:rPr>
            </w:pPr>
          </w:p>
        </w:tc>
        <w:tc>
          <w:tcPr>
            <w:tcW w:w="7620" w:type="dxa"/>
            <w:vAlign w:val="bottom"/>
          </w:tcPr>
          <w:p>
            <w:pPr>
              <w:ind w:left="140"/>
              <w:spacing w:after="0" w:line="171" w:lineRule="exact"/>
              <w:rPr>
                <w:sz w:val="20"/>
                <w:szCs w:val="20"/>
                <w:color w:val="auto"/>
              </w:rPr>
            </w:pPr>
            <w:r>
              <w:rPr>
                <w:rFonts w:ascii="Arial" w:cs="Arial" w:eastAsia="Arial" w:hAnsi="Arial"/>
                <w:sz w:val="15"/>
                <w:szCs w:val="15"/>
                <w:color w:val="auto"/>
              </w:rPr>
              <w:t>that the seven director nominees possess the necessary qualifications, attributes, skills and experience to</w:t>
            </w:r>
          </w:p>
        </w:tc>
        <w:tc>
          <w:tcPr>
            <w:tcW w:w="2680" w:type="dxa"/>
            <w:vAlign w:val="bottom"/>
            <w:gridSpan w:val="2"/>
          </w:tcPr>
          <w:p>
            <w:pPr>
              <w:jc w:val="center"/>
              <w:ind w:right="1100"/>
              <w:spacing w:after="0" w:line="171" w:lineRule="exact"/>
              <w:rPr>
                <w:sz w:val="20"/>
                <w:szCs w:val="20"/>
                <w:color w:val="auto"/>
              </w:rPr>
            </w:pPr>
            <w:r>
              <w:rPr>
                <w:rFonts w:ascii="Arial" w:cs="Arial" w:eastAsia="Arial" w:hAnsi="Arial"/>
                <w:sz w:val="15"/>
                <w:szCs w:val="15"/>
                <w:color w:val="auto"/>
                <w:w w:val="98"/>
              </w:rPr>
              <w:t>each director nominee</w:t>
            </w:r>
          </w:p>
        </w:tc>
      </w:tr>
      <w:tr>
        <w:trPr>
          <w:trHeight w:val="171"/>
        </w:trPr>
        <w:tc>
          <w:tcPr>
            <w:tcW w:w="1140" w:type="dxa"/>
            <w:vAlign w:val="bottom"/>
          </w:tcPr>
          <w:p>
            <w:pPr>
              <w:spacing w:after="0"/>
              <w:rPr>
                <w:sz w:val="14"/>
                <w:szCs w:val="14"/>
                <w:color w:val="auto"/>
              </w:rPr>
            </w:pPr>
          </w:p>
        </w:tc>
        <w:tc>
          <w:tcPr>
            <w:tcW w:w="7620" w:type="dxa"/>
            <w:vAlign w:val="bottom"/>
          </w:tcPr>
          <w:p>
            <w:pPr>
              <w:ind w:left="140"/>
              <w:spacing w:after="0" w:line="171" w:lineRule="exact"/>
              <w:rPr>
                <w:sz w:val="20"/>
                <w:szCs w:val="20"/>
                <w:color w:val="auto"/>
              </w:rPr>
            </w:pPr>
            <w:r>
              <w:rPr>
                <w:rFonts w:ascii="Arial" w:cs="Arial" w:eastAsia="Arial" w:hAnsi="Arial"/>
                <w:sz w:val="15"/>
                <w:szCs w:val="15"/>
                <w:color w:val="auto"/>
              </w:rPr>
              <w:t>provide advice and counsel to the Company's management and effectively oversee the business and the long-</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20" w:type="dxa"/>
            <w:vAlign w:val="bottom"/>
            <w:tcBorders>
              <w:bottom w:val="single" w:sz="8" w:color="58854E"/>
            </w:tcBorders>
          </w:tcPr>
          <w:p>
            <w:pPr>
              <w:ind w:left="140"/>
              <w:spacing w:after="0" w:line="169" w:lineRule="exact"/>
              <w:rPr>
                <w:sz w:val="20"/>
                <w:szCs w:val="20"/>
                <w:color w:val="auto"/>
              </w:rPr>
            </w:pPr>
            <w:r>
              <w:rPr>
                <w:rFonts w:ascii="Arial" w:cs="Arial" w:eastAsia="Arial" w:hAnsi="Arial"/>
                <w:sz w:val="15"/>
                <w:szCs w:val="15"/>
                <w:color w:val="auto"/>
              </w:rPr>
              <w:t>term interests of our stockholders.</w:t>
            </w:r>
          </w:p>
        </w:tc>
        <w:tc>
          <w:tcPr>
            <w:tcW w:w="1520" w:type="dxa"/>
            <w:vAlign w:val="bottom"/>
            <w:tcBorders>
              <w:bottom w:val="single" w:sz="8" w:color="58854E"/>
            </w:tcBorders>
          </w:tcPr>
          <w:p>
            <w:pPr>
              <w:spacing w:after="0"/>
              <w:rPr>
                <w:sz w:val="14"/>
                <w:szCs w:val="14"/>
                <w:color w:val="auto"/>
              </w:rPr>
            </w:pPr>
          </w:p>
        </w:tc>
        <w:tc>
          <w:tcPr>
            <w:tcW w:w="1160" w:type="dxa"/>
            <w:vAlign w:val="bottom"/>
          </w:tcPr>
          <w:p>
            <w:pPr>
              <w:spacing w:after="0"/>
              <w:rPr>
                <w:sz w:val="14"/>
                <w:szCs w:val="14"/>
                <w:color w:val="auto"/>
              </w:rPr>
            </w:pPr>
          </w:p>
        </w:tc>
      </w:tr>
      <w:tr>
        <w:trPr>
          <w:trHeight w:val="284"/>
        </w:trPr>
        <w:tc>
          <w:tcPr>
            <w:tcW w:w="1140" w:type="dxa"/>
            <w:vAlign w:val="bottom"/>
          </w:tcPr>
          <w:p>
            <w:pPr>
              <w:spacing w:after="0"/>
              <w:rPr>
                <w:sz w:val="24"/>
                <w:szCs w:val="24"/>
                <w:color w:val="auto"/>
              </w:rPr>
            </w:pPr>
          </w:p>
        </w:tc>
        <w:tc>
          <w:tcPr>
            <w:tcW w:w="7620" w:type="dxa"/>
            <w:vAlign w:val="bottom"/>
          </w:tcPr>
          <w:p>
            <w:pPr>
              <w:ind w:left="140"/>
              <w:spacing w:after="0"/>
              <w:rPr>
                <w:sz w:val="20"/>
                <w:szCs w:val="20"/>
                <w:color w:val="auto"/>
              </w:rPr>
            </w:pPr>
            <w:r>
              <w:rPr>
                <w:rFonts w:ascii="Arial" w:cs="Arial" w:eastAsia="Arial" w:hAnsi="Arial"/>
                <w:sz w:val="15"/>
                <w:szCs w:val="15"/>
                <w:b w:val="1"/>
                <w:bCs w:val="1"/>
                <w:color w:val="auto"/>
                <w:w w:val="99"/>
              </w:rPr>
              <w:t>Proposal 2. Approval, on a non-binding advisory basis, of NRG Yield, Inc.'s executive compensation (Say</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20" w:type="dxa"/>
            <w:vAlign w:val="bottom"/>
          </w:tcPr>
          <w:p>
            <w:pPr>
              <w:ind w:left="140"/>
              <w:spacing w:after="0"/>
              <w:rPr>
                <w:sz w:val="20"/>
                <w:szCs w:val="20"/>
                <w:color w:val="auto"/>
              </w:rPr>
            </w:pPr>
            <w:r>
              <w:rPr>
                <w:rFonts w:ascii="Arial" w:cs="Arial" w:eastAsia="Arial" w:hAnsi="Arial"/>
                <w:sz w:val="15"/>
                <w:szCs w:val="15"/>
                <w:b w:val="1"/>
                <w:bCs w:val="1"/>
                <w:color w:val="auto"/>
              </w:rPr>
              <w:t>on Pay Proposal) (page 18)</w:t>
            </w: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01"/>
        </w:trPr>
        <w:tc>
          <w:tcPr>
            <w:tcW w:w="1140" w:type="dxa"/>
            <w:vAlign w:val="bottom"/>
          </w:tcPr>
          <w:p>
            <w:pPr>
              <w:spacing w:after="0"/>
              <w:rPr>
                <w:sz w:val="24"/>
                <w:szCs w:val="24"/>
                <w:color w:val="auto"/>
              </w:rPr>
            </w:pPr>
          </w:p>
        </w:tc>
        <w:tc>
          <w:tcPr>
            <w:tcW w:w="7620" w:type="dxa"/>
            <w:vAlign w:val="bottom"/>
          </w:tcPr>
          <w:p>
            <w:pPr>
              <w:ind w:left="140"/>
              <w:spacing w:after="0"/>
              <w:rPr>
                <w:sz w:val="20"/>
                <w:szCs w:val="20"/>
                <w:color w:val="auto"/>
              </w:rPr>
            </w:pPr>
            <w:r>
              <w:rPr>
                <w:rFonts w:ascii="Arial" w:cs="Arial" w:eastAsia="Arial" w:hAnsi="Arial"/>
                <w:sz w:val="15"/>
                <w:szCs w:val="15"/>
                <w:color w:val="auto"/>
              </w:rPr>
              <w:t>The Company seeks a non-binding advisory vote to approve the compensation of its named executive officers</w:t>
            </w:r>
          </w:p>
        </w:tc>
        <w:tc>
          <w:tcPr>
            <w:tcW w:w="2680" w:type="dxa"/>
            <w:vAlign w:val="bottom"/>
            <w:gridSpan w:val="2"/>
          </w:tcPr>
          <w:p>
            <w:pPr>
              <w:jc w:val="center"/>
              <w:ind w:right="1080"/>
              <w:spacing w:after="0"/>
              <w:rPr>
                <w:sz w:val="20"/>
                <w:szCs w:val="20"/>
                <w:color w:val="auto"/>
              </w:rPr>
            </w:pPr>
            <w:r>
              <w:rPr>
                <w:rFonts w:ascii="Arial" w:cs="Arial" w:eastAsia="Arial" w:hAnsi="Arial"/>
                <w:sz w:val="15"/>
                <w:szCs w:val="15"/>
                <w:b w:val="1"/>
                <w:bCs w:val="1"/>
                <w:color w:val="auto"/>
              </w:rPr>
              <w:t>FOR</w:t>
            </w:r>
          </w:p>
        </w:tc>
      </w:tr>
      <w:tr>
        <w:trPr>
          <w:trHeight w:val="171"/>
        </w:trPr>
        <w:tc>
          <w:tcPr>
            <w:tcW w:w="1140" w:type="dxa"/>
            <w:vAlign w:val="bottom"/>
          </w:tcPr>
          <w:p>
            <w:pPr>
              <w:spacing w:after="0"/>
              <w:rPr>
                <w:sz w:val="14"/>
                <w:szCs w:val="14"/>
                <w:color w:val="auto"/>
              </w:rPr>
            </w:pPr>
          </w:p>
        </w:tc>
        <w:tc>
          <w:tcPr>
            <w:tcW w:w="7620" w:type="dxa"/>
            <w:vAlign w:val="bottom"/>
          </w:tcPr>
          <w:p>
            <w:pPr>
              <w:ind w:left="140"/>
              <w:spacing w:after="0" w:line="171" w:lineRule="exact"/>
              <w:rPr>
                <w:sz w:val="20"/>
                <w:szCs w:val="20"/>
                <w:color w:val="auto"/>
              </w:rPr>
            </w:pPr>
            <w:r>
              <w:rPr>
                <w:rFonts w:ascii="Arial" w:cs="Arial" w:eastAsia="Arial" w:hAnsi="Arial"/>
                <w:sz w:val="15"/>
                <w:szCs w:val="15"/>
                <w:color w:val="auto"/>
              </w:rPr>
              <w:t>(NEOs) as described in the Compensation Discussion and Analysis (CD&amp;A) beginning on page 37 and the</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7620" w:type="dxa"/>
            <w:vAlign w:val="bottom"/>
          </w:tcPr>
          <w:p>
            <w:pPr>
              <w:ind w:left="140"/>
              <w:spacing w:after="0" w:line="171" w:lineRule="exact"/>
              <w:rPr>
                <w:sz w:val="20"/>
                <w:szCs w:val="20"/>
                <w:color w:val="auto"/>
              </w:rPr>
            </w:pPr>
            <w:r>
              <w:rPr>
                <w:rFonts w:ascii="Arial" w:cs="Arial" w:eastAsia="Arial" w:hAnsi="Arial"/>
                <w:sz w:val="15"/>
                <w:szCs w:val="15"/>
                <w:color w:val="auto"/>
              </w:rPr>
              <w:t>compensation tables and respective narrative discussion. The Board values stockholders' opinions, and the</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7620" w:type="dxa"/>
            <w:vAlign w:val="bottom"/>
          </w:tcPr>
          <w:p>
            <w:pPr>
              <w:ind w:left="140"/>
              <w:spacing w:after="0" w:line="171" w:lineRule="exact"/>
              <w:rPr>
                <w:sz w:val="20"/>
                <w:szCs w:val="20"/>
                <w:color w:val="auto"/>
              </w:rPr>
            </w:pPr>
            <w:r>
              <w:rPr>
                <w:rFonts w:ascii="Arial" w:cs="Arial" w:eastAsia="Arial" w:hAnsi="Arial"/>
                <w:sz w:val="15"/>
                <w:szCs w:val="15"/>
                <w:color w:val="auto"/>
              </w:rPr>
              <w:t>Compensation Committee will take into account the outcome of the Say on Pay Proposal when considering</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20" w:type="dxa"/>
            <w:vAlign w:val="bottom"/>
            <w:tcBorders>
              <w:bottom w:val="single" w:sz="8" w:color="58854E"/>
            </w:tcBorders>
          </w:tcPr>
          <w:p>
            <w:pPr>
              <w:ind w:left="140"/>
              <w:spacing w:after="0" w:line="169" w:lineRule="exact"/>
              <w:rPr>
                <w:sz w:val="20"/>
                <w:szCs w:val="20"/>
                <w:color w:val="auto"/>
              </w:rPr>
            </w:pPr>
            <w:r>
              <w:rPr>
                <w:rFonts w:ascii="Arial" w:cs="Arial" w:eastAsia="Arial" w:hAnsi="Arial"/>
                <w:sz w:val="15"/>
                <w:szCs w:val="15"/>
                <w:color w:val="auto"/>
              </w:rPr>
              <w:t>future executive compensation decisions.</w:t>
            </w:r>
          </w:p>
        </w:tc>
        <w:tc>
          <w:tcPr>
            <w:tcW w:w="1520" w:type="dxa"/>
            <w:vAlign w:val="bottom"/>
            <w:tcBorders>
              <w:bottom w:val="single" w:sz="8" w:color="58854E"/>
            </w:tcBorders>
          </w:tcPr>
          <w:p>
            <w:pPr>
              <w:spacing w:after="0"/>
              <w:rPr>
                <w:sz w:val="14"/>
                <w:szCs w:val="14"/>
                <w:color w:val="auto"/>
              </w:rPr>
            </w:pPr>
          </w:p>
        </w:tc>
        <w:tc>
          <w:tcPr>
            <w:tcW w:w="1160" w:type="dxa"/>
            <w:vAlign w:val="bottom"/>
          </w:tcPr>
          <w:p>
            <w:pPr>
              <w:spacing w:after="0"/>
              <w:rPr>
                <w:sz w:val="14"/>
                <w:szCs w:val="14"/>
                <w:color w:val="auto"/>
              </w:rPr>
            </w:pPr>
          </w:p>
        </w:tc>
      </w:tr>
      <w:tr>
        <w:trPr>
          <w:trHeight w:val="284"/>
        </w:trPr>
        <w:tc>
          <w:tcPr>
            <w:tcW w:w="1140" w:type="dxa"/>
            <w:vAlign w:val="bottom"/>
          </w:tcPr>
          <w:p>
            <w:pPr>
              <w:spacing w:after="0"/>
              <w:rPr>
                <w:sz w:val="24"/>
                <w:szCs w:val="24"/>
                <w:color w:val="auto"/>
              </w:rPr>
            </w:pPr>
          </w:p>
        </w:tc>
        <w:tc>
          <w:tcPr>
            <w:tcW w:w="7620" w:type="dxa"/>
            <w:vAlign w:val="bottom"/>
          </w:tcPr>
          <w:p>
            <w:pPr>
              <w:ind w:left="140"/>
              <w:spacing w:after="0"/>
              <w:rPr>
                <w:sz w:val="20"/>
                <w:szCs w:val="20"/>
                <w:color w:val="auto"/>
              </w:rPr>
            </w:pPr>
            <w:r>
              <w:rPr>
                <w:rFonts w:ascii="Arial" w:cs="Arial" w:eastAsia="Arial" w:hAnsi="Arial"/>
                <w:sz w:val="15"/>
                <w:szCs w:val="15"/>
                <w:b w:val="1"/>
                <w:bCs w:val="1"/>
                <w:color w:val="auto"/>
              </w:rPr>
              <w:t>Proposal 3. Ratification of the appointment of KPMG LLP as NRG Yield, Inc.'s independent registered</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7620" w:type="dxa"/>
            <w:vAlign w:val="bottom"/>
          </w:tcPr>
          <w:p>
            <w:pPr>
              <w:ind w:left="140"/>
              <w:spacing w:after="0" w:line="171" w:lineRule="exact"/>
              <w:rPr>
                <w:sz w:val="20"/>
                <w:szCs w:val="20"/>
                <w:color w:val="auto"/>
              </w:rPr>
            </w:pPr>
            <w:r>
              <w:rPr>
                <w:rFonts w:ascii="Arial" w:cs="Arial" w:eastAsia="Arial" w:hAnsi="Arial"/>
                <w:sz w:val="15"/>
                <w:szCs w:val="15"/>
                <w:b w:val="1"/>
                <w:bCs w:val="1"/>
                <w:color w:val="auto"/>
              </w:rPr>
              <w:t>public accounting firm for the 2018 fiscal year (Ratification of KPMG LLP's Appointment Proposal) (page</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8760" w:type="dxa"/>
            <w:vAlign w:val="bottom"/>
            <w:gridSpan w:val="2"/>
          </w:tcPr>
          <w:p>
            <w:pPr>
              <w:ind w:left="1280"/>
              <w:spacing w:after="0"/>
              <w:rPr>
                <w:sz w:val="20"/>
                <w:szCs w:val="20"/>
                <w:color w:val="auto"/>
              </w:rPr>
            </w:pPr>
            <w:r>
              <w:rPr>
                <w:rFonts w:ascii="Arial" w:cs="Arial" w:eastAsia="Arial" w:hAnsi="Arial"/>
                <w:sz w:val="15"/>
                <w:szCs w:val="15"/>
                <w:b w:val="1"/>
                <w:bCs w:val="1"/>
                <w:color w:val="auto"/>
              </w:rPr>
              <w:t>19)</w:t>
            </w: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01"/>
        </w:trPr>
        <w:tc>
          <w:tcPr>
            <w:tcW w:w="1140" w:type="dxa"/>
            <w:vAlign w:val="bottom"/>
          </w:tcPr>
          <w:p>
            <w:pPr>
              <w:spacing w:after="0"/>
              <w:rPr>
                <w:sz w:val="24"/>
                <w:szCs w:val="24"/>
                <w:color w:val="auto"/>
              </w:rPr>
            </w:pPr>
          </w:p>
        </w:tc>
        <w:tc>
          <w:tcPr>
            <w:tcW w:w="7620" w:type="dxa"/>
            <w:vAlign w:val="bottom"/>
          </w:tcPr>
          <w:p>
            <w:pPr>
              <w:ind w:left="140"/>
              <w:spacing w:after="0"/>
              <w:rPr>
                <w:sz w:val="20"/>
                <w:szCs w:val="20"/>
                <w:color w:val="auto"/>
              </w:rPr>
            </w:pPr>
            <w:r>
              <w:rPr>
                <w:rFonts w:ascii="Arial" w:cs="Arial" w:eastAsia="Arial" w:hAnsi="Arial"/>
                <w:sz w:val="15"/>
                <w:szCs w:val="15"/>
                <w:color w:val="auto"/>
              </w:rPr>
              <w:t>The Audit Committee and the Board believe that the retention of KPMG LLP as the Company's independent</w:t>
            </w:r>
          </w:p>
        </w:tc>
        <w:tc>
          <w:tcPr>
            <w:tcW w:w="2680" w:type="dxa"/>
            <w:vAlign w:val="bottom"/>
            <w:gridSpan w:val="2"/>
          </w:tcPr>
          <w:p>
            <w:pPr>
              <w:jc w:val="center"/>
              <w:ind w:right="1080"/>
              <w:spacing w:after="0"/>
              <w:rPr>
                <w:sz w:val="20"/>
                <w:szCs w:val="20"/>
                <w:color w:val="auto"/>
              </w:rPr>
            </w:pPr>
            <w:r>
              <w:rPr>
                <w:rFonts w:ascii="Arial" w:cs="Arial" w:eastAsia="Arial" w:hAnsi="Arial"/>
                <w:sz w:val="15"/>
                <w:szCs w:val="15"/>
                <w:b w:val="1"/>
                <w:bCs w:val="1"/>
                <w:color w:val="auto"/>
              </w:rPr>
              <w:t>FOR</w:t>
            </w:r>
          </w:p>
        </w:tc>
      </w:tr>
      <w:tr>
        <w:trPr>
          <w:trHeight w:val="171"/>
        </w:trPr>
        <w:tc>
          <w:tcPr>
            <w:tcW w:w="1140" w:type="dxa"/>
            <w:vAlign w:val="bottom"/>
          </w:tcPr>
          <w:p>
            <w:pPr>
              <w:spacing w:after="0"/>
              <w:rPr>
                <w:sz w:val="14"/>
                <w:szCs w:val="14"/>
                <w:color w:val="auto"/>
              </w:rPr>
            </w:pPr>
          </w:p>
        </w:tc>
        <w:tc>
          <w:tcPr>
            <w:tcW w:w="7620" w:type="dxa"/>
            <w:vAlign w:val="bottom"/>
          </w:tcPr>
          <w:p>
            <w:pPr>
              <w:ind w:left="140"/>
              <w:spacing w:after="0" w:line="171" w:lineRule="exact"/>
              <w:rPr>
                <w:sz w:val="20"/>
                <w:szCs w:val="20"/>
                <w:color w:val="auto"/>
              </w:rPr>
            </w:pPr>
            <w:r>
              <w:rPr>
                <w:rFonts w:ascii="Arial" w:cs="Arial" w:eastAsia="Arial" w:hAnsi="Arial"/>
                <w:sz w:val="15"/>
                <w:szCs w:val="15"/>
                <w:color w:val="auto"/>
              </w:rPr>
              <w:t>registered public accounting firm for the 2018 fiscal year is in the best interests of the Company and its</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7620" w:type="dxa"/>
            <w:vAlign w:val="bottom"/>
          </w:tcPr>
          <w:p>
            <w:pPr>
              <w:ind w:left="140"/>
              <w:spacing w:after="0" w:line="171" w:lineRule="exact"/>
              <w:rPr>
                <w:sz w:val="20"/>
                <w:szCs w:val="20"/>
                <w:color w:val="auto"/>
              </w:rPr>
            </w:pPr>
            <w:r>
              <w:rPr>
                <w:rFonts w:ascii="Arial" w:cs="Arial" w:eastAsia="Arial" w:hAnsi="Arial"/>
                <w:sz w:val="15"/>
                <w:szCs w:val="15"/>
                <w:color w:val="auto"/>
              </w:rPr>
              <w:t>stockholders. As a matter of good corporate governance, stockholders are being asked to ratify the Audit</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20" w:type="dxa"/>
            <w:vAlign w:val="bottom"/>
            <w:tcBorders>
              <w:bottom w:val="single" w:sz="8" w:color="58854E"/>
            </w:tcBorders>
          </w:tcPr>
          <w:p>
            <w:pPr>
              <w:ind w:left="140"/>
              <w:spacing w:after="0" w:line="169" w:lineRule="exact"/>
              <w:rPr>
                <w:sz w:val="20"/>
                <w:szCs w:val="20"/>
                <w:color w:val="auto"/>
              </w:rPr>
            </w:pPr>
            <w:r>
              <w:rPr>
                <w:rFonts w:ascii="Arial" w:cs="Arial" w:eastAsia="Arial" w:hAnsi="Arial"/>
                <w:sz w:val="15"/>
                <w:szCs w:val="15"/>
                <w:color w:val="auto"/>
              </w:rPr>
              <w:t>Committee's selection of KPMG LLP.</w:t>
            </w:r>
          </w:p>
        </w:tc>
        <w:tc>
          <w:tcPr>
            <w:tcW w:w="1520" w:type="dxa"/>
            <w:vAlign w:val="bottom"/>
            <w:tcBorders>
              <w:bottom w:val="single" w:sz="8" w:color="58854E"/>
            </w:tcBorders>
          </w:tcPr>
          <w:p>
            <w:pPr>
              <w:spacing w:after="0"/>
              <w:rPr>
                <w:sz w:val="14"/>
                <w:szCs w:val="14"/>
                <w:color w:val="auto"/>
              </w:rPr>
            </w:pPr>
          </w:p>
        </w:tc>
        <w:tc>
          <w:tcPr>
            <w:tcW w:w="1160" w:type="dxa"/>
            <w:vAlign w:val="bottom"/>
          </w:tcPr>
          <w:p>
            <w:pPr>
              <w:spacing w:after="0"/>
              <w:rPr>
                <w:sz w:val="14"/>
                <w:szCs w:val="14"/>
                <w:color w:val="auto"/>
              </w:rPr>
            </w:pPr>
          </w:p>
        </w:tc>
      </w:tr>
      <w:tr>
        <w:trPr>
          <w:trHeight w:val="90"/>
        </w:trPr>
        <w:tc>
          <w:tcPr>
            <w:tcW w:w="1140" w:type="dxa"/>
            <w:vAlign w:val="bottom"/>
            <w:tcBorders>
              <w:bottom w:val="single" w:sz="8" w:color="808080"/>
            </w:tcBorders>
          </w:tcPr>
          <w:p>
            <w:pPr>
              <w:spacing w:after="0"/>
              <w:rPr>
                <w:sz w:val="7"/>
                <w:szCs w:val="7"/>
                <w:color w:val="auto"/>
              </w:rPr>
            </w:pPr>
          </w:p>
        </w:tc>
        <w:tc>
          <w:tcPr>
            <w:tcW w:w="762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PROXY STATEMENT HIGHLIGHTS </w:t>
      </w:r>
      <w:r>
        <w:rPr>
          <w:rFonts w:ascii="Arial" w:cs="Arial" w:eastAsia="Arial" w:hAnsi="Arial"/>
          <w:sz w:val="12"/>
          <w:szCs w:val="12"/>
          <w:b w:val="1"/>
          <w:bCs w:val="1"/>
          <w:color w:val="58844D"/>
        </w:rPr>
        <w:t>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58844D"/>
        </w:rPr>
        <w:t>Corporate Governance Highlights</w:t>
      </w:r>
    </w:p>
    <w:p>
      <w:pPr>
        <w:spacing w:after="0" w:line="189" w:lineRule="exact"/>
        <w:rPr>
          <w:sz w:val="20"/>
          <w:szCs w:val="20"/>
          <w:color w:val="auto"/>
        </w:rPr>
      </w:pPr>
    </w:p>
    <w:p>
      <w:pPr>
        <w:jc w:val="both"/>
        <w:ind w:right="220"/>
        <w:spacing w:after="0" w:line="241" w:lineRule="auto"/>
        <w:rPr>
          <w:sz w:val="20"/>
          <w:szCs w:val="20"/>
          <w:color w:val="auto"/>
        </w:rPr>
      </w:pPr>
      <w:r>
        <w:rPr>
          <w:rFonts w:ascii="Arial" w:cs="Arial" w:eastAsia="Arial" w:hAnsi="Arial"/>
          <w:sz w:val="15"/>
          <w:szCs w:val="15"/>
          <w:color w:val="auto"/>
        </w:rPr>
        <w:t>We are committed to maintaining high standards of corporate governance, which promote the long-term interests of our stockholders, strengthens Board and management accountability and helps build public trust in the Company. The "Governance of the Company" section beginning on page 5 describes our corporate governance framework, which includes the following highlights: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3540" w:type="dxa"/>
            <w:vAlign w:val="bottom"/>
            <w:tcBorders>
              <w:top w:val="single" w:sz="8" w:color="58854E"/>
              <w:bottom w:val="single" w:sz="8" w:color="58854E"/>
            </w:tcBorders>
            <w:gridSpan w:val="8"/>
          </w:tcPr>
          <w:p>
            <w:pPr>
              <w:spacing w:after="0"/>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Annual election of directors</w:t>
            </w:r>
          </w:p>
        </w:tc>
        <w:tc>
          <w:tcPr>
            <w:tcW w:w="80" w:type="dxa"/>
            <w:vAlign w:val="bottom"/>
            <w:tcBorders>
              <w:top w:val="single" w:sz="8" w:color="58854E"/>
              <w:bottom w:val="single" w:sz="8" w:color="58854E"/>
            </w:tcBorders>
          </w:tcPr>
          <w:p>
            <w:pPr>
              <w:spacing w:after="0"/>
              <w:rPr>
                <w:sz w:val="15"/>
                <w:szCs w:val="15"/>
                <w:color w:val="auto"/>
              </w:rPr>
            </w:pPr>
          </w:p>
        </w:tc>
        <w:tc>
          <w:tcPr>
            <w:tcW w:w="480" w:type="dxa"/>
            <w:vAlign w:val="bottom"/>
            <w:tcBorders>
              <w:top w:val="single" w:sz="8" w:color="58854E"/>
              <w:bottom w:val="single" w:sz="8" w:color="58854E"/>
            </w:tcBorders>
          </w:tcPr>
          <w:p>
            <w:pPr>
              <w:spacing w:after="0"/>
              <w:rPr>
                <w:sz w:val="15"/>
                <w:szCs w:val="15"/>
                <w:color w:val="auto"/>
              </w:rPr>
            </w:pPr>
          </w:p>
        </w:tc>
        <w:tc>
          <w:tcPr>
            <w:tcW w:w="3420" w:type="dxa"/>
            <w:vAlign w:val="bottom"/>
            <w:tcBorders>
              <w:top w:val="single" w:sz="8" w:color="58854E"/>
              <w:bottom w:val="single" w:sz="8" w:color="58854E"/>
            </w:tcBorders>
            <w:gridSpan w:val="7"/>
          </w:tcPr>
          <w:p>
            <w:pPr>
              <w:ind w:left="660"/>
              <w:spacing w:after="0"/>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Lead Independent Director</w:t>
            </w:r>
          </w:p>
        </w:tc>
        <w:tc>
          <w:tcPr>
            <w:tcW w:w="120" w:type="dxa"/>
            <w:vAlign w:val="bottom"/>
            <w:tcBorders>
              <w:top w:val="single" w:sz="8" w:color="58854E"/>
              <w:bottom w:val="single" w:sz="8" w:color="58854E"/>
            </w:tcBorders>
          </w:tcPr>
          <w:p>
            <w:pPr>
              <w:spacing w:after="0"/>
              <w:rPr>
                <w:sz w:val="15"/>
                <w:szCs w:val="15"/>
                <w:color w:val="auto"/>
              </w:rPr>
            </w:pPr>
          </w:p>
        </w:tc>
        <w:tc>
          <w:tcPr>
            <w:tcW w:w="220" w:type="dxa"/>
            <w:vAlign w:val="bottom"/>
            <w:tcBorders>
              <w:top w:val="single" w:sz="8" w:color="58854E"/>
              <w:bottom w:val="single" w:sz="8" w:color="58854E"/>
            </w:tcBorders>
          </w:tcPr>
          <w:p>
            <w:pPr>
              <w:spacing w:after="0"/>
              <w:rPr>
                <w:sz w:val="15"/>
                <w:szCs w:val="15"/>
                <w:color w:val="auto"/>
              </w:rPr>
            </w:pPr>
          </w:p>
        </w:tc>
        <w:tc>
          <w:tcPr>
            <w:tcW w:w="300" w:type="dxa"/>
            <w:vAlign w:val="bottom"/>
            <w:tcBorders>
              <w:top w:val="single" w:sz="8" w:color="58854E"/>
              <w:bottom w:val="single" w:sz="8" w:color="58854E"/>
            </w:tcBorders>
          </w:tcPr>
          <w:p>
            <w:pPr>
              <w:spacing w:after="0"/>
              <w:rPr>
                <w:sz w:val="15"/>
                <w:szCs w:val="15"/>
                <w:color w:val="auto"/>
              </w:rPr>
            </w:pPr>
          </w:p>
        </w:tc>
        <w:tc>
          <w:tcPr>
            <w:tcW w:w="260" w:type="dxa"/>
            <w:vAlign w:val="bottom"/>
            <w:tcBorders>
              <w:top w:val="single" w:sz="8" w:color="58854E"/>
              <w:bottom w:val="single" w:sz="8" w:color="58854E"/>
            </w:tcBorders>
          </w:tcPr>
          <w:p>
            <w:pPr>
              <w:spacing w:after="0"/>
              <w:rPr>
                <w:sz w:val="15"/>
                <w:szCs w:val="15"/>
                <w:color w:val="auto"/>
              </w:rPr>
            </w:pPr>
          </w:p>
        </w:tc>
        <w:tc>
          <w:tcPr>
            <w:tcW w:w="240" w:type="dxa"/>
            <w:vAlign w:val="bottom"/>
            <w:tcBorders>
              <w:top w:val="single" w:sz="8" w:color="58854E"/>
              <w:bottom w:val="single" w:sz="8" w:color="58854E"/>
            </w:tcBorders>
          </w:tcPr>
          <w:p>
            <w:pPr>
              <w:spacing w:after="0"/>
              <w:rPr>
                <w:sz w:val="15"/>
                <w:szCs w:val="15"/>
                <w:color w:val="auto"/>
              </w:rPr>
            </w:pPr>
          </w:p>
        </w:tc>
        <w:tc>
          <w:tcPr>
            <w:tcW w:w="280" w:type="dxa"/>
            <w:vAlign w:val="bottom"/>
            <w:tcBorders>
              <w:top w:val="single" w:sz="8" w:color="58854E"/>
              <w:bottom w:val="single" w:sz="8" w:color="58854E"/>
            </w:tcBorders>
          </w:tcPr>
          <w:p>
            <w:pPr>
              <w:spacing w:after="0"/>
              <w:rPr>
                <w:sz w:val="15"/>
                <w:szCs w:val="15"/>
                <w:color w:val="auto"/>
              </w:rPr>
            </w:pPr>
          </w:p>
        </w:tc>
        <w:tc>
          <w:tcPr>
            <w:tcW w:w="200" w:type="dxa"/>
            <w:vAlign w:val="bottom"/>
            <w:tcBorders>
              <w:top w:val="single" w:sz="8" w:color="58854E"/>
              <w:bottom w:val="single" w:sz="8" w:color="58854E"/>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820" w:type="dxa"/>
            <w:vAlign w:val="bottom"/>
            <w:tcBorders>
              <w:bottom w:val="single" w:sz="8" w:color="58854E"/>
            </w:tcBorders>
            <w:gridSpan w:val="3"/>
          </w:tcPr>
          <w:p>
            <w:pPr>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7 director nominees</w:t>
            </w:r>
          </w:p>
        </w:tc>
        <w:tc>
          <w:tcPr>
            <w:tcW w:w="780" w:type="dxa"/>
            <w:vAlign w:val="bottom"/>
            <w:tcBorders>
              <w:bottom w:val="single" w:sz="8" w:color="58854E"/>
            </w:tcBorders>
          </w:tcPr>
          <w:p>
            <w:pPr>
              <w:spacing w:after="0"/>
              <w:rPr>
                <w:sz w:val="14"/>
                <w:szCs w:val="14"/>
                <w:color w:val="auto"/>
              </w:rPr>
            </w:pPr>
          </w:p>
        </w:tc>
        <w:tc>
          <w:tcPr>
            <w:tcW w:w="20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460" w:type="dxa"/>
            <w:vAlign w:val="bottom"/>
            <w:tcBorders>
              <w:bottom w:val="single" w:sz="8" w:color="58854E"/>
            </w:tcBorders>
          </w:tcPr>
          <w:p>
            <w:pPr>
              <w:spacing w:after="0"/>
              <w:rPr>
                <w:sz w:val="14"/>
                <w:szCs w:val="14"/>
                <w:color w:val="auto"/>
              </w:rPr>
            </w:pPr>
          </w:p>
        </w:tc>
        <w:tc>
          <w:tcPr>
            <w:tcW w:w="20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480" w:type="dxa"/>
            <w:vAlign w:val="bottom"/>
            <w:tcBorders>
              <w:bottom w:val="single" w:sz="8" w:color="58854E"/>
            </w:tcBorders>
          </w:tcPr>
          <w:p>
            <w:pPr>
              <w:spacing w:after="0"/>
              <w:rPr>
                <w:sz w:val="14"/>
                <w:szCs w:val="14"/>
                <w:color w:val="auto"/>
              </w:rPr>
            </w:pPr>
          </w:p>
        </w:tc>
        <w:tc>
          <w:tcPr>
            <w:tcW w:w="5040" w:type="dxa"/>
            <w:vAlign w:val="bottom"/>
            <w:tcBorders>
              <w:bottom w:val="single" w:sz="8" w:color="58854E"/>
            </w:tcBorders>
            <w:gridSpan w:val="14"/>
          </w:tcPr>
          <w:p>
            <w:pPr>
              <w:ind w:left="660"/>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Independent audit, compensation, and governance committees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540" w:type="dxa"/>
            <w:vAlign w:val="bottom"/>
            <w:tcBorders>
              <w:bottom w:val="single" w:sz="8" w:color="58854E"/>
            </w:tcBorders>
            <w:gridSpan w:val="8"/>
          </w:tcPr>
          <w:p>
            <w:pPr>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3 independent director nominees</w:t>
            </w:r>
          </w:p>
        </w:tc>
        <w:tc>
          <w:tcPr>
            <w:tcW w:w="80" w:type="dxa"/>
            <w:vAlign w:val="bottom"/>
            <w:tcBorders>
              <w:bottom w:val="single" w:sz="8" w:color="58854E"/>
            </w:tcBorders>
          </w:tcPr>
          <w:p>
            <w:pPr>
              <w:spacing w:after="0"/>
              <w:rPr>
                <w:sz w:val="14"/>
                <w:szCs w:val="14"/>
                <w:color w:val="auto"/>
              </w:rPr>
            </w:pPr>
          </w:p>
        </w:tc>
        <w:tc>
          <w:tcPr>
            <w:tcW w:w="480" w:type="dxa"/>
            <w:vAlign w:val="bottom"/>
            <w:tcBorders>
              <w:bottom w:val="single" w:sz="8" w:color="58854E"/>
            </w:tcBorders>
          </w:tcPr>
          <w:p>
            <w:pPr>
              <w:spacing w:after="0"/>
              <w:rPr>
                <w:sz w:val="14"/>
                <w:szCs w:val="14"/>
                <w:color w:val="auto"/>
              </w:rPr>
            </w:pPr>
          </w:p>
        </w:tc>
        <w:tc>
          <w:tcPr>
            <w:tcW w:w="4320" w:type="dxa"/>
            <w:vAlign w:val="bottom"/>
            <w:tcBorders>
              <w:bottom w:val="single" w:sz="8" w:color="58854E"/>
            </w:tcBorders>
            <w:gridSpan w:val="11"/>
          </w:tcPr>
          <w:p>
            <w:pPr>
              <w:ind w:left="660"/>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Regular executive sessions of independent directors</w:t>
            </w:r>
          </w:p>
        </w:tc>
        <w:tc>
          <w:tcPr>
            <w:tcW w:w="240" w:type="dxa"/>
            <w:vAlign w:val="bottom"/>
            <w:tcBorders>
              <w:bottom w:val="single" w:sz="8" w:color="58854E"/>
            </w:tcBorders>
          </w:tcPr>
          <w:p>
            <w:pPr>
              <w:spacing w:after="0"/>
              <w:rPr>
                <w:sz w:val="14"/>
                <w:szCs w:val="14"/>
                <w:color w:val="auto"/>
              </w:rPr>
            </w:pPr>
          </w:p>
        </w:tc>
        <w:tc>
          <w:tcPr>
            <w:tcW w:w="280" w:type="dxa"/>
            <w:vAlign w:val="bottom"/>
            <w:tcBorders>
              <w:bottom w:val="single" w:sz="8" w:color="58854E"/>
            </w:tcBorders>
          </w:tcPr>
          <w:p>
            <w:pPr>
              <w:spacing w:after="0"/>
              <w:rPr>
                <w:sz w:val="14"/>
                <w:szCs w:val="14"/>
                <w:color w:val="auto"/>
              </w:rPr>
            </w:pPr>
          </w:p>
        </w:tc>
        <w:tc>
          <w:tcPr>
            <w:tcW w:w="200" w:type="dxa"/>
            <w:vAlign w:val="bottom"/>
            <w:tcBorders>
              <w:bottom w:val="single" w:sz="8" w:color="58854E"/>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540" w:type="dxa"/>
            <w:vAlign w:val="bottom"/>
            <w:tcBorders>
              <w:bottom w:val="single" w:sz="8" w:color="58854E"/>
            </w:tcBorders>
            <w:gridSpan w:val="8"/>
          </w:tcPr>
          <w:p>
            <w:pPr>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Risk oversight by full Board and committees</w:t>
            </w:r>
          </w:p>
        </w:tc>
        <w:tc>
          <w:tcPr>
            <w:tcW w:w="80" w:type="dxa"/>
            <w:vAlign w:val="bottom"/>
            <w:tcBorders>
              <w:bottom w:val="single" w:sz="8" w:color="58854E"/>
            </w:tcBorders>
          </w:tcPr>
          <w:p>
            <w:pPr>
              <w:spacing w:after="0"/>
              <w:rPr>
                <w:sz w:val="14"/>
                <w:szCs w:val="14"/>
                <w:color w:val="auto"/>
              </w:rPr>
            </w:pPr>
          </w:p>
        </w:tc>
        <w:tc>
          <w:tcPr>
            <w:tcW w:w="480" w:type="dxa"/>
            <w:vAlign w:val="bottom"/>
            <w:tcBorders>
              <w:bottom w:val="single" w:sz="8" w:color="58854E"/>
            </w:tcBorders>
          </w:tcPr>
          <w:p>
            <w:pPr>
              <w:spacing w:after="0"/>
              <w:rPr>
                <w:sz w:val="14"/>
                <w:szCs w:val="14"/>
                <w:color w:val="auto"/>
              </w:rPr>
            </w:pPr>
          </w:p>
        </w:tc>
        <w:tc>
          <w:tcPr>
            <w:tcW w:w="3420" w:type="dxa"/>
            <w:vAlign w:val="bottom"/>
            <w:tcBorders>
              <w:bottom w:val="single" w:sz="8" w:color="58854E"/>
            </w:tcBorders>
            <w:gridSpan w:val="7"/>
          </w:tcPr>
          <w:p>
            <w:pPr>
              <w:ind w:left="660"/>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Anti-hedging and anti-pledging policies</w:t>
            </w:r>
          </w:p>
        </w:tc>
        <w:tc>
          <w:tcPr>
            <w:tcW w:w="120" w:type="dxa"/>
            <w:vAlign w:val="bottom"/>
            <w:tcBorders>
              <w:bottom w:val="single" w:sz="8" w:color="58854E"/>
            </w:tcBorders>
          </w:tcPr>
          <w:p>
            <w:pPr>
              <w:spacing w:after="0"/>
              <w:rPr>
                <w:sz w:val="14"/>
                <w:szCs w:val="14"/>
                <w:color w:val="auto"/>
              </w:rPr>
            </w:pPr>
          </w:p>
        </w:tc>
        <w:tc>
          <w:tcPr>
            <w:tcW w:w="220" w:type="dxa"/>
            <w:vAlign w:val="bottom"/>
            <w:tcBorders>
              <w:bottom w:val="single" w:sz="8" w:color="58854E"/>
            </w:tcBorders>
          </w:tcPr>
          <w:p>
            <w:pPr>
              <w:spacing w:after="0"/>
              <w:rPr>
                <w:sz w:val="14"/>
                <w:szCs w:val="14"/>
                <w:color w:val="auto"/>
              </w:rPr>
            </w:pPr>
          </w:p>
        </w:tc>
        <w:tc>
          <w:tcPr>
            <w:tcW w:w="300" w:type="dxa"/>
            <w:vAlign w:val="bottom"/>
            <w:tcBorders>
              <w:bottom w:val="single" w:sz="8" w:color="58854E"/>
            </w:tcBorders>
          </w:tcPr>
          <w:p>
            <w:pPr>
              <w:spacing w:after="0"/>
              <w:rPr>
                <w:sz w:val="14"/>
                <w:szCs w:val="14"/>
                <w:color w:val="auto"/>
              </w:rPr>
            </w:pPr>
          </w:p>
        </w:tc>
        <w:tc>
          <w:tcPr>
            <w:tcW w:w="260" w:type="dxa"/>
            <w:vAlign w:val="bottom"/>
            <w:tcBorders>
              <w:bottom w:val="single" w:sz="8" w:color="58854E"/>
            </w:tcBorders>
          </w:tcPr>
          <w:p>
            <w:pPr>
              <w:spacing w:after="0"/>
              <w:rPr>
                <w:sz w:val="14"/>
                <w:szCs w:val="14"/>
                <w:color w:val="auto"/>
              </w:rPr>
            </w:pPr>
          </w:p>
        </w:tc>
        <w:tc>
          <w:tcPr>
            <w:tcW w:w="240" w:type="dxa"/>
            <w:vAlign w:val="bottom"/>
            <w:tcBorders>
              <w:bottom w:val="single" w:sz="8" w:color="58854E"/>
            </w:tcBorders>
          </w:tcPr>
          <w:p>
            <w:pPr>
              <w:spacing w:after="0"/>
              <w:rPr>
                <w:sz w:val="14"/>
                <w:szCs w:val="14"/>
                <w:color w:val="auto"/>
              </w:rPr>
            </w:pPr>
          </w:p>
        </w:tc>
        <w:tc>
          <w:tcPr>
            <w:tcW w:w="280" w:type="dxa"/>
            <w:vAlign w:val="bottom"/>
            <w:tcBorders>
              <w:bottom w:val="single" w:sz="8" w:color="58854E"/>
            </w:tcBorders>
          </w:tcPr>
          <w:p>
            <w:pPr>
              <w:spacing w:after="0"/>
              <w:rPr>
                <w:sz w:val="14"/>
                <w:szCs w:val="14"/>
                <w:color w:val="auto"/>
              </w:rPr>
            </w:pPr>
          </w:p>
        </w:tc>
        <w:tc>
          <w:tcPr>
            <w:tcW w:w="200" w:type="dxa"/>
            <w:vAlign w:val="bottom"/>
            <w:tcBorders>
              <w:bottom w:val="single" w:sz="8" w:color="58854E"/>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4100" w:type="dxa"/>
            <w:vAlign w:val="bottom"/>
            <w:tcBorders>
              <w:bottom w:val="single" w:sz="8" w:color="58854E"/>
            </w:tcBorders>
            <w:gridSpan w:val="10"/>
          </w:tcPr>
          <w:p>
            <w:pPr>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Annual self-evaluation of full Board and each committee</w:t>
            </w:r>
          </w:p>
        </w:tc>
        <w:tc>
          <w:tcPr>
            <w:tcW w:w="4320" w:type="dxa"/>
            <w:vAlign w:val="bottom"/>
            <w:tcBorders>
              <w:bottom w:val="single" w:sz="8" w:color="58854E"/>
            </w:tcBorders>
            <w:gridSpan w:val="11"/>
          </w:tcPr>
          <w:p>
            <w:pPr>
              <w:ind w:left="660"/>
              <w:spacing w:after="0" w:line="162" w:lineRule="exact"/>
              <w:rPr>
                <w:sz w:val="20"/>
                <w:szCs w:val="20"/>
                <w:color w:val="auto"/>
              </w:rPr>
            </w:pPr>
            <w:r>
              <w:rPr>
                <w:rFonts w:ascii="Arial" w:cs="Arial" w:eastAsia="Arial" w:hAnsi="Arial"/>
                <w:sz w:val="15"/>
                <w:szCs w:val="15"/>
                <w:color w:val="58844D"/>
                <w:w w:val="98"/>
              </w:rPr>
              <w:t xml:space="preserve">• </w:t>
            </w:r>
            <w:r>
              <w:rPr>
                <w:rFonts w:ascii="Arial" w:cs="Arial" w:eastAsia="Arial" w:hAnsi="Arial"/>
                <w:sz w:val="15"/>
                <w:szCs w:val="15"/>
                <w:color w:val="000000"/>
                <w:w w:val="98"/>
              </w:rPr>
              <w:t>Director orientation and continuing education program</w:t>
            </w:r>
          </w:p>
        </w:tc>
        <w:tc>
          <w:tcPr>
            <w:tcW w:w="240" w:type="dxa"/>
            <w:vAlign w:val="bottom"/>
            <w:tcBorders>
              <w:bottom w:val="single" w:sz="8" w:color="58854E"/>
            </w:tcBorders>
          </w:tcPr>
          <w:p>
            <w:pPr>
              <w:spacing w:after="0"/>
              <w:rPr>
                <w:sz w:val="14"/>
                <w:szCs w:val="14"/>
                <w:color w:val="auto"/>
              </w:rPr>
            </w:pPr>
          </w:p>
        </w:tc>
        <w:tc>
          <w:tcPr>
            <w:tcW w:w="280" w:type="dxa"/>
            <w:vAlign w:val="bottom"/>
            <w:tcBorders>
              <w:bottom w:val="single" w:sz="8" w:color="58854E"/>
            </w:tcBorders>
          </w:tcPr>
          <w:p>
            <w:pPr>
              <w:spacing w:after="0"/>
              <w:rPr>
                <w:sz w:val="14"/>
                <w:szCs w:val="14"/>
                <w:color w:val="auto"/>
              </w:rPr>
            </w:pPr>
          </w:p>
        </w:tc>
        <w:tc>
          <w:tcPr>
            <w:tcW w:w="200" w:type="dxa"/>
            <w:vAlign w:val="bottom"/>
            <w:tcBorders>
              <w:bottom w:val="single" w:sz="8" w:color="58854E"/>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1680" w:type="dxa"/>
            <w:vAlign w:val="bottom"/>
            <w:gridSpan w:val="3"/>
          </w:tcPr>
          <w:p>
            <w:pPr>
              <w:spacing w:after="0"/>
              <w:rPr>
                <w:sz w:val="20"/>
                <w:szCs w:val="20"/>
                <w:color w:val="auto"/>
              </w:rPr>
            </w:pPr>
            <w:r>
              <w:rPr>
                <w:rFonts w:ascii="Arial" w:cs="Arial" w:eastAsia="Arial" w:hAnsi="Arial"/>
                <w:sz w:val="18"/>
                <w:szCs w:val="18"/>
                <w:color w:val="58844D"/>
              </w:rPr>
              <w:t>Director Nominees</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00" w:type="dxa"/>
            <w:vAlign w:val="bottom"/>
            <w:shd w:val="clear" w:color="auto" w:fill="58854E"/>
          </w:tcPr>
          <w:p>
            <w:pPr>
              <w:spacing w:after="0"/>
              <w:rPr>
                <w:sz w:val="10"/>
                <w:szCs w:val="10"/>
                <w:color w:val="auto"/>
              </w:rPr>
            </w:pPr>
          </w:p>
        </w:tc>
        <w:tc>
          <w:tcPr>
            <w:tcW w:w="140" w:type="dxa"/>
            <w:vAlign w:val="bottom"/>
            <w:shd w:val="clear" w:color="auto" w:fill="58854E"/>
          </w:tcPr>
          <w:p>
            <w:pPr>
              <w:spacing w:after="0"/>
              <w:rPr>
                <w:sz w:val="10"/>
                <w:szCs w:val="10"/>
                <w:color w:val="auto"/>
              </w:rPr>
            </w:pPr>
          </w:p>
        </w:tc>
        <w:tc>
          <w:tcPr>
            <w:tcW w:w="1280" w:type="dxa"/>
            <w:vAlign w:val="bottom"/>
            <w:shd w:val="clear" w:color="auto" w:fill="58854E"/>
          </w:tcPr>
          <w:p>
            <w:pPr>
              <w:spacing w:after="0"/>
              <w:rPr>
                <w:sz w:val="10"/>
                <w:szCs w:val="10"/>
                <w:color w:val="auto"/>
              </w:rPr>
            </w:pPr>
          </w:p>
        </w:tc>
        <w:tc>
          <w:tcPr>
            <w:tcW w:w="780" w:type="dxa"/>
            <w:vAlign w:val="bottom"/>
            <w:shd w:val="clear" w:color="auto" w:fill="58854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460" w:type="dxa"/>
            <w:vAlign w:val="bottom"/>
            <w:shd w:val="clear" w:color="auto" w:fill="58854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480" w:type="dxa"/>
            <w:vAlign w:val="bottom"/>
            <w:shd w:val="clear" w:color="auto" w:fill="58854E"/>
          </w:tcPr>
          <w:p>
            <w:pPr>
              <w:spacing w:after="0"/>
              <w:rPr>
                <w:sz w:val="10"/>
                <w:szCs w:val="10"/>
                <w:color w:val="auto"/>
              </w:rPr>
            </w:pPr>
          </w:p>
        </w:tc>
        <w:tc>
          <w:tcPr>
            <w:tcW w:w="680" w:type="dxa"/>
            <w:vAlign w:val="bottom"/>
            <w:shd w:val="clear" w:color="auto" w:fill="58854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1000" w:type="dxa"/>
            <w:vAlign w:val="bottom"/>
            <w:shd w:val="clear" w:color="auto" w:fill="58854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1140" w:type="dxa"/>
            <w:vAlign w:val="bottom"/>
            <w:shd w:val="clear" w:color="auto" w:fill="58854E"/>
          </w:tcPr>
          <w:p>
            <w:pPr>
              <w:spacing w:after="0"/>
              <w:rPr>
                <w:sz w:val="10"/>
                <w:szCs w:val="10"/>
                <w:color w:val="auto"/>
              </w:rPr>
            </w:pPr>
          </w:p>
        </w:tc>
        <w:tc>
          <w:tcPr>
            <w:tcW w:w="120" w:type="dxa"/>
            <w:vAlign w:val="bottom"/>
            <w:shd w:val="clear" w:color="auto" w:fill="58854E"/>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shd w:val="clear" w:color="auto" w:fill="58854E"/>
          </w:tcPr>
          <w:p>
            <w:pPr>
              <w:spacing w:after="0"/>
              <w:rPr>
                <w:sz w:val="10"/>
                <w:szCs w:val="10"/>
                <w:color w:val="auto"/>
              </w:rPr>
            </w:pPr>
          </w:p>
        </w:tc>
        <w:tc>
          <w:tcPr>
            <w:tcW w:w="780" w:type="dxa"/>
            <w:vAlign w:val="bottom"/>
            <w:tcBorders>
              <w:right w:val="single" w:sz="8" w:color="58854E"/>
            </w:tcBorders>
            <w:gridSpan w:val="3"/>
            <w:shd w:val="clear" w:color="auto" w:fill="58854E"/>
          </w:tcPr>
          <w:p>
            <w:pPr>
              <w:jc w:val="center"/>
              <w:spacing w:after="0" w:line="124" w:lineRule="exact"/>
              <w:rPr>
                <w:sz w:val="20"/>
                <w:szCs w:val="20"/>
                <w:color w:val="auto"/>
              </w:rPr>
            </w:pPr>
            <w:r>
              <w:rPr>
                <w:rFonts w:ascii="Arial" w:cs="Arial" w:eastAsia="Arial" w:hAnsi="Arial"/>
                <w:sz w:val="12"/>
                <w:szCs w:val="12"/>
                <w:b w:val="1"/>
                <w:bCs w:val="1"/>
                <w:color w:val="FFFFFE"/>
                <w:w w:val="99"/>
              </w:rPr>
              <w:t>COMMITTEE</w:t>
            </w:r>
          </w:p>
        </w:tc>
        <w:tc>
          <w:tcPr>
            <w:tcW w:w="200" w:type="dxa"/>
            <w:vAlign w:val="bottom"/>
            <w:shd w:val="clear" w:color="auto" w:fill="58854E"/>
          </w:tcPr>
          <w:p>
            <w:pPr>
              <w:spacing w:after="0"/>
              <w:rPr>
                <w:sz w:val="10"/>
                <w:szCs w:val="10"/>
                <w:color w:val="auto"/>
              </w:rPr>
            </w:pPr>
          </w:p>
        </w:tc>
        <w:tc>
          <w:tcPr>
            <w:tcW w:w="120" w:type="dxa"/>
            <w:vAlign w:val="bottom"/>
            <w:shd w:val="clear" w:color="auto" w:fill="58854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00" w:type="dxa"/>
            <w:vAlign w:val="bottom"/>
            <w:shd w:val="clear" w:color="auto" w:fill="58854E"/>
          </w:tcPr>
          <w:p>
            <w:pPr>
              <w:spacing w:after="0"/>
              <w:rPr>
                <w:sz w:val="15"/>
                <w:szCs w:val="15"/>
                <w:color w:val="auto"/>
              </w:rPr>
            </w:pPr>
          </w:p>
        </w:tc>
        <w:tc>
          <w:tcPr>
            <w:tcW w:w="140" w:type="dxa"/>
            <w:vAlign w:val="bottom"/>
            <w:shd w:val="clear" w:color="auto" w:fill="58854E"/>
          </w:tcPr>
          <w:p>
            <w:pPr>
              <w:spacing w:after="0"/>
              <w:rPr>
                <w:sz w:val="15"/>
                <w:szCs w:val="15"/>
                <w:color w:val="auto"/>
              </w:rPr>
            </w:pPr>
          </w:p>
        </w:tc>
        <w:tc>
          <w:tcPr>
            <w:tcW w:w="1280" w:type="dxa"/>
            <w:vAlign w:val="bottom"/>
            <w:shd w:val="clear" w:color="auto" w:fill="58854E"/>
          </w:tcPr>
          <w:p>
            <w:pPr>
              <w:spacing w:after="0"/>
              <w:rPr>
                <w:sz w:val="15"/>
                <w:szCs w:val="15"/>
                <w:color w:val="auto"/>
              </w:rPr>
            </w:pPr>
          </w:p>
        </w:tc>
        <w:tc>
          <w:tcPr>
            <w:tcW w:w="780" w:type="dxa"/>
            <w:vAlign w:val="bottom"/>
            <w:shd w:val="clear" w:color="auto" w:fill="58854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shd w:val="clear" w:color="auto" w:fill="58854E"/>
          </w:tcPr>
          <w:p>
            <w:pPr>
              <w:spacing w:after="0"/>
              <w:rPr>
                <w:sz w:val="15"/>
                <w:szCs w:val="15"/>
                <w:color w:val="auto"/>
              </w:rPr>
            </w:pPr>
          </w:p>
        </w:tc>
        <w:tc>
          <w:tcPr>
            <w:tcW w:w="460" w:type="dxa"/>
            <w:vAlign w:val="bottom"/>
            <w:shd w:val="clear" w:color="auto" w:fill="58854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shd w:val="clear" w:color="auto" w:fill="58854E"/>
          </w:tcPr>
          <w:p>
            <w:pPr>
              <w:spacing w:after="0"/>
              <w:rPr>
                <w:sz w:val="15"/>
                <w:szCs w:val="15"/>
                <w:color w:val="auto"/>
              </w:rPr>
            </w:pPr>
          </w:p>
        </w:tc>
        <w:tc>
          <w:tcPr>
            <w:tcW w:w="480" w:type="dxa"/>
            <w:vAlign w:val="bottom"/>
            <w:shd w:val="clear" w:color="auto" w:fill="58854E"/>
          </w:tcPr>
          <w:p>
            <w:pPr>
              <w:spacing w:after="0"/>
              <w:rPr>
                <w:sz w:val="15"/>
                <w:szCs w:val="15"/>
                <w:color w:val="auto"/>
              </w:rPr>
            </w:pPr>
          </w:p>
        </w:tc>
        <w:tc>
          <w:tcPr>
            <w:tcW w:w="680" w:type="dxa"/>
            <w:vAlign w:val="bottom"/>
            <w:shd w:val="clear" w:color="auto" w:fill="58854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shd w:val="clear" w:color="auto" w:fill="58854E"/>
          </w:tcPr>
          <w:p>
            <w:pPr>
              <w:spacing w:after="0"/>
              <w:rPr>
                <w:sz w:val="15"/>
                <w:szCs w:val="15"/>
                <w:color w:val="auto"/>
              </w:rPr>
            </w:pPr>
          </w:p>
        </w:tc>
        <w:tc>
          <w:tcPr>
            <w:tcW w:w="1000" w:type="dxa"/>
            <w:vAlign w:val="bottom"/>
            <w:shd w:val="clear" w:color="auto" w:fill="58854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shd w:val="clear" w:color="auto" w:fill="58854E"/>
          </w:tcPr>
          <w:p>
            <w:pPr>
              <w:spacing w:after="0"/>
              <w:rPr>
                <w:sz w:val="15"/>
                <w:szCs w:val="15"/>
                <w:color w:val="auto"/>
              </w:rPr>
            </w:pPr>
          </w:p>
        </w:tc>
        <w:tc>
          <w:tcPr>
            <w:tcW w:w="1140" w:type="dxa"/>
            <w:vAlign w:val="bottom"/>
            <w:shd w:val="clear" w:color="auto" w:fill="58854E"/>
          </w:tcPr>
          <w:p>
            <w:pPr>
              <w:spacing w:after="0"/>
              <w:rPr>
                <w:sz w:val="15"/>
                <w:szCs w:val="15"/>
                <w:color w:val="auto"/>
              </w:rPr>
            </w:pPr>
          </w:p>
        </w:tc>
        <w:tc>
          <w:tcPr>
            <w:tcW w:w="120" w:type="dxa"/>
            <w:vAlign w:val="bottom"/>
            <w:shd w:val="clear" w:color="auto" w:fill="58854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6"/>
            <w:shd w:val="clear" w:color="auto" w:fill="58854E"/>
          </w:tcPr>
          <w:p>
            <w:pPr>
              <w:jc w:val="center"/>
              <w:spacing w:after="0" w:line="172" w:lineRule="exact"/>
              <w:rPr>
                <w:sz w:val="20"/>
                <w:szCs w:val="20"/>
                <w:color w:val="auto"/>
              </w:rPr>
            </w:pPr>
            <w:r>
              <w:rPr>
                <w:rFonts w:ascii="Arial" w:cs="Arial" w:eastAsia="Arial" w:hAnsi="Arial"/>
                <w:sz w:val="12"/>
                <w:szCs w:val="12"/>
                <w:b w:val="1"/>
                <w:bCs w:val="1"/>
                <w:color w:val="FFFFFE"/>
                <w:w w:val="99"/>
              </w:rPr>
              <w:t>MEMBERSHIPS</w:t>
            </w:r>
            <w:r>
              <w:rPr>
                <w:rFonts w:ascii="Arial" w:cs="Arial" w:eastAsia="Arial" w:hAnsi="Arial"/>
                <w:sz w:val="18"/>
                <w:szCs w:val="18"/>
                <w:b w:val="1"/>
                <w:bCs w:val="1"/>
                <w:color w:val="FFFFFE"/>
                <w:w w:val="99"/>
                <w:vertAlign w:val="superscript"/>
              </w:rPr>
              <w:t>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820" w:type="dxa"/>
            <w:vAlign w:val="bottom"/>
            <w:gridSpan w:val="3"/>
            <w:vMerge w:val="restart"/>
            <w:shd w:val="clear" w:color="auto" w:fill="58854E"/>
          </w:tcPr>
          <w:p>
            <w:pPr>
              <w:spacing w:after="0"/>
              <w:rPr>
                <w:sz w:val="20"/>
                <w:szCs w:val="20"/>
                <w:color w:val="auto"/>
              </w:rPr>
            </w:pPr>
            <w:r>
              <w:rPr>
                <w:rFonts w:ascii="Arial" w:cs="Arial" w:eastAsia="Arial" w:hAnsi="Arial"/>
                <w:sz w:val="12"/>
                <w:szCs w:val="12"/>
                <w:b w:val="1"/>
                <w:bCs w:val="1"/>
                <w:color w:val="FFFFFE"/>
                <w:w w:val="99"/>
              </w:rPr>
              <w:t>NAME, PRIMARY OCCUPATION</w:t>
            </w:r>
          </w:p>
        </w:tc>
        <w:tc>
          <w:tcPr>
            <w:tcW w:w="780" w:type="dxa"/>
            <w:vAlign w:val="bottom"/>
            <w:shd w:val="clear" w:color="auto" w:fill="58854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460" w:type="dxa"/>
            <w:vAlign w:val="bottom"/>
            <w:vMerge w:val="restart"/>
            <w:shd w:val="clear" w:color="auto" w:fill="58854E"/>
          </w:tcPr>
          <w:p>
            <w:pPr>
              <w:jc w:val="right"/>
              <w:ind w:right="39"/>
              <w:spacing w:after="0"/>
              <w:rPr>
                <w:sz w:val="20"/>
                <w:szCs w:val="20"/>
                <w:color w:val="auto"/>
              </w:rPr>
            </w:pPr>
            <w:r>
              <w:rPr>
                <w:rFonts w:ascii="Arial" w:cs="Arial" w:eastAsia="Arial" w:hAnsi="Arial"/>
                <w:sz w:val="12"/>
                <w:szCs w:val="12"/>
                <w:b w:val="1"/>
                <w:bCs w:val="1"/>
                <w:color w:val="FFFFFE"/>
              </w:rPr>
              <w:t>AGE</w:t>
            </w:r>
          </w:p>
        </w:tc>
        <w:tc>
          <w:tcPr>
            <w:tcW w:w="20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1160" w:type="dxa"/>
            <w:vAlign w:val="bottom"/>
            <w:gridSpan w:val="2"/>
            <w:vMerge w:val="restart"/>
            <w:shd w:val="clear" w:color="auto" w:fill="58854E"/>
          </w:tcPr>
          <w:p>
            <w:pPr>
              <w:ind w:left="60"/>
              <w:spacing w:after="0"/>
              <w:rPr>
                <w:sz w:val="20"/>
                <w:szCs w:val="20"/>
                <w:color w:val="auto"/>
              </w:rPr>
            </w:pPr>
            <w:r>
              <w:rPr>
                <w:rFonts w:ascii="Arial" w:cs="Arial" w:eastAsia="Arial" w:hAnsi="Arial"/>
                <w:sz w:val="12"/>
                <w:szCs w:val="12"/>
                <w:b w:val="1"/>
                <w:bCs w:val="1"/>
                <w:color w:val="FFFFFE"/>
              </w:rPr>
              <w:t>DIRECTOR SINCE</w:t>
            </w:r>
          </w:p>
        </w:tc>
        <w:tc>
          <w:tcPr>
            <w:tcW w:w="2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1000" w:type="dxa"/>
            <w:vAlign w:val="bottom"/>
            <w:vMerge w:val="restart"/>
            <w:shd w:val="clear" w:color="auto" w:fill="58854E"/>
          </w:tcPr>
          <w:p>
            <w:pPr>
              <w:ind w:left="60"/>
              <w:spacing w:after="0"/>
              <w:rPr>
                <w:sz w:val="20"/>
                <w:szCs w:val="20"/>
                <w:color w:val="auto"/>
              </w:rPr>
            </w:pPr>
            <w:r>
              <w:rPr>
                <w:rFonts w:ascii="Arial" w:cs="Arial" w:eastAsia="Arial" w:hAnsi="Arial"/>
                <w:sz w:val="12"/>
                <w:szCs w:val="12"/>
                <w:b w:val="1"/>
                <w:bCs w:val="1"/>
                <w:color w:val="FFFFFE"/>
              </w:rPr>
              <w:t>INDEPENDENT</w:t>
            </w:r>
          </w:p>
        </w:tc>
        <w:tc>
          <w:tcPr>
            <w:tcW w:w="2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1140" w:type="dxa"/>
            <w:vAlign w:val="bottom"/>
            <w:shd w:val="clear" w:color="auto" w:fill="58854E"/>
          </w:tcPr>
          <w:p>
            <w:pPr>
              <w:jc w:val="center"/>
              <w:ind w:left="59"/>
              <w:spacing w:after="0" w:line="127" w:lineRule="exact"/>
              <w:rPr>
                <w:sz w:val="20"/>
                <w:szCs w:val="20"/>
                <w:color w:val="auto"/>
              </w:rPr>
            </w:pPr>
            <w:r>
              <w:rPr>
                <w:rFonts w:ascii="Arial" w:cs="Arial" w:eastAsia="Arial" w:hAnsi="Arial"/>
                <w:sz w:val="12"/>
                <w:szCs w:val="12"/>
                <w:b w:val="1"/>
                <w:bCs w:val="1"/>
                <w:color w:val="FFFFFE"/>
                <w:w w:val="99"/>
              </w:rPr>
              <w:t>OTHER PUBLIC</w:t>
            </w:r>
          </w:p>
        </w:tc>
        <w:tc>
          <w:tcPr>
            <w:tcW w:w="120" w:type="dxa"/>
            <w:vAlign w:val="bottom"/>
            <w:shd w:val="clear" w:color="auto" w:fill="58854E"/>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vMerge w:val="restart"/>
            <w:shd w:val="clear" w:color="auto" w:fill="58854E"/>
          </w:tcPr>
          <w:p>
            <w:pPr>
              <w:jc w:val="center"/>
              <w:spacing w:after="0"/>
              <w:rPr>
                <w:sz w:val="20"/>
                <w:szCs w:val="20"/>
                <w:color w:val="auto"/>
              </w:rPr>
            </w:pPr>
            <w:r>
              <w:rPr>
                <w:rFonts w:ascii="Arial" w:cs="Arial" w:eastAsia="Arial" w:hAnsi="Arial"/>
                <w:sz w:val="12"/>
                <w:szCs w:val="12"/>
                <w:b w:val="1"/>
                <w:bCs w:val="1"/>
                <w:color w:val="FFFFFE"/>
              </w:rPr>
              <w:t>A</w:t>
            </w:r>
          </w:p>
        </w:tc>
        <w:tc>
          <w:tcPr>
            <w:tcW w:w="260" w:type="dxa"/>
            <w:vAlign w:val="bottom"/>
            <w:tcBorders>
              <w:right w:val="single" w:sz="8" w:color="58854E"/>
            </w:tcBorders>
          </w:tcPr>
          <w:p>
            <w:pPr>
              <w:spacing w:after="0"/>
              <w:rPr>
                <w:sz w:val="11"/>
                <w:szCs w:val="11"/>
                <w:color w:val="auto"/>
              </w:rPr>
            </w:pPr>
          </w:p>
        </w:tc>
        <w:tc>
          <w:tcPr>
            <w:tcW w:w="240" w:type="dxa"/>
            <w:vAlign w:val="bottom"/>
            <w:vMerge w:val="restart"/>
            <w:shd w:val="clear" w:color="auto" w:fill="58854E"/>
          </w:tcPr>
          <w:p>
            <w:pPr>
              <w:jc w:val="center"/>
              <w:spacing w:after="0"/>
              <w:rPr>
                <w:sz w:val="20"/>
                <w:szCs w:val="20"/>
                <w:color w:val="auto"/>
              </w:rPr>
            </w:pPr>
            <w:r>
              <w:rPr>
                <w:rFonts w:ascii="Arial" w:cs="Arial" w:eastAsia="Arial" w:hAnsi="Arial"/>
                <w:sz w:val="12"/>
                <w:szCs w:val="12"/>
                <w:b w:val="1"/>
                <w:bCs w:val="1"/>
                <w:color w:val="FFFFFE"/>
                <w:w w:val="91"/>
              </w:rPr>
              <w:t>C</w:t>
            </w:r>
          </w:p>
        </w:tc>
        <w:tc>
          <w:tcPr>
            <w:tcW w:w="280" w:type="dxa"/>
            <w:vAlign w:val="bottom"/>
            <w:tcBorders>
              <w:right w:val="single" w:sz="8" w:color="58854E"/>
            </w:tcBorders>
          </w:tcPr>
          <w:p>
            <w:pPr>
              <w:spacing w:after="0"/>
              <w:rPr>
                <w:sz w:val="11"/>
                <w:szCs w:val="11"/>
                <w:color w:val="auto"/>
              </w:rPr>
            </w:pPr>
          </w:p>
        </w:tc>
        <w:tc>
          <w:tcPr>
            <w:tcW w:w="320" w:type="dxa"/>
            <w:vAlign w:val="bottom"/>
            <w:gridSpan w:val="2"/>
            <w:vMerge w:val="restart"/>
            <w:shd w:val="clear" w:color="auto" w:fill="58854E"/>
          </w:tcPr>
          <w:p>
            <w:pPr>
              <w:jc w:val="center"/>
              <w:ind w:right="60"/>
              <w:spacing w:after="0"/>
              <w:rPr>
                <w:sz w:val="20"/>
                <w:szCs w:val="20"/>
                <w:color w:val="auto"/>
              </w:rPr>
            </w:pPr>
            <w:r>
              <w:rPr>
                <w:rFonts w:ascii="Arial" w:cs="Arial" w:eastAsia="Arial" w:hAnsi="Arial"/>
                <w:sz w:val="12"/>
                <w:szCs w:val="12"/>
                <w:b w:val="1"/>
                <w:bCs w:val="1"/>
                <w:color w:val="FFFFFE"/>
                <w:w w:val="97"/>
              </w:rPr>
              <w:t>GCN</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1820" w:type="dxa"/>
            <w:vAlign w:val="bottom"/>
            <w:tcBorders>
              <w:bottom w:val="single" w:sz="8" w:color="58854E"/>
            </w:tcBorders>
            <w:gridSpan w:val="3"/>
            <w:vMerge w:val="continue"/>
            <w:shd w:val="clear" w:color="auto" w:fill="58854E"/>
          </w:tcPr>
          <w:p>
            <w:pPr>
              <w:spacing w:after="0"/>
              <w:rPr>
                <w:sz w:val="11"/>
                <w:szCs w:val="11"/>
                <w:color w:val="auto"/>
              </w:rPr>
            </w:pPr>
          </w:p>
        </w:tc>
        <w:tc>
          <w:tcPr>
            <w:tcW w:w="780" w:type="dxa"/>
            <w:vAlign w:val="bottom"/>
            <w:tcBorders>
              <w:bottom w:val="single" w:sz="8" w:color="58854E"/>
            </w:tcBorders>
            <w:shd w:val="clear" w:color="auto" w:fill="58854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58854E"/>
            </w:tcBorders>
            <w:shd w:val="clear" w:color="auto" w:fill="58854E"/>
          </w:tcPr>
          <w:p>
            <w:pPr>
              <w:spacing w:after="0"/>
              <w:rPr>
                <w:sz w:val="11"/>
                <w:szCs w:val="11"/>
                <w:color w:val="auto"/>
              </w:rPr>
            </w:pPr>
          </w:p>
        </w:tc>
        <w:tc>
          <w:tcPr>
            <w:tcW w:w="460" w:type="dxa"/>
            <w:vAlign w:val="bottom"/>
            <w:tcBorders>
              <w:bottom w:val="single" w:sz="8" w:color="58854E"/>
            </w:tcBorders>
            <w:vMerge w:val="continue"/>
            <w:shd w:val="clear" w:color="auto" w:fill="58854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58854E"/>
            </w:tcBorders>
            <w:shd w:val="clear" w:color="auto" w:fill="58854E"/>
          </w:tcPr>
          <w:p>
            <w:pPr>
              <w:spacing w:after="0"/>
              <w:rPr>
                <w:sz w:val="11"/>
                <w:szCs w:val="11"/>
                <w:color w:val="auto"/>
              </w:rPr>
            </w:pPr>
          </w:p>
        </w:tc>
        <w:tc>
          <w:tcPr>
            <w:tcW w:w="1160" w:type="dxa"/>
            <w:vAlign w:val="bottom"/>
            <w:tcBorders>
              <w:bottom w:val="single" w:sz="8" w:color="58854E"/>
            </w:tcBorders>
            <w:gridSpan w:val="2"/>
            <w:vMerge w:val="continue"/>
            <w:shd w:val="clear" w:color="auto" w:fill="58854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58854E"/>
            </w:tcBorders>
            <w:shd w:val="clear" w:color="auto" w:fill="58854E"/>
          </w:tcPr>
          <w:p>
            <w:pPr>
              <w:spacing w:after="0"/>
              <w:rPr>
                <w:sz w:val="11"/>
                <w:szCs w:val="11"/>
                <w:color w:val="auto"/>
              </w:rPr>
            </w:pPr>
          </w:p>
        </w:tc>
        <w:tc>
          <w:tcPr>
            <w:tcW w:w="1000" w:type="dxa"/>
            <w:vAlign w:val="bottom"/>
            <w:tcBorders>
              <w:bottom w:val="single" w:sz="8" w:color="58854E"/>
            </w:tcBorders>
            <w:vMerge w:val="continue"/>
            <w:shd w:val="clear" w:color="auto" w:fill="58854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58854E"/>
            </w:tcBorders>
            <w:shd w:val="clear" w:color="auto" w:fill="58854E"/>
          </w:tcPr>
          <w:p>
            <w:pPr>
              <w:spacing w:after="0"/>
              <w:rPr>
                <w:sz w:val="11"/>
                <w:szCs w:val="11"/>
                <w:color w:val="auto"/>
              </w:rPr>
            </w:pPr>
          </w:p>
        </w:tc>
        <w:tc>
          <w:tcPr>
            <w:tcW w:w="1260" w:type="dxa"/>
            <w:vAlign w:val="bottom"/>
            <w:tcBorders>
              <w:bottom w:val="single" w:sz="8" w:color="58854E"/>
            </w:tcBorders>
            <w:gridSpan w:val="2"/>
            <w:shd w:val="clear" w:color="auto" w:fill="58854E"/>
          </w:tcPr>
          <w:p>
            <w:pPr>
              <w:jc w:val="center"/>
              <w:spacing w:after="0" w:line="127" w:lineRule="exact"/>
              <w:rPr>
                <w:sz w:val="20"/>
                <w:szCs w:val="20"/>
                <w:color w:val="auto"/>
              </w:rPr>
            </w:pPr>
            <w:r>
              <w:rPr>
                <w:rFonts w:ascii="Arial" w:cs="Arial" w:eastAsia="Arial" w:hAnsi="Arial"/>
                <w:sz w:val="12"/>
                <w:szCs w:val="12"/>
                <w:b w:val="1"/>
                <w:bCs w:val="1"/>
                <w:color w:val="FFFFFE"/>
              </w:rPr>
              <w:t>COMPANY BOARDS</w:t>
            </w:r>
          </w:p>
        </w:tc>
        <w:tc>
          <w:tcPr>
            <w:tcW w:w="220" w:type="dxa"/>
            <w:vAlign w:val="bottom"/>
          </w:tcPr>
          <w:p>
            <w:pPr>
              <w:spacing w:after="0"/>
              <w:rPr>
                <w:sz w:val="11"/>
                <w:szCs w:val="11"/>
                <w:color w:val="auto"/>
              </w:rPr>
            </w:pPr>
          </w:p>
        </w:tc>
        <w:tc>
          <w:tcPr>
            <w:tcW w:w="300" w:type="dxa"/>
            <w:vAlign w:val="bottom"/>
            <w:tcBorders>
              <w:bottom w:val="single" w:sz="8" w:color="58854E"/>
            </w:tcBorders>
            <w:vMerge w:val="continue"/>
            <w:shd w:val="clear" w:color="auto" w:fill="58854E"/>
          </w:tcPr>
          <w:p>
            <w:pPr>
              <w:spacing w:after="0"/>
              <w:rPr>
                <w:sz w:val="11"/>
                <w:szCs w:val="11"/>
                <w:color w:val="auto"/>
              </w:rPr>
            </w:pPr>
          </w:p>
        </w:tc>
        <w:tc>
          <w:tcPr>
            <w:tcW w:w="260" w:type="dxa"/>
            <w:vAlign w:val="bottom"/>
            <w:tcBorders>
              <w:right w:val="single" w:sz="8" w:color="58854E"/>
            </w:tcBorders>
          </w:tcPr>
          <w:p>
            <w:pPr>
              <w:spacing w:after="0"/>
              <w:rPr>
                <w:sz w:val="11"/>
                <w:szCs w:val="11"/>
                <w:color w:val="auto"/>
              </w:rPr>
            </w:pPr>
          </w:p>
        </w:tc>
        <w:tc>
          <w:tcPr>
            <w:tcW w:w="240" w:type="dxa"/>
            <w:vAlign w:val="bottom"/>
            <w:tcBorders>
              <w:bottom w:val="single" w:sz="8" w:color="58854E"/>
            </w:tcBorders>
            <w:vMerge w:val="continue"/>
            <w:shd w:val="clear" w:color="auto" w:fill="58854E"/>
          </w:tcPr>
          <w:p>
            <w:pPr>
              <w:spacing w:after="0"/>
              <w:rPr>
                <w:sz w:val="11"/>
                <w:szCs w:val="11"/>
                <w:color w:val="auto"/>
              </w:rPr>
            </w:pPr>
          </w:p>
        </w:tc>
        <w:tc>
          <w:tcPr>
            <w:tcW w:w="280" w:type="dxa"/>
            <w:vAlign w:val="bottom"/>
            <w:tcBorders>
              <w:right w:val="single" w:sz="8" w:color="58854E"/>
            </w:tcBorders>
          </w:tcPr>
          <w:p>
            <w:pPr>
              <w:spacing w:after="0"/>
              <w:rPr>
                <w:sz w:val="11"/>
                <w:szCs w:val="11"/>
                <w:color w:val="auto"/>
              </w:rPr>
            </w:pPr>
          </w:p>
        </w:tc>
        <w:tc>
          <w:tcPr>
            <w:tcW w:w="320" w:type="dxa"/>
            <w:vAlign w:val="bottom"/>
            <w:tcBorders>
              <w:bottom w:val="single" w:sz="8" w:color="58854E"/>
            </w:tcBorders>
            <w:gridSpan w:val="2"/>
            <w:vMerge w:val="continue"/>
            <w:shd w:val="clear" w:color="auto" w:fill="58854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1820" w:type="dxa"/>
            <w:vAlign w:val="bottom"/>
            <w:gridSpan w:val="3"/>
          </w:tcPr>
          <w:p>
            <w:pPr>
              <w:ind w:left="60"/>
              <w:spacing w:after="0" w:line="158" w:lineRule="exact"/>
              <w:rPr>
                <w:sz w:val="20"/>
                <w:szCs w:val="20"/>
                <w:color w:val="auto"/>
              </w:rPr>
            </w:pPr>
            <w:r>
              <w:rPr>
                <w:rFonts w:ascii="Arial" w:cs="Arial" w:eastAsia="Arial" w:hAnsi="Arial"/>
                <w:sz w:val="15"/>
                <w:szCs w:val="15"/>
                <w:b w:val="1"/>
                <w:bCs w:val="1"/>
                <w:color w:val="auto"/>
              </w:rPr>
              <w:t>Mauricio Gutierrez</w:t>
            </w:r>
          </w:p>
        </w:tc>
        <w:tc>
          <w:tcPr>
            <w:tcW w:w="1720" w:type="dxa"/>
            <w:vAlign w:val="bottom"/>
            <w:gridSpan w:val="5"/>
          </w:tcPr>
          <w:p>
            <w:pPr>
              <w:jc w:val="right"/>
              <w:ind w:right="200"/>
              <w:spacing w:after="0" w:line="158" w:lineRule="exact"/>
              <w:rPr>
                <w:sz w:val="20"/>
                <w:szCs w:val="20"/>
                <w:color w:val="auto"/>
              </w:rPr>
            </w:pPr>
            <w:r>
              <w:rPr>
                <w:rFonts w:ascii="Arial" w:cs="Arial" w:eastAsia="Arial" w:hAnsi="Arial"/>
                <w:sz w:val="15"/>
                <w:szCs w:val="15"/>
                <w:color w:val="auto"/>
              </w:rPr>
              <w:t>47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2012</w:t>
            </w:r>
          </w:p>
        </w:tc>
        <w:tc>
          <w:tcPr>
            <w:tcW w:w="80" w:type="dxa"/>
            <w:vAlign w:val="bottom"/>
          </w:tcPr>
          <w:p>
            <w:pPr>
              <w:spacing w:after="0"/>
              <w:rPr>
                <w:sz w:val="13"/>
                <w:szCs w:val="13"/>
                <w:color w:val="auto"/>
              </w:rPr>
            </w:pPr>
          </w:p>
        </w:tc>
        <w:tc>
          <w:tcPr>
            <w:tcW w:w="122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NO</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gridSpan w:val="8"/>
          </w:tcPr>
          <w:p>
            <w:pPr>
              <w:ind w:left="60"/>
              <w:spacing w:after="0" w:line="171" w:lineRule="exact"/>
              <w:rPr>
                <w:sz w:val="20"/>
                <w:szCs w:val="20"/>
                <w:color w:val="auto"/>
              </w:rPr>
            </w:pPr>
            <w:r>
              <w:rPr>
                <w:rFonts w:ascii="Arial" w:cs="Arial" w:eastAsia="Arial" w:hAnsi="Arial"/>
                <w:sz w:val="15"/>
                <w:szCs w:val="15"/>
                <w:i w:val="1"/>
                <w:iCs w:val="1"/>
                <w:color w:val="auto"/>
              </w:rPr>
              <w:t>President and Chief Executive Officer</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40" w:type="dxa"/>
            <w:vAlign w:val="bottom"/>
            <w:gridSpan w:val="2"/>
          </w:tcPr>
          <w:p>
            <w:pPr>
              <w:ind w:left="60"/>
              <w:spacing w:after="0" w:line="171" w:lineRule="exact"/>
              <w:rPr>
                <w:sz w:val="20"/>
                <w:szCs w:val="20"/>
                <w:color w:val="auto"/>
              </w:rPr>
            </w:pPr>
            <w:r>
              <w:rPr>
                <w:rFonts w:ascii="Arial" w:cs="Arial" w:eastAsia="Arial" w:hAnsi="Arial"/>
                <w:sz w:val="15"/>
                <w:szCs w:val="15"/>
                <w:i w:val="1"/>
                <w:iCs w:val="1"/>
                <w:color w:val="auto"/>
              </w:rPr>
              <w:t>of</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gridSpan w:val="8"/>
          </w:tcPr>
          <w:p>
            <w:pPr>
              <w:ind w:left="60"/>
              <w:spacing w:after="0" w:line="171" w:lineRule="exact"/>
              <w:rPr>
                <w:sz w:val="20"/>
                <w:szCs w:val="20"/>
                <w:color w:val="auto"/>
              </w:rPr>
            </w:pPr>
            <w:r>
              <w:rPr>
                <w:rFonts w:ascii="Arial" w:cs="Arial" w:eastAsia="Arial" w:hAnsi="Arial"/>
                <w:sz w:val="15"/>
                <w:szCs w:val="15"/>
                <w:i w:val="1"/>
                <w:iCs w:val="1"/>
                <w:color w:val="auto"/>
              </w:rPr>
              <w:t>NRG Energy, Inc. and Chairman of the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182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Board of the Company</w:t>
            </w:r>
          </w:p>
        </w:tc>
        <w:tc>
          <w:tcPr>
            <w:tcW w:w="7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46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480" w:type="dxa"/>
            <w:vAlign w:val="bottom"/>
            <w:tcBorders>
              <w:bottom w:val="single" w:sz="8" w:color="58854E"/>
            </w:tcBorders>
          </w:tcPr>
          <w:p>
            <w:pPr>
              <w:spacing w:after="0"/>
              <w:rPr>
                <w:sz w:val="16"/>
                <w:szCs w:val="16"/>
                <w:color w:val="auto"/>
              </w:rPr>
            </w:pPr>
          </w:p>
        </w:tc>
        <w:tc>
          <w:tcPr>
            <w:tcW w:w="68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4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300" w:type="dxa"/>
            <w:vAlign w:val="bottom"/>
            <w:tcBorders>
              <w:bottom w:val="single" w:sz="8" w:color="58854E"/>
            </w:tcBorders>
          </w:tcPr>
          <w:p>
            <w:pPr>
              <w:spacing w:after="0"/>
              <w:rPr>
                <w:sz w:val="16"/>
                <w:szCs w:val="16"/>
                <w:color w:val="auto"/>
              </w:rPr>
            </w:pPr>
          </w:p>
        </w:tc>
        <w:tc>
          <w:tcPr>
            <w:tcW w:w="260" w:type="dxa"/>
            <w:vAlign w:val="bottom"/>
            <w:tcBorders>
              <w:bottom w:val="single" w:sz="8" w:color="58854E"/>
            </w:tcBorders>
          </w:tcPr>
          <w:p>
            <w:pPr>
              <w:spacing w:after="0"/>
              <w:rPr>
                <w:sz w:val="16"/>
                <w:szCs w:val="16"/>
                <w:color w:val="auto"/>
              </w:rPr>
            </w:pPr>
          </w:p>
        </w:tc>
        <w:tc>
          <w:tcPr>
            <w:tcW w:w="240" w:type="dxa"/>
            <w:vAlign w:val="bottom"/>
            <w:tcBorders>
              <w:bottom w:val="single" w:sz="8" w:color="58854E"/>
            </w:tcBorders>
          </w:tcPr>
          <w:p>
            <w:pPr>
              <w:spacing w:after="0"/>
              <w:rPr>
                <w:sz w:val="16"/>
                <w:szCs w:val="16"/>
                <w:color w:val="auto"/>
              </w:rPr>
            </w:pPr>
          </w:p>
        </w:tc>
        <w:tc>
          <w:tcPr>
            <w:tcW w:w="2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b w:val="1"/>
                <w:bCs w:val="1"/>
                <w:color w:val="auto"/>
              </w:rPr>
              <w:t>John F. Chlebowski</w:t>
            </w:r>
            <w:r>
              <w:rPr>
                <w:rFonts w:ascii="Arial" w:cs="Arial" w:eastAsia="Arial" w:hAnsi="Arial"/>
                <w:sz w:val="9"/>
                <w:szCs w:val="9"/>
                <w:color w:val="58844D"/>
              </w:rPr>
              <w:t>2</w:t>
            </w:r>
          </w:p>
        </w:tc>
        <w:tc>
          <w:tcPr>
            <w:tcW w:w="1720" w:type="dxa"/>
            <w:vAlign w:val="bottom"/>
            <w:gridSpan w:val="5"/>
          </w:tcPr>
          <w:p>
            <w:pPr>
              <w:jc w:val="right"/>
              <w:ind w:right="200"/>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2013</w:t>
            </w:r>
          </w:p>
        </w:tc>
        <w:tc>
          <w:tcPr>
            <w:tcW w:w="8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YES</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5"/>
                <w:szCs w:val="15"/>
                <w:color w:val="auto"/>
              </w:rPr>
              <w:t>0</w:t>
            </w:r>
          </w:p>
        </w:tc>
        <w:tc>
          <w:tcPr>
            <w:tcW w:w="560" w:type="dxa"/>
            <w:vAlign w:val="bottom"/>
            <w:gridSpan w:val="2"/>
          </w:tcPr>
          <w:p>
            <w:pPr>
              <w:jc w:val="center"/>
              <w:ind w:right="199"/>
              <w:spacing w:after="0" w:line="181" w:lineRule="exact"/>
              <w:rPr>
                <w:sz w:val="20"/>
                <w:szCs w:val="20"/>
                <w:color w:val="auto"/>
              </w:rPr>
            </w:pPr>
            <w:r>
              <w:rPr>
                <w:rFonts w:ascii="MS PGothic" w:cs="MS PGothic" w:eastAsia="MS PGothic" w:hAnsi="MS PGothic"/>
                <w:sz w:val="18"/>
                <w:szCs w:val="18"/>
                <w:color w:val="58844D"/>
                <w:w w:val="77"/>
              </w:rPr>
              <w:t>✓</w:t>
            </w:r>
          </w:p>
        </w:tc>
        <w:tc>
          <w:tcPr>
            <w:tcW w:w="520" w:type="dxa"/>
            <w:vAlign w:val="bottom"/>
            <w:gridSpan w:val="2"/>
          </w:tcPr>
          <w:p>
            <w:pPr>
              <w:jc w:val="center"/>
              <w:ind w:right="320"/>
              <w:spacing w:after="0" w:line="181" w:lineRule="exact"/>
              <w:rPr>
                <w:sz w:val="20"/>
                <w:szCs w:val="20"/>
                <w:color w:val="auto"/>
              </w:rPr>
            </w:pPr>
            <w:r>
              <w:rPr>
                <w:rFonts w:ascii="MS PGothic" w:cs="MS PGothic" w:eastAsia="MS PGothic" w:hAnsi="MS PGothic"/>
                <w:sz w:val="18"/>
                <w:szCs w:val="18"/>
                <w:color w:val="58844D"/>
                <w:w w:val="88"/>
              </w:rPr>
              <w:t>★</w:t>
            </w:r>
          </w:p>
        </w:tc>
        <w:tc>
          <w:tcPr>
            <w:tcW w:w="320" w:type="dxa"/>
            <w:vAlign w:val="bottom"/>
            <w:gridSpan w:val="2"/>
          </w:tcPr>
          <w:p>
            <w:pPr>
              <w:jc w:val="center"/>
              <w:ind w:right="60"/>
              <w:spacing w:after="0" w:line="181" w:lineRule="exact"/>
              <w:rPr>
                <w:sz w:val="20"/>
                <w:szCs w:val="20"/>
                <w:color w:val="auto"/>
              </w:rPr>
            </w:pPr>
            <w:r>
              <w:rPr>
                <w:rFonts w:ascii="MS PGothic" w:cs="MS PGothic" w:eastAsia="MS PGothic" w:hAnsi="MS PGothic"/>
                <w:sz w:val="18"/>
                <w:szCs w:val="18"/>
                <w:color w:val="58844D"/>
                <w:w w:val="77"/>
              </w:rPr>
              <w: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gridSpan w:val="8"/>
          </w:tcPr>
          <w:p>
            <w:pPr>
              <w:ind w:left="60"/>
              <w:spacing w:after="0" w:line="171" w:lineRule="exact"/>
              <w:rPr>
                <w:sz w:val="20"/>
                <w:szCs w:val="20"/>
                <w:color w:val="auto"/>
              </w:rPr>
            </w:pPr>
            <w:r>
              <w:rPr>
                <w:rFonts w:ascii="Arial" w:cs="Arial" w:eastAsia="Arial" w:hAnsi="Arial"/>
                <w:sz w:val="15"/>
                <w:szCs w:val="15"/>
                <w:i w:val="1"/>
                <w:iCs w:val="1"/>
                <w:color w:val="auto"/>
              </w:rPr>
              <w:t>Former President and Chief Executive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40" w:type="dxa"/>
            <w:vAlign w:val="bottom"/>
            <w:gridSpan w:val="2"/>
          </w:tcPr>
          <w:p>
            <w:pPr>
              <w:ind w:left="60"/>
              <w:spacing w:after="0" w:line="171" w:lineRule="exact"/>
              <w:rPr>
                <w:sz w:val="20"/>
                <w:szCs w:val="20"/>
                <w:color w:val="auto"/>
              </w:rPr>
            </w:pPr>
            <w:r>
              <w:rPr>
                <w:rFonts w:ascii="Arial" w:cs="Arial" w:eastAsia="Arial" w:hAnsi="Arial"/>
                <w:sz w:val="15"/>
                <w:szCs w:val="15"/>
                <w:i w:val="1"/>
                <w:iCs w:val="1"/>
                <w:color w:val="auto"/>
              </w:rPr>
              <w:t>Officer</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3540" w:type="dxa"/>
            <w:vAlign w:val="bottom"/>
            <w:tcBorders>
              <w:bottom w:val="single" w:sz="8" w:color="58854E"/>
            </w:tcBorders>
            <w:gridSpan w:val="8"/>
          </w:tcPr>
          <w:p>
            <w:pPr>
              <w:ind w:left="60"/>
              <w:spacing w:after="0"/>
              <w:rPr>
                <w:sz w:val="20"/>
                <w:szCs w:val="20"/>
                <w:color w:val="auto"/>
              </w:rPr>
            </w:pPr>
            <w:r>
              <w:rPr>
                <w:rFonts w:ascii="Arial" w:cs="Arial" w:eastAsia="Arial" w:hAnsi="Arial"/>
                <w:sz w:val="15"/>
                <w:szCs w:val="15"/>
                <w:i w:val="1"/>
                <w:iCs w:val="1"/>
                <w:color w:val="auto"/>
              </w:rPr>
              <w:t>of Lakeshore Operating Partners, LLC</w:t>
            </w:r>
          </w:p>
        </w:tc>
        <w:tc>
          <w:tcPr>
            <w:tcW w:w="80" w:type="dxa"/>
            <w:vAlign w:val="bottom"/>
            <w:tcBorders>
              <w:bottom w:val="single" w:sz="8" w:color="58854E"/>
            </w:tcBorders>
          </w:tcPr>
          <w:p>
            <w:pPr>
              <w:spacing w:after="0"/>
              <w:rPr>
                <w:sz w:val="16"/>
                <w:szCs w:val="16"/>
                <w:color w:val="auto"/>
              </w:rPr>
            </w:pPr>
          </w:p>
        </w:tc>
        <w:tc>
          <w:tcPr>
            <w:tcW w:w="480" w:type="dxa"/>
            <w:vAlign w:val="bottom"/>
            <w:tcBorders>
              <w:bottom w:val="single" w:sz="8" w:color="58854E"/>
            </w:tcBorders>
          </w:tcPr>
          <w:p>
            <w:pPr>
              <w:spacing w:after="0"/>
              <w:rPr>
                <w:sz w:val="16"/>
                <w:szCs w:val="16"/>
                <w:color w:val="auto"/>
              </w:rPr>
            </w:pPr>
          </w:p>
        </w:tc>
        <w:tc>
          <w:tcPr>
            <w:tcW w:w="68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4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300" w:type="dxa"/>
            <w:vAlign w:val="bottom"/>
            <w:tcBorders>
              <w:bottom w:val="single" w:sz="8" w:color="58854E"/>
            </w:tcBorders>
          </w:tcPr>
          <w:p>
            <w:pPr>
              <w:spacing w:after="0"/>
              <w:rPr>
                <w:sz w:val="16"/>
                <w:szCs w:val="16"/>
                <w:color w:val="auto"/>
              </w:rPr>
            </w:pPr>
          </w:p>
        </w:tc>
        <w:tc>
          <w:tcPr>
            <w:tcW w:w="260" w:type="dxa"/>
            <w:vAlign w:val="bottom"/>
            <w:tcBorders>
              <w:bottom w:val="single" w:sz="8" w:color="58854E"/>
            </w:tcBorders>
          </w:tcPr>
          <w:p>
            <w:pPr>
              <w:spacing w:after="0"/>
              <w:rPr>
                <w:sz w:val="16"/>
                <w:szCs w:val="16"/>
                <w:color w:val="auto"/>
              </w:rPr>
            </w:pPr>
          </w:p>
        </w:tc>
        <w:tc>
          <w:tcPr>
            <w:tcW w:w="240" w:type="dxa"/>
            <w:vAlign w:val="bottom"/>
            <w:tcBorders>
              <w:bottom w:val="single" w:sz="8" w:color="58854E"/>
            </w:tcBorders>
          </w:tcPr>
          <w:p>
            <w:pPr>
              <w:spacing w:after="0"/>
              <w:rPr>
                <w:sz w:val="16"/>
                <w:szCs w:val="16"/>
                <w:color w:val="auto"/>
              </w:rPr>
            </w:pPr>
          </w:p>
        </w:tc>
        <w:tc>
          <w:tcPr>
            <w:tcW w:w="2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5"/>
                <w:szCs w:val="15"/>
                <w:b w:val="1"/>
                <w:bCs w:val="1"/>
                <w:color w:val="auto"/>
              </w:rPr>
              <w:t>Kirkland B. Andrews</w:t>
            </w:r>
          </w:p>
        </w:tc>
        <w:tc>
          <w:tcPr>
            <w:tcW w:w="1720" w:type="dxa"/>
            <w:vAlign w:val="bottom"/>
            <w:gridSpan w:val="5"/>
          </w:tcPr>
          <w:p>
            <w:pPr>
              <w:jc w:val="right"/>
              <w:ind w:right="200"/>
              <w:spacing w:after="0" w:line="149" w:lineRule="exact"/>
              <w:rPr>
                <w:sz w:val="20"/>
                <w:szCs w:val="20"/>
                <w:color w:val="auto"/>
              </w:rPr>
            </w:pPr>
            <w:r>
              <w:rPr>
                <w:rFonts w:ascii="Arial" w:cs="Arial" w:eastAsia="Arial" w:hAnsi="Arial"/>
                <w:sz w:val="15"/>
                <w:szCs w:val="15"/>
                <w:color w:val="auto"/>
              </w:rPr>
              <w:t>50</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2012</w:t>
            </w:r>
          </w:p>
        </w:tc>
        <w:tc>
          <w:tcPr>
            <w:tcW w:w="8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NO</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gridSpan w:val="8"/>
          </w:tcPr>
          <w:p>
            <w:pPr>
              <w:ind w:left="60"/>
              <w:spacing w:after="0" w:line="171" w:lineRule="exact"/>
              <w:rPr>
                <w:sz w:val="20"/>
                <w:szCs w:val="20"/>
                <w:color w:val="auto"/>
              </w:rPr>
            </w:pPr>
            <w:r>
              <w:rPr>
                <w:rFonts w:ascii="Arial" w:cs="Arial" w:eastAsia="Arial" w:hAnsi="Arial"/>
                <w:sz w:val="15"/>
                <w:szCs w:val="15"/>
                <w:i w:val="1"/>
                <w:iCs w:val="1"/>
                <w:color w:val="auto"/>
              </w:rPr>
              <w:t>Executive Vice President and Chief</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82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Financial</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3540" w:type="dxa"/>
            <w:vAlign w:val="bottom"/>
            <w:tcBorders>
              <w:bottom w:val="single" w:sz="8" w:color="58854E"/>
            </w:tcBorders>
            <w:gridSpan w:val="8"/>
          </w:tcPr>
          <w:p>
            <w:pPr>
              <w:ind w:left="60"/>
              <w:spacing w:after="0"/>
              <w:rPr>
                <w:sz w:val="20"/>
                <w:szCs w:val="20"/>
                <w:color w:val="auto"/>
              </w:rPr>
            </w:pPr>
            <w:r>
              <w:rPr>
                <w:rFonts w:ascii="Arial" w:cs="Arial" w:eastAsia="Arial" w:hAnsi="Arial"/>
                <w:sz w:val="15"/>
                <w:szCs w:val="15"/>
                <w:i w:val="1"/>
                <w:iCs w:val="1"/>
                <w:color w:val="auto"/>
              </w:rPr>
              <w:t>Officer of NRG Energy, Inc.</w:t>
            </w:r>
          </w:p>
        </w:tc>
        <w:tc>
          <w:tcPr>
            <w:tcW w:w="80" w:type="dxa"/>
            <w:vAlign w:val="bottom"/>
            <w:tcBorders>
              <w:bottom w:val="single" w:sz="8" w:color="58854E"/>
            </w:tcBorders>
          </w:tcPr>
          <w:p>
            <w:pPr>
              <w:spacing w:after="0"/>
              <w:rPr>
                <w:sz w:val="16"/>
                <w:szCs w:val="16"/>
                <w:color w:val="auto"/>
              </w:rPr>
            </w:pPr>
          </w:p>
        </w:tc>
        <w:tc>
          <w:tcPr>
            <w:tcW w:w="480" w:type="dxa"/>
            <w:vAlign w:val="bottom"/>
            <w:tcBorders>
              <w:bottom w:val="single" w:sz="8" w:color="58854E"/>
            </w:tcBorders>
          </w:tcPr>
          <w:p>
            <w:pPr>
              <w:spacing w:after="0"/>
              <w:rPr>
                <w:sz w:val="16"/>
                <w:szCs w:val="16"/>
                <w:color w:val="auto"/>
              </w:rPr>
            </w:pPr>
          </w:p>
        </w:tc>
        <w:tc>
          <w:tcPr>
            <w:tcW w:w="68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4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300" w:type="dxa"/>
            <w:vAlign w:val="bottom"/>
            <w:tcBorders>
              <w:bottom w:val="single" w:sz="8" w:color="58854E"/>
            </w:tcBorders>
          </w:tcPr>
          <w:p>
            <w:pPr>
              <w:spacing w:after="0"/>
              <w:rPr>
                <w:sz w:val="16"/>
                <w:szCs w:val="16"/>
                <w:color w:val="auto"/>
              </w:rPr>
            </w:pPr>
          </w:p>
        </w:tc>
        <w:tc>
          <w:tcPr>
            <w:tcW w:w="260" w:type="dxa"/>
            <w:vAlign w:val="bottom"/>
            <w:tcBorders>
              <w:bottom w:val="single" w:sz="8" w:color="58854E"/>
            </w:tcBorders>
          </w:tcPr>
          <w:p>
            <w:pPr>
              <w:spacing w:after="0"/>
              <w:rPr>
                <w:sz w:val="16"/>
                <w:szCs w:val="16"/>
                <w:color w:val="auto"/>
              </w:rPr>
            </w:pPr>
          </w:p>
        </w:tc>
        <w:tc>
          <w:tcPr>
            <w:tcW w:w="240" w:type="dxa"/>
            <w:vAlign w:val="bottom"/>
            <w:tcBorders>
              <w:bottom w:val="single" w:sz="8" w:color="58854E"/>
            </w:tcBorders>
          </w:tcPr>
          <w:p>
            <w:pPr>
              <w:spacing w:after="0"/>
              <w:rPr>
                <w:sz w:val="16"/>
                <w:szCs w:val="16"/>
                <w:color w:val="auto"/>
              </w:rPr>
            </w:pPr>
          </w:p>
        </w:tc>
        <w:tc>
          <w:tcPr>
            <w:tcW w:w="2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5"/>
                <w:szCs w:val="15"/>
                <w:b w:val="1"/>
                <w:bCs w:val="1"/>
                <w:color w:val="auto"/>
              </w:rPr>
              <w:t>John Chillemi</w:t>
            </w:r>
          </w:p>
        </w:tc>
        <w:tc>
          <w:tcPr>
            <w:tcW w:w="1720" w:type="dxa"/>
            <w:vAlign w:val="bottom"/>
            <w:gridSpan w:val="5"/>
          </w:tcPr>
          <w:p>
            <w:pPr>
              <w:jc w:val="right"/>
              <w:ind w:right="200"/>
              <w:spacing w:after="0" w:line="149" w:lineRule="exact"/>
              <w:rPr>
                <w:sz w:val="20"/>
                <w:szCs w:val="20"/>
                <w:color w:val="auto"/>
              </w:rPr>
            </w:pPr>
            <w:r>
              <w:rPr>
                <w:rFonts w:ascii="Arial" w:cs="Arial" w:eastAsia="Arial" w:hAnsi="Arial"/>
                <w:sz w:val="15"/>
                <w:szCs w:val="15"/>
                <w:color w:val="auto"/>
              </w:rPr>
              <w:t>49</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2016</w:t>
            </w:r>
          </w:p>
        </w:tc>
        <w:tc>
          <w:tcPr>
            <w:tcW w:w="8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NO</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gridSpan w:val="8"/>
          </w:tcPr>
          <w:p>
            <w:pPr>
              <w:ind w:left="60"/>
              <w:spacing w:after="0" w:line="171" w:lineRule="exact"/>
              <w:rPr>
                <w:sz w:val="20"/>
                <w:szCs w:val="20"/>
                <w:color w:val="auto"/>
              </w:rPr>
            </w:pPr>
            <w:r>
              <w:rPr>
                <w:rFonts w:ascii="Arial" w:cs="Arial" w:eastAsia="Arial" w:hAnsi="Arial"/>
                <w:sz w:val="15"/>
                <w:szCs w:val="15"/>
                <w:i w:val="1"/>
                <w:iCs w:val="1"/>
                <w:color w:val="auto"/>
              </w:rPr>
              <w:t>Executive Vice President, National</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82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Business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3540" w:type="dxa"/>
            <w:vAlign w:val="bottom"/>
            <w:tcBorders>
              <w:bottom w:val="single" w:sz="8" w:color="58854E"/>
            </w:tcBorders>
            <w:gridSpan w:val="8"/>
          </w:tcPr>
          <w:p>
            <w:pPr>
              <w:ind w:left="60"/>
              <w:spacing w:after="0"/>
              <w:rPr>
                <w:sz w:val="20"/>
                <w:szCs w:val="20"/>
                <w:color w:val="auto"/>
              </w:rPr>
            </w:pPr>
            <w:r>
              <w:rPr>
                <w:rFonts w:ascii="Arial" w:cs="Arial" w:eastAsia="Arial" w:hAnsi="Arial"/>
                <w:sz w:val="15"/>
                <w:szCs w:val="15"/>
                <w:i w:val="1"/>
                <w:iCs w:val="1"/>
                <w:color w:val="auto"/>
              </w:rPr>
              <w:t>Development, of NRG Energy, Inc.</w:t>
            </w:r>
          </w:p>
        </w:tc>
        <w:tc>
          <w:tcPr>
            <w:tcW w:w="80" w:type="dxa"/>
            <w:vAlign w:val="bottom"/>
            <w:tcBorders>
              <w:bottom w:val="single" w:sz="8" w:color="58854E"/>
            </w:tcBorders>
          </w:tcPr>
          <w:p>
            <w:pPr>
              <w:spacing w:after="0"/>
              <w:rPr>
                <w:sz w:val="16"/>
                <w:szCs w:val="16"/>
                <w:color w:val="auto"/>
              </w:rPr>
            </w:pPr>
          </w:p>
        </w:tc>
        <w:tc>
          <w:tcPr>
            <w:tcW w:w="480" w:type="dxa"/>
            <w:vAlign w:val="bottom"/>
            <w:tcBorders>
              <w:bottom w:val="single" w:sz="8" w:color="58854E"/>
            </w:tcBorders>
          </w:tcPr>
          <w:p>
            <w:pPr>
              <w:spacing w:after="0"/>
              <w:rPr>
                <w:sz w:val="16"/>
                <w:szCs w:val="16"/>
                <w:color w:val="auto"/>
              </w:rPr>
            </w:pPr>
          </w:p>
        </w:tc>
        <w:tc>
          <w:tcPr>
            <w:tcW w:w="68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4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300" w:type="dxa"/>
            <w:vAlign w:val="bottom"/>
            <w:tcBorders>
              <w:bottom w:val="single" w:sz="8" w:color="58854E"/>
            </w:tcBorders>
          </w:tcPr>
          <w:p>
            <w:pPr>
              <w:spacing w:after="0"/>
              <w:rPr>
                <w:sz w:val="16"/>
                <w:szCs w:val="16"/>
                <w:color w:val="auto"/>
              </w:rPr>
            </w:pPr>
          </w:p>
        </w:tc>
        <w:tc>
          <w:tcPr>
            <w:tcW w:w="260" w:type="dxa"/>
            <w:vAlign w:val="bottom"/>
            <w:tcBorders>
              <w:bottom w:val="single" w:sz="8" w:color="58854E"/>
            </w:tcBorders>
          </w:tcPr>
          <w:p>
            <w:pPr>
              <w:spacing w:after="0"/>
              <w:rPr>
                <w:sz w:val="16"/>
                <w:szCs w:val="16"/>
                <w:color w:val="auto"/>
              </w:rPr>
            </w:pPr>
          </w:p>
        </w:tc>
        <w:tc>
          <w:tcPr>
            <w:tcW w:w="240" w:type="dxa"/>
            <w:vAlign w:val="bottom"/>
            <w:tcBorders>
              <w:bottom w:val="single" w:sz="8" w:color="58854E"/>
            </w:tcBorders>
          </w:tcPr>
          <w:p>
            <w:pPr>
              <w:spacing w:after="0"/>
              <w:rPr>
                <w:sz w:val="16"/>
                <w:szCs w:val="16"/>
                <w:color w:val="auto"/>
              </w:rPr>
            </w:pPr>
          </w:p>
        </w:tc>
        <w:tc>
          <w:tcPr>
            <w:tcW w:w="2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b w:val="1"/>
                <w:bCs w:val="1"/>
                <w:color w:val="auto"/>
              </w:rPr>
              <w:t>Brian R. Ford</w:t>
            </w:r>
          </w:p>
        </w:tc>
        <w:tc>
          <w:tcPr>
            <w:tcW w:w="1720" w:type="dxa"/>
            <w:vAlign w:val="bottom"/>
            <w:gridSpan w:val="5"/>
          </w:tcPr>
          <w:p>
            <w:pPr>
              <w:jc w:val="right"/>
              <w:ind w:right="200"/>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2013</w:t>
            </w:r>
          </w:p>
        </w:tc>
        <w:tc>
          <w:tcPr>
            <w:tcW w:w="8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YES</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5"/>
                <w:szCs w:val="15"/>
                <w:color w:val="auto"/>
              </w:rPr>
              <w:t>3</w:t>
            </w:r>
          </w:p>
        </w:tc>
        <w:tc>
          <w:tcPr>
            <w:tcW w:w="560" w:type="dxa"/>
            <w:vAlign w:val="bottom"/>
            <w:gridSpan w:val="2"/>
          </w:tcPr>
          <w:p>
            <w:pPr>
              <w:jc w:val="center"/>
              <w:ind w:right="179"/>
              <w:spacing w:after="0" w:line="181" w:lineRule="exact"/>
              <w:rPr>
                <w:sz w:val="20"/>
                <w:szCs w:val="20"/>
                <w:color w:val="auto"/>
              </w:rPr>
            </w:pPr>
            <w:r>
              <w:rPr>
                <w:rFonts w:ascii="MS PGothic" w:cs="MS PGothic" w:eastAsia="MS PGothic" w:hAnsi="MS PGothic"/>
                <w:sz w:val="18"/>
                <w:szCs w:val="18"/>
                <w:color w:val="58844D"/>
                <w:w w:val="88"/>
              </w:rPr>
              <w:t>★</w:t>
            </w:r>
          </w:p>
        </w:tc>
        <w:tc>
          <w:tcPr>
            <w:tcW w:w="520" w:type="dxa"/>
            <w:vAlign w:val="bottom"/>
            <w:gridSpan w:val="2"/>
          </w:tcPr>
          <w:p>
            <w:pPr>
              <w:jc w:val="center"/>
              <w:ind w:right="320"/>
              <w:spacing w:after="0" w:line="181" w:lineRule="exact"/>
              <w:rPr>
                <w:sz w:val="20"/>
                <w:szCs w:val="20"/>
                <w:color w:val="auto"/>
              </w:rPr>
            </w:pPr>
            <w:r>
              <w:rPr>
                <w:rFonts w:ascii="MS PGothic" w:cs="MS PGothic" w:eastAsia="MS PGothic" w:hAnsi="MS PGothic"/>
                <w:sz w:val="18"/>
                <w:szCs w:val="18"/>
                <w:color w:val="58844D"/>
                <w:w w:val="88"/>
              </w:rPr>
              <w:t>✓</w:t>
            </w:r>
          </w:p>
        </w:tc>
        <w:tc>
          <w:tcPr>
            <w:tcW w:w="320" w:type="dxa"/>
            <w:vAlign w:val="bottom"/>
            <w:gridSpan w:val="2"/>
          </w:tcPr>
          <w:p>
            <w:pPr>
              <w:jc w:val="center"/>
              <w:ind w:right="60"/>
              <w:spacing w:after="0" w:line="181" w:lineRule="exact"/>
              <w:rPr>
                <w:sz w:val="20"/>
                <w:szCs w:val="20"/>
                <w:color w:val="auto"/>
              </w:rPr>
            </w:pPr>
            <w:r>
              <w:rPr>
                <w:rFonts w:ascii="MS PGothic" w:cs="MS PGothic" w:eastAsia="MS PGothic" w:hAnsi="MS PGothic"/>
                <w:sz w:val="18"/>
                <w:szCs w:val="18"/>
                <w:color w:val="58844D"/>
                <w:w w:val="77"/>
              </w:rPr>
              <w: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gridSpan w:val="8"/>
          </w:tcPr>
          <w:p>
            <w:pPr>
              <w:ind w:left="60"/>
              <w:spacing w:after="0" w:line="171" w:lineRule="exact"/>
              <w:rPr>
                <w:sz w:val="20"/>
                <w:szCs w:val="20"/>
                <w:color w:val="auto"/>
              </w:rPr>
            </w:pPr>
            <w:r>
              <w:rPr>
                <w:rFonts w:ascii="Arial" w:cs="Arial" w:eastAsia="Arial" w:hAnsi="Arial"/>
                <w:sz w:val="15"/>
                <w:szCs w:val="15"/>
                <w:i w:val="1"/>
                <w:iCs w:val="1"/>
                <w:color w:val="auto"/>
              </w:rPr>
              <w:t>Former Chief Executive Officer of</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82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Washington</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182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Philadelphia Partners, LP</w:t>
            </w:r>
          </w:p>
        </w:tc>
        <w:tc>
          <w:tcPr>
            <w:tcW w:w="7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46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480" w:type="dxa"/>
            <w:vAlign w:val="bottom"/>
            <w:tcBorders>
              <w:bottom w:val="single" w:sz="8" w:color="58854E"/>
            </w:tcBorders>
          </w:tcPr>
          <w:p>
            <w:pPr>
              <w:spacing w:after="0"/>
              <w:rPr>
                <w:sz w:val="16"/>
                <w:szCs w:val="16"/>
                <w:color w:val="auto"/>
              </w:rPr>
            </w:pPr>
          </w:p>
        </w:tc>
        <w:tc>
          <w:tcPr>
            <w:tcW w:w="68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4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300" w:type="dxa"/>
            <w:vAlign w:val="bottom"/>
            <w:tcBorders>
              <w:bottom w:val="single" w:sz="8" w:color="58854E"/>
            </w:tcBorders>
          </w:tcPr>
          <w:p>
            <w:pPr>
              <w:spacing w:after="0"/>
              <w:rPr>
                <w:sz w:val="16"/>
                <w:szCs w:val="16"/>
                <w:color w:val="auto"/>
              </w:rPr>
            </w:pPr>
          </w:p>
        </w:tc>
        <w:tc>
          <w:tcPr>
            <w:tcW w:w="260" w:type="dxa"/>
            <w:vAlign w:val="bottom"/>
            <w:tcBorders>
              <w:bottom w:val="single" w:sz="8" w:color="58854E"/>
            </w:tcBorders>
          </w:tcPr>
          <w:p>
            <w:pPr>
              <w:spacing w:after="0"/>
              <w:rPr>
                <w:sz w:val="16"/>
                <w:szCs w:val="16"/>
                <w:color w:val="auto"/>
              </w:rPr>
            </w:pPr>
          </w:p>
        </w:tc>
        <w:tc>
          <w:tcPr>
            <w:tcW w:w="240" w:type="dxa"/>
            <w:vAlign w:val="bottom"/>
            <w:tcBorders>
              <w:bottom w:val="single" w:sz="8" w:color="58854E"/>
            </w:tcBorders>
          </w:tcPr>
          <w:p>
            <w:pPr>
              <w:spacing w:after="0"/>
              <w:rPr>
                <w:sz w:val="16"/>
                <w:szCs w:val="16"/>
                <w:color w:val="auto"/>
              </w:rPr>
            </w:pPr>
          </w:p>
        </w:tc>
        <w:tc>
          <w:tcPr>
            <w:tcW w:w="2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Arial" w:cs="Arial" w:eastAsia="Arial" w:hAnsi="Arial"/>
                <w:sz w:val="15"/>
                <w:szCs w:val="15"/>
                <w:b w:val="1"/>
                <w:bCs w:val="1"/>
                <w:color w:val="auto"/>
              </w:rPr>
              <w:t>Ferrell P. McClean</w:t>
            </w:r>
          </w:p>
        </w:tc>
        <w:tc>
          <w:tcPr>
            <w:tcW w:w="1720" w:type="dxa"/>
            <w:vAlign w:val="bottom"/>
            <w:gridSpan w:val="5"/>
          </w:tcPr>
          <w:p>
            <w:pPr>
              <w:jc w:val="right"/>
              <w:ind w:right="200"/>
              <w:spacing w:after="0"/>
              <w:rPr>
                <w:sz w:val="20"/>
                <w:szCs w:val="20"/>
                <w:color w:val="auto"/>
              </w:rPr>
            </w:pPr>
            <w:r>
              <w:rPr>
                <w:rFonts w:ascii="Arial" w:cs="Arial" w:eastAsia="Arial" w:hAnsi="Arial"/>
                <w:sz w:val="15"/>
                <w:szCs w:val="15"/>
                <w:color w:val="auto"/>
              </w:rPr>
              <w:t>71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2013</w:t>
            </w:r>
          </w:p>
        </w:tc>
        <w:tc>
          <w:tcPr>
            <w:tcW w:w="8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YES</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5"/>
                <w:szCs w:val="15"/>
                <w:color w:val="auto"/>
              </w:rPr>
              <w:t>0</w:t>
            </w:r>
          </w:p>
        </w:tc>
        <w:tc>
          <w:tcPr>
            <w:tcW w:w="560" w:type="dxa"/>
            <w:vAlign w:val="bottom"/>
            <w:gridSpan w:val="2"/>
          </w:tcPr>
          <w:p>
            <w:pPr>
              <w:jc w:val="center"/>
              <w:ind w:right="199"/>
              <w:spacing w:after="0" w:line="181" w:lineRule="exact"/>
              <w:rPr>
                <w:sz w:val="20"/>
                <w:szCs w:val="20"/>
                <w:color w:val="auto"/>
              </w:rPr>
            </w:pPr>
            <w:r>
              <w:rPr>
                <w:rFonts w:ascii="MS PGothic" w:cs="MS PGothic" w:eastAsia="MS PGothic" w:hAnsi="MS PGothic"/>
                <w:sz w:val="18"/>
                <w:szCs w:val="18"/>
                <w:color w:val="58844D"/>
                <w:w w:val="77"/>
              </w:rPr>
              <w:t>✓</w:t>
            </w:r>
          </w:p>
        </w:tc>
        <w:tc>
          <w:tcPr>
            <w:tcW w:w="520" w:type="dxa"/>
            <w:vAlign w:val="bottom"/>
            <w:gridSpan w:val="2"/>
          </w:tcPr>
          <w:p>
            <w:pPr>
              <w:jc w:val="center"/>
              <w:ind w:right="320"/>
              <w:spacing w:after="0" w:line="181" w:lineRule="exact"/>
              <w:rPr>
                <w:sz w:val="20"/>
                <w:szCs w:val="20"/>
                <w:color w:val="auto"/>
              </w:rPr>
            </w:pPr>
            <w:r>
              <w:rPr>
                <w:rFonts w:ascii="MS PGothic" w:cs="MS PGothic" w:eastAsia="MS PGothic" w:hAnsi="MS PGothic"/>
                <w:sz w:val="18"/>
                <w:szCs w:val="18"/>
                <w:color w:val="58844D"/>
                <w:w w:val="88"/>
              </w:rPr>
              <w:t>✓</w:t>
            </w:r>
          </w:p>
        </w:tc>
        <w:tc>
          <w:tcPr>
            <w:tcW w:w="320" w:type="dxa"/>
            <w:vAlign w:val="bottom"/>
            <w:gridSpan w:val="2"/>
          </w:tcPr>
          <w:p>
            <w:pPr>
              <w:jc w:val="center"/>
              <w:ind w:right="40"/>
              <w:spacing w:after="0" w:line="181" w:lineRule="exact"/>
              <w:rPr>
                <w:sz w:val="20"/>
                <w:szCs w:val="20"/>
                <w:color w:val="auto"/>
              </w:rPr>
            </w:pPr>
            <w:r>
              <w:rPr>
                <w:rFonts w:ascii="MS PGothic" w:cs="MS PGothic" w:eastAsia="MS PGothic" w:hAnsi="MS PGothic"/>
                <w:sz w:val="18"/>
                <w:szCs w:val="18"/>
                <w:color w:val="58844D"/>
                <w:w w:val="88"/>
              </w:rPr>
              <w: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gridSpan w:val="8"/>
          </w:tcPr>
          <w:p>
            <w:pPr>
              <w:ind w:left="60"/>
              <w:spacing w:after="0" w:line="171" w:lineRule="exact"/>
              <w:rPr>
                <w:sz w:val="20"/>
                <w:szCs w:val="20"/>
                <w:color w:val="auto"/>
              </w:rPr>
            </w:pPr>
            <w:r>
              <w:rPr>
                <w:rFonts w:ascii="Arial" w:cs="Arial" w:eastAsia="Arial" w:hAnsi="Arial"/>
                <w:sz w:val="15"/>
                <w:szCs w:val="15"/>
                <w:i w:val="1"/>
                <w:iCs w:val="1"/>
                <w:color w:val="auto"/>
              </w:rPr>
              <w:t>Former Managing Director at J.P.</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82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Morgan</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182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Chase &amp; Co.</w:t>
            </w:r>
          </w:p>
        </w:tc>
        <w:tc>
          <w:tcPr>
            <w:tcW w:w="7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46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480" w:type="dxa"/>
            <w:vAlign w:val="bottom"/>
            <w:tcBorders>
              <w:bottom w:val="single" w:sz="8" w:color="58854E"/>
            </w:tcBorders>
          </w:tcPr>
          <w:p>
            <w:pPr>
              <w:spacing w:after="0"/>
              <w:rPr>
                <w:sz w:val="16"/>
                <w:szCs w:val="16"/>
                <w:color w:val="auto"/>
              </w:rPr>
            </w:pPr>
          </w:p>
        </w:tc>
        <w:tc>
          <w:tcPr>
            <w:tcW w:w="68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4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300" w:type="dxa"/>
            <w:vAlign w:val="bottom"/>
            <w:tcBorders>
              <w:bottom w:val="single" w:sz="8" w:color="58854E"/>
            </w:tcBorders>
          </w:tcPr>
          <w:p>
            <w:pPr>
              <w:spacing w:after="0"/>
              <w:rPr>
                <w:sz w:val="16"/>
                <w:szCs w:val="16"/>
                <w:color w:val="auto"/>
              </w:rPr>
            </w:pPr>
          </w:p>
        </w:tc>
        <w:tc>
          <w:tcPr>
            <w:tcW w:w="260" w:type="dxa"/>
            <w:vAlign w:val="bottom"/>
            <w:tcBorders>
              <w:bottom w:val="single" w:sz="8" w:color="58854E"/>
            </w:tcBorders>
          </w:tcPr>
          <w:p>
            <w:pPr>
              <w:spacing w:after="0"/>
              <w:rPr>
                <w:sz w:val="16"/>
                <w:szCs w:val="16"/>
                <w:color w:val="auto"/>
              </w:rPr>
            </w:pPr>
          </w:p>
        </w:tc>
        <w:tc>
          <w:tcPr>
            <w:tcW w:w="240" w:type="dxa"/>
            <w:vAlign w:val="bottom"/>
            <w:tcBorders>
              <w:bottom w:val="single" w:sz="8" w:color="58854E"/>
            </w:tcBorders>
          </w:tcPr>
          <w:p>
            <w:pPr>
              <w:spacing w:after="0"/>
              <w:rPr>
                <w:sz w:val="16"/>
                <w:szCs w:val="16"/>
                <w:color w:val="auto"/>
              </w:rPr>
            </w:pPr>
          </w:p>
        </w:tc>
        <w:tc>
          <w:tcPr>
            <w:tcW w:w="2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5"/>
                <w:szCs w:val="15"/>
                <w:b w:val="1"/>
                <w:bCs w:val="1"/>
                <w:color w:val="auto"/>
              </w:rPr>
              <w:t>Christopher S. Sotos</w:t>
            </w:r>
          </w:p>
        </w:tc>
        <w:tc>
          <w:tcPr>
            <w:tcW w:w="1720" w:type="dxa"/>
            <w:vAlign w:val="bottom"/>
            <w:gridSpan w:val="5"/>
          </w:tcPr>
          <w:p>
            <w:pPr>
              <w:jc w:val="right"/>
              <w:ind w:right="200"/>
              <w:spacing w:after="0" w:line="149" w:lineRule="exact"/>
              <w:rPr>
                <w:sz w:val="20"/>
                <w:szCs w:val="20"/>
                <w:color w:val="auto"/>
              </w:rPr>
            </w:pPr>
            <w:r>
              <w:rPr>
                <w:rFonts w:ascii="Arial" w:cs="Arial" w:eastAsia="Arial" w:hAnsi="Arial"/>
                <w:sz w:val="15"/>
                <w:szCs w:val="15"/>
                <w:color w:val="auto"/>
              </w:rPr>
              <w:t>46</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2013</w:t>
            </w:r>
          </w:p>
        </w:tc>
        <w:tc>
          <w:tcPr>
            <w:tcW w:w="8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NO</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gridSpan w:val="2"/>
          </w:tcPr>
          <w:p>
            <w:pPr>
              <w:jc w:val="right"/>
              <w:ind w:right="220"/>
              <w:spacing w:after="0" w:line="149" w:lineRule="exact"/>
              <w:rPr>
                <w:sz w:val="20"/>
                <w:szCs w:val="20"/>
                <w:color w:val="auto"/>
              </w:rPr>
            </w:pPr>
            <w:r>
              <w:rPr>
                <w:rFonts w:ascii="Arial" w:cs="Arial" w:eastAsia="Arial" w:hAnsi="Arial"/>
                <w:sz w:val="15"/>
                <w:szCs w:val="15"/>
                <w:color w:val="auto"/>
              </w:rPr>
              <w:t>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gridSpan w:val="8"/>
          </w:tcPr>
          <w:p>
            <w:pPr>
              <w:ind w:left="60"/>
              <w:spacing w:after="0" w:line="171" w:lineRule="exact"/>
              <w:rPr>
                <w:sz w:val="20"/>
                <w:szCs w:val="20"/>
                <w:color w:val="auto"/>
              </w:rPr>
            </w:pPr>
            <w:r>
              <w:rPr>
                <w:rFonts w:ascii="Arial" w:cs="Arial" w:eastAsia="Arial" w:hAnsi="Arial"/>
                <w:sz w:val="15"/>
                <w:szCs w:val="15"/>
                <w:i w:val="1"/>
                <w:iCs w:val="1"/>
                <w:color w:val="auto"/>
              </w:rPr>
              <w:t>President and Chief Executive Officer</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40" w:type="dxa"/>
            <w:vAlign w:val="bottom"/>
            <w:gridSpan w:val="2"/>
          </w:tcPr>
          <w:p>
            <w:pPr>
              <w:ind w:left="60"/>
              <w:spacing w:after="0" w:line="171" w:lineRule="exact"/>
              <w:rPr>
                <w:sz w:val="20"/>
                <w:szCs w:val="20"/>
                <w:color w:val="auto"/>
              </w:rPr>
            </w:pPr>
            <w:r>
              <w:rPr>
                <w:rFonts w:ascii="Arial" w:cs="Arial" w:eastAsia="Arial" w:hAnsi="Arial"/>
                <w:sz w:val="15"/>
                <w:szCs w:val="15"/>
                <w:i w:val="1"/>
                <w:iCs w:val="1"/>
                <w:color w:val="auto"/>
              </w:rPr>
              <w:t>of the</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182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Company</w:t>
            </w:r>
          </w:p>
        </w:tc>
        <w:tc>
          <w:tcPr>
            <w:tcW w:w="7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46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480" w:type="dxa"/>
            <w:vAlign w:val="bottom"/>
            <w:tcBorders>
              <w:bottom w:val="single" w:sz="8" w:color="58854E"/>
            </w:tcBorders>
          </w:tcPr>
          <w:p>
            <w:pPr>
              <w:spacing w:after="0"/>
              <w:rPr>
                <w:sz w:val="16"/>
                <w:szCs w:val="16"/>
                <w:color w:val="auto"/>
              </w:rPr>
            </w:pPr>
          </w:p>
        </w:tc>
        <w:tc>
          <w:tcPr>
            <w:tcW w:w="68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4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220" w:type="dxa"/>
            <w:vAlign w:val="bottom"/>
            <w:tcBorders>
              <w:bottom w:val="single" w:sz="8" w:color="58854E"/>
            </w:tcBorders>
          </w:tcPr>
          <w:p>
            <w:pPr>
              <w:spacing w:after="0"/>
              <w:rPr>
                <w:sz w:val="16"/>
                <w:szCs w:val="16"/>
                <w:color w:val="auto"/>
              </w:rPr>
            </w:pPr>
          </w:p>
        </w:tc>
        <w:tc>
          <w:tcPr>
            <w:tcW w:w="300" w:type="dxa"/>
            <w:vAlign w:val="bottom"/>
            <w:tcBorders>
              <w:bottom w:val="single" w:sz="8" w:color="58854E"/>
            </w:tcBorders>
          </w:tcPr>
          <w:p>
            <w:pPr>
              <w:spacing w:after="0"/>
              <w:rPr>
                <w:sz w:val="16"/>
                <w:szCs w:val="16"/>
                <w:color w:val="auto"/>
              </w:rPr>
            </w:pPr>
          </w:p>
        </w:tc>
        <w:tc>
          <w:tcPr>
            <w:tcW w:w="260" w:type="dxa"/>
            <w:vAlign w:val="bottom"/>
            <w:tcBorders>
              <w:bottom w:val="single" w:sz="8" w:color="58854E"/>
            </w:tcBorders>
          </w:tcPr>
          <w:p>
            <w:pPr>
              <w:spacing w:after="0"/>
              <w:rPr>
                <w:sz w:val="16"/>
                <w:szCs w:val="16"/>
                <w:color w:val="auto"/>
              </w:rPr>
            </w:pPr>
          </w:p>
        </w:tc>
        <w:tc>
          <w:tcPr>
            <w:tcW w:w="240" w:type="dxa"/>
            <w:vAlign w:val="bottom"/>
            <w:tcBorders>
              <w:bottom w:val="single" w:sz="8" w:color="58854E"/>
            </w:tcBorders>
          </w:tcPr>
          <w:p>
            <w:pPr>
              <w:spacing w:after="0"/>
              <w:rPr>
                <w:sz w:val="16"/>
                <w:szCs w:val="16"/>
                <w:color w:val="auto"/>
              </w:rPr>
            </w:pPr>
          </w:p>
        </w:tc>
        <w:tc>
          <w:tcPr>
            <w:tcW w:w="280" w:type="dxa"/>
            <w:vAlign w:val="bottom"/>
            <w:tcBorders>
              <w:bottom w:val="single" w:sz="8" w:color="58854E"/>
            </w:tcBorders>
          </w:tcPr>
          <w:p>
            <w:pPr>
              <w:spacing w:after="0"/>
              <w:rPr>
                <w:sz w:val="16"/>
                <w:szCs w:val="16"/>
                <w:color w:val="auto"/>
              </w:rPr>
            </w:pPr>
          </w:p>
        </w:tc>
        <w:tc>
          <w:tcPr>
            <w:tcW w:w="200" w:type="dxa"/>
            <w:vAlign w:val="bottom"/>
            <w:tcBorders>
              <w:bottom w:val="single" w:sz="8" w:color="58854E"/>
            </w:tcBorders>
          </w:tcPr>
          <w:p>
            <w:pPr>
              <w:spacing w:after="0"/>
              <w:rPr>
                <w:sz w:val="16"/>
                <w:szCs w:val="16"/>
                <w:color w:val="auto"/>
              </w:rPr>
            </w:pPr>
          </w:p>
        </w:tc>
        <w:tc>
          <w:tcPr>
            <w:tcW w:w="120" w:type="dxa"/>
            <w:vAlign w:val="bottom"/>
            <w:tcBorders>
              <w:bottom w:val="single" w:sz="8" w:color="58854E"/>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400" w:type="dxa"/>
            <w:vAlign w:val="bottom"/>
            <w:shd w:val="clear" w:color="auto" w:fill="E9EEE6"/>
          </w:tcPr>
          <w:p>
            <w:pPr>
              <w:ind w:left="60"/>
              <w:spacing w:after="0" w:line="151" w:lineRule="exact"/>
              <w:rPr>
                <w:sz w:val="20"/>
                <w:szCs w:val="20"/>
                <w:color w:val="auto"/>
              </w:rPr>
            </w:pPr>
            <w:r>
              <w:rPr>
                <w:rFonts w:ascii="Arial" w:cs="Arial" w:eastAsia="Arial" w:hAnsi="Arial"/>
                <w:sz w:val="8"/>
                <w:szCs w:val="8"/>
                <w:color w:val="58844D"/>
              </w:rPr>
              <w:t xml:space="preserve">1 </w:t>
            </w:r>
            <w:r>
              <w:rPr>
                <w:rFonts w:ascii="MS PGothic" w:cs="MS PGothic" w:eastAsia="MS PGothic" w:hAnsi="MS PGothic"/>
                <w:sz w:val="17"/>
                <w:szCs w:val="17"/>
                <w:color w:val="58844D"/>
                <w:vertAlign w:val="subscript"/>
              </w:rPr>
              <w:t>★</w:t>
            </w:r>
          </w:p>
        </w:tc>
        <w:tc>
          <w:tcPr>
            <w:tcW w:w="140" w:type="dxa"/>
            <w:vAlign w:val="bottom"/>
            <w:shd w:val="clear" w:color="auto" w:fill="E9EEE6"/>
          </w:tcPr>
          <w:p>
            <w:pPr>
              <w:spacing w:after="0"/>
              <w:rPr>
                <w:sz w:val="13"/>
                <w:szCs w:val="13"/>
                <w:color w:val="auto"/>
              </w:rPr>
            </w:pPr>
          </w:p>
        </w:tc>
        <w:tc>
          <w:tcPr>
            <w:tcW w:w="1280" w:type="dxa"/>
            <w:vAlign w:val="bottom"/>
            <w:shd w:val="clear" w:color="auto" w:fill="E9EEE6"/>
          </w:tcPr>
          <w:p>
            <w:pPr>
              <w:spacing w:after="0" w:line="138" w:lineRule="exact"/>
              <w:rPr>
                <w:sz w:val="20"/>
                <w:szCs w:val="20"/>
                <w:color w:val="auto"/>
              </w:rPr>
            </w:pPr>
            <w:r>
              <w:rPr>
                <w:rFonts w:ascii="Arial" w:cs="Arial" w:eastAsia="Arial" w:hAnsi="Arial"/>
                <w:sz w:val="12"/>
                <w:szCs w:val="12"/>
                <w:color w:val="auto"/>
              </w:rPr>
              <w:t xml:space="preserve">CHAIR  </w:t>
            </w:r>
            <w:r>
              <w:rPr>
                <w:rFonts w:ascii="MS PGothic" w:cs="MS PGothic" w:eastAsia="MS PGothic" w:hAnsi="MS PGothic"/>
                <w:sz w:val="12"/>
                <w:szCs w:val="12"/>
                <w:color w:val="58844D"/>
              </w:rPr>
              <w:t>✓</w:t>
            </w:r>
            <w:r>
              <w:rPr>
                <w:rFonts w:ascii="Arial" w:cs="Arial" w:eastAsia="Arial" w:hAnsi="Arial"/>
                <w:sz w:val="12"/>
                <w:szCs w:val="12"/>
                <w:color w:val="auto"/>
              </w:rPr>
              <w:t xml:space="preserve"> MEMBER</w:t>
            </w:r>
          </w:p>
        </w:tc>
        <w:tc>
          <w:tcPr>
            <w:tcW w:w="780" w:type="dxa"/>
            <w:vAlign w:val="bottom"/>
            <w:shd w:val="clear" w:color="auto" w:fill="E9EEE6"/>
          </w:tcPr>
          <w:p>
            <w:pPr>
              <w:spacing w:after="0"/>
              <w:rPr>
                <w:sz w:val="13"/>
                <w:szCs w:val="13"/>
                <w:color w:val="auto"/>
              </w:rPr>
            </w:pPr>
          </w:p>
        </w:tc>
        <w:tc>
          <w:tcPr>
            <w:tcW w:w="20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460" w:type="dxa"/>
            <w:vAlign w:val="bottom"/>
            <w:shd w:val="clear" w:color="auto" w:fill="E9EEE6"/>
          </w:tcPr>
          <w:p>
            <w:pPr>
              <w:spacing w:after="0"/>
              <w:rPr>
                <w:sz w:val="13"/>
                <w:szCs w:val="13"/>
                <w:color w:val="auto"/>
              </w:rPr>
            </w:pPr>
          </w:p>
        </w:tc>
        <w:tc>
          <w:tcPr>
            <w:tcW w:w="20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480" w:type="dxa"/>
            <w:vAlign w:val="bottom"/>
            <w:shd w:val="clear" w:color="auto" w:fill="E9EEE6"/>
          </w:tcPr>
          <w:p>
            <w:pPr>
              <w:spacing w:after="0"/>
              <w:rPr>
                <w:sz w:val="13"/>
                <w:szCs w:val="13"/>
                <w:color w:val="auto"/>
              </w:rPr>
            </w:pPr>
          </w:p>
        </w:tc>
        <w:tc>
          <w:tcPr>
            <w:tcW w:w="680" w:type="dxa"/>
            <w:vAlign w:val="bottom"/>
            <w:shd w:val="clear" w:color="auto" w:fill="E9EEE6"/>
          </w:tcPr>
          <w:p>
            <w:pPr>
              <w:spacing w:after="0"/>
              <w:rPr>
                <w:sz w:val="13"/>
                <w:szCs w:val="13"/>
                <w:color w:val="auto"/>
              </w:rPr>
            </w:pPr>
          </w:p>
        </w:tc>
        <w:tc>
          <w:tcPr>
            <w:tcW w:w="22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1000" w:type="dxa"/>
            <w:vAlign w:val="bottom"/>
            <w:shd w:val="clear" w:color="auto" w:fill="E9EEE6"/>
          </w:tcPr>
          <w:p>
            <w:pPr>
              <w:spacing w:after="0"/>
              <w:rPr>
                <w:sz w:val="13"/>
                <w:szCs w:val="13"/>
                <w:color w:val="auto"/>
              </w:rPr>
            </w:pPr>
          </w:p>
        </w:tc>
        <w:tc>
          <w:tcPr>
            <w:tcW w:w="22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1140" w:type="dxa"/>
            <w:vAlign w:val="bottom"/>
            <w:shd w:val="clear" w:color="auto" w:fill="E9EEE6"/>
          </w:tcPr>
          <w:p>
            <w:pPr>
              <w:spacing w:after="0"/>
              <w:rPr>
                <w:sz w:val="13"/>
                <w:szCs w:val="13"/>
                <w:color w:val="auto"/>
              </w:rPr>
            </w:pPr>
          </w:p>
        </w:tc>
        <w:tc>
          <w:tcPr>
            <w:tcW w:w="120" w:type="dxa"/>
            <w:vAlign w:val="bottom"/>
            <w:shd w:val="clear" w:color="auto" w:fill="E9EEE6"/>
          </w:tcPr>
          <w:p>
            <w:pPr>
              <w:spacing w:after="0"/>
              <w:rPr>
                <w:sz w:val="13"/>
                <w:szCs w:val="13"/>
                <w:color w:val="auto"/>
              </w:rPr>
            </w:pPr>
          </w:p>
        </w:tc>
        <w:tc>
          <w:tcPr>
            <w:tcW w:w="220" w:type="dxa"/>
            <w:vAlign w:val="bottom"/>
            <w:shd w:val="clear" w:color="auto" w:fill="E9EEE6"/>
          </w:tcPr>
          <w:p>
            <w:pPr>
              <w:spacing w:after="0"/>
              <w:rPr>
                <w:sz w:val="13"/>
                <w:szCs w:val="13"/>
                <w:color w:val="auto"/>
              </w:rPr>
            </w:pPr>
          </w:p>
        </w:tc>
        <w:tc>
          <w:tcPr>
            <w:tcW w:w="300" w:type="dxa"/>
            <w:vAlign w:val="bottom"/>
            <w:shd w:val="clear" w:color="auto" w:fill="E9EEE6"/>
          </w:tcPr>
          <w:p>
            <w:pPr>
              <w:spacing w:after="0"/>
              <w:rPr>
                <w:sz w:val="13"/>
                <w:szCs w:val="13"/>
                <w:color w:val="auto"/>
              </w:rPr>
            </w:pPr>
          </w:p>
        </w:tc>
        <w:tc>
          <w:tcPr>
            <w:tcW w:w="260" w:type="dxa"/>
            <w:vAlign w:val="bottom"/>
            <w:tcBorders>
              <w:right w:val="single" w:sz="8" w:color="E9EEE6"/>
            </w:tcBorders>
            <w:shd w:val="clear" w:color="auto" w:fill="E9EEE6"/>
          </w:tcPr>
          <w:p>
            <w:pPr>
              <w:spacing w:after="0"/>
              <w:rPr>
                <w:sz w:val="13"/>
                <w:szCs w:val="13"/>
                <w:color w:val="auto"/>
              </w:rPr>
            </w:pPr>
          </w:p>
        </w:tc>
        <w:tc>
          <w:tcPr>
            <w:tcW w:w="240" w:type="dxa"/>
            <w:vAlign w:val="bottom"/>
            <w:shd w:val="clear" w:color="auto" w:fill="E9EEE6"/>
          </w:tcPr>
          <w:p>
            <w:pPr>
              <w:spacing w:after="0"/>
              <w:rPr>
                <w:sz w:val="13"/>
                <w:szCs w:val="13"/>
                <w:color w:val="auto"/>
              </w:rPr>
            </w:pPr>
          </w:p>
        </w:tc>
        <w:tc>
          <w:tcPr>
            <w:tcW w:w="280" w:type="dxa"/>
            <w:vAlign w:val="bottom"/>
            <w:tcBorders>
              <w:right w:val="single" w:sz="8" w:color="E9EEE6"/>
            </w:tcBorders>
            <w:shd w:val="clear" w:color="auto" w:fill="E9EEE6"/>
          </w:tcPr>
          <w:p>
            <w:pPr>
              <w:spacing w:after="0"/>
              <w:rPr>
                <w:sz w:val="13"/>
                <w:szCs w:val="13"/>
                <w:color w:val="auto"/>
              </w:rPr>
            </w:pPr>
          </w:p>
        </w:tc>
        <w:tc>
          <w:tcPr>
            <w:tcW w:w="200" w:type="dxa"/>
            <w:vAlign w:val="bottom"/>
            <w:shd w:val="clear" w:color="auto" w:fill="E9EEE6"/>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00" w:type="dxa"/>
            <w:vAlign w:val="bottom"/>
            <w:vMerge w:val="restart"/>
            <w:shd w:val="clear" w:color="auto" w:fill="E9EEE6"/>
          </w:tcPr>
          <w:p>
            <w:pPr>
              <w:ind w:left="60"/>
              <w:spacing w:after="0"/>
              <w:rPr>
                <w:sz w:val="20"/>
                <w:szCs w:val="20"/>
                <w:color w:val="auto"/>
              </w:rPr>
            </w:pPr>
            <w:r>
              <w:rPr>
                <w:rFonts w:ascii="Arial" w:cs="Arial" w:eastAsia="Arial" w:hAnsi="Arial"/>
                <w:sz w:val="9"/>
                <w:szCs w:val="9"/>
                <w:color w:val="58844D"/>
              </w:rPr>
              <w:t>2</w:t>
            </w:r>
          </w:p>
        </w:tc>
        <w:tc>
          <w:tcPr>
            <w:tcW w:w="140" w:type="dxa"/>
            <w:vAlign w:val="bottom"/>
            <w:shd w:val="clear" w:color="auto" w:fill="E9EEE6"/>
          </w:tcPr>
          <w:p>
            <w:pPr>
              <w:spacing w:after="0"/>
              <w:rPr>
                <w:sz w:val="15"/>
                <w:szCs w:val="15"/>
                <w:color w:val="auto"/>
              </w:rPr>
            </w:pPr>
          </w:p>
        </w:tc>
        <w:tc>
          <w:tcPr>
            <w:tcW w:w="1280" w:type="dxa"/>
            <w:vAlign w:val="bottom"/>
            <w:shd w:val="clear" w:color="auto" w:fill="E9EEE6"/>
          </w:tcPr>
          <w:p>
            <w:pPr>
              <w:spacing w:after="0"/>
              <w:rPr>
                <w:sz w:val="20"/>
                <w:szCs w:val="20"/>
                <w:color w:val="auto"/>
              </w:rPr>
            </w:pPr>
            <w:r>
              <w:rPr>
                <w:rFonts w:ascii="Arial" w:cs="Arial" w:eastAsia="Arial" w:hAnsi="Arial"/>
                <w:sz w:val="12"/>
                <w:szCs w:val="12"/>
                <w:color w:val="auto"/>
              </w:rPr>
              <w:t>A = Audit Committee;</w:t>
            </w:r>
          </w:p>
        </w:tc>
        <w:tc>
          <w:tcPr>
            <w:tcW w:w="1720" w:type="dxa"/>
            <w:vAlign w:val="bottom"/>
            <w:gridSpan w:val="5"/>
            <w:shd w:val="clear" w:color="auto" w:fill="E9EEE6"/>
          </w:tcPr>
          <w:p>
            <w:pPr>
              <w:spacing w:after="0"/>
              <w:rPr>
                <w:sz w:val="20"/>
                <w:szCs w:val="20"/>
                <w:color w:val="auto"/>
              </w:rPr>
            </w:pPr>
            <w:r>
              <w:rPr>
                <w:rFonts w:ascii="Arial" w:cs="Arial" w:eastAsia="Arial" w:hAnsi="Arial"/>
                <w:sz w:val="12"/>
                <w:szCs w:val="12"/>
                <w:color w:val="auto"/>
              </w:rPr>
              <w:t>C = Compensation Committee;</w:t>
            </w:r>
          </w:p>
        </w:tc>
        <w:tc>
          <w:tcPr>
            <w:tcW w:w="3980" w:type="dxa"/>
            <w:vAlign w:val="bottom"/>
            <w:gridSpan w:val="9"/>
            <w:shd w:val="clear" w:color="auto" w:fill="E9EEE6"/>
          </w:tcPr>
          <w:p>
            <w:pPr>
              <w:ind w:left="80"/>
              <w:spacing w:after="0"/>
              <w:rPr>
                <w:sz w:val="20"/>
                <w:szCs w:val="20"/>
                <w:color w:val="auto"/>
              </w:rPr>
            </w:pPr>
            <w:r>
              <w:rPr>
                <w:rFonts w:ascii="Arial" w:cs="Arial" w:eastAsia="Arial" w:hAnsi="Arial"/>
                <w:sz w:val="12"/>
                <w:szCs w:val="12"/>
                <w:color w:val="auto"/>
              </w:rPr>
              <w:t>GCN = Corporate Governance, Conflicts and Nominating Committee</w:t>
            </w:r>
          </w:p>
        </w:tc>
        <w:tc>
          <w:tcPr>
            <w:tcW w:w="120" w:type="dxa"/>
            <w:vAlign w:val="bottom"/>
            <w:shd w:val="clear" w:color="auto" w:fill="E9EEE6"/>
          </w:tcPr>
          <w:p>
            <w:pPr>
              <w:spacing w:after="0"/>
              <w:rPr>
                <w:sz w:val="15"/>
                <w:szCs w:val="15"/>
                <w:color w:val="auto"/>
              </w:rPr>
            </w:pPr>
          </w:p>
        </w:tc>
        <w:tc>
          <w:tcPr>
            <w:tcW w:w="220" w:type="dxa"/>
            <w:vAlign w:val="bottom"/>
            <w:shd w:val="clear" w:color="auto" w:fill="E9EEE6"/>
          </w:tcPr>
          <w:p>
            <w:pPr>
              <w:spacing w:after="0"/>
              <w:rPr>
                <w:sz w:val="15"/>
                <w:szCs w:val="15"/>
                <w:color w:val="auto"/>
              </w:rPr>
            </w:pPr>
          </w:p>
        </w:tc>
        <w:tc>
          <w:tcPr>
            <w:tcW w:w="300" w:type="dxa"/>
            <w:vAlign w:val="bottom"/>
            <w:shd w:val="clear" w:color="auto" w:fill="E9EEE6"/>
          </w:tcPr>
          <w:p>
            <w:pPr>
              <w:spacing w:after="0"/>
              <w:rPr>
                <w:sz w:val="15"/>
                <w:szCs w:val="15"/>
                <w:color w:val="auto"/>
              </w:rPr>
            </w:pPr>
          </w:p>
        </w:tc>
        <w:tc>
          <w:tcPr>
            <w:tcW w:w="260" w:type="dxa"/>
            <w:vAlign w:val="bottom"/>
            <w:tcBorders>
              <w:right w:val="single" w:sz="8" w:color="E9EEE6"/>
            </w:tcBorders>
            <w:shd w:val="clear" w:color="auto" w:fill="E9EEE6"/>
          </w:tcPr>
          <w:p>
            <w:pPr>
              <w:spacing w:after="0"/>
              <w:rPr>
                <w:sz w:val="15"/>
                <w:szCs w:val="15"/>
                <w:color w:val="auto"/>
              </w:rPr>
            </w:pPr>
          </w:p>
        </w:tc>
        <w:tc>
          <w:tcPr>
            <w:tcW w:w="240" w:type="dxa"/>
            <w:vAlign w:val="bottom"/>
            <w:shd w:val="clear" w:color="auto" w:fill="E9EEE6"/>
          </w:tcPr>
          <w:p>
            <w:pPr>
              <w:spacing w:after="0"/>
              <w:rPr>
                <w:sz w:val="15"/>
                <w:szCs w:val="15"/>
                <w:color w:val="auto"/>
              </w:rPr>
            </w:pPr>
          </w:p>
        </w:tc>
        <w:tc>
          <w:tcPr>
            <w:tcW w:w="280" w:type="dxa"/>
            <w:vAlign w:val="bottom"/>
            <w:tcBorders>
              <w:right w:val="single" w:sz="8" w:color="E9EEE6"/>
            </w:tcBorders>
            <w:shd w:val="clear" w:color="auto" w:fill="E9EEE6"/>
          </w:tcPr>
          <w:p>
            <w:pPr>
              <w:spacing w:after="0"/>
              <w:rPr>
                <w:sz w:val="15"/>
                <w:szCs w:val="15"/>
                <w:color w:val="auto"/>
              </w:rPr>
            </w:pPr>
          </w:p>
        </w:tc>
        <w:tc>
          <w:tcPr>
            <w:tcW w:w="200" w:type="dxa"/>
            <w:vAlign w:val="bottom"/>
            <w:shd w:val="clear" w:color="auto" w:fill="E9EEE6"/>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400" w:type="dxa"/>
            <w:vAlign w:val="bottom"/>
            <w:tcBorders>
              <w:bottom w:val="single" w:sz="8" w:color="E9EEE6"/>
            </w:tcBorders>
            <w:vMerge w:val="continue"/>
            <w:shd w:val="clear" w:color="auto" w:fill="E9EEE6"/>
          </w:tcPr>
          <w:p>
            <w:pPr>
              <w:spacing w:after="0"/>
              <w:rPr>
                <w:sz w:val="10"/>
                <w:szCs w:val="10"/>
                <w:color w:val="auto"/>
              </w:rPr>
            </w:pPr>
          </w:p>
        </w:tc>
        <w:tc>
          <w:tcPr>
            <w:tcW w:w="140" w:type="dxa"/>
            <w:vAlign w:val="bottom"/>
            <w:tcBorders>
              <w:bottom w:val="single" w:sz="8" w:color="E9EEE6"/>
            </w:tcBorders>
            <w:shd w:val="clear" w:color="auto" w:fill="E9EEE6"/>
          </w:tcPr>
          <w:p>
            <w:pPr>
              <w:spacing w:after="0"/>
              <w:rPr>
                <w:sz w:val="10"/>
                <w:szCs w:val="10"/>
                <w:color w:val="auto"/>
              </w:rPr>
            </w:pPr>
          </w:p>
        </w:tc>
        <w:tc>
          <w:tcPr>
            <w:tcW w:w="3000" w:type="dxa"/>
            <w:vAlign w:val="bottom"/>
            <w:tcBorders>
              <w:bottom w:val="single" w:sz="8" w:color="E9EEE6"/>
            </w:tcBorders>
            <w:gridSpan w:val="6"/>
            <w:shd w:val="clear" w:color="auto" w:fill="E9EEE6"/>
          </w:tcPr>
          <w:p>
            <w:pPr>
              <w:spacing w:after="0" w:line="117" w:lineRule="exact"/>
              <w:rPr>
                <w:sz w:val="20"/>
                <w:szCs w:val="20"/>
                <w:color w:val="auto"/>
              </w:rPr>
            </w:pPr>
            <w:r>
              <w:rPr>
                <w:rFonts w:ascii="Arial" w:cs="Arial" w:eastAsia="Arial" w:hAnsi="Arial"/>
                <w:sz w:val="12"/>
                <w:szCs w:val="12"/>
                <w:color w:val="auto"/>
              </w:rPr>
              <w:t>Lead Independent Director</w:t>
            </w:r>
          </w:p>
        </w:tc>
        <w:tc>
          <w:tcPr>
            <w:tcW w:w="80" w:type="dxa"/>
            <w:vAlign w:val="bottom"/>
            <w:tcBorders>
              <w:bottom w:val="single" w:sz="8" w:color="E9EEE6"/>
            </w:tcBorders>
            <w:shd w:val="clear" w:color="auto" w:fill="E9EEE6"/>
          </w:tcPr>
          <w:p>
            <w:pPr>
              <w:spacing w:after="0"/>
              <w:rPr>
                <w:sz w:val="10"/>
                <w:szCs w:val="10"/>
                <w:color w:val="auto"/>
              </w:rPr>
            </w:pPr>
          </w:p>
        </w:tc>
        <w:tc>
          <w:tcPr>
            <w:tcW w:w="480" w:type="dxa"/>
            <w:vAlign w:val="bottom"/>
            <w:tcBorders>
              <w:bottom w:val="single" w:sz="8" w:color="E9EEE6"/>
            </w:tcBorders>
            <w:shd w:val="clear" w:color="auto" w:fill="E9EEE6"/>
          </w:tcPr>
          <w:p>
            <w:pPr>
              <w:spacing w:after="0"/>
              <w:rPr>
                <w:sz w:val="10"/>
                <w:szCs w:val="10"/>
                <w:color w:val="auto"/>
              </w:rPr>
            </w:pPr>
          </w:p>
        </w:tc>
        <w:tc>
          <w:tcPr>
            <w:tcW w:w="680" w:type="dxa"/>
            <w:vAlign w:val="bottom"/>
            <w:tcBorders>
              <w:bottom w:val="single" w:sz="8" w:color="E9EEE6"/>
            </w:tcBorders>
            <w:shd w:val="clear" w:color="auto" w:fill="E9EEE6"/>
          </w:tcPr>
          <w:p>
            <w:pPr>
              <w:spacing w:after="0"/>
              <w:rPr>
                <w:sz w:val="10"/>
                <w:szCs w:val="10"/>
                <w:color w:val="auto"/>
              </w:rPr>
            </w:pPr>
          </w:p>
        </w:tc>
        <w:tc>
          <w:tcPr>
            <w:tcW w:w="220" w:type="dxa"/>
            <w:vAlign w:val="bottom"/>
            <w:tcBorders>
              <w:bottom w:val="single" w:sz="8" w:color="E9EEE6"/>
            </w:tcBorders>
            <w:shd w:val="clear" w:color="auto" w:fill="E9EEE6"/>
          </w:tcPr>
          <w:p>
            <w:pPr>
              <w:spacing w:after="0"/>
              <w:rPr>
                <w:sz w:val="10"/>
                <w:szCs w:val="10"/>
                <w:color w:val="auto"/>
              </w:rPr>
            </w:pPr>
          </w:p>
        </w:tc>
        <w:tc>
          <w:tcPr>
            <w:tcW w:w="80" w:type="dxa"/>
            <w:vAlign w:val="bottom"/>
            <w:tcBorders>
              <w:bottom w:val="single" w:sz="8" w:color="E9EEE6"/>
            </w:tcBorders>
            <w:shd w:val="clear" w:color="auto" w:fill="E9EEE6"/>
          </w:tcPr>
          <w:p>
            <w:pPr>
              <w:spacing w:after="0"/>
              <w:rPr>
                <w:sz w:val="10"/>
                <w:szCs w:val="10"/>
                <w:color w:val="auto"/>
              </w:rPr>
            </w:pPr>
          </w:p>
        </w:tc>
        <w:tc>
          <w:tcPr>
            <w:tcW w:w="1000" w:type="dxa"/>
            <w:vAlign w:val="bottom"/>
            <w:tcBorders>
              <w:bottom w:val="single" w:sz="8" w:color="E9EEE6"/>
            </w:tcBorders>
            <w:shd w:val="clear" w:color="auto" w:fill="E9EEE6"/>
          </w:tcPr>
          <w:p>
            <w:pPr>
              <w:spacing w:after="0"/>
              <w:rPr>
                <w:sz w:val="10"/>
                <w:szCs w:val="10"/>
                <w:color w:val="auto"/>
              </w:rPr>
            </w:pPr>
          </w:p>
        </w:tc>
        <w:tc>
          <w:tcPr>
            <w:tcW w:w="220" w:type="dxa"/>
            <w:vAlign w:val="bottom"/>
            <w:tcBorders>
              <w:bottom w:val="single" w:sz="8" w:color="E9EEE6"/>
            </w:tcBorders>
            <w:shd w:val="clear" w:color="auto" w:fill="E9EEE6"/>
          </w:tcPr>
          <w:p>
            <w:pPr>
              <w:spacing w:after="0"/>
              <w:rPr>
                <w:sz w:val="10"/>
                <w:szCs w:val="10"/>
                <w:color w:val="auto"/>
              </w:rPr>
            </w:pPr>
          </w:p>
        </w:tc>
        <w:tc>
          <w:tcPr>
            <w:tcW w:w="80" w:type="dxa"/>
            <w:vAlign w:val="bottom"/>
            <w:tcBorders>
              <w:bottom w:val="single" w:sz="8" w:color="E9EEE6"/>
            </w:tcBorders>
            <w:shd w:val="clear" w:color="auto" w:fill="E9EEE6"/>
          </w:tcPr>
          <w:p>
            <w:pPr>
              <w:spacing w:after="0"/>
              <w:rPr>
                <w:sz w:val="10"/>
                <w:szCs w:val="10"/>
                <w:color w:val="auto"/>
              </w:rPr>
            </w:pPr>
          </w:p>
        </w:tc>
        <w:tc>
          <w:tcPr>
            <w:tcW w:w="1140" w:type="dxa"/>
            <w:vAlign w:val="bottom"/>
            <w:tcBorders>
              <w:bottom w:val="single" w:sz="8" w:color="E9EEE6"/>
            </w:tcBorders>
            <w:shd w:val="clear" w:color="auto" w:fill="E9EEE6"/>
          </w:tcPr>
          <w:p>
            <w:pPr>
              <w:spacing w:after="0"/>
              <w:rPr>
                <w:sz w:val="10"/>
                <w:szCs w:val="10"/>
                <w:color w:val="auto"/>
              </w:rPr>
            </w:pPr>
          </w:p>
        </w:tc>
        <w:tc>
          <w:tcPr>
            <w:tcW w:w="120" w:type="dxa"/>
            <w:vAlign w:val="bottom"/>
            <w:tcBorders>
              <w:bottom w:val="single" w:sz="8" w:color="E9EEE6"/>
            </w:tcBorders>
            <w:shd w:val="clear" w:color="auto" w:fill="E9EEE6"/>
          </w:tcPr>
          <w:p>
            <w:pPr>
              <w:spacing w:after="0"/>
              <w:rPr>
                <w:sz w:val="10"/>
                <w:szCs w:val="10"/>
                <w:color w:val="auto"/>
              </w:rPr>
            </w:pPr>
          </w:p>
        </w:tc>
        <w:tc>
          <w:tcPr>
            <w:tcW w:w="220" w:type="dxa"/>
            <w:vAlign w:val="bottom"/>
            <w:tcBorders>
              <w:bottom w:val="single" w:sz="8" w:color="E9EEE6"/>
            </w:tcBorders>
            <w:shd w:val="clear" w:color="auto" w:fill="E9EEE6"/>
          </w:tcPr>
          <w:p>
            <w:pPr>
              <w:spacing w:after="0"/>
              <w:rPr>
                <w:sz w:val="10"/>
                <w:szCs w:val="10"/>
                <w:color w:val="auto"/>
              </w:rPr>
            </w:pPr>
          </w:p>
        </w:tc>
        <w:tc>
          <w:tcPr>
            <w:tcW w:w="300" w:type="dxa"/>
            <w:vAlign w:val="bottom"/>
            <w:tcBorders>
              <w:bottom w:val="single" w:sz="8" w:color="E9EEE6"/>
            </w:tcBorders>
            <w:shd w:val="clear" w:color="auto" w:fill="E9EEE6"/>
          </w:tcPr>
          <w:p>
            <w:pPr>
              <w:spacing w:after="0"/>
              <w:rPr>
                <w:sz w:val="10"/>
                <w:szCs w:val="10"/>
                <w:color w:val="auto"/>
              </w:rPr>
            </w:pPr>
          </w:p>
        </w:tc>
        <w:tc>
          <w:tcPr>
            <w:tcW w:w="260" w:type="dxa"/>
            <w:vAlign w:val="bottom"/>
            <w:tcBorders>
              <w:bottom w:val="single" w:sz="8" w:color="E9EEE6"/>
              <w:right w:val="single" w:sz="8" w:color="E9EEE6"/>
            </w:tcBorders>
            <w:shd w:val="clear" w:color="auto" w:fill="E9EEE6"/>
          </w:tcPr>
          <w:p>
            <w:pPr>
              <w:spacing w:after="0"/>
              <w:rPr>
                <w:sz w:val="10"/>
                <w:szCs w:val="10"/>
                <w:color w:val="auto"/>
              </w:rPr>
            </w:pPr>
          </w:p>
        </w:tc>
        <w:tc>
          <w:tcPr>
            <w:tcW w:w="240" w:type="dxa"/>
            <w:vAlign w:val="bottom"/>
            <w:tcBorders>
              <w:bottom w:val="single" w:sz="8" w:color="E9EEE6"/>
            </w:tcBorders>
            <w:shd w:val="clear" w:color="auto" w:fill="E9EEE6"/>
          </w:tcPr>
          <w:p>
            <w:pPr>
              <w:spacing w:after="0"/>
              <w:rPr>
                <w:sz w:val="10"/>
                <w:szCs w:val="10"/>
                <w:color w:val="auto"/>
              </w:rPr>
            </w:pPr>
          </w:p>
        </w:tc>
        <w:tc>
          <w:tcPr>
            <w:tcW w:w="280" w:type="dxa"/>
            <w:vAlign w:val="bottom"/>
            <w:tcBorders>
              <w:bottom w:val="single" w:sz="8" w:color="E9EEE6"/>
              <w:right w:val="single" w:sz="8" w:color="E9EEE6"/>
            </w:tcBorders>
            <w:shd w:val="clear" w:color="auto" w:fill="E9EEE6"/>
          </w:tcPr>
          <w:p>
            <w:pPr>
              <w:spacing w:after="0"/>
              <w:rPr>
                <w:sz w:val="10"/>
                <w:szCs w:val="10"/>
                <w:color w:val="auto"/>
              </w:rPr>
            </w:pPr>
          </w:p>
        </w:tc>
        <w:tc>
          <w:tcPr>
            <w:tcW w:w="200" w:type="dxa"/>
            <w:vAlign w:val="bottom"/>
            <w:tcBorders>
              <w:bottom w:val="single" w:sz="8" w:color="E9EEE6"/>
            </w:tcBorders>
            <w:shd w:val="clear" w:color="auto" w:fill="E9EEE6"/>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-3846195</wp:posOffset>
            </wp:positionV>
            <wp:extent cx="89027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027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PROXY STATEMENT HIGHLIGHTS </w:t>
      </w:r>
      <w:r>
        <w:rPr>
          <w:rFonts w:ascii="Arial" w:cs="Arial" w:eastAsia="Arial" w:hAnsi="Arial"/>
          <w:sz w:val="12"/>
          <w:szCs w:val="12"/>
          <w:b w:val="1"/>
          <w:bCs w:val="1"/>
          <w:color w:val="58844D"/>
        </w:rPr>
        <w:t>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58844D"/>
        </w:rPr>
        <w:t>Questions and Answers</w:t>
      </w:r>
    </w:p>
    <w:p>
      <w:pPr>
        <w:spacing w:after="0" w:line="189" w:lineRule="exact"/>
        <w:rPr>
          <w:sz w:val="20"/>
          <w:szCs w:val="20"/>
          <w:color w:val="auto"/>
        </w:rPr>
      </w:pPr>
    </w:p>
    <w:p>
      <w:pPr>
        <w:ind w:right="40"/>
        <w:spacing w:after="0" w:line="245" w:lineRule="auto"/>
        <w:rPr>
          <w:sz w:val="20"/>
          <w:szCs w:val="20"/>
          <w:color w:val="auto"/>
        </w:rPr>
      </w:pPr>
      <w:r>
        <w:rPr>
          <w:rFonts w:ascii="Arial" w:cs="Arial" w:eastAsia="Arial" w:hAnsi="Arial"/>
          <w:sz w:val="15"/>
          <w:szCs w:val="15"/>
          <w:color w:val="auto"/>
        </w:rPr>
        <w:t xml:space="preserve">Please see the Questions and Answers section beginning on page 53 for important information about the proxy materials, voting and the Annual Meeting. Additional questions may be directed to our proxy solicitor, MacKenzie Partners, Inc. at (800) 322-2885 or </w:t>
      </w:r>
      <w:r>
        <w:rPr>
          <w:rFonts w:ascii="Arial" w:cs="Arial" w:eastAsia="Arial" w:hAnsi="Arial"/>
          <w:sz w:val="15"/>
          <w:szCs w:val="15"/>
          <w:i w:val="1"/>
          <w:iCs w:val="1"/>
          <w:color w:val="auto"/>
        </w:rPr>
        <w:t>proxy@mackenziepartners.com.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58844D"/>
        </w:rPr>
        <w:t>Learn More About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You can learn more about the Company and view our governance materials and much more by visiting our website, </w:t>
      </w:r>
      <w:r>
        <w:rPr>
          <w:rFonts w:ascii="Arial" w:cs="Arial" w:eastAsia="Arial" w:hAnsi="Arial"/>
          <w:sz w:val="15"/>
          <w:szCs w:val="15"/>
          <w:i w:val="1"/>
          <w:iCs w:val="1"/>
          <w:color w:val="auto"/>
        </w:rPr>
        <w:t>www.nrgyield.com.</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Please also visit our Annual Meeting website at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to easily access the Company's proxy materials and vote through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120650</wp:posOffset>
            </wp:positionV>
            <wp:extent cx="727329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9060"/>
        <w:spacing w:after="0"/>
        <w:rPr>
          <w:sz w:val="20"/>
          <w:szCs w:val="20"/>
          <w:color w:val="auto"/>
        </w:rPr>
      </w:pPr>
      <w:r>
        <w:rPr>
          <w:rFonts w:ascii="Arial" w:cs="Arial" w:eastAsia="Arial" w:hAnsi="Arial"/>
          <w:sz w:val="12"/>
          <w:szCs w:val="12"/>
          <w:color w:val="FFFFFE"/>
        </w:rPr>
        <w:t xml:space="preserve">PROXY STATEMENT </w:t>
      </w:r>
      <w:r>
        <w:rPr>
          <w:rFonts w:ascii="Arial" w:cs="Arial" w:eastAsia="Arial" w:hAnsi="Arial"/>
          <w:sz w:val="12"/>
          <w:szCs w:val="12"/>
          <w:b w:val="1"/>
          <w:bCs w:val="1"/>
          <w:color w:val="FFFFFE"/>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Proxy Statement</w:t>
      </w:r>
    </w:p>
    <w:p>
      <w:pPr>
        <w:spacing w:after="0" w:line="375"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We are providing these proxy materials to you in connection with the solicitation of proxies by the Board of NRG Yield, Inc. for the Annual Meeting and for any adjournment or postponement of the Annual Meeting. The Annual Meeting will be held on Tuesday, April 24, 2018, at 9 a.m., Eastern Time at the Hyatt Regency Princeton, 102 Carnegie Center, Princeton, NJ 08540. In this Proxy Statement, "we," "us," "our," "NRG Yield," "Yield" and the "Company" refer to NRG Yield, Inc.</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68210" cy="629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6299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8844D"/>
        </w:rPr>
        <w:t>Important Notice Regarding the Availability of Proxy Materials for the Annual Meeting</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8844D"/>
        </w:rPr>
        <w:t>of Stockholders to be held on Tuesday, April 24, 2018</w:t>
      </w:r>
    </w:p>
    <w:p>
      <w:pPr>
        <w:spacing w:after="0" w:line="200" w:lineRule="exact"/>
        <w:rPr>
          <w:sz w:val="20"/>
          <w:szCs w:val="20"/>
          <w:color w:val="auto"/>
        </w:rPr>
      </w:pPr>
    </w:p>
    <w:p>
      <w:pPr>
        <w:spacing w:after="0" w:line="267"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 xml:space="preserve">Each of the Notice of Annual Meeting, this Proxy Statement and our 2017 Form 10-K is available at </w:t>
      </w:r>
      <w:r>
        <w:rPr>
          <w:rFonts w:ascii="Arial" w:cs="Arial" w:eastAsia="Arial" w:hAnsi="Arial"/>
          <w:sz w:val="15"/>
          <w:szCs w:val="15"/>
          <w:i w:val="1"/>
          <w:iCs w:val="1"/>
          <w:color w:val="auto"/>
        </w:rPr>
        <w:t>www.proxyvote.com</w:t>
      </w:r>
      <w:r>
        <w:rPr>
          <w:rFonts w:ascii="Arial" w:cs="Arial" w:eastAsia="Arial" w:hAnsi="Arial"/>
          <w:sz w:val="15"/>
          <w:szCs w:val="15"/>
          <w:color w:val="auto"/>
        </w:rPr>
        <w:t xml:space="preserve">. </w:t>
      </w:r>
      <w:r>
        <w:rPr>
          <w:rFonts w:ascii="Arial" w:cs="Arial" w:eastAsia="Arial" w:hAnsi="Arial"/>
          <w:sz w:val="15"/>
          <w:szCs w:val="15"/>
          <w:b w:val="1"/>
          <w:bCs w:val="1"/>
          <w:color w:val="auto"/>
        </w:rPr>
        <w:t>If you would like to receive, without charge, a</w:t>
      </w:r>
      <w:r>
        <w:rPr>
          <w:rFonts w:ascii="Arial" w:cs="Arial" w:eastAsia="Arial" w:hAnsi="Arial"/>
          <w:sz w:val="15"/>
          <w:szCs w:val="15"/>
          <w:color w:val="auto"/>
        </w:rPr>
        <w:t xml:space="preserve"> </w:t>
      </w:r>
      <w:r>
        <w:rPr>
          <w:rFonts w:ascii="Arial" w:cs="Arial" w:eastAsia="Arial" w:hAnsi="Arial"/>
          <w:sz w:val="15"/>
          <w:szCs w:val="15"/>
          <w:b w:val="1"/>
          <w:bCs w:val="1"/>
          <w:color w:val="auto"/>
        </w:rPr>
        <w:t>paper copy of our 2017 Form 10-K, including the financial statements and the financial statement schedules, please send your request to Investor Relations, 804 Carnegie Center, Princeton, New Jersey 08540.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27329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 w:name="page10"/>
    <w:bookmarkEnd w:id="9"/>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113030</wp:posOffset>
            </wp:positionV>
            <wp:extent cx="6840855" cy="2150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ind w:right="1100"/>
        <w:spacing w:after="0"/>
        <w:rPr>
          <w:sz w:val="20"/>
          <w:szCs w:val="20"/>
          <w:color w:val="auto"/>
        </w:rPr>
      </w:pPr>
      <w:r>
        <w:rPr>
          <w:rFonts w:ascii="Arial" w:cs="Arial" w:eastAsia="Arial" w:hAnsi="Arial"/>
          <w:sz w:val="12"/>
          <w:szCs w:val="12"/>
          <w:color w:val="FFFFFE"/>
        </w:rPr>
        <w:t xml:space="preserve">GOVERNANCE OF THE COMPANY </w:t>
      </w:r>
      <w:r>
        <w:rPr>
          <w:rFonts w:ascii="Arial" w:cs="Arial" w:eastAsia="Arial" w:hAnsi="Arial"/>
          <w:sz w:val="12"/>
          <w:szCs w:val="12"/>
          <w:b w:val="1"/>
          <w:bCs w:val="1"/>
          <w:color w:val="FFFFFE"/>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9"/>
        <w:spacing w:after="0"/>
        <w:rPr>
          <w:sz w:val="20"/>
          <w:szCs w:val="20"/>
          <w:color w:val="auto"/>
        </w:rPr>
      </w:pPr>
      <w:r>
        <w:rPr>
          <w:rFonts w:ascii="Arial" w:cs="Arial" w:eastAsia="Arial" w:hAnsi="Arial"/>
          <w:sz w:val="36"/>
          <w:szCs w:val="36"/>
          <w:color w:val="FFFFFE"/>
        </w:rPr>
        <w:t>Governance of the Company</w:t>
      </w:r>
    </w:p>
    <w:p>
      <w:pPr>
        <w:sectPr>
          <w:pgSz w:w="11900" w:h="16838" w:orient="portrait"/>
          <w:cols w:equalWidth="0" w:num="1">
            <w:col w:w="11449"/>
          </w:cols>
          <w:pgMar w:left="231" w:top="14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
        <w:spacing w:after="0"/>
        <w:rPr>
          <w:sz w:val="20"/>
          <w:szCs w:val="20"/>
          <w:color w:val="auto"/>
        </w:rPr>
      </w:pPr>
      <w:r>
        <w:rPr>
          <w:rFonts w:ascii="Arial" w:cs="Arial" w:eastAsia="Arial" w:hAnsi="Arial"/>
          <w:sz w:val="18"/>
          <w:szCs w:val="18"/>
          <w:color w:val="58844D"/>
        </w:rPr>
        <w:t>Corporate Governance Guidelines and Charters</w:t>
      </w:r>
    </w:p>
    <w:p>
      <w:pPr>
        <w:spacing w:after="0" w:line="189" w:lineRule="exact"/>
        <w:rPr>
          <w:sz w:val="20"/>
          <w:szCs w:val="20"/>
          <w:color w:val="auto"/>
        </w:rPr>
      </w:pPr>
    </w:p>
    <w:p>
      <w:pPr>
        <w:ind w:left="9"/>
        <w:spacing w:after="0" w:line="238" w:lineRule="auto"/>
        <w:rPr>
          <w:sz w:val="20"/>
          <w:szCs w:val="20"/>
          <w:color w:val="auto"/>
        </w:rPr>
      </w:pPr>
      <w:r>
        <w:rPr>
          <w:rFonts w:ascii="Arial" w:cs="Arial" w:eastAsia="Arial" w:hAnsi="Arial"/>
          <w:sz w:val="15"/>
          <w:szCs w:val="15"/>
          <w:color w:val="auto"/>
        </w:rPr>
        <w:t xml:space="preserve">The Board has adopted Corporate Governance Guidelines (Guidelines) that, along with the Restated Certificate of Incorporation, the Third Amended and Restated Bylaws (Bylaws) and the written charters of the committees of the Board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investor relations website at </w:t>
      </w:r>
      <w:r>
        <w:rPr>
          <w:rFonts w:ascii="Arial" w:cs="Arial" w:eastAsia="Arial" w:hAnsi="Arial"/>
          <w:sz w:val="15"/>
          <w:szCs w:val="15"/>
          <w:i w:val="1"/>
          <w:iCs w:val="1"/>
          <w:color w:val="auto"/>
        </w:rPr>
        <w:t>http://investor.nrgyield.com</w:t>
      </w:r>
      <w:r>
        <w:rPr>
          <w:rFonts w:ascii="Arial" w:cs="Arial" w:eastAsia="Arial" w:hAnsi="Arial"/>
          <w:sz w:val="15"/>
          <w:szCs w:val="15"/>
          <w:color w:val="auto"/>
        </w:rPr>
        <w:t>, along with the written charters of all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Committees and the Company's Code of Conduct. The Guidelines, the charters of all of the Committees and the Code of Conduct are also available in print to any stockholder upon request. Stockholders who desire to receive such items in print may request them from the Company's Corporate Secretary by writing to NRG Yield, Inc., 804 Carnegie Center, Princeton, New Jersey 08540.</w:t>
      </w:r>
    </w:p>
    <w:p>
      <w:pPr>
        <w:spacing w:after="0" w:line="174" w:lineRule="exact"/>
        <w:rPr>
          <w:sz w:val="20"/>
          <w:szCs w:val="20"/>
          <w:color w:val="auto"/>
        </w:rPr>
      </w:pPr>
    </w:p>
    <w:p>
      <w:pPr>
        <w:ind w:left="9"/>
        <w:spacing w:after="0"/>
        <w:rPr>
          <w:sz w:val="20"/>
          <w:szCs w:val="20"/>
          <w:color w:val="auto"/>
        </w:rPr>
      </w:pPr>
      <w:r>
        <w:rPr>
          <w:rFonts w:ascii="Arial" w:cs="Arial" w:eastAsia="Arial" w:hAnsi="Arial"/>
          <w:sz w:val="18"/>
          <w:szCs w:val="18"/>
          <w:color w:val="58844D"/>
        </w:rPr>
        <w:t>Controlled Company</w:t>
      </w:r>
    </w:p>
    <w:p>
      <w:pPr>
        <w:spacing w:after="0" w:line="189" w:lineRule="exact"/>
        <w:rPr>
          <w:sz w:val="20"/>
          <w:szCs w:val="20"/>
          <w:color w:val="auto"/>
        </w:rPr>
      </w:pPr>
    </w:p>
    <w:p>
      <w:pPr>
        <w:ind w:left="9"/>
        <w:spacing w:after="0" w:line="254" w:lineRule="auto"/>
        <w:rPr>
          <w:sz w:val="20"/>
          <w:szCs w:val="20"/>
          <w:color w:val="auto"/>
        </w:rPr>
      </w:pPr>
      <w:r>
        <w:rPr>
          <w:rFonts w:ascii="Arial" w:cs="Arial" w:eastAsia="Arial" w:hAnsi="Arial"/>
          <w:sz w:val="14"/>
          <w:szCs w:val="14"/>
          <w:color w:val="auto"/>
        </w:rPr>
        <w:t>For purposes of the New York Stock Exchange (NYSE) rules, we are a "controlled company." Controlled companies under those rules are companies of which more than 50% of the voting power for the election of directors is held by an individual, a group or another company. NRG Energy, Inc. (NRG) controls more than 50% of the combined voting power of our common stock and has the voting power to elect the members of our Board. Accordingly, we are eligible to, and we may, take advantage of certain exemptions from corporate governance requirements provided in the NYSE rules. As a controlled company, we are not required to have</w:t>
      </w:r>
    </w:p>
    <w:p>
      <w:pPr>
        <w:spacing w:after="0" w:line="5" w:lineRule="exact"/>
        <w:rPr>
          <w:sz w:val="20"/>
          <w:szCs w:val="20"/>
          <w:color w:val="auto"/>
        </w:rPr>
      </w:pPr>
    </w:p>
    <w:p>
      <w:pPr>
        <w:ind w:left="9" w:right="180" w:hanging="9"/>
        <w:spacing w:after="0" w:line="239" w:lineRule="auto"/>
        <w:tabs>
          <w:tab w:leader="none" w:pos="231" w:val="left"/>
        </w:tabs>
        <w:numPr>
          <w:ilvl w:val="0"/>
          <w:numId w:val="4"/>
        </w:numPr>
        <w:rPr>
          <w:rFonts w:ascii="Arial" w:cs="Arial" w:eastAsia="Arial" w:hAnsi="Arial"/>
          <w:sz w:val="15"/>
          <w:szCs w:val="15"/>
          <w:color w:val="auto"/>
        </w:rPr>
      </w:pPr>
      <w:r>
        <w:rPr>
          <w:rFonts w:ascii="Arial" w:cs="Arial" w:eastAsia="Arial" w:hAnsi="Arial"/>
          <w:sz w:val="15"/>
          <w:szCs w:val="15"/>
          <w:color w:val="auto"/>
        </w:rPr>
        <w:t>a majority of independent directors, (b) a nominating/corporate governance committee composed entirely of independent directors, (c) 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 However, we have elected to have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Compensation Committee and a Corporate Governance, Conflicts and Nominating Committee consisting entirely of independent directors and we conduct an annual performance evaluation of these Committees. The controlled company exemption does not modify the independence requirements for the Audit Committee, and we have complied with the requirements of the Sarbanes-Oxley Act of 2002 and the NYSE rules, which require that our Audit Committee be composed of at least three members, all of whom are independent.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58844D"/>
        </w:rPr>
        <w:t>Board Structure and Leadership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Borders>
              <w:top w:val="single" w:sz="8" w:color="58844D"/>
            </w:tcBorders>
            <w:gridSpan w:val="2"/>
          </w:tcPr>
          <w:p>
            <w:pPr>
              <w:spacing w:after="0"/>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Chairman of the Board: Mauricio</w:t>
            </w:r>
          </w:p>
        </w:tc>
        <w:tc>
          <w:tcPr>
            <w:tcW w:w="2700" w:type="dxa"/>
            <w:vAlign w:val="bottom"/>
            <w:tcBorders>
              <w:top w:val="single" w:sz="8" w:color="58844D"/>
            </w:tcBorders>
          </w:tcPr>
          <w:p>
            <w:pPr>
              <w:ind w:left="60"/>
              <w:spacing w:after="0"/>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Separate Chairman and Chief</w:t>
            </w:r>
          </w:p>
        </w:tc>
      </w:tr>
      <w:tr>
        <w:trPr>
          <w:trHeight w:val="168"/>
        </w:trPr>
        <w:tc>
          <w:tcPr>
            <w:tcW w:w="20" w:type="dxa"/>
            <w:vAlign w:val="bottom"/>
          </w:tcPr>
          <w:p>
            <w:pPr>
              <w:spacing w:after="0"/>
              <w:rPr>
                <w:sz w:val="14"/>
                <w:szCs w:val="14"/>
                <w:color w:val="auto"/>
              </w:rPr>
            </w:pPr>
          </w:p>
        </w:tc>
        <w:tc>
          <w:tcPr>
            <w:tcW w:w="2660" w:type="dxa"/>
            <w:vAlign w:val="bottom"/>
            <w:tcBorders>
              <w:bottom w:val="single" w:sz="8" w:color="58844D"/>
            </w:tcBorders>
          </w:tcPr>
          <w:p>
            <w:pPr>
              <w:ind w:left="80"/>
              <w:spacing w:after="0" w:line="169" w:lineRule="exact"/>
              <w:rPr>
                <w:sz w:val="20"/>
                <w:szCs w:val="20"/>
                <w:color w:val="auto"/>
              </w:rPr>
            </w:pPr>
            <w:r>
              <w:rPr>
                <w:rFonts w:ascii="Arial" w:cs="Arial" w:eastAsia="Arial" w:hAnsi="Arial"/>
                <w:sz w:val="15"/>
                <w:szCs w:val="15"/>
                <w:color w:val="auto"/>
              </w:rPr>
              <w:t>Gutierrez</w:t>
            </w:r>
          </w:p>
        </w:tc>
        <w:tc>
          <w:tcPr>
            <w:tcW w:w="2700" w:type="dxa"/>
            <w:vAlign w:val="bottom"/>
            <w:tcBorders>
              <w:bottom w:val="single" w:sz="8" w:color="58844D"/>
            </w:tcBorders>
          </w:tcPr>
          <w:p>
            <w:pPr>
              <w:ind w:left="160"/>
              <w:spacing w:after="0" w:line="169" w:lineRule="exact"/>
              <w:rPr>
                <w:sz w:val="20"/>
                <w:szCs w:val="20"/>
                <w:color w:val="auto"/>
              </w:rPr>
            </w:pPr>
            <w:r>
              <w:rPr>
                <w:rFonts w:ascii="Arial" w:cs="Arial" w:eastAsia="Arial" w:hAnsi="Arial"/>
                <w:sz w:val="15"/>
                <w:szCs w:val="15"/>
                <w:color w:val="auto"/>
              </w:rPr>
              <w:t>Executive Officer</w:t>
            </w:r>
          </w:p>
        </w:tc>
      </w:tr>
      <w:tr>
        <w:trPr>
          <w:trHeight w:val="154"/>
        </w:trPr>
        <w:tc>
          <w:tcPr>
            <w:tcW w:w="20" w:type="dxa"/>
            <w:vAlign w:val="bottom"/>
          </w:tcPr>
          <w:p>
            <w:pPr>
              <w:spacing w:after="0"/>
              <w:rPr>
                <w:sz w:val="13"/>
                <w:szCs w:val="13"/>
                <w:color w:val="auto"/>
              </w:rPr>
            </w:pPr>
          </w:p>
        </w:tc>
        <w:tc>
          <w:tcPr>
            <w:tcW w:w="2660" w:type="dxa"/>
            <w:vAlign w:val="bottom"/>
          </w:tcPr>
          <w:p>
            <w:pPr>
              <w:spacing w:after="0" w:line="154"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Number of directors: 7</w:t>
            </w:r>
          </w:p>
        </w:tc>
        <w:tc>
          <w:tcPr>
            <w:tcW w:w="2700" w:type="dxa"/>
            <w:vAlign w:val="bottom"/>
          </w:tcPr>
          <w:p>
            <w:pPr>
              <w:ind w:left="60"/>
              <w:spacing w:after="0" w:line="154"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Lead Independent Director: John F.</w:t>
            </w:r>
          </w:p>
        </w:tc>
      </w:tr>
      <w:tr>
        <w:trPr>
          <w:trHeight w:val="168"/>
        </w:trPr>
        <w:tc>
          <w:tcPr>
            <w:tcW w:w="20" w:type="dxa"/>
            <w:vAlign w:val="bottom"/>
          </w:tcPr>
          <w:p>
            <w:pPr>
              <w:spacing w:after="0"/>
              <w:rPr>
                <w:sz w:val="14"/>
                <w:szCs w:val="14"/>
                <w:color w:val="auto"/>
              </w:rPr>
            </w:pPr>
          </w:p>
        </w:tc>
        <w:tc>
          <w:tcPr>
            <w:tcW w:w="2660" w:type="dxa"/>
            <w:vAlign w:val="bottom"/>
            <w:tcBorders>
              <w:bottom w:val="single" w:sz="8" w:color="58844D"/>
            </w:tcBorders>
          </w:tcPr>
          <w:p>
            <w:pPr>
              <w:spacing w:after="0"/>
              <w:rPr>
                <w:sz w:val="14"/>
                <w:szCs w:val="14"/>
                <w:color w:val="auto"/>
              </w:rPr>
            </w:pPr>
          </w:p>
        </w:tc>
        <w:tc>
          <w:tcPr>
            <w:tcW w:w="2700" w:type="dxa"/>
            <w:vAlign w:val="bottom"/>
            <w:tcBorders>
              <w:bottom w:val="single" w:sz="8" w:color="58844D"/>
            </w:tcBorders>
          </w:tcPr>
          <w:p>
            <w:pPr>
              <w:ind w:left="160"/>
              <w:spacing w:after="0" w:line="169" w:lineRule="exact"/>
              <w:rPr>
                <w:sz w:val="20"/>
                <w:szCs w:val="20"/>
                <w:color w:val="auto"/>
              </w:rPr>
            </w:pPr>
            <w:r>
              <w:rPr>
                <w:rFonts w:ascii="Arial" w:cs="Arial" w:eastAsia="Arial" w:hAnsi="Arial"/>
                <w:sz w:val="15"/>
                <w:szCs w:val="15"/>
                <w:color w:val="auto"/>
              </w:rPr>
              <w:t>Chlebowski</w:t>
            </w:r>
          </w:p>
        </w:tc>
      </w:tr>
      <w:tr>
        <w:trPr>
          <w:trHeight w:val="154"/>
        </w:trPr>
        <w:tc>
          <w:tcPr>
            <w:tcW w:w="20" w:type="dxa"/>
            <w:vAlign w:val="bottom"/>
          </w:tcPr>
          <w:p>
            <w:pPr>
              <w:spacing w:after="0"/>
              <w:rPr>
                <w:sz w:val="13"/>
                <w:szCs w:val="13"/>
                <w:color w:val="auto"/>
              </w:rPr>
            </w:pPr>
          </w:p>
        </w:tc>
        <w:tc>
          <w:tcPr>
            <w:tcW w:w="2660" w:type="dxa"/>
            <w:vAlign w:val="bottom"/>
          </w:tcPr>
          <w:p>
            <w:pPr>
              <w:spacing w:after="0" w:line="154" w:lineRule="exact"/>
              <w:rPr>
                <w:sz w:val="20"/>
                <w:szCs w:val="20"/>
                <w:color w:val="auto"/>
              </w:rPr>
            </w:pPr>
            <w:r>
              <w:rPr>
                <w:rFonts w:ascii="Arial" w:cs="Arial" w:eastAsia="Arial" w:hAnsi="Arial"/>
                <w:sz w:val="15"/>
                <w:szCs w:val="15"/>
                <w:color w:val="58844D"/>
                <w:w w:val="99"/>
              </w:rPr>
              <w:t xml:space="preserve">• </w:t>
            </w:r>
            <w:r>
              <w:rPr>
                <w:rFonts w:ascii="Arial" w:cs="Arial" w:eastAsia="Arial" w:hAnsi="Arial"/>
                <w:sz w:val="15"/>
                <w:szCs w:val="15"/>
                <w:color w:val="000000"/>
                <w:w w:val="99"/>
              </w:rPr>
              <w:t>Number of regular meetings in 2017: 4</w:t>
            </w:r>
          </w:p>
        </w:tc>
        <w:tc>
          <w:tcPr>
            <w:tcW w:w="2700" w:type="dxa"/>
            <w:vAlign w:val="bottom"/>
          </w:tcPr>
          <w:p>
            <w:pPr>
              <w:ind w:left="60"/>
              <w:spacing w:after="0" w:line="154"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Regular executive sessions of</w:t>
            </w:r>
          </w:p>
        </w:tc>
      </w:tr>
      <w:tr>
        <w:trPr>
          <w:trHeight w:val="168"/>
        </w:trPr>
        <w:tc>
          <w:tcPr>
            <w:tcW w:w="20" w:type="dxa"/>
            <w:vAlign w:val="bottom"/>
          </w:tcPr>
          <w:p>
            <w:pPr>
              <w:spacing w:after="0"/>
              <w:rPr>
                <w:sz w:val="14"/>
                <w:szCs w:val="14"/>
                <w:color w:val="auto"/>
              </w:rPr>
            </w:pPr>
          </w:p>
        </w:tc>
        <w:tc>
          <w:tcPr>
            <w:tcW w:w="2660" w:type="dxa"/>
            <w:vAlign w:val="bottom"/>
            <w:tcBorders>
              <w:bottom w:val="single" w:sz="8" w:color="58844D"/>
            </w:tcBorders>
          </w:tcPr>
          <w:p>
            <w:pPr>
              <w:spacing w:after="0"/>
              <w:rPr>
                <w:sz w:val="14"/>
                <w:szCs w:val="14"/>
                <w:color w:val="auto"/>
              </w:rPr>
            </w:pPr>
          </w:p>
        </w:tc>
        <w:tc>
          <w:tcPr>
            <w:tcW w:w="2700" w:type="dxa"/>
            <w:vAlign w:val="bottom"/>
            <w:tcBorders>
              <w:bottom w:val="single" w:sz="8" w:color="58844D"/>
            </w:tcBorders>
          </w:tcPr>
          <w:p>
            <w:pPr>
              <w:ind w:left="160"/>
              <w:spacing w:after="0" w:line="169" w:lineRule="exact"/>
              <w:rPr>
                <w:sz w:val="20"/>
                <w:szCs w:val="20"/>
                <w:color w:val="auto"/>
              </w:rPr>
            </w:pPr>
            <w:r>
              <w:rPr>
                <w:rFonts w:ascii="Arial" w:cs="Arial" w:eastAsia="Arial" w:hAnsi="Arial"/>
                <w:sz w:val="15"/>
                <w:szCs w:val="15"/>
                <w:color w:val="auto"/>
              </w:rPr>
              <w:t>independent directors</w:t>
            </w:r>
          </w:p>
        </w:tc>
      </w:tr>
      <w:tr>
        <w:trPr>
          <w:trHeight w:val="154"/>
        </w:trPr>
        <w:tc>
          <w:tcPr>
            <w:tcW w:w="20" w:type="dxa"/>
            <w:vAlign w:val="bottom"/>
          </w:tcPr>
          <w:p>
            <w:pPr>
              <w:spacing w:after="0"/>
              <w:rPr>
                <w:sz w:val="13"/>
                <w:szCs w:val="13"/>
                <w:color w:val="auto"/>
              </w:rPr>
            </w:pPr>
          </w:p>
        </w:tc>
        <w:tc>
          <w:tcPr>
            <w:tcW w:w="2660" w:type="dxa"/>
            <w:vAlign w:val="bottom"/>
          </w:tcPr>
          <w:p>
            <w:pPr>
              <w:spacing w:after="0" w:line="154" w:lineRule="exact"/>
              <w:rPr>
                <w:sz w:val="20"/>
                <w:szCs w:val="20"/>
                <w:color w:val="auto"/>
              </w:rPr>
            </w:pPr>
            <w:r>
              <w:rPr>
                <w:rFonts w:ascii="Arial" w:cs="Arial" w:eastAsia="Arial" w:hAnsi="Arial"/>
                <w:sz w:val="15"/>
                <w:szCs w:val="15"/>
                <w:color w:val="58844D"/>
                <w:w w:val="99"/>
              </w:rPr>
              <w:t xml:space="preserve">• </w:t>
            </w:r>
            <w:r>
              <w:rPr>
                <w:rFonts w:ascii="Arial" w:cs="Arial" w:eastAsia="Arial" w:hAnsi="Arial"/>
                <w:sz w:val="15"/>
                <w:szCs w:val="15"/>
                <w:color w:val="000000"/>
                <w:w w:val="99"/>
              </w:rPr>
              <w:t>Number of special meetings in 2017: 3</w:t>
            </w:r>
          </w:p>
        </w:tc>
        <w:tc>
          <w:tcPr>
            <w:tcW w:w="2700" w:type="dxa"/>
            <w:vAlign w:val="bottom"/>
          </w:tcPr>
          <w:p>
            <w:pPr>
              <w:ind w:left="60"/>
              <w:spacing w:after="0" w:line="154"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Committees composed of all</w:t>
            </w:r>
          </w:p>
        </w:tc>
      </w:tr>
      <w:tr>
        <w:trPr>
          <w:trHeight w:val="168"/>
        </w:trPr>
        <w:tc>
          <w:tcPr>
            <w:tcW w:w="20" w:type="dxa"/>
            <w:vAlign w:val="bottom"/>
          </w:tcPr>
          <w:p>
            <w:pPr>
              <w:spacing w:after="0"/>
              <w:rPr>
                <w:sz w:val="14"/>
                <w:szCs w:val="14"/>
                <w:color w:val="auto"/>
              </w:rPr>
            </w:pPr>
          </w:p>
        </w:tc>
        <w:tc>
          <w:tcPr>
            <w:tcW w:w="2660" w:type="dxa"/>
            <w:vAlign w:val="bottom"/>
            <w:tcBorders>
              <w:bottom w:val="single" w:sz="8" w:color="58844D"/>
            </w:tcBorders>
          </w:tcPr>
          <w:p>
            <w:pPr>
              <w:spacing w:after="0"/>
              <w:rPr>
                <w:sz w:val="14"/>
                <w:szCs w:val="14"/>
                <w:color w:val="auto"/>
              </w:rPr>
            </w:pPr>
          </w:p>
        </w:tc>
        <w:tc>
          <w:tcPr>
            <w:tcW w:w="2700" w:type="dxa"/>
            <w:vAlign w:val="bottom"/>
            <w:tcBorders>
              <w:bottom w:val="single" w:sz="8" w:color="58844D"/>
            </w:tcBorders>
          </w:tcPr>
          <w:p>
            <w:pPr>
              <w:ind w:left="160"/>
              <w:spacing w:after="0" w:line="169" w:lineRule="exact"/>
              <w:rPr>
                <w:sz w:val="20"/>
                <w:szCs w:val="20"/>
                <w:color w:val="auto"/>
              </w:rPr>
            </w:pPr>
            <w:r>
              <w:rPr>
                <w:rFonts w:ascii="Arial" w:cs="Arial" w:eastAsia="Arial" w:hAnsi="Arial"/>
                <w:sz w:val="15"/>
                <w:szCs w:val="15"/>
                <w:color w:val="auto"/>
              </w:rPr>
              <w:t>independent directors</w:t>
            </w:r>
          </w:p>
        </w:tc>
      </w:tr>
      <w:tr>
        <w:trPr>
          <w:trHeight w:val="162"/>
        </w:trPr>
        <w:tc>
          <w:tcPr>
            <w:tcW w:w="20" w:type="dxa"/>
            <w:vAlign w:val="bottom"/>
            <w:tcBorders>
              <w:bottom w:val="single" w:sz="8" w:color="58844D"/>
            </w:tcBorders>
          </w:tcPr>
          <w:p>
            <w:pPr>
              <w:spacing w:after="0"/>
              <w:rPr>
                <w:sz w:val="14"/>
                <w:szCs w:val="14"/>
                <w:color w:val="auto"/>
              </w:rPr>
            </w:pPr>
          </w:p>
        </w:tc>
        <w:tc>
          <w:tcPr>
            <w:tcW w:w="2660" w:type="dxa"/>
            <w:vAlign w:val="bottom"/>
            <w:tcBorders>
              <w:bottom w:val="single" w:sz="8" w:color="58844D"/>
            </w:tcBorders>
          </w:tcPr>
          <w:p>
            <w:pPr>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Annual election of directors</w:t>
            </w:r>
          </w:p>
        </w:tc>
        <w:tc>
          <w:tcPr>
            <w:tcW w:w="2700" w:type="dxa"/>
            <w:vAlign w:val="bottom"/>
            <w:tcBorders>
              <w:bottom w:val="single" w:sz="8" w:color="58844D"/>
            </w:tcBorders>
          </w:tcPr>
          <w:p>
            <w:pPr>
              <w:ind w:left="60"/>
              <w:spacing w:after="0" w:line="162" w:lineRule="exact"/>
              <w:rPr>
                <w:sz w:val="20"/>
                <w:szCs w:val="20"/>
                <w:color w:val="auto"/>
              </w:rPr>
            </w:pPr>
            <w:r>
              <w:rPr>
                <w:rFonts w:ascii="Arial" w:cs="Arial" w:eastAsia="Arial" w:hAnsi="Arial"/>
                <w:sz w:val="15"/>
                <w:szCs w:val="15"/>
                <w:color w:val="58844D"/>
              </w:rPr>
              <w:t xml:space="preserve">• </w:t>
            </w:r>
            <w:r>
              <w:rPr>
                <w:rFonts w:ascii="Arial" w:cs="Arial" w:eastAsia="Arial" w:hAnsi="Arial"/>
                <w:sz w:val="15"/>
                <w:szCs w:val="15"/>
                <w:color w:val="000000"/>
              </w:rPr>
              <w:t>Active engagement by all directors</w:t>
            </w:r>
          </w:p>
        </w:tc>
      </w:tr>
    </w:tbl>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82"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During the 2017 fiscal year, all directors attended at least 75% of the meetings of the Board and Committees on which they served. Non-management directors meet in executive session regularly following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165100</wp:posOffset>
            </wp:positionV>
            <wp:extent cx="727329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700"/>
            <w:col w:w="5380"/>
          </w:cols>
          <w:pgMar w:left="231" w:top="142" w:right="219" w:bottom="1440" w:gutter="0" w:footer="0" w:header="0"/>
          <w:type w:val="continuous"/>
        </w:sectPr>
      </w:pPr>
    </w:p>
    <w:bookmarkStart w:id="10" w:name="page11"/>
    <w:bookmarkEnd w:id="10"/>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line="245" w:lineRule="auto"/>
        <w:rPr>
          <w:sz w:val="20"/>
          <w:szCs w:val="20"/>
          <w:color w:val="auto"/>
        </w:rPr>
      </w:pPr>
      <w:r>
        <w:rPr>
          <w:rFonts w:ascii="Arial" w:cs="Arial" w:eastAsia="Arial" w:hAnsi="Arial"/>
          <w:sz w:val="15"/>
          <w:szCs w:val="15"/>
          <w:color w:val="auto"/>
        </w:rPr>
        <w:t>Directors are encouraged to attend the annual meetings of stockholders. All of the directors attended the 2017 Annual Meeting of Stockholders.</w:t>
      </w:r>
    </w:p>
    <w:p>
      <w:pPr>
        <w:spacing w:after="0" w:line="172" w:lineRule="exact"/>
        <w:rPr>
          <w:sz w:val="20"/>
          <w:szCs w:val="20"/>
          <w:color w:val="auto"/>
        </w:rPr>
      </w:pPr>
    </w:p>
    <w:p>
      <w:pPr>
        <w:ind w:left="9" w:right="20"/>
        <w:spacing w:after="0" w:line="238" w:lineRule="auto"/>
        <w:rPr>
          <w:sz w:val="20"/>
          <w:szCs w:val="20"/>
          <w:color w:val="auto"/>
        </w:rPr>
      </w:pPr>
      <w:r>
        <w:rPr>
          <w:rFonts w:ascii="Arial" w:cs="Arial" w:eastAsia="Arial" w:hAnsi="Arial"/>
          <w:sz w:val="15"/>
          <w:szCs w:val="15"/>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Mauricio Gutierrez, a non-executive director and Chief Executive Officer of NRG,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182" w:lineRule="exact"/>
        <w:rPr>
          <w:sz w:val="20"/>
          <w:szCs w:val="20"/>
          <w:color w:val="auto"/>
        </w:rPr>
      </w:pPr>
    </w:p>
    <w:p>
      <w:pPr>
        <w:ind w:left="9" w:right="60"/>
        <w:spacing w:after="0" w:line="239" w:lineRule="auto"/>
        <w:rPr>
          <w:sz w:val="20"/>
          <w:szCs w:val="20"/>
          <w:color w:val="auto"/>
        </w:rPr>
      </w:pPr>
      <w:r>
        <w:rPr>
          <w:rFonts w:ascii="Arial" w:cs="Arial" w:eastAsia="Arial" w:hAnsi="Arial"/>
          <w:sz w:val="15"/>
          <w:szCs w:val="15"/>
          <w:color w:val="auto"/>
        </w:rPr>
        <w:t>Our President and CEO, Mr. Sotos, and the Chairman, Mr. Gutierrez, work together in complementary roles. Mr. Sotos focuses on the day-to-day operations of the Company and establishes the Company's strategic plan. Mr. Gutierrez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 at this time.</w:t>
      </w:r>
    </w:p>
    <w:p>
      <w:pPr>
        <w:spacing w:after="0" w:line="176" w:lineRule="exact"/>
        <w:rPr>
          <w:sz w:val="20"/>
          <w:szCs w:val="20"/>
          <w:color w:val="auto"/>
        </w:rPr>
      </w:pPr>
    </w:p>
    <w:p>
      <w:pPr>
        <w:ind w:left="9" w:right="60"/>
        <w:spacing w:after="0" w:line="239" w:lineRule="auto"/>
        <w:rPr>
          <w:sz w:val="20"/>
          <w:szCs w:val="20"/>
          <w:color w:val="auto"/>
        </w:rPr>
      </w:pPr>
      <w:r>
        <w:rPr>
          <w:rFonts w:ascii="Arial" w:cs="Arial" w:eastAsia="Arial" w:hAnsi="Arial"/>
          <w:sz w:val="15"/>
          <w:szCs w:val="15"/>
          <w:color w:val="auto"/>
        </w:rPr>
        <w:t>When the Chairman is an affiliated director or a member of Company management, or when the independent directors determine that it is in the best interests of the Company, the independent directors will annually appoint from among themselves a Lead Independent Director. Mr. Chlebowski is currently the Lead Independent Director. As Lead Independent Director, Mr. Chlebowski is responsible for the activities of the independent directors and is authorized to call meetings of the independent directors, chairs executive sessions of the independent directors, and performs the other duties either specified in the Guidelines or as assigned from time to time by the Board.</w:t>
      </w:r>
    </w:p>
    <w:p>
      <w:pPr>
        <w:spacing w:after="0" w:line="167" w:lineRule="exact"/>
        <w:rPr>
          <w:sz w:val="20"/>
          <w:szCs w:val="20"/>
          <w:color w:val="auto"/>
        </w:rPr>
      </w:pPr>
    </w:p>
    <w:p>
      <w:pPr>
        <w:ind w:left="9"/>
        <w:spacing w:after="0"/>
        <w:rPr>
          <w:sz w:val="20"/>
          <w:szCs w:val="20"/>
          <w:color w:val="auto"/>
        </w:rPr>
      </w:pPr>
      <w:r>
        <w:rPr>
          <w:rFonts w:ascii="Arial" w:cs="Arial" w:eastAsia="Arial" w:hAnsi="Arial"/>
          <w:sz w:val="18"/>
          <w:szCs w:val="18"/>
          <w:color w:val="58844D"/>
        </w:rPr>
        <w:t>Governance Practices</w:t>
      </w:r>
    </w:p>
    <w:p>
      <w:pPr>
        <w:spacing w:after="0" w:line="189" w:lineRule="exact"/>
        <w:rPr>
          <w:sz w:val="20"/>
          <w:szCs w:val="20"/>
          <w:color w:val="auto"/>
        </w:rPr>
      </w:pPr>
    </w:p>
    <w:p>
      <w:pPr>
        <w:ind w:left="9" w:right="480"/>
        <w:spacing w:after="0" w:line="263" w:lineRule="auto"/>
        <w:rPr>
          <w:sz w:val="20"/>
          <w:szCs w:val="20"/>
          <w:color w:val="auto"/>
        </w:rPr>
      </w:pPr>
      <w:r>
        <w:rPr>
          <w:rFonts w:ascii="Arial" w:cs="Arial" w:eastAsia="Arial" w:hAnsi="Arial"/>
          <w:sz w:val="14"/>
          <w:szCs w:val="14"/>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161" w:lineRule="exact"/>
        <w:rPr>
          <w:sz w:val="20"/>
          <w:szCs w:val="20"/>
          <w:color w:val="auto"/>
        </w:rPr>
      </w:pPr>
    </w:p>
    <w:p>
      <w:pPr>
        <w:ind w:left="449" w:hanging="449"/>
        <w:spacing w:after="0"/>
        <w:tabs>
          <w:tab w:leader="none" w:pos="449" w:val="left"/>
        </w:tabs>
        <w:numPr>
          <w:ilvl w:val="0"/>
          <w:numId w:val="5"/>
        </w:numPr>
        <w:rPr>
          <w:rFonts w:ascii="Arial" w:cs="Arial" w:eastAsia="Arial" w:hAnsi="Arial"/>
          <w:sz w:val="15"/>
          <w:szCs w:val="15"/>
          <w:color w:val="58844D"/>
        </w:rPr>
      </w:pPr>
      <w:r>
        <w:rPr>
          <w:rFonts w:ascii="Arial" w:cs="Arial" w:eastAsia="Arial" w:hAnsi="Arial"/>
          <w:sz w:val="15"/>
          <w:szCs w:val="15"/>
          <w:color w:val="auto"/>
        </w:rPr>
        <w:t>succession planning for the CEO and other senior management;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GOVERNANCE OF THE COMPANY </w:t>
      </w:r>
      <w:r>
        <w:rPr>
          <w:rFonts w:ascii="Arial" w:cs="Arial" w:eastAsia="Arial" w:hAnsi="Arial"/>
          <w:sz w:val="12"/>
          <w:szCs w:val="12"/>
          <w:b w:val="1"/>
          <w:bCs w:val="1"/>
          <w:color w:val="58844D"/>
        </w:rPr>
        <w:t>6</w:t>
      </w:r>
    </w:p>
    <w:p>
      <w:pPr>
        <w:spacing w:after="0" w:line="376" w:lineRule="exact"/>
        <w:rPr>
          <w:sz w:val="20"/>
          <w:szCs w:val="20"/>
          <w:color w:val="auto"/>
        </w:rPr>
      </w:pPr>
    </w:p>
    <w:p>
      <w:pPr>
        <w:ind w:left="463" w:right="360" w:hanging="463"/>
        <w:spacing w:after="0" w:line="280" w:lineRule="auto"/>
        <w:tabs>
          <w:tab w:leader="none" w:pos="463" w:val="left"/>
        </w:tabs>
        <w:numPr>
          <w:ilvl w:val="0"/>
          <w:numId w:val="6"/>
        </w:numPr>
        <w:rPr>
          <w:rFonts w:ascii="Arial" w:cs="Arial" w:eastAsia="Arial" w:hAnsi="Arial"/>
          <w:sz w:val="14"/>
          <w:szCs w:val="14"/>
          <w:color w:val="58844D"/>
        </w:rPr>
      </w:pPr>
      <w:r>
        <w:rPr>
          <w:rFonts w:ascii="Arial" w:cs="Arial" w:eastAsia="Arial" w:hAnsi="Arial"/>
          <w:sz w:val="14"/>
          <w:szCs w:val="14"/>
          <w:color w:val="auto"/>
        </w:rPr>
        <w:t>annual performance evaluations of the Board and each of its standing Committees, as well as periodic peer review for individual directors;</w:t>
      </w:r>
    </w:p>
    <w:p>
      <w:pPr>
        <w:spacing w:after="0" w:line="148" w:lineRule="exact"/>
        <w:rPr>
          <w:rFonts w:ascii="Arial" w:cs="Arial" w:eastAsia="Arial" w:hAnsi="Arial"/>
          <w:sz w:val="14"/>
          <w:szCs w:val="14"/>
          <w:color w:val="58844D"/>
        </w:rPr>
      </w:pPr>
    </w:p>
    <w:p>
      <w:pPr>
        <w:jc w:val="both"/>
        <w:ind w:left="463" w:right="20" w:hanging="463"/>
        <w:spacing w:after="0" w:line="241" w:lineRule="auto"/>
        <w:tabs>
          <w:tab w:leader="none" w:pos="463" w:val="left"/>
        </w:tabs>
        <w:numPr>
          <w:ilvl w:val="0"/>
          <w:numId w:val="6"/>
        </w:numPr>
        <w:rPr>
          <w:rFonts w:ascii="Arial" w:cs="Arial" w:eastAsia="Arial" w:hAnsi="Arial"/>
          <w:sz w:val="15"/>
          <w:szCs w:val="15"/>
          <w:color w:val="58844D"/>
        </w:rPr>
      </w:pPr>
      <w:r>
        <w:rPr>
          <w:rFonts w:ascii="Arial" w:cs="Arial" w:eastAsia="Arial" w:hAnsi="Arial"/>
          <w:sz w:val="15"/>
          <w:szCs w:val="15"/>
          <w:color w:val="auto"/>
        </w:rPr>
        <w:t>director orientation and continuing education program, including Company site visits and information sessions with Company management at relevant sites; and</w:t>
      </w:r>
    </w:p>
    <w:p>
      <w:pPr>
        <w:spacing w:after="0" w:line="164" w:lineRule="exact"/>
        <w:rPr>
          <w:rFonts w:ascii="Arial" w:cs="Arial" w:eastAsia="Arial" w:hAnsi="Arial"/>
          <w:sz w:val="15"/>
          <w:szCs w:val="15"/>
          <w:color w:val="58844D"/>
        </w:rPr>
      </w:pPr>
    </w:p>
    <w:p>
      <w:pPr>
        <w:ind w:left="463" w:right="200" w:hanging="463"/>
        <w:spacing w:after="0" w:line="241" w:lineRule="auto"/>
        <w:tabs>
          <w:tab w:leader="none" w:pos="463" w:val="left"/>
        </w:tabs>
        <w:numPr>
          <w:ilvl w:val="0"/>
          <w:numId w:val="6"/>
        </w:numPr>
        <w:rPr>
          <w:rFonts w:ascii="Arial" w:cs="Arial" w:eastAsia="Arial" w:hAnsi="Arial"/>
          <w:sz w:val="15"/>
          <w:szCs w:val="15"/>
          <w:color w:val="58844D"/>
        </w:rPr>
      </w:pPr>
      <w:r>
        <w:rPr>
          <w:rFonts w:ascii="Arial" w:cs="Arial" w:eastAsia="Arial" w:hAnsi="Arial"/>
          <w:sz w:val="15"/>
          <w:szCs w:val="15"/>
          <w:color w:val="auto"/>
        </w:rPr>
        <w:t>access to and engagement of outside advisors and consultants to assist the Board and the Committees in the performance of their duties, as appropriate.</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3416935" cy="2663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16935" cy="266382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63" w:right="1020" w:hanging="456"/>
        <w:spacing w:after="0" w:line="270" w:lineRule="auto"/>
        <w:tabs>
          <w:tab w:leader="none" w:pos="563" w:val="left"/>
        </w:tabs>
        <w:numPr>
          <w:ilvl w:val="0"/>
          <w:numId w:val="7"/>
        </w:numPr>
        <w:rPr>
          <w:rFonts w:ascii="Arial" w:cs="Arial" w:eastAsia="Arial" w:hAnsi="Arial"/>
          <w:sz w:val="15"/>
          <w:szCs w:val="15"/>
          <w:color w:val="58844D"/>
        </w:rPr>
      </w:pPr>
      <w:r>
        <w:rPr>
          <w:rFonts w:ascii="Arial" w:cs="Arial" w:eastAsia="Arial" w:hAnsi="Arial"/>
          <w:sz w:val="15"/>
          <w:szCs w:val="15"/>
          <w:b w:val="1"/>
          <w:bCs w:val="1"/>
          <w:color w:val="58844D"/>
        </w:rPr>
        <w:t>The Board has responsibility for overall risk oversight of the Company.</w:t>
      </w:r>
    </w:p>
    <w:p>
      <w:pPr>
        <w:spacing w:after="0" w:line="124" w:lineRule="exact"/>
        <w:rPr>
          <w:rFonts w:ascii="Arial" w:cs="Arial" w:eastAsia="Arial" w:hAnsi="Arial"/>
          <w:sz w:val="15"/>
          <w:szCs w:val="15"/>
          <w:color w:val="58844D"/>
        </w:rPr>
      </w:pPr>
    </w:p>
    <w:p>
      <w:pPr>
        <w:ind w:left="563" w:hanging="456"/>
        <w:spacing w:after="0"/>
        <w:tabs>
          <w:tab w:leader="none" w:pos="563" w:val="left"/>
        </w:tabs>
        <w:numPr>
          <w:ilvl w:val="0"/>
          <w:numId w:val="7"/>
        </w:numPr>
        <w:rPr>
          <w:rFonts w:ascii="Arial" w:cs="Arial" w:eastAsia="Arial" w:hAnsi="Arial"/>
          <w:sz w:val="15"/>
          <w:szCs w:val="15"/>
          <w:color w:val="58844D"/>
        </w:rPr>
      </w:pPr>
      <w:r>
        <w:rPr>
          <w:rFonts w:ascii="Arial" w:cs="Arial" w:eastAsia="Arial" w:hAnsi="Arial"/>
          <w:sz w:val="15"/>
          <w:szCs w:val="15"/>
          <w:b w:val="1"/>
          <w:bCs w:val="1"/>
          <w:color w:val="58844D"/>
        </w:rPr>
        <w:t>Audit Committee oversees financial risks.</w:t>
      </w:r>
    </w:p>
    <w:p>
      <w:pPr>
        <w:spacing w:after="0" w:line="169" w:lineRule="exact"/>
        <w:rPr>
          <w:rFonts w:ascii="Arial" w:cs="Arial" w:eastAsia="Arial" w:hAnsi="Arial"/>
          <w:sz w:val="15"/>
          <w:szCs w:val="15"/>
          <w:color w:val="58844D"/>
        </w:rPr>
      </w:pPr>
    </w:p>
    <w:p>
      <w:pPr>
        <w:ind w:left="563" w:right="160" w:hanging="456"/>
        <w:spacing w:after="0" w:line="270" w:lineRule="auto"/>
        <w:tabs>
          <w:tab w:leader="none" w:pos="563" w:val="left"/>
        </w:tabs>
        <w:numPr>
          <w:ilvl w:val="0"/>
          <w:numId w:val="7"/>
        </w:numPr>
        <w:rPr>
          <w:rFonts w:ascii="Arial" w:cs="Arial" w:eastAsia="Arial" w:hAnsi="Arial"/>
          <w:sz w:val="15"/>
          <w:szCs w:val="15"/>
          <w:color w:val="58844D"/>
        </w:rPr>
      </w:pPr>
      <w:r>
        <w:rPr>
          <w:rFonts w:ascii="Arial" w:cs="Arial" w:eastAsia="Arial" w:hAnsi="Arial"/>
          <w:sz w:val="15"/>
          <w:szCs w:val="15"/>
          <w:b w:val="1"/>
          <w:bCs w:val="1"/>
          <w:color w:val="58844D"/>
        </w:rPr>
        <w:t>Compensation Committee oversees risks related to compensation policies and practices.</w:t>
      </w:r>
    </w:p>
    <w:p>
      <w:pPr>
        <w:spacing w:after="0" w:line="136" w:lineRule="exact"/>
        <w:rPr>
          <w:rFonts w:ascii="Arial" w:cs="Arial" w:eastAsia="Arial" w:hAnsi="Arial"/>
          <w:sz w:val="15"/>
          <w:szCs w:val="15"/>
          <w:color w:val="58844D"/>
        </w:rPr>
      </w:pPr>
    </w:p>
    <w:p>
      <w:pPr>
        <w:ind w:left="563" w:right="400" w:hanging="456"/>
        <w:spacing w:after="0" w:line="281" w:lineRule="auto"/>
        <w:tabs>
          <w:tab w:leader="none" w:pos="563" w:val="left"/>
        </w:tabs>
        <w:numPr>
          <w:ilvl w:val="0"/>
          <w:numId w:val="7"/>
        </w:numPr>
        <w:rPr>
          <w:rFonts w:ascii="Arial" w:cs="Arial" w:eastAsia="Arial" w:hAnsi="Arial"/>
          <w:sz w:val="14"/>
          <w:szCs w:val="14"/>
          <w:color w:val="58844D"/>
        </w:rPr>
      </w:pPr>
      <w:r>
        <w:rPr>
          <w:rFonts w:ascii="Arial" w:cs="Arial" w:eastAsia="Arial" w:hAnsi="Arial"/>
          <w:sz w:val="14"/>
          <w:szCs w:val="14"/>
          <w:b w:val="1"/>
          <w:bCs w:val="1"/>
          <w:color w:val="58844D"/>
        </w:rPr>
        <w:t>Corporate Governance, Conflicts and Nominating Committee oversees risks related to governance practices, conflicts of interest or changes of control and related person transactions.</w:t>
      </w:r>
    </w:p>
    <w:p>
      <w:pPr>
        <w:spacing w:after="0" w:line="118" w:lineRule="exact"/>
        <w:rPr>
          <w:rFonts w:ascii="Arial" w:cs="Arial" w:eastAsia="Arial" w:hAnsi="Arial"/>
          <w:sz w:val="14"/>
          <w:szCs w:val="14"/>
          <w:color w:val="58844D"/>
        </w:rPr>
      </w:pPr>
    </w:p>
    <w:p>
      <w:pPr>
        <w:ind w:left="563" w:hanging="456"/>
        <w:spacing w:after="0"/>
        <w:tabs>
          <w:tab w:leader="none" w:pos="563" w:val="left"/>
        </w:tabs>
        <w:numPr>
          <w:ilvl w:val="0"/>
          <w:numId w:val="7"/>
        </w:numPr>
        <w:rPr>
          <w:rFonts w:ascii="Arial" w:cs="Arial" w:eastAsia="Arial" w:hAnsi="Arial"/>
          <w:sz w:val="15"/>
          <w:szCs w:val="15"/>
          <w:color w:val="58844D"/>
        </w:rPr>
      </w:pPr>
      <w:r>
        <w:rPr>
          <w:rFonts w:ascii="Arial" w:cs="Arial" w:eastAsia="Arial" w:hAnsi="Arial"/>
          <w:sz w:val="15"/>
          <w:szCs w:val="15"/>
          <w:b w:val="1"/>
          <w:bCs w:val="1"/>
          <w:color w:val="58844D"/>
        </w:rPr>
        <w:t>Risk oversight includes understanding the material</w:t>
      </w:r>
    </w:p>
    <w:p>
      <w:pPr>
        <w:spacing w:after="0" w:line="16" w:lineRule="exact"/>
        <w:rPr>
          <w:rFonts w:ascii="Arial" w:cs="Arial" w:eastAsia="Arial" w:hAnsi="Arial"/>
          <w:sz w:val="15"/>
          <w:szCs w:val="15"/>
          <w:color w:val="58844D"/>
        </w:rPr>
      </w:pPr>
    </w:p>
    <w:p>
      <w:pPr>
        <w:ind w:left="563" w:right="200"/>
        <w:spacing w:after="0" w:line="267" w:lineRule="auto"/>
        <w:rPr>
          <w:rFonts w:ascii="Arial" w:cs="Arial" w:eastAsia="Arial" w:hAnsi="Arial"/>
          <w:sz w:val="15"/>
          <w:szCs w:val="15"/>
          <w:color w:val="58844D"/>
        </w:rPr>
      </w:pPr>
      <w:r>
        <w:rPr>
          <w:rFonts w:ascii="Arial" w:cs="Arial" w:eastAsia="Arial" w:hAnsi="Arial"/>
          <w:sz w:val="14"/>
          <w:szCs w:val="14"/>
          <w:b w:val="1"/>
          <w:bCs w:val="1"/>
          <w:color w:val="58844D"/>
        </w:rPr>
        <w:t>risks to the business and what steps management is taking or should be taking to manage those risks, as well as understanding and determining the appropriate risk appetite for the Company.</w:t>
      </w:r>
    </w:p>
    <w:p>
      <w:pPr>
        <w:spacing w:after="0" w:line="128" w:lineRule="exact"/>
        <w:rPr>
          <w:rFonts w:ascii="Arial" w:cs="Arial" w:eastAsia="Arial" w:hAnsi="Arial"/>
          <w:sz w:val="15"/>
          <w:szCs w:val="15"/>
          <w:color w:val="58844D"/>
        </w:rPr>
      </w:pPr>
    </w:p>
    <w:p>
      <w:pPr>
        <w:ind w:left="563" w:right="180" w:hanging="456"/>
        <w:spacing w:after="0" w:line="248" w:lineRule="auto"/>
        <w:tabs>
          <w:tab w:leader="none" w:pos="563" w:val="left"/>
        </w:tabs>
        <w:numPr>
          <w:ilvl w:val="0"/>
          <w:numId w:val="7"/>
        </w:numPr>
        <w:rPr>
          <w:rFonts w:ascii="Arial" w:cs="Arial" w:eastAsia="Arial" w:hAnsi="Arial"/>
          <w:sz w:val="15"/>
          <w:szCs w:val="15"/>
          <w:color w:val="58844D"/>
        </w:rPr>
      </w:pPr>
      <w:r>
        <w:rPr>
          <w:rFonts w:ascii="Arial" w:cs="Arial" w:eastAsia="Arial" w:hAnsi="Arial"/>
          <w:sz w:val="15"/>
          <w:szCs w:val="15"/>
          <w:b w:val="1"/>
          <w:bCs w:val="1"/>
          <w:color w:val="58844D"/>
        </w:rPr>
        <w:t>To define the Company's risk appetite, the Board reviews and approves the annual business plan, budget and long-term plan, strategic initiatives, individual development projects, acquisitions and divestitures, and capital allocation plan.</w:t>
      </w:r>
    </w:p>
    <w:p>
      <w:pPr>
        <w:spacing w:after="0" w:line="200" w:lineRule="exact"/>
        <w:rPr>
          <w:sz w:val="20"/>
          <w:szCs w:val="20"/>
          <w:color w:val="auto"/>
        </w:rPr>
      </w:pPr>
    </w:p>
    <w:p>
      <w:pPr>
        <w:spacing w:after="0" w:line="268" w:lineRule="exact"/>
        <w:rPr>
          <w:sz w:val="20"/>
          <w:szCs w:val="20"/>
          <w:color w:val="auto"/>
        </w:rPr>
      </w:pPr>
    </w:p>
    <w:p>
      <w:pPr>
        <w:ind w:left="3" w:right="60"/>
        <w:spacing w:after="0" w:line="257" w:lineRule="auto"/>
        <w:rPr>
          <w:sz w:val="20"/>
          <w:szCs w:val="20"/>
          <w:color w:val="auto"/>
        </w:rPr>
      </w:pPr>
      <w:r>
        <w:rPr>
          <w:rFonts w:ascii="Arial" w:cs="Arial" w:eastAsia="Arial" w:hAnsi="Arial"/>
          <w:sz w:val="14"/>
          <w:szCs w:val="14"/>
          <w:color w:val="auto"/>
        </w:rPr>
        <w:t>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67" w:lineRule="exact"/>
        <w:rPr>
          <w:sz w:val="20"/>
          <w:szCs w:val="20"/>
          <w:color w:val="auto"/>
        </w:rPr>
      </w:pPr>
    </w:p>
    <w:p>
      <w:pPr>
        <w:ind w:left="3"/>
        <w:spacing w:after="0" w:line="261" w:lineRule="auto"/>
        <w:rPr>
          <w:sz w:val="20"/>
          <w:szCs w:val="20"/>
          <w:color w:val="auto"/>
        </w:rPr>
      </w:pPr>
      <w:r>
        <w:rPr>
          <w:rFonts w:ascii="Arial" w:cs="Arial" w:eastAsia="Arial" w:hAnsi="Arial"/>
          <w:sz w:val="14"/>
          <w:szCs w:val="14"/>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156210</wp:posOffset>
            </wp:positionV>
            <wp:extent cx="727329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697"/>
            <w:col w:w="5383"/>
          </w:cols>
          <w:pgMar w:left="231" w:top="142"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pacing w:after="0" w:line="178"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The Compensation Committee oversees the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77"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The Corporate Governance, Conflicts and Nominating Committee oversees the risks related to our governance practices, including but not limited to, Board and Committee membership and Board effectiveness, as well as risks related to perceived conflicts of interest or changes of control and acquisitions of the NRG ROFO Assets (as defined and described in "Certain Relationships and Related Person Transactions") from, and agreements that we have in place with, NRG or its affiliates, and other related person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58844D"/>
        </w:rPr>
        <w:t>Director Nominee Selection Process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Corporate Governance, Conflicts and Nominating Committee is also responsible for identifying individuals that the Committee believes are qualified to become Board members in accordance with criteria set forth in the Guidelines. These criteria include an individual's business experience and skills, independence, judgment, integrity, and ability to commit sufficient time and attention to the activities of the Board. The Committee does not assign specific weights to particular criteria and no particular criterion is necessarily applicable to all Board members. While the Company does not have a formal diversity policy, the Guidelines provide that the Committee considers diversity criteria in the context of the perceived needs of the Board as a whole and seeks to achieve a diversity of backgrounds and perspectives on the Board. The composition of the current Board reflects diversity in business and professional experience and skills.</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GOVERNANCE OF THE COMPANY </w:t>
      </w:r>
      <w:r>
        <w:rPr>
          <w:rFonts w:ascii="Arial" w:cs="Arial" w:eastAsia="Arial" w:hAnsi="Arial"/>
          <w:sz w:val="12"/>
          <w:szCs w:val="12"/>
          <w:b w:val="1"/>
          <w:bCs w:val="1"/>
          <w:color w:val="58844D"/>
        </w:rPr>
        <w:t>7</w:t>
      </w:r>
    </w:p>
    <w:p>
      <w:pPr>
        <w:spacing w:after="0" w:line="35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STOCKHOLDER-RECOMMENDED DIRECTOR CANDIDATES</w:t>
      </w:r>
    </w:p>
    <w:p>
      <w:pPr>
        <w:spacing w:after="0" w:line="199" w:lineRule="exact"/>
        <w:rPr>
          <w:sz w:val="20"/>
          <w:szCs w:val="20"/>
          <w:color w:val="auto"/>
        </w:rPr>
      </w:pPr>
    </w:p>
    <w:p>
      <w:pPr>
        <w:ind w:left="3" w:right="260"/>
        <w:spacing w:after="0" w:line="258" w:lineRule="auto"/>
        <w:rPr>
          <w:sz w:val="20"/>
          <w:szCs w:val="20"/>
          <w:color w:val="auto"/>
        </w:rPr>
      </w:pPr>
      <w:r>
        <w:rPr>
          <w:rFonts w:ascii="Arial" w:cs="Arial" w:eastAsia="Arial" w:hAnsi="Arial"/>
          <w:sz w:val="14"/>
          <w:szCs w:val="14"/>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NRG Yield, Inc., 804 Carnegie Center, Princeton, New Jersey 08540, and by following the requirements to submit nominees discussed under "Stockholder Proposals or Stockholder Nomination of Director to be Brought at the 2019 Annual Meeting (without Inclusion in the Company's Proxy Statement)."</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STOCKHOLDER-NOMINATED DIRECTOR CANDIDATES</w:t>
      </w:r>
    </w:p>
    <w:p>
      <w:pPr>
        <w:spacing w:after="0" w:line="199" w:lineRule="exact"/>
        <w:rPr>
          <w:sz w:val="20"/>
          <w:szCs w:val="20"/>
          <w:color w:val="auto"/>
        </w:rPr>
      </w:pPr>
    </w:p>
    <w:p>
      <w:pPr>
        <w:ind w:left="3" w:right="80"/>
        <w:spacing w:after="0" w:line="239" w:lineRule="auto"/>
        <w:rPr>
          <w:sz w:val="20"/>
          <w:szCs w:val="20"/>
          <w:color w:val="auto"/>
        </w:rPr>
      </w:pPr>
      <w:r>
        <w:rPr>
          <w:rFonts w:ascii="Arial" w:cs="Arial" w:eastAsia="Arial" w:hAnsi="Arial"/>
          <w:sz w:val="15"/>
          <w:szCs w:val="15"/>
          <w:color w:val="auto"/>
        </w:rPr>
        <w:t>As discussed under "Requirements for Submission of Stockholder Proposals for the 2019 Annual Meeting of Stockholders," stockholders intending to appear at the 2019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18"/>
          <w:szCs w:val="18"/>
          <w:color w:val="58844D"/>
        </w:rPr>
        <w:t>Board Committees</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Board has the following three standing Committees:</w:t>
      </w:r>
    </w:p>
    <w:p>
      <w:pPr>
        <w:spacing w:after="0" w:line="181" w:lineRule="exact"/>
        <w:rPr>
          <w:sz w:val="20"/>
          <w:szCs w:val="20"/>
          <w:color w:val="auto"/>
        </w:rPr>
      </w:pPr>
    </w:p>
    <w:p>
      <w:pPr>
        <w:ind w:left="463" w:hanging="463"/>
        <w:spacing w:after="0"/>
        <w:tabs>
          <w:tab w:leader="none" w:pos="463" w:val="left"/>
        </w:tabs>
        <w:numPr>
          <w:ilvl w:val="0"/>
          <w:numId w:val="8"/>
        </w:numPr>
        <w:rPr>
          <w:rFonts w:ascii="Arial" w:cs="Arial" w:eastAsia="Arial" w:hAnsi="Arial"/>
          <w:sz w:val="15"/>
          <w:szCs w:val="15"/>
          <w:color w:val="58844D"/>
        </w:rPr>
      </w:pPr>
      <w:r>
        <w:rPr>
          <w:rFonts w:ascii="Arial" w:cs="Arial" w:eastAsia="Arial" w:hAnsi="Arial"/>
          <w:sz w:val="15"/>
          <w:szCs w:val="15"/>
          <w:color w:val="auto"/>
        </w:rPr>
        <w:t>Audit</w:t>
      </w:r>
    </w:p>
    <w:p>
      <w:pPr>
        <w:spacing w:after="0" w:line="180" w:lineRule="exact"/>
        <w:rPr>
          <w:rFonts w:ascii="Arial" w:cs="Arial" w:eastAsia="Arial" w:hAnsi="Arial"/>
          <w:sz w:val="15"/>
          <w:szCs w:val="15"/>
          <w:color w:val="58844D"/>
        </w:rPr>
      </w:pPr>
    </w:p>
    <w:p>
      <w:pPr>
        <w:ind w:left="463" w:hanging="463"/>
        <w:spacing w:after="0"/>
        <w:tabs>
          <w:tab w:leader="none" w:pos="463" w:val="left"/>
        </w:tabs>
        <w:numPr>
          <w:ilvl w:val="0"/>
          <w:numId w:val="8"/>
        </w:numPr>
        <w:rPr>
          <w:rFonts w:ascii="Arial" w:cs="Arial" w:eastAsia="Arial" w:hAnsi="Arial"/>
          <w:sz w:val="15"/>
          <w:szCs w:val="15"/>
          <w:color w:val="58844D"/>
        </w:rPr>
      </w:pPr>
      <w:r>
        <w:rPr>
          <w:rFonts w:ascii="Arial" w:cs="Arial" w:eastAsia="Arial" w:hAnsi="Arial"/>
          <w:sz w:val="15"/>
          <w:szCs w:val="15"/>
          <w:color w:val="auto"/>
        </w:rPr>
        <w:t>Compensation</w:t>
      </w:r>
    </w:p>
    <w:p>
      <w:pPr>
        <w:spacing w:after="0" w:line="169" w:lineRule="exact"/>
        <w:rPr>
          <w:rFonts w:ascii="Arial" w:cs="Arial" w:eastAsia="Arial" w:hAnsi="Arial"/>
          <w:sz w:val="15"/>
          <w:szCs w:val="15"/>
          <w:color w:val="58844D"/>
        </w:rPr>
      </w:pPr>
    </w:p>
    <w:p>
      <w:pPr>
        <w:ind w:left="463" w:hanging="463"/>
        <w:spacing w:after="0"/>
        <w:tabs>
          <w:tab w:leader="none" w:pos="463" w:val="left"/>
        </w:tabs>
        <w:numPr>
          <w:ilvl w:val="0"/>
          <w:numId w:val="8"/>
        </w:numPr>
        <w:rPr>
          <w:rFonts w:ascii="Arial" w:cs="Arial" w:eastAsia="Arial" w:hAnsi="Arial"/>
          <w:sz w:val="15"/>
          <w:szCs w:val="15"/>
          <w:color w:val="58844D"/>
        </w:rPr>
      </w:pPr>
      <w:r>
        <w:rPr>
          <w:rFonts w:ascii="Arial" w:cs="Arial" w:eastAsia="Arial" w:hAnsi="Arial"/>
          <w:sz w:val="15"/>
          <w:szCs w:val="15"/>
          <w:color w:val="auto"/>
        </w:rPr>
        <w:t>Corporate Governance, Conflicts and Nominating</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membership and the functions of each Committee are described below.</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3416935" cy="1896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6935" cy="18967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63" w:right="640" w:hanging="456"/>
        <w:spacing w:after="0" w:line="270" w:lineRule="auto"/>
        <w:tabs>
          <w:tab w:leader="none" w:pos="563" w:val="left"/>
        </w:tabs>
        <w:numPr>
          <w:ilvl w:val="0"/>
          <w:numId w:val="9"/>
        </w:numPr>
        <w:rPr>
          <w:rFonts w:ascii="Arial" w:cs="Arial" w:eastAsia="Arial" w:hAnsi="Arial"/>
          <w:sz w:val="15"/>
          <w:szCs w:val="15"/>
          <w:color w:val="58844D"/>
        </w:rPr>
      </w:pPr>
      <w:r>
        <w:rPr>
          <w:rFonts w:ascii="Arial" w:cs="Arial" w:eastAsia="Arial" w:hAnsi="Arial"/>
          <w:sz w:val="15"/>
          <w:szCs w:val="15"/>
          <w:b w:val="1"/>
          <w:bCs w:val="1"/>
          <w:color w:val="58844D"/>
        </w:rPr>
        <w:t xml:space="preserve">Members: </w:t>
      </w:r>
      <w:r>
        <w:rPr>
          <w:rFonts w:ascii="Arial" w:cs="Arial" w:eastAsia="Arial" w:hAnsi="Arial"/>
          <w:sz w:val="15"/>
          <w:szCs w:val="15"/>
          <w:color w:val="58844D"/>
        </w:rPr>
        <w:t>Brian R. Ford (Chair), John F. Chlebowski, Ferrell P.</w:t>
      </w:r>
      <w:r>
        <w:rPr>
          <w:rFonts w:ascii="Arial" w:cs="Arial" w:eastAsia="Arial" w:hAnsi="Arial"/>
          <w:sz w:val="15"/>
          <w:szCs w:val="15"/>
          <w:b w:val="1"/>
          <w:bCs w:val="1"/>
          <w:color w:val="58844D"/>
        </w:rPr>
        <w:t xml:space="preserve"> </w:t>
      </w:r>
      <w:r>
        <w:rPr>
          <w:rFonts w:ascii="Arial" w:cs="Arial" w:eastAsia="Arial" w:hAnsi="Arial"/>
          <w:sz w:val="15"/>
          <w:szCs w:val="15"/>
          <w:color w:val="58844D"/>
        </w:rPr>
        <w:t>McClean</w:t>
      </w:r>
    </w:p>
    <w:p>
      <w:pPr>
        <w:spacing w:after="0" w:line="124" w:lineRule="exact"/>
        <w:rPr>
          <w:rFonts w:ascii="Arial" w:cs="Arial" w:eastAsia="Arial" w:hAnsi="Arial"/>
          <w:sz w:val="15"/>
          <w:szCs w:val="15"/>
          <w:color w:val="58844D"/>
        </w:rPr>
      </w:pPr>
    </w:p>
    <w:p>
      <w:pPr>
        <w:ind w:left="563" w:hanging="456"/>
        <w:spacing w:after="0"/>
        <w:tabs>
          <w:tab w:leader="none" w:pos="563" w:val="left"/>
        </w:tabs>
        <w:numPr>
          <w:ilvl w:val="0"/>
          <w:numId w:val="9"/>
        </w:numPr>
        <w:rPr>
          <w:rFonts w:ascii="Arial" w:cs="Arial" w:eastAsia="Arial" w:hAnsi="Arial"/>
          <w:sz w:val="15"/>
          <w:szCs w:val="15"/>
          <w:color w:val="58844D"/>
        </w:rPr>
      </w:pPr>
      <w:r>
        <w:rPr>
          <w:rFonts w:ascii="Arial" w:cs="Arial" w:eastAsia="Arial" w:hAnsi="Arial"/>
          <w:sz w:val="15"/>
          <w:szCs w:val="15"/>
          <w:b w:val="1"/>
          <w:bCs w:val="1"/>
          <w:color w:val="58844D"/>
        </w:rPr>
        <w:t xml:space="preserve">Number of meetings in 2017: </w:t>
      </w:r>
      <w:r>
        <w:rPr>
          <w:rFonts w:ascii="Arial" w:cs="Arial" w:eastAsia="Arial" w:hAnsi="Arial"/>
          <w:sz w:val="15"/>
          <w:szCs w:val="15"/>
          <w:color w:val="58844D"/>
        </w:rPr>
        <w:t>4</w:t>
      </w:r>
    </w:p>
    <w:p>
      <w:pPr>
        <w:spacing w:after="0" w:line="169" w:lineRule="exact"/>
        <w:rPr>
          <w:rFonts w:ascii="Arial" w:cs="Arial" w:eastAsia="Arial" w:hAnsi="Arial"/>
          <w:sz w:val="15"/>
          <w:szCs w:val="15"/>
          <w:color w:val="58844D"/>
        </w:rPr>
      </w:pPr>
    </w:p>
    <w:p>
      <w:pPr>
        <w:ind w:left="563" w:right="800" w:hanging="456"/>
        <w:spacing w:after="0" w:line="270" w:lineRule="auto"/>
        <w:tabs>
          <w:tab w:leader="none" w:pos="563" w:val="left"/>
        </w:tabs>
        <w:numPr>
          <w:ilvl w:val="0"/>
          <w:numId w:val="9"/>
        </w:numPr>
        <w:rPr>
          <w:rFonts w:ascii="Arial" w:cs="Arial" w:eastAsia="Arial" w:hAnsi="Arial"/>
          <w:sz w:val="15"/>
          <w:szCs w:val="15"/>
          <w:color w:val="58844D"/>
        </w:rPr>
      </w:pPr>
      <w:r>
        <w:rPr>
          <w:rFonts w:ascii="Arial" w:cs="Arial" w:eastAsia="Arial" w:hAnsi="Arial"/>
          <w:sz w:val="15"/>
          <w:szCs w:val="15"/>
          <w:b w:val="1"/>
          <w:bCs w:val="1"/>
          <w:color w:val="58844D"/>
        </w:rPr>
        <w:t xml:space="preserve">Audit Committee Financial Experts: </w:t>
      </w:r>
      <w:r>
        <w:rPr>
          <w:rFonts w:ascii="Arial" w:cs="Arial" w:eastAsia="Arial" w:hAnsi="Arial"/>
          <w:sz w:val="15"/>
          <w:szCs w:val="15"/>
          <w:color w:val="58844D"/>
        </w:rPr>
        <w:t>Brian R. Ford, John F.</w:t>
      </w:r>
      <w:r>
        <w:rPr>
          <w:rFonts w:ascii="Arial" w:cs="Arial" w:eastAsia="Arial" w:hAnsi="Arial"/>
          <w:sz w:val="15"/>
          <w:szCs w:val="15"/>
          <w:b w:val="1"/>
          <w:bCs w:val="1"/>
          <w:color w:val="58844D"/>
        </w:rPr>
        <w:t xml:space="preserve"> </w:t>
      </w:r>
      <w:r>
        <w:rPr>
          <w:rFonts w:ascii="Arial" w:cs="Arial" w:eastAsia="Arial" w:hAnsi="Arial"/>
          <w:sz w:val="15"/>
          <w:szCs w:val="15"/>
          <w:color w:val="58844D"/>
        </w:rPr>
        <w:t>Chlebowski and Ferrell P. McClean</w:t>
      </w:r>
    </w:p>
    <w:p>
      <w:pPr>
        <w:spacing w:after="0" w:line="136" w:lineRule="exact"/>
        <w:rPr>
          <w:rFonts w:ascii="Arial" w:cs="Arial" w:eastAsia="Arial" w:hAnsi="Arial"/>
          <w:sz w:val="15"/>
          <w:szCs w:val="15"/>
          <w:color w:val="58844D"/>
        </w:rPr>
      </w:pPr>
    </w:p>
    <w:p>
      <w:pPr>
        <w:ind w:left="563" w:right="140" w:hanging="456"/>
        <w:spacing w:after="0" w:line="272" w:lineRule="auto"/>
        <w:tabs>
          <w:tab w:leader="none" w:pos="563" w:val="left"/>
        </w:tabs>
        <w:numPr>
          <w:ilvl w:val="0"/>
          <w:numId w:val="9"/>
        </w:numPr>
        <w:rPr>
          <w:rFonts w:ascii="Arial" w:cs="Arial" w:eastAsia="Arial" w:hAnsi="Arial"/>
          <w:sz w:val="14"/>
          <w:szCs w:val="14"/>
          <w:color w:val="58844D"/>
        </w:rPr>
      </w:pPr>
      <w:r>
        <w:rPr>
          <w:rFonts w:ascii="Arial" w:cs="Arial" w:eastAsia="Arial" w:hAnsi="Arial"/>
          <w:sz w:val="14"/>
          <w:szCs w:val="14"/>
          <w:b w:val="1"/>
          <w:bCs w:val="1"/>
          <w:color w:val="58844D"/>
        </w:rPr>
        <w:t xml:space="preserve">Primary Responsibilities: </w:t>
      </w:r>
      <w:r>
        <w:rPr>
          <w:rFonts w:ascii="Arial" w:cs="Arial" w:eastAsia="Arial" w:hAnsi="Arial"/>
          <w:sz w:val="14"/>
          <w:szCs w:val="14"/>
          <w:color w:val="58844D"/>
        </w:rPr>
        <w:t>appoints, retains, oversees, evaluates, and</w:t>
      </w:r>
      <w:r>
        <w:rPr>
          <w:rFonts w:ascii="Arial" w:cs="Arial" w:eastAsia="Arial" w:hAnsi="Arial"/>
          <w:sz w:val="14"/>
          <w:szCs w:val="14"/>
          <w:b w:val="1"/>
          <w:bCs w:val="1"/>
          <w:color w:val="58844D"/>
        </w:rPr>
        <w:t xml:space="preserve"> </w:t>
      </w:r>
      <w:r>
        <w:rPr>
          <w:rFonts w:ascii="Arial" w:cs="Arial" w:eastAsia="Arial" w:hAnsi="Arial"/>
          <w:sz w:val="14"/>
          <w:szCs w:val="14"/>
          <w:color w:val="58844D"/>
        </w:rPr>
        <w:t>compensates the independent auditors; reviews the annual audited and quarterly consolidated financial statements; and reviews major issues regarding accounting principles and financial statement presentations.</w:t>
      </w:r>
    </w:p>
    <w:p>
      <w:pPr>
        <w:spacing w:after="0" w:line="125" w:lineRule="exact"/>
        <w:rPr>
          <w:rFonts w:ascii="Arial" w:cs="Arial" w:eastAsia="Arial" w:hAnsi="Arial"/>
          <w:sz w:val="14"/>
          <w:szCs w:val="14"/>
          <w:color w:val="58844D"/>
        </w:rPr>
      </w:pPr>
    </w:p>
    <w:p>
      <w:pPr>
        <w:ind w:left="563" w:hanging="456"/>
        <w:spacing w:after="0"/>
        <w:tabs>
          <w:tab w:leader="none" w:pos="563" w:val="left"/>
        </w:tabs>
        <w:numPr>
          <w:ilvl w:val="0"/>
          <w:numId w:val="9"/>
        </w:numPr>
        <w:rPr>
          <w:rFonts w:ascii="Arial" w:cs="Arial" w:eastAsia="Arial" w:hAnsi="Arial"/>
          <w:sz w:val="15"/>
          <w:szCs w:val="15"/>
          <w:color w:val="58844D"/>
        </w:rPr>
      </w:pPr>
      <w:r>
        <w:rPr>
          <w:rFonts w:ascii="Arial" w:cs="Arial" w:eastAsia="Arial" w:hAnsi="Arial"/>
          <w:sz w:val="15"/>
          <w:szCs w:val="15"/>
          <w:b w:val="1"/>
          <w:bCs w:val="1"/>
          <w:color w:val="58844D"/>
        </w:rPr>
        <w:t xml:space="preserve">Independence: </w:t>
      </w:r>
      <w:r>
        <w:rPr>
          <w:rFonts w:ascii="Arial" w:cs="Arial" w:eastAsia="Arial" w:hAnsi="Arial"/>
          <w:sz w:val="15"/>
          <w:szCs w:val="15"/>
          <w:color w:val="58844D"/>
        </w:rPr>
        <w:t>all members</w:t>
      </w:r>
    </w:p>
    <w:p>
      <w:pPr>
        <w:spacing w:after="0" w:line="200" w:lineRule="exact"/>
        <w:rPr>
          <w:sz w:val="20"/>
          <w:szCs w:val="20"/>
          <w:color w:val="auto"/>
        </w:rPr>
      </w:pPr>
    </w:p>
    <w:p>
      <w:pPr>
        <w:spacing w:after="0" w:line="284" w:lineRule="exact"/>
        <w:rPr>
          <w:sz w:val="20"/>
          <w:szCs w:val="20"/>
          <w:color w:val="auto"/>
        </w:rPr>
      </w:pPr>
    </w:p>
    <w:p>
      <w:pPr>
        <w:ind w:left="3" w:right="160"/>
        <w:spacing w:after="0" w:line="239" w:lineRule="auto"/>
        <w:rPr>
          <w:sz w:val="20"/>
          <w:szCs w:val="20"/>
          <w:color w:val="auto"/>
        </w:rPr>
      </w:pPr>
      <w:r>
        <w:rPr>
          <w:rFonts w:ascii="Arial" w:cs="Arial" w:eastAsia="Arial" w:hAnsi="Arial"/>
          <w:sz w:val="15"/>
          <w:szCs w:val="15"/>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167005</wp:posOffset>
            </wp:positionV>
            <wp:extent cx="727329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0" w:space="697"/>
            <w:col w:w="5383"/>
          </w:cols>
          <w:pgMar w:left="240" w:top="142" w:right="219" w:bottom="1440" w:gutter="0" w:footer="0" w:header="0"/>
        </w:sectPr>
      </w:pPr>
    </w:p>
    <w:bookmarkStart w:id="12" w:name="page13"/>
    <w:bookmarkEnd w:id="12"/>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right="240"/>
        <w:spacing w:after="0"/>
        <w:rPr>
          <w:sz w:val="20"/>
          <w:szCs w:val="20"/>
          <w:color w:val="auto"/>
        </w:rPr>
      </w:pPr>
      <w:r>
        <w:rPr>
          <w:rFonts w:ascii="Arial" w:cs="Arial" w:eastAsia="Arial" w:hAnsi="Arial"/>
          <w:sz w:val="15"/>
          <w:szCs w:val="15"/>
          <w:color w:val="auto"/>
        </w:rPr>
        <w:t>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5"/>
          <w:szCs w:val="15"/>
          <w:color w:val="auto"/>
        </w:rPr>
        <w:t>Among other things, the Audit Committee:</w:t>
      </w:r>
    </w:p>
    <w:p>
      <w:pPr>
        <w:spacing w:after="0" w:line="181" w:lineRule="exact"/>
        <w:rPr>
          <w:sz w:val="20"/>
          <w:szCs w:val="20"/>
          <w:color w:val="auto"/>
        </w:rPr>
      </w:pPr>
    </w:p>
    <w:p>
      <w:pPr>
        <w:ind w:left="449" w:right="40" w:hanging="449"/>
        <w:spacing w:after="0" w:line="245"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appoints, retains, oversees, evaluates, and compensates the independent auditors;</w:t>
      </w:r>
    </w:p>
    <w:p>
      <w:pPr>
        <w:spacing w:after="0" w:line="172" w:lineRule="exact"/>
        <w:rPr>
          <w:rFonts w:ascii="Arial" w:cs="Arial" w:eastAsia="Arial" w:hAnsi="Arial"/>
          <w:sz w:val="15"/>
          <w:szCs w:val="15"/>
          <w:color w:val="58844D"/>
        </w:rPr>
      </w:pPr>
    </w:p>
    <w:p>
      <w:pPr>
        <w:ind w:left="449" w:hanging="449"/>
        <w:spacing w:after="0" w:line="245"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reviews the annual audited and quarterly consolidated financial statements with management and independent auditors;</w:t>
      </w:r>
    </w:p>
    <w:p>
      <w:pPr>
        <w:spacing w:after="0" w:line="160" w:lineRule="exact"/>
        <w:rPr>
          <w:rFonts w:ascii="Arial" w:cs="Arial" w:eastAsia="Arial" w:hAnsi="Arial"/>
          <w:sz w:val="15"/>
          <w:szCs w:val="15"/>
          <w:color w:val="58844D"/>
        </w:rPr>
      </w:pPr>
    </w:p>
    <w:p>
      <w:pPr>
        <w:ind w:left="449" w:right="180" w:hanging="449"/>
        <w:spacing w:after="0" w:line="241"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reviews significant accounting and reporting issues, including significant changes in Company's application of accounting principles and recent professional or regulatory pronouncements;</w:t>
      </w:r>
    </w:p>
    <w:p>
      <w:pPr>
        <w:spacing w:after="0" w:line="164" w:lineRule="exact"/>
        <w:rPr>
          <w:rFonts w:ascii="Arial" w:cs="Arial" w:eastAsia="Arial" w:hAnsi="Arial"/>
          <w:sz w:val="15"/>
          <w:szCs w:val="15"/>
          <w:color w:val="58844D"/>
        </w:rPr>
      </w:pPr>
    </w:p>
    <w:p>
      <w:pPr>
        <w:ind w:left="449" w:right="560" w:hanging="449"/>
        <w:spacing w:after="0" w:line="245"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reviews major issues regarding accounting principles and financial statement presentations;</w:t>
      </w:r>
    </w:p>
    <w:p>
      <w:pPr>
        <w:spacing w:after="0" w:line="172" w:lineRule="exact"/>
        <w:rPr>
          <w:rFonts w:ascii="Arial" w:cs="Arial" w:eastAsia="Arial" w:hAnsi="Arial"/>
          <w:sz w:val="15"/>
          <w:szCs w:val="15"/>
          <w:color w:val="58844D"/>
        </w:rPr>
      </w:pPr>
    </w:p>
    <w:p>
      <w:pPr>
        <w:ind w:left="449" w:right="460" w:hanging="449"/>
        <w:spacing w:after="0" w:line="245"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reviews earnings press releases and earnings guidance provided to analysts and rating agencies;</w:t>
      </w:r>
    </w:p>
    <w:p>
      <w:pPr>
        <w:spacing w:after="0" w:line="160" w:lineRule="exact"/>
        <w:rPr>
          <w:rFonts w:ascii="Arial" w:cs="Arial" w:eastAsia="Arial" w:hAnsi="Arial"/>
          <w:sz w:val="15"/>
          <w:szCs w:val="15"/>
          <w:color w:val="58844D"/>
        </w:rPr>
      </w:pPr>
    </w:p>
    <w:p>
      <w:pPr>
        <w:ind w:left="449" w:right="140" w:hanging="449"/>
        <w:spacing w:after="0" w:line="241"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reviews with the independent auditors the scope of the annual audit, and approves all audit and permitted nonaudit services provided by the independent auditors;</w:t>
      </w:r>
    </w:p>
    <w:p>
      <w:pPr>
        <w:spacing w:after="0" w:line="164" w:lineRule="exact"/>
        <w:rPr>
          <w:rFonts w:ascii="Arial" w:cs="Arial" w:eastAsia="Arial" w:hAnsi="Arial"/>
          <w:sz w:val="15"/>
          <w:szCs w:val="15"/>
          <w:color w:val="58844D"/>
        </w:rPr>
      </w:pPr>
    </w:p>
    <w:p>
      <w:pPr>
        <w:ind w:left="449" w:hanging="449"/>
        <w:spacing w:after="0"/>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resolves disagreements between management and independent auditors;</w:t>
      </w:r>
    </w:p>
    <w:p>
      <w:pPr>
        <w:spacing w:after="0" w:line="180" w:lineRule="exact"/>
        <w:rPr>
          <w:rFonts w:ascii="Arial" w:cs="Arial" w:eastAsia="Arial" w:hAnsi="Arial"/>
          <w:sz w:val="15"/>
          <w:szCs w:val="15"/>
          <w:color w:val="58844D"/>
        </w:rPr>
      </w:pPr>
    </w:p>
    <w:p>
      <w:pPr>
        <w:ind w:left="449" w:right="420" w:hanging="449"/>
        <w:spacing w:after="0" w:line="245"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considers the adequacy and effectiveness of the Company's internal control and reporting system;</w:t>
      </w:r>
    </w:p>
    <w:p>
      <w:pPr>
        <w:spacing w:after="0" w:line="160" w:lineRule="exact"/>
        <w:rPr>
          <w:rFonts w:ascii="Arial" w:cs="Arial" w:eastAsia="Arial" w:hAnsi="Arial"/>
          <w:sz w:val="15"/>
          <w:szCs w:val="15"/>
          <w:color w:val="58844D"/>
        </w:rPr>
      </w:pPr>
    </w:p>
    <w:p>
      <w:pPr>
        <w:ind w:left="449" w:right="100" w:hanging="449"/>
        <w:spacing w:after="0" w:line="245"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reviews and approves the internal corporate audit staff functions and sets hiring policies for employees of the independent auditors;</w:t>
      </w:r>
    </w:p>
    <w:p>
      <w:pPr>
        <w:spacing w:after="0" w:line="160" w:lineRule="exact"/>
        <w:rPr>
          <w:rFonts w:ascii="Arial" w:cs="Arial" w:eastAsia="Arial" w:hAnsi="Arial"/>
          <w:sz w:val="15"/>
          <w:szCs w:val="15"/>
          <w:color w:val="58844D"/>
        </w:rPr>
      </w:pPr>
    </w:p>
    <w:p>
      <w:pPr>
        <w:ind w:left="449" w:right="140" w:hanging="449"/>
        <w:spacing w:after="0" w:line="245"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reviews and concurs the appointment, replacement, and dismissal of the Chief Audit Executive;</w:t>
      </w:r>
    </w:p>
    <w:p>
      <w:pPr>
        <w:spacing w:after="0" w:line="172" w:lineRule="exact"/>
        <w:rPr>
          <w:rFonts w:ascii="Arial" w:cs="Arial" w:eastAsia="Arial" w:hAnsi="Arial"/>
          <w:sz w:val="15"/>
          <w:szCs w:val="15"/>
          <w:color w:val="58844D"/>
        </w:rPr>
      </w:pPr>
    </w:p>
    <w:p>
      <w:pPr>
        <w:ind w:left="449" w:hanging="449"/>
        <w:spacing w:after="0"/>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ensures rotation of the lead or coordinating audit partner;</w:t>
      </w:r>
    </w:p>
    <w:p>
      <w:pPr>
        <w:spacing w:after="0" w:line="169" w:lineRule="exact"/>
        <w:rPr>
          <w:rFonts w:ascii="Arial" w:cs="Arial" w:eastAsia="Arial" w:hAnsi="Arial"/>
          <w:sz w:val="15"/>
          <w:szCs w:val="15"/>
          <w:color w:val="58844D"/>
        </w:rPr>
      </w:pPr>
    </w:p>
    <w:p>
      <w:pPr>
        <w:ind w:left="449" w:right="20" w:hanging="449"/>
        <w:spacing w:after="0" w:line="239"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w:t>
      </w:r>
    </w:p>
    <w:p>
      <w:pPr>
        <w:spacing w:after="0" w:line="167" w:lineRule="exact"/>
        <w:rPr>
          <w:rFonts w:ascii="Arial" w:cs="Arial" w:eastAsia="Arial" w:hAnsi="Arial"/>
          <w:sz w:val="15"/>
          <w:szCs w:val="15"/>
          <w:color w:val="58844D"/>
        </w:rPr>
      </w:pPr>
    </w:p>
    <w:p>
      <w:pPr>
        <w:ind w:left="449" w:right="300" w:hanging="449"/>
        <w:spacing w:after="0" w:line="245"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reports regularly to the Board regarding its activities and prepares and publishes required annual Committee reports;</w:t>
      </w:r>
    </w:p>
    <w:p>
      <w:pPr>
        <w:spacing w:after="0" w:line="172" w:lineRule="exact"/>
        <w:rPr>
          <w:rFonts w:ascii="Arial" w:cs="Arial" w:eastAsia="Arial" w:hAnsi="Arial"/>
          <w:sz w:val="15"/>
          <w:szCs w:val="15"/>
          <w:color w:val="58844D"/>
        </w:rPr>
      </w:pPr>
    </w:p>
    <w:p>
      <w:pPr>
        <w:ind w:left="449" w:right="40" w:hanging="449"/>
        <w:spacing w:after="0" w:line="241"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reviews updates from management and Company legal counsel regarding compliance matters that may be material to financial performance or reporting obligations;</w:t>
      </w:r>
    </w:p>
    <w:p>
      <w:pPr>
        <w:spacing w:after="0" w:line="164" w:lineRule="exact"/>
        <w:rPr>
          <w:rFonts w:ascii="Arial" w:cs="Arial" w:eastAsia="Arial" w:hAnsi="Arial"/>
          <w:sz w:val="15"/>
          <w:szCs w:val="15"/>
          <w:color w:val="58844D"/>
        </w:rPr>
      </w:pPr>
    </w:p>
    <w:p>
      <w:pPr>
        <w:ind w:left="449" w:hanging="449"/>
        <w:spacing w:after="0" w:line="241" w:lineRule="auto"/>
        <w:tabs>
          <w:tab w:leader="none" w:pos="449" w:val="left"/>
        </w:tabs>
        <w:numPr>
          <w:ilvl w:val="0"/>
          <w:numId w:val="10"/>
        </w:numPr>
        <w:rPr>
          <w:rFonts w:ascii="Arial" w:cs="Arial" w:eastAsia="Arial" w:hAnsi="Arial"/>
          <w:sz w:val="15"/>
          <w:szCs w:val="15"/>
          <w:color w:val="58844D"/>
        </w:rPr>
      </w:pPr>
      <w:r>
        <w:rPr>
          <w:rFonts w:ascii="Arial" w:cs="Arial" w:eastAsia="Arial" w:hAnsi="Arial"/>
          <w:sz w:val="15"/>
          <w:szCs w:val="15"/>
          <w:color w:val="auto"/>
        </w:rPr>
        <w:t>establishes confidential and anonymous procedures for the receipt, retention, and treatment of complaints and concerns regarding accounting, internal accounting controls, or auditing matters;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GOVERNANCE OF THE COMPANY </w:t>
      </w:r>
      <w:r>
        <w:rPr>
          <w:rFonts w:ascii="Arial" w:cs="Arial" w:eastAsia="Arial" w:hAnsi="Arial"/>
          <w:sz w:val="12"/>
          <w:szCs w:val="12"/>
          <w:b w:val="1"/>
          <w:bCs w:val="1"/>
          <w:color w:val="58844D"/>
        </w:rPr>
        <w:t>8</w:t>
      </w:r>
    </w:p>
    <w:p>
      <w:pPr>
        <w:spacing w:after="0" w:line="376" w:lineRule="exact"/>
        <w:rPr>
          <w:sz w:val="20"/>
          <w:szCs w:val="20"/>
          <w:color w:val="auto"/>
        </w:rPr>
      </w:pPr>
    </w:p>
    <w:p>
      <w:pPr>
        <w:ind w:left="463" w:hanging="463"/>
        <w:spacing w:after="0"/>
        <w:tabs>
          <w:tab w:leader="none" w:pos="463" w:val="left"/>
        </w:tabs>
        <w:numPr>
          <w:ilvl w:val="0"/>
          <w:numId w:val="11"/>
        </w:numPr>
        <w:rPr>
          <w:rFonts w:ascii="Arial" w:cs="Arial" w:eastAsia="Arial" w:hAnsi="Arial"/>
          <w:sz w:val="15"/>
          <w:szCs w:val="15"/>
          <w:color w:val="58844D"/>
        </w:rPr>
      </w:pPr>
      <w:r>
        <w:rPr>
          <w:rFonts w:ascii="Arial" w:cs="Arial" w:eastAsia="Arial" w:hAnsi="Arial"/>
          <w:sz w:val="15"/>
          <w:szCs w:val="15"/>
          <w:color w:val="auto"/>
        </w:rPr>
        <w:t>oversees the internal audit and corporate compliance functions;</w:t>
      </w:r>
    </w:p>
    <w:p>
      <w:pPr>
        <w:spacing w:after="0" w:line="180" w:lineRule="exact"/>
        <w:rPr>
          <w:rFonts w:ascii="Arial" w:cs="Arial" w:eastAsia="Arial" w:hAnsi="Arial"/>
          <w:sz w:val="15"/>
          <w:szCs w:val="15"/>
          <w:color w:val="58844D"/>
        </w:rPr>
      </w:pPr>
    </w:p>
    <w:p>
      <w:pPr>
        <w:ind w:left="463" w:right="540" w:hanging="463"/>
        <w:spacing w:after="0" w:line="245" w:lineRule="auto"/>
        <w:tabs>
          <w:tab w:leader="none" w:pos="463" w:val="left"/>
        </w:tabs>
        <w:numPr>
          <w:ilvl w:val="0"/>
          <w:numId w:val="11"/>
        </w:numPr>
        <w:rPr>
          <w:rFonts w:ascii="Arial" w:cs="Arial" w:eastAsia="Arial" w:hAnsi="Arial"/>
          <w:sz w:val="15"/>
          <w:szCs w:val="15"/>
          <w:color w:val="58844D"/>
        </w:rPr>
      </w:pPr>
      <w:r>
        <w:rPr>
          <w:rFonts w:ascii="Arial" w:cs="Arial" w:eastAsia="Arial" w:hAnsi="Arial"/>
          <w:sz w:val="15"/>
          <w:szCs w:val="15"/>
          <w:color w:val="auto"/>
        </w:rPr>
        <w:t>prepares the report required to be included in the Company's proxy statement; and</w:t>
      </w:r>
    </w:p>
    <w:p>
      <w:pPr>
        <w:spacing w:after="0" w:line="160" w:lineRule="exact"/>
        <w:rPr>
          <w:rFonts w:ascii="Arial" w:cs="Arial" w:eastAsia="Arial" w:hAnsi="Arial"/>
          <w:sz w:val="15"/>
          <w:szCs w:val="15"/>
          <w:color w:val="58844D"/>
        </w:rPr>
      </w:pPr>
    </w:p>
    <w:p>
      <w:pPr>
        <w:ind w:left="463" w:right="500" w:hanging="463"/>
        <w:spacing w:after="0" w:line="245" w:lineRule="auto"/>
        <w:tabs>
          <w:tab w:leader="none" w:pos="463" w:val="left"/>
        </w:tabs>
        <w:numPr>
          <w:ilvl w:val="0"/>
          <w:numId w:val="11"/>
        </w:numPr>
        <w:rPr>
          <w:rFonts w:ascii="Arial" w:cs="Arial" w:eastAsia="Arial" w:hAnsi="Arial"/>
          <w:sz w:val="15"/>
          <w:szCs w:val="15"/>
          <w:color w:val="58844D"/>
        </w:rPr>
      </w:pPr>
      <w:r>
        <w:rPr>
          <w:rFonts w:ascii="Arial" w:cs="Arial" w:eastAsia="Arial" w:hAnsi="Arial"/>
          <w:sz w:val="15"/>
          <w:szCs w:val="15"/>
          <w:color w:val="auto"/>
        </w:rPr>
        <w:t>annually evaluates the performance of the Audit Committee and the adequacy of its charter.</w:t>
      </w:r>
    </w:p>
    <w:p>
      <w:pPr>
        <w:spacing w:after="0" w:line="172" w:lineRule="exact"/>
        <w:rPr>
          <w:sz w:val="20"/>
          <w:szCs w:val="20"/>
          <w:color w:val="auto"/>
        </w:rPr>
      </w:pPr>
    </w:p>
    <w:p>
      <w:pPr>
        <w:ind w:left="3" w:right="340"/>
        <w:spacing w:after="0" w:line="241" w:lineRule="auto"/>
        <w:rPr>
          <w:sz w:val="20"/>
          <w:szCs w:val="20"/>
          <w:color w:val="auto"/>
        </w:rPr>
      </w:pPr>
      <w:r>
        <w:rPr>
          <w:rFonts w:ascii="Arial" w:cs="Arial" w:eastAsia="Arial" w:hAnsi="Arial"/>
          <w:sz w:val="15"/>
          <w:szCs w:val="15"/>
          <w:color w:val="auto"/>
        </w:rPr>
        <w:t>The Board has determined that all of the Audit Committee member are independent according to the rules and regulations of the SEC and the listing standards of the NYSE with respect to audit committee membership.</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3416935" cy="1679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6935" cy="16795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63" w:right="640" w:hanging="456"/>
        <w:spacing w:after="0" w:line="270" w:lineRule="auto"/>
        <w:tabs>
          <w:tab w:leader="none" w:pos="563" w:val="left"/>
        </w:tabs>
        <w:numPr>
          <w:ilvl w:val="0"/>
          <w:numId w:val="12"/>
        </w:numPr>
        <w:rPr>
          <w:rFonts w:ascii="Arial" w:cs="Arial" w:eastAsia="Arial" w:hAnsi="Arial"/>
          <w:sz w:val="15"/>
          <w:szCs w:val="15"/>
          <w:color w:val="58844D"/>
        </w:rPr>
      </w:pPr>
      <w:r>
        <w:rPr>
          <w:rFonts w:ascii="Arial" w:cs="Arial" w:eastAsia="Arial" w:hAnsi="Arial"/>
          <w:sz w:val="15"/>
          <w:szCs w:val="15"/>
          <w:b w:val="1"/>
          <w:bCs w:val="1"/>
          <w:color w:val="58844D"/>
        </w:rPr>
        <w:t xml:space="preserve">Members: </w:t>
      </w:r>
      <w:r>
        <w:rPr>
          <w:rFonts w:ascii="Arial" w:cs="Arial" w:eastAsia="Arial" w:hAnsi="Arial"/>
          <w:sz w:val="15"/>
          <w:szCs w:val="15"/>
          <w:color w:val="58844D"/>
        </w:rPr>
        <w:t>John F. Chlebowski (Chair), Brian R. Ford, Ferrell P.</w:t>
      </w:r>
      <w:r>
        <w:rPr>
          <w:rFonts w:ascii="Arial" w:cs="Arial" w:eastAsia="Arial" w:hAnsi="Arial"/>
          <w:sz w:val="15"/>
          <w:szCs w:val="15"/>
          <w:b w:val="1"/>
          <w:bCs w:val="1"/>
          <w:color w:val="58844D"/>
        </w:rPr>
        <w:t xml:space="preserve"> </w:t>
      </w:r>
      <w:r>
        <w:rPr>
          <w:rFonts w:ascii="Arial" w:cs="Arial" w:eastAsia="Arial" w:hAnsi="Arial"/>
          <w:sz w:val="15"/>
          <w:szCs w:val="15"/>
          <w:color w:val="58844D"/>
        </w:rPr>
        <w:t>McClean</w:t>
      </w:r>
    </w:p>
    <w:p>
      <w:pPr>
        <w:spacing w:after="0" w:line="124" w:lineRule="exact"/>
        <w:rPr>
          <w:rFonts w:ascii="Arial" w:cs="Arial" w:eastAsia="Arial" w:hAnsi="Arial"/>
          <w:sz w:val="15"/>
          <w:szCs w:val="15"/>
          <w:color w:val="58844D"/>
        </w:rPr>
      </w:pPr>
    </w:p>
    <w:p>
      <w:pPr>
        <w:ind w:left="563" w:hanging="456"/>
        <w:spacing w:after="0"/>
        <w:tabs>
          <w:tab w:leader="none" w:pos="563" w:val="left"/>
        </w:tabs>
        <w:numPr>
          <w:ilvl w:val="0"/>
          <w:numId w:val="12"/>
        </w:numPr>
        <w:rPr>
          <w:rFonts w:ascii="Arial" w:cs="Arial" w:eastAsia="Arial" w:hAnsi="Arial"/>
          <w:sz w:val="15"/>
          <w:szCs w:val="15"/>
          <w:color w:val="58844D"/>
        </w:rPr>
      </w:pPr>
      <w:r>
        <w:rPr>
          <w:rFonts w:ascii="Arial" w:cs="Arial" w:eastAsia="Arial" w:hAnsi="Arial"/>
          <w:sz w:val="15"/>
          <w:szCs w:val="15"/>
          <w:b w:val="1"/>
          <w:bCs w:val="1"/>
          <w:color w:val="58844D"/>
        </w:rPr>
        <w:t xml:space="preserve">Number of meetings in 2017: </w:t>
      </w:r>
      <w:r>
        <w:rPr>
          <w:rFonts w:ascii="Arial" w:cs="Arial" w:eastAsia="Arial" w:hAnsi="Arial"/>
          <w:sz w:val="15"/>
          <w:szCs w:val="15"/>
          <w:color w:val="58844D"/>
        </w:rPr>
        <w:t>5</w:t>
      </w:r>
    </w:p>
    <w:p>
      <w:pPr>
        <w:spacing w:after="0" w:line="169" w:lineRule="exact"/>
        <w:rPr>
          <w:rFonts w:ascii="Arial" w:cs="Arial" w:eastAsia="Arial" w:hAnsi="Arial"/>
          <w:sz w:val="15"/>
          <w:szCs w:val="15"/>
          <w:color w:val="58844D"/>
        </w:rPr>
      </w:pPr>
    </w:p>
    <w:p>
      <w:pPr>
        <w:ind w:left="563" w:right="160" w:hanging="456"/>
        <w:spacing w:after="0" w:line="268" w:lineRule="auto"/>
        <w:tabs>
          <w:tab w:leader="none" w:pos="563" w:val="left"/>
        </w:tabs>
        <w:numPr>
          <w:ilvl w:val="0"/>
          <w:numId w:val="12"/>
        </w:numPr>
        <w:rPr>
          <w:rFonts w:ascii="Arial" w:cs="Arial" w:eastAsia="Arial" w:hAnsi="Arial"/>
          <w:sz w:val="14"/>
          <w:szCs w:val="14"/>
          <w:color w:val="58844D"/>
        </w:rPr>
      </w:pPr>
      <w:r>
        <w:rPr>
          <w:rFonts w:ascii="Arial" w:cs="Arial" w:eastAsia="Arial" w:hAnsi="Arial"/>
          <w:sz w:val="14"/>
          <w:szCs w:val="14"/>
          <w:b w:val="1"/>
          <w:bCs w:val="1"/>
          <w:color w:val="58844D"/>
        </w:rPr>
        <w:t xml:space="preserve">Primary Responsibilities: </w:t>
      </w:r>
      <w:r>
        <w:rPr>
          <w:rFonts w:ascii="Arial" w:cs="Arial" w:eastAsia="Arial" w:hAnsi="Arial"/>
          <w:sz w:val="14"/>
          <w:szCs w:val="14"/>
          <w:color w:val="58844D"/>
        </w:rPr>
        <w:t>oversees the Company's overall</w:t>
      </w:r>
      <w:r>
        <w:rPr>
          <w:rFonts w:ascii="Arial" w:cs="Arial" w:eastAsia="Arial" w:hAnsi="Arial"/>
          <w:sz w:val="14"/>
          <w:szCs w:val="14"/>
          <w:b w:val="1"/>
          <w:bCs w:val="1"/>
          <w:color w:val="58844D"/>
        </w:rPr>
        <w:t xml:space="preserve"> </w:t>
      </w:r>
      <w:r>
        <w:rPr>
          <w:rFonts w:ascii="Arial" w:cs="Arial" w:eastAsia="Arial" w:hAnsi="Arial"/>
          <w:sz w:val="14"/>
          <w:szCs w:val="14"/>
          <w:color w:val="58844D"/>
        </w:rPr>
        <w:t>compensation structure, policies and programs; evaluates the performance of the CEO and other senior executives against goals and objectives relevant to their compensation; and reviews the compensation of directors for service on the Board and its Committees.</w:t>
      </w:r>
    </w:p>
    <w:p>
      <w:pPr>
        <w:spacing w:after="0" w:line="138" w:lineRule="exact"/>
        <w:rPr>
          <w:rFonts w:ascii="Arial" w:cs="Arial" w:eastAsia="Arial" w:hAnsi="Arial"/>
          <w:sz w:val="14"/>
          <w:szCs w:val="14"/>
          <w:color w:val="58844D"/>
        </w:rPr>
      </w:pPr>
    </w:p>
    <w:p>
      <w:pPr>
        <w:ind w:left="563" w:hanging="456"/>
        <w:spacing w:after="0"/>
        <w:tabs>
          <w:tab w:leader="none" w:pos="563" w:val="left"/>
        </w:tabs>
        <w:numPr>
          <w:ilvl w:val="0"/>
          <w:numId w:val="12"/>
        </w:numPr>
        <w:rPr>
          <w:rFonts w:ascii="Arial" w:cs="Arial" w:eastAsia="Arial" w:hAnsi="Arial"/>
          <w:sz w:val="15"/>
          <w:szCs w:val="15"/>
          <w:color w:val="58844D"/>
        </w:rPr>
      </w:pPr>
      <w:r>
        <w:rPr>
          <w:rFonts w:ascii="Arial" w:cs="Arial" w:eastAsia="Arial" w:hAnsi="Arial"/>
          <w:sz w:val="15"/>
          <w:szCs w:val="15"/>
          <w:b w:val="1"/>
          <w:bCs w:val="1"/>
          <w:color w:val="58844D"/>
        </w:rPr>
        <w:t xml:space="preserve">Independence: </w:t>
      </w:r>
      <w:r>
        <w:rPr>
          <w:rFonts w:ascii="Arial" w:cs="Arial" w:eastAsia="Arial" w:hAnsi="Arial"/>
          <w:sz w:val="15"/>
          <w:szCs w:val="15"/>
          <w:color w:val="58844D"/>
        </w:rPr>
        <w:t>all members</w:t>
      </w:r>
    </w:p>
    <w:p>
      <w:pPr>
        <w:spacing w:after="0" w:line="200" w:lineRule="exact"/>
        <w:rPr>
          <w:sz w:val="20"/>
          <w:szCs w:val="20"/>
          <w:color w:val="auto"/>
        </w:rPr>
      </w:pPr>
    </w:p>
    <w:p>
      <w:pPr>
        <w:spacing w:after="0" w:line="284" w:lineRule="exact"/>
        <w:rPr>
          <w:sz w:val="20"/>
          <w:szCs w:val="20"/>
          <w:color w:val="auto"/>
        </w:rPr>
      </w:pPr>
    </w:p>
    <w:p>
      <w:pPr>
        <w:jc w:val="both"/>
        <w:ind w:left="3" w:right="200"/>
        <w:spacing w:after="0" w:line="241" w:lineRule="auto"/>
        <w:rPr>
          <w:sz w:val="20"/>
          <w:szCs w:val="20"/>
          <w:color w:val="auto"/>
        </w:rPr>
      </w:pPr>
      <w:r>
        <w:rPr>
          <w:rFonts w:ascii="Arial" w:cs="Arial" w:eastAsia="Arial" w:hAnsi="Arial"/>
          <w:sz w:val="15"/>
          <w:szCs w:val="15"/>
          <w:color w:val="auto"/>
        </w:rPr>
        <w:t>The Compensation Committee provides leadership and guidance to the Board regarding the Company's overall compensation strategy, structure, policies and programs and matters relating to executive and director compensation.</w:t>
      </w:r>
    </w:p>
    <w:p>
      <w:pPr>
        <w:spacing w:after="0" w:line="176" w:lineRule="exact"/>
        <w:rPr>
          <w:sz w:val="20"/>
          <w:szCs w:val="20"/>
          <w:color w:val="auto"/>
        </w:rPr>
      </w:pPr>
    </w:p>
    <w:p>
      <w:pPr>
        <w:ind w:left="3"/>
        <w:spacing w:after="0"/>
        <w:rPr>
          <w:sz w:val="20"/>
          <w:szCs w:val="20"/>
          <w:color w:val="auto"/>
        </w:rPr>
      </w:pPr>
      <w:r>
        <w:rPr>
          <w:rFonts w:ascii="Arial" w:cs="Arial" w:eastAsia="Arial" w:hAnsi="Arial"/>
          <w:sz w:val="15"/>
          <w:szCs w:val="15"/>
          <w:color w:val="auto"/>
        </w:rPr>
        <w:t>Among other things, the Compensation Committee:</w:t>
      </w:r>
    </w:p>
    <w:p>
      <w:pPr>
        <w:spacing w:after="0" w:line="181" w:lineRule="exact"/>
        <w:rPr>
          <w:sz w:val="20"/>
          <w:szCs w:val="20"/>
          <w:color w:val="auto"/>
        </w:rPr>
      </w:pPr>
    </w:p>
    <w:p>
      <w:pPr>
        <w:ind w:left="463" w:right="40" w:hanging="463"/>
        <w:spacing w:after="0" w:line="239" w:lineRule="auto"/>
        <w:tabs>
          <w:tab w:leader="none" w:pos="463" w:val="left"/>
        </w:tabs>
        <w:numPr>
          <w:ilvl w:val="0"/>
          <w:numId w:val="13"/>
        </w:numPr>
        <w:rPr>
          <w:rFonts w:ascii="Arial" w:cs="Arial" w:eastAsia="Arial" w:hAnsi="Arial"/>
          <w:sz w:val="15"/>
          <w:szCs w:val="15"/>
          <w:color w:val="58844D"/>
        </w:rPr>
      </w:pPr>
      <w:r>
        <w:rPr>
          <w:rFonts w:ascii="Arial" w:cs="Arial" w:eastAsia="Arial" w:hAnsi="Arial"/>
          <w:sz w:val="15"/>
          <w:szCs w:val="15"/>
          <w:color w:val="auto"/>
        </w:rPr>
        <w:t>reviews and recommends to the Board for approval annual and long-term goals and objectives relevant to the compensation of the President and CEO, evaluates the performance of the President and CEO in light of those goals and objectives, and determines, approves and recommends to the Board for approval, the President and CEO's compensation level based on such evaluation;</w:t>
      </w:r>
    </w:p>
    <w:p>
      <w:pPr>
        <w:spacing w:after="0" w:line="177" w:lineRule="exact"/>
        <w:rPr>
          <w:rFonts w:ascii="Arial" w:cs="Arial" w:eastAsia="Arial" w:hAnsi="Arial"/>
          <w:sz w:val="15"/>
          <w:szCs w:val="15"/>
          <w:color w:val="58844D"/>
        </w:rPr>
      </w:pPr>
    </w:p>
    <w:p>
      <w:pPr>
        <w:ind w:left="463" w:right="100" w:hanging="463"/>
        <w:spacing w:after="0" w:line="258" w:lineRule="auto"/>
        <w:tabs>
          <w:tab w:leader="none" w:pos="463" w:val="left"/>
        </w:tabs>
        <w:numPr>
          <w:ilvl w:val="0"/>
          <w:numId w:val="13"/>
        </w:numPr>
        <w:rPr>
          <w:rFonts w:ascii="Arial" w:cs="Arial" w:eastAsia="Arial" w:hAnsi="Arial"/>
          <w:sz w:val="14"/>
          <w:szCs w:val="14"/>
          <w:color w:val="58844D"/>
        </w:rPr>
      </w:pPr>
      <w:r>
        <w:rPr>
          <w:rFonts w:ascii="Arial" w:cs="Arial" w:eastAsia="Arial" w:hAnsi="Arial"/>
          <w:sz w:val="14"/>
          <w:szCs w:val="14"/>
          <w:color w:val="auto"/>
        </w:rPr>
        <w:t>reports to the Board with respect to the Chief Financial Officer (CFO), any executive vice presidents and any other officer designated by the Board and compensated by the Company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employment arrangements, severance arrangements and benefits plans;</w:t>
      </w:r>
    </w:p>
    <w:p>
      <w:pPr>
        <w:spacing w:after="0" w:line="154" w:lineRule="exact"/>
        <w:rPr>
          <w:rFonts w:ascii="Arial" w:cs="Arial" w:eastAsia="Arial" w:hAnsi="Arial"/>
          <w:sz w:val="14"/>
          <w:szCs w:val="14"/>
          <w:color w:val="58844D"/>
        </w:rPr>
      </w:pPr>
    </w:p>
    <w:p>
      <w:pPr>
        <w:ind w:left="463" w:right="120" w:hanging="463"/>
        <w:spacing w:after="0" w:line="280" w:lineRule="auto"/>
        <w:tabs>
          <w:tab w:leader="none" w:pos="463" w:val="left"/>
        </w:tabs>
        <w:numPr>
          <w:ilvl w:val="0"/>
          <w:numId w:val="13"/>
        </w:numPr>
        <w:rPr>
          <w:rFonts w:ascii="Arial" w:cs="Arial" w:eastAsia="Arial" w:hAnsi="Arial"/>
          <w:sz w:val="14"/>
          <w:szCs w:val="14"/>
          <w:color w:val="58844D"/>
        </w:rPr>
      </w:pPr>
      <w:r>
        <w:rPr>
          <w:rFonts w:ascii="Arial" w:cs="Arial" w:eastAsia="Arial" w:hAnsi="Arial"/>
          <w:sz w:val="14"/>
          <w:szCs w:val="14"/>
          <w:color w:val="auto"/>
        </w:rPr>
        <w:t>reviews and recommends to the Board the compensation, incentive compensation and equity-based plans that are subject to Board approval;</w:t>
      </w:r>
    </w:p>
    <w:p>
      <w:pPr>
        <w:spacing w:after="0" w:line="137" w:lineRule="exact"/>
        <w:rPr>
          <w:rFonts w:ascii="Arial" w:cs="Arial" w:eastAsia="Arial" w:hAnsi="Arial"/>
          <w:sz w:val="14"/>
          <w:szCs w:val="14"/>
          <w:color w:val="58844D"/>
        </w:rPr>
      </w:pPr>
    </w:p>
    <w:p>
      <w:pPr>
        <w:ind w:left="463" w:right="340" w:hanging="463"/>
        <w:spacing w:after="0" w:line="245" w:lineRule="auto"/>
        <w:tabs>
          <w:tab w:leader="none" w:pos="463" w:val="left"/>
        </w:tabs>
        <w:numPr>
          <w:ilvl w:val="0"/>
          <w:numId w:val="13"/>
        </w:numPr>
        <w:rPr>
          <w:rFonts w:ascii="Arial" w:cs="Arial" w:eastAsia="Arial" w:hAnsi="Arial"/>
          <w:sz w:val="15"/>
          <w:szCs w:val="15"/>
          <w:color w:val="58844D"/>
        </w:rPr>
      </w:pPr>
      <w:r>
        <w:rPr>
          <w:rFonts w:ascii="Arial" w:cs="Arial" w:eastAsia="Arial" w:hAnsi="Arial"/>
          <w:sz w:val="15"/>
          <w:szCs w:val="15"/>
          <w:color w:val="auto"/>
        </w:rPr>
        <w:t>reviews and approves (i) any employment agreements and severance arrangements for officers other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162560</wp:posOffset>
            </wp:positionV>
            <wp:extent cx="727329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9" w:space="717"/>
            <w:col w:w="5383"/>
          </w:cols>
          <w:pgMar w:left="231" w:top="142" w:right="219" w:bottom="1440" w:gutter="0" w:footer="0" w:header="0"/>
        </w:sectPr>
      </w:pPr>
    </w:p>
    <w:bookmarkStart w:id="13" w:name="page14"/>
    <w:bookmarkEnd w:id="13"/>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9" w:right="180"/>
        <w:spacing w:after="0" w:line="254" w:lineRule="auto"/>
        <w:rPr>
          <w:sz w:val="20"/>
          <w:szCs w:val="20"/>
          <w:color w:val="auto"/>
        </w:rPr>
      </w:pPr>
      <w:r>
        <w:rPr>
          <w:rFonts w:ascii="Arial" w:cs="Arial" w:eastAsia="Arial" w:hAnsi="Arial"/>
          <w:sz w:val="14"/>
          <w:szCs w:val="14"/>
          <w:color w:val="auto"/>
        </w:rPr>
        <w:t>President and CEO, (ii) benefit plans pertaining to officers other than the President and CEO that are not otherwise subject to Board approval,</w:t>
      </w:r>
    </w:p>
    <w:p>
      <w:pPr>
        <w:spacing w:after="0" w:line="1" w:lineRule="exact"/>
        <w:rPr>
          <w:sz w:val="20"/>
          <w:szCs w:val="20"/>
          <w:color w:val="auto"/>
        </w:rPr>
      </w:pPr>
    </w:p>
    <w:p>
      <w:pPr>
        <w:ind w:left="449" w:right="20"/>
        <w:spacing w:after="0" w:line="263" w:lineRule="auto"/>
        <w:rPr>
          <w:sz w:val="20"/>
          <w:szCs w:val="20"/>
          <w:color w:val="auto"/>
        </w:rPr>
      </w:pPr>
      <w:r>
        <w:rPr>
          <w:rFonts w:ascii="Arial" w:cs="Arial" w:eastAsia="Arial" w:hAnsi="Arial"/>
          <w:sz w:val="14"/>
          <w:szCs w:val="14"/>
          <w:color w:val="auto"/>
        </w:rPr>
        <w:t>(iii) corporate goals and objectives for officers other than the President and CEO who are compensated by the company, and (iv) reviews, with the President and CEO, the performance of officers who are compensated by the company other than the President and CEO against such goals;</w:t>
      </w:r>
    </w:p>
    <w:p>
      <w:pPr>
        <w:spacing w:after="0" w:line="160" w:lineRule="exact"/>
        <w:rPr>
          <w:sz w:val="20"/>
          <w:szCs w:val="20"/>
          <w:color w:val="auto"/>
        </w:rPr>
      </w:pPr>
    </w:p>
    <w:p>
      <w:pPr>
        <w:ind w:left="449" w:right="100" w:hanging="449"/>
        <w:spacing w:after="0" w:line="245" w:lineRule="auto"/>
        <w:tabs>
          <w:tab w:leader="none" w:pos="449" w:val="left"/>
        </w:tabs>
        <w:numPr>
          <w:ilvl w:val="0"/>
          <w:numId w:val="14"/>
        </w:numPr>
        <w:rPr>
          <w:rFonts w:ascii="Arial" w:cs="Arial" w:eastAsia="Arial" w:hAnsi="Arial"/>
          <w:sz w:val="15"/>
          <w:szCs w:val="15"/>
          <w:color w:val="58844D"/>
        </w:rPr>
      </w:pPr>
      <w:r>
        <w:rPr>
          <w:rFonts w:ascii="Arial" w:cs="Arial" w:eastAsia="Arial" w:hAnsi="Arial"/>
          <w:sz w:val="15"/>
          <w:szCs w:val="15"/>
          <w:color w:val="auto"/>
        </w:rPr>
        <w:t>approves stock incentive awards for officers who are compensated by the company other than the President and CEO;</w:t>
      </w:r>
    </w:p>
    <w:p>
      <w:pPr>
        <w:spacing w:after="0" w:line="160" w:lineRule="exact"/>
        <w:rPr>
          <w:rFonts w:ascii="Arial" w:cs="Arial" w:eastAsia="Arial" w:hAnsi="Arial"/>
          <w:sz w:val="15"/>
          <w:szCs w:val="15"/>
          <w:color w:val="58844D"/>
        </w:rPr>
      </w:pPr>
    </w:p>
    <w:p>
      <w:pPr>
        <w:ind w:left="449" w:hanging="449"/>
        <w:spacing w:after="0" w:line="263" w:lineRule="auto"/>
        <w:tabs>
          <w:tab w:leader="none" w:pos="449" w:val="left"/>
        </w:tabs>
        <w:numPr>
          <w:ilvl w:val="0"/>
          <w:numId w:val="14"/>
        </w:numPr>
        <w:rPr>
          <w:rFonts w:ascii="Arial" w:cs="Arial" w:eastAsia="Arial" w:hAnsi="Arial"/>
          <w:sz w:val="14"/>
          <w:szCs w:val="14"/>
          <w:color w:val="58844D"/>
        </w:rPr>
      </w:pPr>
      <w:r>
        <w:rPr>
          <w:rFonts w:ascii="Arial" w:cs="Arial" w:eastAsia="Arial" w:hAnsi="Arial"/>
          <w:sz w:val="14"/>
          <w:szCs w:val="14"/>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149" w:lineRule="exact"/>
        <w:rPr>
          <w:rFonts w:ascii="Arial" w:cs="Arial" w:eastAsia="Arial" w:hAnsi="Arial"/>
          <w:sz w:val="14"/>
          <w:szCs w:val="14"/>
          <w:color w:val="58844D"/>
        </w:rPr>
      </w:pPr>
    </w:p>
    <w:p>
      <w:pPr>
        <w:ind w:left="449" w:right="220" w:hanging="449"/>
        <w:spacing w:after="0" w:line="239" w:lineRule="auto"/>
        <w:tabs>
          <w:tab w:leader="none" w:pos="449" w:val="left"/>
        </w:tabs>
        <w:numPr>
          <w:ilvl w:val="0"/>
          <w:numId w:val="14"/>
        </w:numPr>
        <w:rPr>
          <w:rFonts w:ascii="Arial" w:cs="Arial" w:eastAsia="Arial" w:hAnsi="Arial"/>
          <w:sz w:val="15"/>
          <w:szCs w:val="15"/>
          <w:color w:val="58844D"/>
        </w:rPr>
      </w:pPr>
      <w:r>
        <w:rPr>
          <w:rFonts w:ascii="Arial" w:cs="Arial" w:eastAsia="Arial" w:hAnsi="Arial"/>
          <w:sz w:val="15"/>
          <w:szCs w:val="15"/>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78" w:lineRule="exact"/>
        <w:rPr>
          <w:rFonts w:ascii="Arial" w:cs="Arial" w:eastAsia="Arial" w:hAnsi="Arial"/>
          <w:sz w:val="15"/>
          <w:szCs w:val="15"/>
          <w:color w:val="58844D"/>
        </w:rPr>
      </w:pPr>
    </w:p>
    <w:p>
      <w:pPr>
        <w:ind w:left="449" w:right="220" w:hanging="449"/>
        <w:spacing w:after="0" w:line="245" w:lineRule="auto"/>
        <w:tabs>
          <w:tab w:leader="none" w:pos="449" w:val="left"/>
        </w:tabs>
        <w:numPr>
          <w:ilvl w:val="0"/>
          <w:numId w:val="14"/>
        </w:numPr>
        <w:rPr>
          <w:rFonts w:ascii="Arial" w:cs="Arial" w:eastAsia="Arial" w:hAnsi="Arial"/>
          <w:sz w:val="15"/>
          <w:szCs w:val="15"/>
          <w:color w:val="58844D"/>
        </w:rPr>
      </w:pPr>
      <w:r>
        <w:rPr>
          <w:rFonts w:ascii="Arial" w:cs="Arial" w:eastAsia="Arial" w:hAnsi="Arial"/>
          <w:sz w:val="15"/>
          <w:szCs w:val="15"/>
          <w:color w:val="auto"/>
        </w:rPr>
        <w:t>recommends and monitors officers, and directors' compliance regarding any stock ownership guidelines;</w:t>
      </w:r>
    </w:p>
    <w:p>
      <w:pPr>
        <w:spacing w:after="0" w:line="160" w:lineRule="exact"/>
        <w:rPr>
          <w:rFonts w:ascii="Arial" w:cs="Arial" w:eastAsia="Arial" w:hAnsi="Arial"/>
          <w:sz w:val="15"/>
          <w:szCs w:val="15"/>
          <w:color w:val="58844D"/>
        </w:rPr>
      </w:pPr>
    </w:p>
    <w:p>
      <w:pPr>
        <w:jc w:val="both"/>
        <w:ind w:left="449" w:right="320" w:hanging="449"/>
        <w:spacing w:after="0" w:line="280" w:lineRule="auto"/>
        <w:tabs>
          <w:tab w:leader="none" w:pos="449" w:val="left"/>
        </w:tabs>
        <w:numPr>
          <w:ilvl w:val="0"/>
          <w:numId w:val="14"/>
        </w:numPr>
        <w:rPr>
          <w:rFonts w:ascii="Arial" w:cs="Arial" w:eastAsia="Arial" w:hAnsi="Arial"/>
          <w:sz w:val="14"/>
          <w:szCs w:val="14"/>
          <w:color w:val="58844D"/>
        </w:rPr>
      </w:pPr>
      <w:r>
        <w:rPr>
          <w:rFonts w:ascii="Arial" w:cs="Arial" w:eastAsia="Arial" w:hAnsi="Arial"/>
          <w:sz w:val="14"/>
          <w:szCs w:val="14"/>
          <w:color w:val="auto"/>
        </w:rPr>
        <w:t>reviews the compensation of directors for service on the Board and its Committees and recommends changes in compensation to the Board;</w:t>
      </w:r>
    </w:p>
    <w:p>
      <w:pPr>
        <w:spacing w:after="0" w:line="137" w:lineRule="exact"/>
        <w:rPr>
          <w:rFonts w:ascii="Arial" w:cs="Arial" w:eastAsia="Arial" w:hAnsi="Arial"/>
          <w:sz w:val="14"/>
          <w:szCs w:val="14"/>
          <w:color w:val="58844D"/>
        </w:rPr>
      </w:pPr>
    </w:p>
    <w:p>
      <w:pPr>
        <w:ind w:left="449" w:right="260" w:hanging="449"/>
        <w:spacing w:after="0" w:line="245" w:lineRule="auto"/>
        <w:tabs>
          <w:tab w:leader="none" w:pos="449" w:val="left"/>
        </w:tabs>
        <w:numPr>
          <w:ilvl w:val="0"/>
          <w:numId w:val="14"/>
        </w:numPr>
        <w:rPr>
          <w:rFonts w:ascii="Arial" w:cs="Arial" w:eastAsia="Arial" w:hAnsi="Arial"/>
          <w:sz w:val="15"/>
          <w:szCs w:val="15"/>
          <w:color w:val="58844D"/>
        </w:rPr>
      </w:pPr>
      <w:r>
        <w:rPr>
          <w:rFonts w:ascii="Arial" w:cs="Arial" w:eastAsia="Arial" w:hAnsi="Arial"/>
          <w:sz w:val="15"/>
          <w:szCs w:val="15"/>
          <w:color w:val="auto"/>
        </w:rPr>
        <w:t>evaluates any conflicts of interest and the independence of any outside advisors engaged by the Compensation Committee; and</w:t>
      </w:r>
    </w:p>
    <w:p>
      <w:pPr>
        <w:spacing w:after="0" w:line="172" w:lineRule="exact"/>
        <w:rPr>
          <w:rFonts w:ascii="Arial" w:cs="Arial" w:eastAsia="Arial" w:hAnsi="Arial"/>
          <w:sz w:val="15"/>
          <w:szCs w:val="15"/>
          <w:color w:val="58844D"/>
        </w:rPr>
      </w:pPr>
    </w:p>
    <w:p>
      <w:pPr>
        <w:ind w:left="449" w:right="120" w:hanging="449"/>
        <w:spacing w:after="0" w:line="245" w:lineRule="auto"/>
        <w:tabs>
          <w:tab w:leader="none" w:pos="449" w:val="left"/>
        </w:tabs>
        <w:numPr>
          <w:ilvl w:val="0"/>
          <w:numId w:val="14"/>
        </w:numPr>
        <w:rPr>
          <w:rFonts w:ascii="Arial" w:cs="Arial" w:eastAsia="Arial" w:hAnsi="Arial"/>
          <w:sz w:val="15"/>
          <w:szCs w:val="15"/>
          <w:color w:val="58844D"/>
        </w:rPr>
      </w:pPr>
      <w:r>
        <w:rPr>
          <w:rFonts w:ascii="Arial" w:cs="Arial" w:eastAsia="Arial" w:hAnsi="Arial"/>
          <w:sz w:val="15"/>
          <w:szCs w:val="15"/>
          <w:color w:val="auto"/>
        </w:rPr>
        <w:t>annually evaluates the performance of the Compensation Committee and the adequacy of its charter.</w:t>
      </w:r>
    </w:p>
    <w:p>
      <w:pPr>
        <w:spacing w:after="0" w:line="172" w:lineRule="exact"/>
        <w:rPr>
          <w:sz w:val="20"/>
          <w:szCs w:val="20"/>
          <w:color w:val="auto"/>
        </w:rPr>
      </w:pPr>
    </w:p>
    <w:p>
      <w:pPr>
        <w:ind w:left="9" w:right="40"/>
        <w:spacing w:after="0" w:line="239" w:lineRule="auto"/>
        <w:rPr>
          <w:sz w:val="20"/>
          <w:szCs w:val="20"/>
          <w:color w:val="auto"/>
        </w:rPr>
      </w:pPr>
      <w:r>
        <w:rPr>
          <w:rFonts w:ascii="Arial" w:cs="Arial" w:eastAsia="Arial" w:hAnsi="Arial"/>
          <w:sz w:val="15"/>
          <w:szCs w:val="15"/>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178" w:lineRule="exact"/>
        <w:rPr>
          <w:sz w:val="20"/>
          <w:szCs w:val="20"/>
          <w:color w:val="auto"/>
        </w:rPr>
      </w:pPr>
    </w:p>
    <w:p>
      <w:pPr>
        <w:ind w:left="9"/>
        <w:spacing w:after="0" w:line="238" w:lineRule="auto"/>
        <w:rPr>
          <w:sz w:val="20"/>
          <w:szCs w:val="20"/>
          <w:color w:val="auto"/>
        </w:rPr>
      </w:pPr>
      <w:r>
        <w:rPr>
          <w:rFonts w:ascii="Arial" w:cs="Arial" w:eastAsia="Arial" w:hAnsi="Arial"/>
          <w:sz w:val="15"/>
          <w:szCs w:val="15"/>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the Compensation Committee's independent compensation consultant for fiscal year 2017, assisted with director compensation and executive pay decisions and worked with the Compensation Committee to formulate the design of</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GOVERNANCE OF THE COMPANY </w:t>
      </w:r>
      <w:r>
        <w:rPr>
          <w:rFonts w:ascii="Arial" w:cs="Arial" w:eastAsia="Arial" w:hAnsi="Arial"/>
          <w:sz w:val="12"/>
          <w:szCs w:val="12"/>
          <w:b w:val="1"/>
          <w:bCs w:val="1"/>
          <w:color w:val="58844D"/>
        </w:rPr>
        <w:t>9</w:t>
      </w:r>
    </w:p>
    <w:p>
      <w:pPr>
        <w:spacing w:after="0" w:line="376"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director compensation and executive compensation programs for 2018.</w:t>
      </w:r>
    </w:p>
    <w:p>
      <w:pPr>
        <w:spacing w:after="0" w:line="181" w:lineRule="exact"/>
        <w:rPr>
          <w:sz w:val="20"/>
          <w:szCs w:val="20"/>
          <w:color w:val="auto"/>
        </w:rPr>
      </w:pPr>
    </w:p>
    <w:p>
      <w:pPr>
        <w:ind w:left="3" w:right="60"/>
        <w:spacing w:after="0"/>
        <w:rPr>
          <w:sz w:val="20"/>
          <w:szCs w:val="20"/>
          <w:color w:val="auto"/>
        </w:rPr>
      </w:pPr>
      <w:r>
        <w:rPr>
          <w:rFonts w:ascii="Arial" w:cs="Arial" w:eastAsia="Arial" w:hAnsi="Arial"/>
          <w:sz w:val="15"/>
          <w:szCs w:val="15"/>
          <w:color w:val="auto"/>
        </w:rPr>
        <w:t>The Board has determined that all of the Compensation Committee members are independent under the listing standards of the NYSE and that they are "nonemployee directors" for purposes of Rule 16b-3 under the Securities Exchange Act of 1934, as amended (Exchange Act).</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CORPORATE GOVERNANCE, CONFLICTS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3416935" cy="1788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6935" cy="178816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63" w:right="820" w:hanging="456"/>
        <w:spacing w:after="0" w:line="270" w:lineRule="auto"/>
        <w:tabs>
          <w:tab w:leader="none" w:pos="563" w:val="left"/>
        </w:tabs>
        <w:numPr>
          <w:ilvl w:val="0"/>
          <w:numId w:val="15"/>
        </w:numPr>
        <w:rPr>
          <w:rFonts w:ascii="Arial" w:cs="Arial" w:eastAsia="Arial" w:hAnsi="Arial"/>
          <w:sz w:val="15"/>
          <w:szCs w:val="15"/>
          <w:color w:val="58844D"/>
        </w:rPr>
      </w:pPr>
      <w:r>
        <w:rPr>
          <w:rFonts w:ascii="Arial" w:cs="Arial" w:eastAsia="Arial" w:hAnsi="Arial"/>
          <w:sz w:val="15"/>
          <w:szCs w:val="15"/>
          <w:b w:val="1"/>
          <w:bCs w:val="1"/>
          <w:color w:val="58844D"/>
        </w:rPr>
        <w:t xml:space="preserve">Members: </w:t>
      </w:r>
      <w:r>
        <w:rPr>
          <w:rFonts w:ascii="Arial" w:cs="Arial" w:eastAsia="Arial" w:hAnsi="Arial"/>
          <w:sz w:val="15"/>
          <w:szCs w:val="15"/>
          <w:color w:val="58844D"/>
        </w:rPr>
        <w:t>Ferrell P. McClean (Chair), Brian R. Ford, John F.</w:t>
      </w:r>
      <w:r>
        <w:rPr>
          <w:rFonts w:ascii="Arial" w:cs="Arial" w:eastAsia="Arial" w:hAnsi="Arial"/>
          <w:sz w:val="15"/>
          <w:szCs w:val="15"/>
          <w:b w:val="1"/>
          <w:bCs w:val="1"/>
          <w:color w:val="58844D"/>
        </w:rPr>
        <w:t xml:space="preserve"> </w:t>
      </w:r>
      <w:r>
        <w:rPr>
          <w:rFonts w:ascii="Arial" w:cs="Arial" w:eastAsia="Arial" w:hAnsi="Arial"/>
          <w:sz w:val="15"/>
          <w:szCs w:val="15"/>
          <w:color w:val="58844D"/>
        </w:rPr>
        <w:t>Chlebowski</w:t>
      </w:r>
    </w:p>
    <w:p>
      <w:pPr>
        <w:spacing w:after="0" w:line="124" w:lineRule="exact"/>
        <w:rPr>
          <w:rFonts w:ascii="Arial" w:cs="Arial" w:eastAsia="Arial" w:hAnsi="Arial"/>
          <w:sz w:val="15"/>
          <w:szCs w:val="15"/>
          <w:color w:val="58844D"/>
        </w:rPr>
      </w:pPr>
    </w:p>
    <w:p>
      <w:pPr>
        <w:ind w:left="563" w:hanging="456"/>
        <w:spacing w:after="0"/>
        <w:tabs>
          <w:tab w:leader="none" w:pos="563" w:val="left"/>
        </w:tabs>
        <w:numPr>
          <w:ilvl w:val="0"/>
          <w:numId w:val="15"/>
        </w:numPr>
        <w:rPr>
          <w:rFonts w:ascii="Arial" w:cs="Arial" w:eastAsia="Arial" w:hAnsi="Arial"/>
          <w:sz w:val="15"/>
          <w:szCs w:val="15"/>
          <w:color w:val="58844D"/>
        </w:rPr>
      </w:pPr>
      <w:r>
        <w:rPr>
          <w:rFonts w:ascii="Arial" w:cs="Arial" w:eastAsia="Arial" w:hAnsi="Arial"/>
          <w:sz w:val="15"/>
          <w:szCs w:val="15"/>
          <w:b w:val="1"/>
          <w:bCs w:val="1"/>
          <w:color w:val="58844D"/>
        </w:rPr>
        <w:t xml:space="preserve">Number of meetings in 2017: </w:t>
      </w:r>
      <w:r>
        <w:rPr>
          <w:rFonts w:ascii="Arial" w:cs="Arial" w:eastAsia="Arial" w:hAnsi="Arial"/>
          <w:sz w:val="15"/>
          <w:szCs w:val="15"/>
          <w:color w:val="58844D"/>
        </w:rPr>
        <w:t>18</w:t>
      </w:r>
    </w:p>
    <w:p>
      <w:pPr>
        <w:spacing w:after="0" w:line="169" w:lineRule="exact"/>
        <w:rPr>
          <w:rFonts w:ascii="Arial" w:cs="Arial" w:eastAsia="Arial" w:hAnsi="Arial"/>
          <w:sz w:val="15"/>
          <w:szCs w:val="15"/>
          <w:color w:val="58844D"/>
        </w:rPr>
      </w:pPr>
    </w:p>
    <w:p>
      <w:pPr>
        <w:ind w:left="563" w:right="180" w:hanging="456"/>
        <w:spacing w:after="0" w:line="244" w:lineRule="auto"/>
        <w:tabs>
          <w:tab w:leader="none" w:pos="563" w:val="left"/>
        </w:tabs>
        <w:numPr>
          <w:ilvl w:val="0"/>
          <w:numId w:val="15"/>
        </w:numPr>
        <w:rPr>
          <w:rFonts w:ascii="Arial" w:cs="Arial" w:eastAsia="Arial" w:hAnsi="Arial"/>
          <w:sz w:val="15"/>
          <w:szCs w:val="15"/>
          <w:color w:val="58844D"/>
        </w:rPr>
      </w:pPr>
      <w:r>
        <w:rPr>
          <w:rFonts w:ascii="Arial" w:cs="Arial" w:eastAsia="Arial" w:hAnsi="Arial"/>
          <w:sz w:val="15"/>
          <w:szCs w:val="15"/>
          <w:b w:val="1"/>
          <w:bCs w:val="1"/>
          <w:color w:val="58844D"/>
        </w:rPr>
        <w:t xml:space="preserve">Primary Responsibilities: </w:t>
      </w:r>
      <w:r>
        <w:rPr>
          <w:rFonts w:ascii="Arial" w:cs="Arial" w:eastAsia="Arial" w:hAnsi="Arial"/>
          <w:sz w:val="15"/>
          <w:szCs w:val="15"/>
          <w:color w:val="58844D"/>
        </w:rPr>
        <w:t>recommends director candidates to the</w:t>
      </w:r>
      <w:r>
        <w:rPr>
          <w:rFonts w:ascii="Arial" w:cs="Arial" w:eastAsia="Arial" w:hAnsi="Arial"/>
          <w:sz w:val="15"/>
          <w:szCs w:val="15"/>
          <w:b w:val="1"/>
          <w:bCs w:val="1"/>
          <w:color w:val="58844D"/>
        </w:rPr>
        <w:t xml:space="preserve"> </w:t>
      </w:r>
      <w:r>
        <w:rPr>
          <w:rFonts w:ascii="Arial" w:cs="Arial" w:eastAsia="Arial" w:hAnsi="Arial"/>
          <w:sz w:val="15"/>
          <w:szCs w:val="15"/>
          <w:color w:val="58844D"/>
        </w:rPr>
        <w:t>Board; makes recommendations on Board and Committee structure and function and governance related matters; oversees the evaluation of the Board and committees; and reviews potential conflict transactions between the Company and any affiliated parties, including NRG, and any change of control of the Company.</w:t>
      </w:r>
    </w:p>
    <w:p>
      <w:pPr>
        <w:spacing w:after="0" w:line="156" w:lineRule="exact"/>
        <w:rPr>
          <w:rFonts w:ascii="Arial" w:cs="Arial" w:eastAsia="Arial" w:hAnsi="Arial"/>
          <w:sz w:val="15"/>
          <w:szCs w:val="15"/>
          <w:color w:val="58844D"/>
        </w:rPr>
      </w:pPr>
    </w:p>
    <w:p>
      <w:pPr>
        <w:ind w:left="563" w:hanging="456"/>
        <w:spacing w:after="0"/>
        <w:tabs>
          <w:tab w:leader="none" w:pos="563" w:val="left"/>
        </w:tabs>
        <w:numPr>
          <w:ilvl w:val="0"/>
          <w:numId w:val="15"/>
        </w:numPr>
        <w:rPr>
          <w:rFonts w:ascii="Arial" w:cs="Arial" w:eastAsia="Arial" w:hAnsi="Arial"/>
          <w:sz w:val="15"/>
          <w:szCs w:val="15"/>
          <w:color w:val="58844D"/>
        </w:rPr>
      </w:pPr>
      <w:r>
        <w:rPr>
          <w:rFonts w:ascii="Arial" w:cs="Arial" w:eastAsia="Arial" w:hAnsi="Arial"/>
          <w:sz w:val="15"/>
          <w:szCs w:val="15"/>
          <w:b w:val="1"/>
          <w:bCs w:val="1"/>
          <w:color w:val="58844D"/>
        </w:rPr>
        <w:t xml:space="preserve">Independence: </w:t>
      </w:r>
      <w:r>
        <w:rPr>
          <w:rFonts w:ascii="Arial" w:cs="Arial" w:eastAsia="Arial" w:hAnsi="Arial"/>
          <w:sz w:val="15"/>
          <w:szCs w:val="15"/>
          <w:color w:val="58844D"/>
        </w:rPr>
        <w:t>all members</w:t>
      </w:r>
    </w:p>
    <w:p>
      <w:pPr>
        <w:spacing w:after="0" w:line="200" w:lineRule="exact"/>
        <w:rPr>
          <w:sz w:val="20"/>
          <w:szCs w:val="20"/>
          <w:color w:val="auto"/>
        </w:rPr>
      </w:pPr>
    </w:p>
    <w:p>
      <w:pPr>
        <w:spacing w:after="0" w:line="284" w:lineRule="exact"/>
        <w:rPr>
          <w:sz w:val="20"/>
          <w:szCs w:val="20"/>
          <w:color w:val="auto"/>
        </w:rPr>
      </w:pPr>
    </w:p>
    <w:p>
      <w:pPr>
        <w:ind w:left="3" w:right="180"/>
        <w:spacing w:after="0" w:line="263" w:lineRule="auto"/>
        <w:rPr>
          <w:sz w:val="20"/>
          <w:szCs w:val="20"/>
          <w:color w:val="auto"/>
        </w:rPr>
      </w:pPr>
      <w:r>
        <w:rPr>
          <w:rFonts w:ascii="Arial" w:cs="Arial" w:eastAsia="Arial" w:hAnsi="Arial"/>
          <w:sz w:val="14"/>
          <w:szCs w:val="14"/>
          <w:color w:val="auto"/>
        </w:rPr>
        <w:t>The Corporate Governance, Conflicts, and Nominating Committee provides leadership and guidance to the Board and to the Company regarding matters of corporate governance, transactions involving potential conflicts of interest or changes of control and the selection and evaluation of members of the Board.</w:t>
      </w:r>
    </w:p>
    <w:p>
      <w:pPr>
        <w:spacing w:after="0" w:line="161" w:lineRule="exact"/>
        <w:rPr>
          <w:sz w:val="20"/>
          <w:szCs w:val="20"/>
          <w:color w:val="auto"/>
        </w:rPr>
      </w:pPr>
    </w:p>
    <w:p>
      <w:pPr>
        <w:ind w:left="3" w:right="540"/>
        <w:spacing w:after="0" w:line="245" w:lineRule="auto"/>
        <w:rPr>
          <w:sz w:val="20"/>
          <w:szCs w:val="20"/>
          <w:color w:val="auto"/>
        </w:rPr>
      </w:pPr>
      <w:r>
        <w:rPr>
          <w:rFonts w:ascii="Arial" w:cs="Arial" w:eastAsia="Arial" w:hAnsi="Arial"/>
          <w:sz w:val="15"/>
          <w:szCs w:val="15"/>
          <w:color w:val="auto"/>
        </w:rPr>
        <w:t>Among other things, the Corporate Governance, Conflicts and Nominating Committee:</w:t>
      </w:r>
    </w:p>
    <w:p>
      <w:pPr>
        <w:spacing w:after="0" w:line="172" w:lineRule="exact"/>
        <w:rPr>
          <w:sz w:val="20"/>
          <w:szCs w:val="20"/>
          <w:color w:val="auto"/>
        </w:rPr>
      </w:pPr>
    </w:p>
    <w:p>
      <w:pPr>
        <w:ind w:left="463" w:right="60" w:hanging="463"/>
        <w:spacing w:after="0" w:line="245" w:lineRule="auto"/>
        <w:tabs>
          <w:tab w:leader="none" w:pos="463" w:val="left"/>
        </w:tabs>
        <w:numPr>
          <w:ilvl w:val="0"/>
          <w:numId w:val="16"/>
        </w:numPr>
        <w:rPr>
          <w:rFonts w:ascii="Arial" w:cs="Arial" w:eastAsia="Arial" w:hAnsi="Arial"/>
          <w:sz w:val="15"/>
          <w:szCs w:val="15"/>
          <w:color w:val="58844D"/>
        </w:rPr>
      </w:pPr>
      <w:r>
        <w:rPr>
          <w:rFonts w:ascii="Arial" w:cs="Arial" w:eastAsia="Arial" w:hAnsi="Arial"/>
          <w:sz w:val="15"/>
          <w:szCs w:val="15"/>
          <w:color w:val="auto"/>
        </w:rPr>
        <w:t>identifies and reviews the qualifications of potential nominees to the Board consistent with criteria approved by the Board;</w:t>
      </w:r>
    </w:p>
    <w:p>
      <w:pPr>
        <w:spacing w:after="0" w:line="172" w:lineRule="exact"/>
        <w:rPr>
          <w:rFonts w:ascii="Arial" w:cs="Arial" w:eastAsia="Arial" w:hAnsi="Arial"/>
          <w:sz w:val="15"/>
          <w:szCs w:val="15"/>
          <w:color w:val="58844D"/>
        </w:rPr>
      </w:pPr>
    </w:p>
    <w:p>
      <w:pPr>
        <w:ind w:left="463" w:right="260" w:hanging="463"/>
        <w:spacing w:after="0" w:line="245" w:lineRule="auto"/>
        <w:tabs>
          <w:tab w:leader="none" w:pos="463" w:val="left"/>
        </w:tabs>
        <w:numPr>
          <w:ilvl w:val="0"/>
          <w:numId w:val="16"/>
        </w:numPr>
        <w:rPr>
          <w:rFonts w:ascii="Arial" w:cs="Arial" w:eastAsia="Arial" w:hAnsi="Arial"/>
          <w:sz w:val="15"/>
          <w:szCs w:val="15"/>
          <w:color w:val="58844D"/>
        </w:rPr>
      </w:pPr>
      <w:r>
        <w:rPr>
          <w:rFonts w:ascii="Arial" w:cs="Arial" w:eastAsia="Arial" w:hAnsi="Arial"/>
          <w:sz w:val="15"/>
          <w:szCs w:val="15"/>
          <w:color w:val="auto"/>
        </w:rPr>
        <w:t>assesses the contributions and independence of incumbent directors in determining whether to recommend them for re-election;</w:t>
      </w:r>
    </w:p>
    <w:p>
      <w:pPr>
        <w:spacing w:after="0" w:line="160" w:lineRule="exact"/>
        <w:rPr>
          <w:rFonts w:ascii="Arial" w:cs="Arial" w:eastAsia="Arial" w:hAnsi="Arial"/>
          <w:sz w:val="15"/>
          <w:szCs w:val="15"/>
          <w:color w:val="58844D"/>
        </w:rPr>
      </w:pPr>
    </w:p>
    <w:p>
      <w:pPr>
        <w:ind w:left="463" w:right="540" w:hanging="463"/>
        <w:spacing w:after="0" w:line="245" w:lineRule="auto"/>
        <w:tabs>
          <w:tab w:leader="none" w:pos="463" w:val="left"/>
        </w:tabs>
        <w:numPr>
          <w:ilvl w:val="0"/>
          <w:numId w:val="16"/>
        </w:numPr>
        <w:rPr>
          <w:rFonts w:ascii="Arial" w:cs="Arial" w:eastAsia="Arial" w:hAnsi="Arial"/>
          <w:sz w:val="15"/>
          <w:szCs w:val="15"/>
          <w:color w:val="58844D"/>
        </w:rPr>
      </w:pPr>
      <w:r>
        <w:rPr>
          <w:rFonts w:ascii="Arial" w:cs="Arial" w:eastAsia="Arial" w:hAnsi="Arial"/>
          <w:sz w:val="15"/>
          <w:szCs w:val="15"/>
          <w:color w:val="auto"/>
        </w:rPr>
        <w:t>develops and periodically reviews the Guidelines and recommends changes to the Board;</w:t>
      </w:r>
    </w:p>
    <w:p>
      <w:pPr>
        <w:spacing w:after="0" w:line="160" w:lineRule="exact"/>
        <w:rPr>
          <w:rFonts w:ascii="Arial" w:cs="Arial" w:eastAsia="Arial" w:hAnsi="Arial"/>
          <w:sz w:val="15"/>
          <w:szCs w:val="15"/>
          <w:color w:val="58844D"/>
        </w:rPr>
      </w:pPr>
    </w:p>
    <w:p>
      <w:pPr>
        <w:ind w:left="463" w:right="580" w:hanging="463"/>
        <w:spacing w:after="0" w:line="245" w:lineRule="auto"/>
        <w:tabs>
          <w:tab w:leader="none" w:pos="463" w:val="left"/>
        </w:tabs>
        <w:numPr>
          <w:ilvl w:val="0"/>
          <w:numId w:val="16"/>
        </w:numPr>
        <w:rPr>
          <w:rFonts w:ascii="Arial" w:cs="Arial" w:eastAsia="Arial" w:hAnsi="Arial"/>
          <w:sz w:val="15"/>
          <w:szCs w:val="15"/>
          <w:color w:val="58844D"/>
        </w:rPr>
      </w:pPr>
      <w:r>
        <w:rPr>
          <w:rFonts w:ascii="Arial" w:cs="Arial" w:eastAsia="Arial" w:hAnsi="Arial"/>
          <w:sz w:val="15"/>
          <w:szCs w:val="15"/>
          <w:color w:val="auto"/>
        </w:rPr>
        <w:t>establishes and reviews procedures for the consideration of Board candidates recommended by the Company's stockholders;</w:t>
      </w:r>
    </w:p>
    <w:p>
      <w:pPr>
        <w:spacing w:after="0" w:line="172" w:lineRule="exact"/>
        <w:rPr>
          <w:rFonts w:ascii="Arial" w:cs="Arial" w:eastAsia="Arial" w:hAnsi="Arial"/>
          <w:sz w:val="15"/>
          <w:szCs w:val="15"/>
          <w:color w:val="58844D"/>
        </w:rPr>
      </w:pPr>
    </w:p>
    <w:p>
      <w:pPr>
        <w:ind w:left="463" w:right="20" w:hanging="463"/>
        <w:spacing w:after="0" w:line="239" w:lineRule="auto"/>
        <w:tabs>
          <w:tab w:leader="none" w:pos="463" w:val="left"/>
        </w:tabs>
        <w:numPr>
          <w:ilvl w:val="0"/>
          <w:numId w:val="16"/>
        </w:numPr>
        <w:rPr>
          <w:rFonts w:ascii="Arial" w:cs="Arial" w:eastAsia="Arial" w:hAnsi="Arial"/>
          <w:sz w:val="15"/>
          <w:szCs w:val="15"/>
          <w:color w:val="58844D"/>
        </w:rPr>
      </w:pPr>
      <w:r>
        <w:rPr>
          <w:rFonts w:ascii="Arial" w:cs="Arial" w:eastAsia="Arial" w:hAnsi="Arial"/>
          <w:sz w:val="15"/>
          <w:szCs w:val="15"/>
          <w:color w:val="auto"/>
        </w:rPr>
        <w:t>reviews and approves potential conflict transactions between the Company and any affiliated parties, including NRG, with respect to acquisitions of assets and other transactions, including, but not limited to, the evaluation of acquisition opportunities presented to the Company pursuant to the Right of First Offer Agreement, as amended and restated, by and between the Company and NRG, as described in "Certain Relationships and Related Person Transactions—Right of First Offer" and the transfer of 50% or more of NRG's equity interests in NRG Yield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165735</wp:posOffset>
            </wp:positionV>
            <wp:extent cx="727329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697"/>
            <w:col w:w="5383"/>
          </w:cols>
          <w:pgMar w:left="231" w:top="142" w:right="219" w:bottom="1440" w:gutter="0" w:footer="0" w:header="0"/>
        </w:sectPr>
      </w:pPr>
    </w:p>
    <w:bookmarkStart w:id="14" w:name="page15"/>
    <w:bookmarkEnd w:id="14"/>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9" w:right="12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reviews and approves strategic transactions involving the transfer of 50% or more of the voting power in the Company;</w:t>
      </w:r>
    </w:p>
    <w:p>
      <w:pPr>
        <w:spacing w:after="0" w:line="172" w:lineRule="exact"/>
        <w:rPr>
          <w:rFonts w:ascii="Arial" w:cs="Arial" w:eastAsia="Arial" w:hAnsi="Arial"/>
          <w:sz w:val="15"/>
          <w:szCs w:val="15"/>
          <w:color w:val="58844D"/>
        </w:rPr>
      </w:pPr>
    </w:p>
    <w:p>
      <w:pPr>
        <w:ind w:left="449" w:right="38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recommends to the Board concerning the structure, composition, and functioning of the Board and its committees;</w:t>
      </w:r>
    </w:p>
    <w:p>
      <w:pPr>
        <w:spacing w:after="0" w:line="160" w:lineRule="exact"/>
        <w:rPr>
          <w:rFonts w:ascii="Arial" w:cs="Arial" w:eastAsia="Arial" w:hAnsi="Arial"/>
          <w:sz w:val="15"/>
          <w:szCs w:val="15"/>
          <w:color w:val="58844D"/>
        </w:rPr>
      </w:pPr>
    </w:p>
    <w:p>
      <w:pPr>
        <w:ind w:left="449" w:right="78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recommends to the Board candidates for appointment to Board committees;</w:t>
      </w:r>
    </w:p>
    <w:p>
      <w:pPr>
        <w:spacing w:after="0" w:line="160" w:lineRule="exact"/>
        <w:rPr>
          <w:rFonts w:ascii="Arial" w:cs="Arial" w:eastAsia="Arial" w:hAnsi="Arial"/>
          <w:sz w:val="15"/>
          <w:szCs w:val="15"/>
          <w:color w:val="58844D"/>
        </w:rPr>
      </w:pPr>
    </w:p>
    <w:p>
      <w:pPr>
        <w:ind w:left="449" w:right="340" w:hanging="449"/>
        <w:spacing w:after="0" w:line="280" w:lineRule="auto"/>
        <w:tabs>
          <w:tab w:leader="none" w:pos="449" w:val="left"/>
        </w:tabs>
        <w:numPr>
          <w:ilvl w:val="0"/>
          <w:numId w:val="17"/>
        </w:numPr>
        <w:rPr>
          <w:rFonts w:ascii="Arial" w:cs="Arial" w:eastAsia="Arial" w:hAnsi="Arial"/>
          <w:sz w:val="14"/>
          <w:szCs w:val="14"/>
          <w:color w:val="58844D"/>
        </w:rPr>
      </w:pPr>
      <w:r>
        <w:rPr>
          <w:rFonts w:ascii="Arial" w:cs="Arial" w:eastAsia="Arial" w:hAnsi="Arial"/>
          <w:sz w:val="14"/>
          <w:szCs w:val="14"/>
          <w:color w:val="auto"/>
        </w:rPr>
        <w:t>reviews and assesses the channels through which the Board receives information, and the quality and timeliness of information received;</w:t>
      </w:r>
    </w:p>
    <w:p>
      <w:pPr>
        <w:spacing w:after="0" w:line="148" w:lineRule="exact"/>
        <w:rPr>
          <w:rFonts w:ascii="Arial" w:cs="Arial" w:eastAsia="Arial" w:hAnsi="Arial"/>
          <w:sz w:val="14"/>
          <w:szCs w:val="14"/>
          <w:color w:val="58844D"/>
        </w:rPr>
      </w:pPr>
    </w:p>
    <w:p>
      <w:pPr>
        <w:ind w:left="449"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reviews and recommends to the Board retirement and other tenure policies for directors;</w:t>
      </w:r>
    </w:p>
    <w:p>
      <w:pPr>
        <w:spacing w:after="0" w:line="160" w:lineRule="exact"/>
        <w:rPr>
          <w:rFonts w:ascii="Arial" w:cs="Arial" w:eastAsia="Arial" w:hAnsi="Arial"/>
          <w:sz w:val="15"/>
          <w:szCs w:val="15"/>
          <w:color w:val="58844D"/>
        </w:rPr>
      </w:pPr>
    </w:p>
    <w:p>
      <w:pPr>
        <w:ind w:left="449" w:right="420" w:hanging="449"/>
        <w:spacing w:after="0" w:line="280" w:lineRule="auto"/>
        <w:tabs>
          <w:tab w:leader="none" w:pos="449" w:val="left"/>
        </w:tabs>
        <w:numPr>
          <w:ilvl w:val="0"/>
          <w:numId w:val="17"/>
        </w:numPr>
        <w:rPr>
          <w:rFonts w:ascii="Arial" w:cs="Arial" w:eastAsia="Arial" w:hAnsi="Arial"/>
          <w:sz w:val="14"/>
          <w:szCs w:val="14"/>
          <w:color w:val="58844D"/>
        </w:rPr>
      </w:pPr>
      <w:r>
        <w:rPr>
          <w:rFonts w:ascii="Arial" w:cs="Arial" w:eastAsia="Arial" w:hAnsi="Arial"/>
          <w:sz w:val="14"/>
          <w:szCs w:val="14"/>
          <w:color w:val="auto"/>
        </w:rPr>
        <w:t>reviews and approves Company policies applicable to the Board, the directors and officers subject to Section 16 of the Exchange Act;</w:t>
      </w:r>
    </w:p>
    <w:p>
      <w:pPr>
        <w:spacing w:after="0" w:line="137" w:lineRule="exact"/>
        <w:rPr>
          <w:rFonts w:ascii="Arial" w:cs="Arial" w:eastAsia="Arial" w:hAnsi="Arial"/>
          <w:sz w:val="14"/>
          <w:szCs w:val="14"/>
          <w:color w:val="58844D"/>
        </w:rPr>
      </w:pPr>
    </w:p>
    <w:p>
      <w:pPr>
        <w:ind w:left="449"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reviews and reports to the Board regarding potential conflicts of interests of directors;</w:t>
      </w:r>
    </w:p>
    <w:p>
      <w:pPr>
        <w:spacing w:after="0" w:line="172" w:lineRule="exact"/>
        <w:rPr>
          <w:rFonts w:ascii="Arial" w:cs="Arial" w:eastAsia="Arial" w:hAnsi="Arial"/>
          <w:sz w:val="15"/>
          <w:szCs w:val="15"/>
          <w:color w:val="58844D"/>
        </w:rPr>
      </w:pPr>
    </w:p>
    <w:p>
      <w:pPr>
        <w:ind w:left="449" w:right="140" w:hanging="449"/>
        <w:spacing w:after="0" w:line="241"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recommends to the Board director candidates for the annual meeting of stockholders, and candidates to be elected by the Board as necessary to fill vacancies and newly created directorships;</w:t>
      </w:r>
    </w:p>
    <w:p>
      <w:pPr>
        <w:spacing w:after="0" w:line="164" w:lineRule="exact"/>
        <w:rPr>
          <w:rFonts w:ascii="Arial" w:cs="Arial" w:eastAsia="Arial" w:hAnsi="Arial"/>
          <w:sz w:val="15"/>
          <w:szCs w:val="15"/>
          <w:color w:val="58844D"/>
        </w:rPr>
      </w:pPr>
    </w:p>
    <w:p>
      <w:pPr>
        <w:ind w:left="449" w:right="24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oversees the evaluation of the Board, its committees and management, and develops guidelines for such evaluations;</w:t>
      </w:r>
    </w:p>
    <w:p>
      <w:pPr>
        <w:spacing w:after="0" w:line="160" w:lineRule="exact"/>
        <w:rPr>
          <w:rFonts w:ascii="Arial" w:cs="Arial" w:eastAsia="Arial" w:hAnsi="Arial"/>
          <w:sz w:val="15"/>
          <w:szCs w:val="15"/>
          <w:color w:val="58844D"/>
        </w:rPr>
      </w:pPr>
    </w:p>
    <w:p>
      <w:pPr>
        <w:ind w:left="449" w:right="10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reviews the Company's senior management succession plans at the CEO and other senior management levels annually;</w:t>
      </w:r>
    </w:p>
    <w:p>
      <w:pPr>
        <w:spacing w:after="0" w:line="172" w:lineRule="exact"/>
        <w:rPr>
          <w:rFonts w:ascii="Arial" w:cs="Arial" w:eastAsia="Arial" w:hAnsi="Arial"/>
          <w:sz w:val="15"/>
          <w:szCs w:val="15"/>
          <w:color w:val="58844D"/>
        </w:rPr>
      </w:pPr>
    </w:p>
    <w:p>
      <w:pPr>
        <w:ind w:left="449" w:right="32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monitors directorships in other public companies held by directors and senior officers of the Company;</w:t>
      </w:r>
    </w:p>
    <w:p>
      <w:pPr>
        <w:spacing w:after="0" w:line="160" w:lineRule="exact"/>
        <w:rPr>
          <w:rFonts w:ascii="Arial" w:cs="Arial" w:eastAsia="Arial" w:hAnsi="Arial"/>
          <w:sz w:val="15"/>
          <w:szCs w:val="15"/>
          <w:color w:val="58844D"/>
        </w:rPr>
      </w:pPr>
    </w:p>
    <w:p>
      <w:pPr>
        <w:ind w:left="449" w:right="30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oversees the orientation process for new director and programs for the continuing education of directors;</w:t>
      </w:r>
    </w:p>
    <w:p>
      <w:pPr>
        <w:spacing w:after="0" w:line="160" w:lineRule="exact"/>
        <w:rPr>
          <w:rFonts w:ascii="Arial" w:cs="Arial" w:eastAsia="Arial" w:hAnsi="Arial"/>
          <w:sz w:val="15"/>
          <w:szCs w:val="15"/>
          <w:color w:val="58844D"/>
        </w:rPr>
      </w:pPr>
    </w:p>
    <w:p>
      <w:pPr>
        <w:ind w:left="449" w:right="12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annually evaluates the performance of the Compensation Committee and the adequacy of its charter; and</w:t>
      </w:r>
    </w:p>
    <w:p>
      <w:pPr>
        <w:spacing w:after="0" w:line="172" w:lineRule="exact"/>
        <w:rPr>
          <w:rFonts w:ascii="Arial" w:cs="Arial" w:eastAsia="Arial" w:hAnsi="Arial"/>
          <w:sz w:val="15"/>
          <w:szCs w:val="15"/>
          <w:color w:val="58844D"/>
        </w:rPr>
      </w:pPr>
    </w:p>
    <w:p>
      <w:pPr>
        <w:ind w:left="449" w:right="140" w:hanging="449"/>
        <w:spacing w:after="0" w:line="245" w:lineRule="auto"/>
        <w:tabs>
          <w:tab w:leader="none" w:pos="449" w:val="left"/>
        </w:tabs>
        <w:numPr>
          <w:ilvl w:val="0"/>
          <w:numId w:val="17"/>
        </w:numPr>
        <w:rPr>
          <w:rFonts w:ascii="Arial" w:cs="Arial" w:eastAsia="Arial" w:hAnsi="Arial"/>
          <w:sz w:val="15"/>
          <w:szCs w:val="15"/>
          <w:color w:val="58844D"/>
        </w:rPr>
      </w:pPr>
      <w:r>
        <w:rPr>
          <w:rFonts w:ascii="Arial" w:cs="Arial" w:eastAsia="Arial" w:hAnsi="Arial"/>
          <w:sz w:val="15"/>
          <w:szCs w:val="15"/>
          <w:color w:val="auto"/>
        </w:rPr>
        <w:t>performs such other duties and responsibilities as are consistent with the purpose of the Committee and as the Board deems appropriate.</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w:t>
      </w:r>
    </w:p>
    <w:p>
      <w:pPr>
        <w:spacing w:after="0" w:line="176" w:lineRule="exact"/>
        <w:rPr>
          <w:sz w:val="20"/>
          <w:szCs w:val="20"/>
          <w:color w:val="auto"/>
        </w:rPr>
      </w:pPr>
    </w:p>
    <w:p>
      <w:pPr>
        <w:ind w:left="9" w:right="200"/>
        <w:spacing w:after="0" w:line="245" w:lineRule="auto"/>
        <w:rPr>
          <w:sz w:val="20"/>
          <w:szCs w:val="20"/>
          <w:color w:val="auto"/>
        </w:rPr>
      </w:pPr>
      <w:r>
        <w:rPr>
          <w:rFonts w:ascii="Arial" w:cs="Arial" w:eastAsia="Arial" w:hAnsi="Arial"/>
          <w:sz w:val="15"/>
          <w:szCs w:val="15"/>
          <w:color w:val="auto"/>
        </w:rPr>
        <w:t>The Board has determined that all of the Corporate Governance, Conflicts, and Nominating Committee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GOVERNANCE OF THE COMPANY </w:t>
      </w:r>
      <w:r>
        <w:rPr>
          <w:rFonts w:ascii="Arial" w:cs="Arial" w:eastAsia="Arial" w:hAnsi="Arial"/>
          <w:sz w:val="12"/>
          <w:szCs w:val="12"/>
          <w:b w:val="1"/>
          <w:bCs w:val="1"/>
          <w:color w:val="58844D"/>
        </w:rPr>
        <w:t>10</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members are independent under the listing standards of the NYSE.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8844D"/>
        </w:rPr>
        <w:t>Code of Conduct</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Our Board has adopted a Code of Conduct that applies to (a) all of our directors and officers, including our CEO, CFO, Principal Accounting Officer and (b) NRG, as our manager under the Management Services Agreement, and its employees.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58844D"/>
        </w:rPr>
        <w:t>Anti-hedging and Anti-pledging Policies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8844D"/>
        </w:rPr>
        <w:t>Communication with Directors</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Stockholders and other interested parties may communicate with the Board by writing to the Corporate Secretary, NRG Yield, Inc., 804 Carnegie Center,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1414145</wp:posOffset>
            </wp:positionV>
            <wp:extent cx="727329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700"/>
            <w:col w:w="5380"/>
          </w:cols>
          <w:pgMar w:left="231" w:top="142" w:right="21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7560"/>
        <w:spacing w:after="0"/>
        <w:rPr>
          <w:sz w:val="20"/>
          <w:szCs w:val="20"/>
          <w:color w:val="auto"/>
        </w:rPr>
      </w:pPr>
      <w:r>
        <w:rPr>
          <w:rFonts w:ascii="Arial" w:cs="Arial" w:eastAsia="Arial" w:hAnsi="Arial"/>
          <w:sz w:val="12"/>
          <w:szCs w:val="12"/>
          <w:color w:val="FFFFFE"/>
        </w:rPr>
        <w:t xml:space="preserve">PROPOSAL NO. 1 ELECTION OF DIRECTORS </w:t>
      </w:r>
      <w:r>
        <w:rPr>
          <w:rFonts w:ascii="Arial" w:cs="Arial" w:eastAsia="Arial" w:hAnsi="Arial"/>
          <w:sz w:val="12"/>
          <w:szCs w:val="12"/>
          <w:b w:val="1"/>
          <w:bCs w:val="1"/>
          <w:color w:val="FFFFFE"/>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Proposal No. 1</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Election of Directors</w:t>
      </w:r>
    </w:p>
    <w:p>
      <w:pPr>
        <w:spacing w:after="0" w:line="200" w:lineRule="exact"/>
        <w:rPr>
          <w:sz w:val="20"/>
          <w:szCs w:val="20"/>
          <w:color w:val="auto"/>
        </w:rPr>
      </w:pPr>
    </w:p>
    <w:p>
      <w:pPr>
        <w:spacing w:after="0" w:line="380"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Each of the seven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director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108585</wp:posOffset>
            </wp:positionV>
            <wp:extent cx="727329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PROPOSAL NO. 1 ELECTION OF DIRECTORS </w:t>
      </w:r>
      <w:r>
        <w:rPr>
          <w:rFonts w:ascii="Arial" w:cs="Arial" w:eastAsia="Arial" w:hAnsi="Arial"/>
          <w:sz w:val="12"/>
          <w:szCs w:val="12"/>
          <w:b w:val="1"/>
          <w:bCs w:val="1"/>
          <w:color w:val="58844D"/>
        </w:rPr>
        <w:t>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58844D"/>
        </w:rPr>
        <w:t>Nominees for Director</w:t>
      </w:r>
    </w:p>
    <w:p>
      <w:pPr>
        <w:spacing w:after="0" w:line="189" w:lineRule="exact"/>
        <w:rPr>
          <w:sz w:val="20"/>
          <w:szCs w:val="20"/>
          <w:color w:val="auto"/>
        </w:rPr>
      </w:pPr>
    </w:p>
    <w:p>
      <w:pPr>
        <w:ind w:right="340"/>
        <w:spacing w:after="0" w:line="245" w:lineRule="auto"/>
        <w:rPr>
          <w:sz w:val="20"/>
          <w:szCs w:val="20"/>
          <w:color w:val="auto"/>
        </w:rPr>
      </w:pPr>
      <w:r>
        <w:rPr>
          <w:rFonts w:ascii="Arial" w:cs="Arial" w:eastAsia="Arial" w:hAnsi="Arial"/>
          <w:sz w:val="15"/>
          <w:szCs w:val="15"/>
          <w:color w:val="auto"/>
        </w:rPr>
        <w:t>The following directors are being nominated for a one-year term, and will be elected annually. Each director will hold office until his or her successor has been elected and qualified or until the director's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68210" cy="455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4559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E"/>
        </w:rPr>
        <w:t>MAURICIO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977265" cy="1368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265" cy="13684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40" w:right="60"/>
        <w:spacing w:after="0" w:line="258" w:lineRule="auto"/>
        <w:rPr>
          <w:sz w:val="20"/>
          <w:szCs w:val="20"/>
          <w:color w:val="auto"/>
        </w:rPr>
      </w:pPr>
      <w:r>
        <w:rPr>
          <w:rFonts w:ascii="Arial" w:cs="Arial" w:eastAsia="Arial" w:hAnsi="Arial"/>
          <w:sz w:val="14"/>
          <w:szCs w:val="14"/>
          <w:color w:val="auto"/>
        </w:rPr>
        <w:t>Mr. Gutierrez has served as Chairman of the Board since May 2016, and a director since our formation in December 2012. Mr. Gutierrez was our Interim President and Chief Executive Officer from December 2015 to May 2016 and our Executive Vice President and Chief Operating Officer from December 2012 to December 2015. Mr. Gutierrez has also served as President and Chief Executive Officer of NRG since December 2015. Prior to December 2015, Mr. Gutierrez was the Executive Vice President and Chief Operating Officer of NRG from July 2010 to December 2015. Mr. Gutierrez has been with NRG since August 2004 and served in multiple executive positions within NRG including Executive Vice President—Commercial Operations of NRG from January 2009 to July 2010 and Senior Vice President—Commercial Operations of NRG from March 2008 to January 2009. Prior to joining NRG in August 2004, Mr. Gutierrez held various commercial positions within Dynegy, Inc. Mr. Gutierrez's knowledge of the Company's assets, operations and businesses bring important experience and skills to our Board. His extensive energy industry and leadership experience enables Mr. Gutierrez to provide essential guidance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1179830" cy="658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79830"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58844D"/>
        </w:rPr>
        <w:t xml:space="preserve">AGE: </w:t>
      </w:r>
      <w:r>
        <w:rPr>
          <w:rFonts w:ascii="Arial" w:cs="Arial" w:eastAsia="Arial" w:hAnsi="Arial"/>
          <w:sz w:val="12"/>
          <w:szCs w:val="12"/>
          <w:color w:val="58844D"/>
        </w:rPr>
        <w:t>47</w:t>
      </w:r>
    </w:p>
    <w:p>
      <w:pPr>
        <w:spacing w:after="0" w:line="6" w:lineRule="exact"/>
        <w:rPr>
          <w:sz w:val="20"/>
          <w:szCs w:val="20"/>
          <w:color w:val="auto"/>
        </w:rPr>
      </w:pPr>
    </w:p>
    <w:p>
      <w:pPr>
        <w:ind w:left="180" w:hanging="82"/>
        <w:spacing w:after="0"/>
        <w:tabs>
          <w:tab w:leader="none" w:pos="180" w:val="left"/>
        </w:tabs>
        <w:numPr>
          <w:ilvl w:val="0"/>
          <w:numId w:val="18"/>
        </w:numPr>
        <w:rPr>
          <w:rFonts w:ascii="Arial" w:cs="Arial" w:eastAsia="Arial" w:hAnsi="Arial"/>
          <w:sz w:val="15"/>
          <w:szCs w:val="15"/>
          <w:color w:val="58844D"/>
        </w:rPr>
      </w:pPr>
      <w:r>
        <w:rPr>
          <w:rFonts w:ascii="Arial" w:cs="Arial" w:eastAsia="Arial" w:hAnsi="Arial"/>
          <w:sz w:val="24"/>
          <w:szCs w:val="24"/>
          <w:color w:val="58844D"/>
          <w:vertAlign w:val="superscript"/>
        </w:rPr>
        <w:t>CHAIRMAN</w:t>
      </w:r>
      <w:r>
        <w:rPr>
          <w:rFonts w:ascii="Arial" w:cs="Arial" w:eastAsia="Arial" w:hAnsi="Arial"/>
          <w:sz w:val="24"/>
          <w:szCs w:val="24"/>
          <w:color w:val="58844D"/>
          <w:vertAlign w:val="subscript"/>
        </w:rPr>
        <w:t>BOARD</w:t>
      </w:r>
      <w:r>
        <w:rPr>
          <w:rFonts w:ascii="Arial" w:cs="Arial" w:eastAsia="Arial" w:hAnsi="Arial"/>
          <w:sz w:val="24"/>
          <w:szCs w:val="24"/>
          <w:color w:val="58844D"/>
        </w:rPr>
        <w:t xml:space="preserve"> </w:t>
      </w:r>
      <w:r>
        <w:rPr>
          <w:rFonts w:ascii="Arial" w:cs="Arial" w:eastAsia="Arial" w:hAnsi="Arial"/>
          <w:sz w:val="24"/>
          <w:szCs w:val="24"/>
          <w:color w:val="58844D"/>
          <w:vertAlign w:val="superscript"/>
        </w:rPr>
        <w:t>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524510</wp:posOffset>
            </wp:positionV>
            <wp:extent cx="7268210" cy="455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210" cy="45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E"/>
        </w:rPr>
        <w:t>JOHN F. CHLEBOWSKI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977265" cy="13684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265" cy="13684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40" w:right="40"/>
        <w:spacing w:after="0" w:line="238" w:lineRule="auto"/>
        <w:rPr>
          <w:sz w:val="20"/>
          <w:szCs w:val="20"/>
          <w:color w:val="auto"/>
        </w:rPr>
      </w:pPr>
      <w:r>
        <w:rPr>
          <w:rFonts w:ascii="Arial" w:cs="Arial" w:eastAsia="Arial" w:hAnsi="Arial"/>
          <w:sz w:val="15"/>
          <w:szCs w:val="15"/>
          <w:color w:val="auto"/>
        </w:rPr>
        <w:t>Mr. Chlebowski is our Lead Independent Director and has been a director since July 2013. Mr. Chlebowski served as our Interim Chairman of the Board from December 2015 to May 2016. Mr. Chlebowski had been a director of NRG from December 2003 to July 2013. Mr. Chlebowski served as the President and Chief Executive Officer of Lakeshore Operating Partners, LLC, a bulk liquid distribution firm, from March 2000 until his retirement in December 2004. From July 1999 until March 2000, Mr. Chlebowski was a senior executive and cofounder of Lakeshore Liquids Operating Partners, LLC, a private venture firm in the bulk liquid distribution and logistics business, and from January 1998 until July 1999, he was a private investor and consultant in bulk liquid distribution. From 1994 until 1997, he was the President and Chief Executive Officer of GATX Terminals Corporation, a subsidiary of GATX Corporation. Prior to that, he served as Vice President of Finance and Chief Financial Officer of GATX Corporation from 1986 to 1994. Mr. Chlebowski served as a director of First Midwest Bancorp Inc. from June 2007 until May 2017. Mr. Chlebowski also served as the Non-Executive Chairman of SemGroup Corporation from December 2009 until January 2017. Mr. Chlebowski also served as a director of Laidlaw International, Inc. from June 2003 until October 2007, SpectraSite, Inc. from June 2004 until August 2005, and Phosphate Resource Partners Limited Partnership from June 2004 until August 2005. Mr. Chlebowski's extensive leadership and financial expertise, as a result of his position as a former chief executive officer and his service on several boards of companies involved in the restructuring or recovery of their core business, enable him to contribute to the board of directors' significant managerial, strategic, and financial oversight skills. Furthermore, Mr. Chlebowski's service on other public company boards, notably as a non-executive Chairman, provides valuable insight into the application of various governance principles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179830" cy="1592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79830" cy="1592580"/>
                    </a:xfrm>
                    <a:prstGeom prst="rect">
                      <a:avLst/>
                    </a:prstGeom>
                    <a:noFill/>
                  </pic:spPr>
                </pic:pic>
              </a:graphicData>
            </a:graphic>
          </wp:anchor>
        </w:drawing>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58844D"/>
        </w:rPr>
        <w:t xml:space="preserve">AGE: </w:t>
      </w:r>
      <w:r>
        <w:rPr>
          <w:rFonts w:ascii="Arial" w:cs="Arial" w:eastAsia="Arial" w:hAnsi="Arial"/>
          <w:sz w:val="12"/>
          <w:szCs w:val="12"/>
          <w:color w:val="58844D"/>
        </w:rPr>
        <w:t>72</w:t>
      </w:r>
    </w:p>
    <w:p>
      <w:pPr>
        <w:spacing w:after="0" w:line="6" w:lineRule="exact"/>
        <w:rPr>
          <w:sz w:val="20"/>
          <w:szCs w:val="20"/>
          <w:color w:val="auto"/>
        </w:rPr>
      </w:pPr>
    </w:p>
    <w:p>
      <w:pPr>
        <w:ind w:left="180" w:right="10020" w:hanging="82"/>
        <w:spacing w:after="0" w:line="184" w:lineRule="auto"/>
        <w:tabs>
          <w:tab w:leader="none" w:pos="180" w:val="left"/>
        </w:tabs>
        <w:numPr>
          <w:ilvl w:val="0"/>
          <w:numId w:val="19"/>
        </w:numPr>
        <w:rPr>
          <w:rFonts w:ascii="Arial" w:cs="Arial" w:eastAsia="Arial" w:hAnsi="Arial"/>
          <w:sz w:val="22"/>
          <w:szCs w:val="22"/>
          <w:color w:val="58844D"/>
          <w:vertAlign w:val="subscript"/>
        </w:rPr>
      </w:pPr>
      <w:r>
        <w:rPr>
          <w:rFonts w:ascii="Arial" w:cs="Arial" w:eastAsia="Arial" w:hAnsi="Arial"/>
          <w:sz w:val="10"/>
          <w:szCs w:val="10"/>
          <w:color w:val="58844D"/>
        </w:rPr>
        <w:t>LEAD INDEPENDENT DIRECTOR</w:t>
      </w:r>
    </w:p>
    <w:p>
      <w:pPr>
        <w:spacing w:after="0" w:line="162" w:lineRule="exact"/>
        <w:rPr>
          <w:rFonts w:ascii="Arial" w:cs="Arial" w:eastAsia="Arial" w:hAnsi="Arial"/>
          <w:sz w:val="22"/>
          <w:szCs w:val="22"/>
          <w:color w:val="58844D"/>
          <w:vertAlign w:val="subscript"/>
        </w:rPr>
      </w:pPr>
    </w:p>
    <w:p>
      <w:pPr>
        <w:ind w:left="180" w:right="10020" w:hanging="82"/>
        <w:spacing w:after="0" w:line="184" w:lineRule="auto"/>
        <w:tabs>
          <w:tab w:leader="none" w:pos="180" w:val="left"/>
        </w:tabs>
        <w:numPr>
          <w:ilvl w:val="0"/>
          <w:numId w:val="19"/>
        </w:numPr>
        <w:rPr>
          <w:rFonts w:ascii="Arial" w:cs="Arial" w:eastAsia="Arial" w:hAnsi="Arial"/>
          <w:sz w:val="22"/>
          <w:szCs w:val="22"/>
          <w:color w:val="58844D"/>
          <w:vertAlign w:val="subscript"/>
        </w:rPr>
      </w:pPr>
      <w:r>
        <w:rPr>
          <w:rFonts w:ascii="Arial" w:cs="Arial" w:eastAsia="Arial" w:hAnsi="Arial"/>
          <w:sz w:val="10"/>
          <w:szCs w:val="10"/>
          <w:color w:val="58844D"/>
        </w:rPr>
        <w:t>COMPENSATION COMMITTEE (CHAIR)</w:t>
      </w:r>
    </w:p>
    <w:p>
      <w:pPr>
        <w:spacing w:after="0" w:line="134" w:lineRule="exact"/>
        <w:rPr>
          <w:rFonts w:ascii="Arial" w:cs="Arial" w:eastAsia="Arial" w:hAnsi="Arial"/>
          <w:sz w:val="22"/>
          <w:szCs w:val="22"/>
          <w:color w:val="58844D"/>
          <w:vertAlign w:val="subscript"/>
        </w:rPr>
      </w:pPr>
    </w:p>
    <w:p>
      <w:pPr>
        <w:ind w:left="180" w:right="9720" w:hanging="82"/>
        <w:spacing w:after="0" w:line="297" w:lineRule="auto"/>
        <w:tabs>
          <w:tab w:leader="none" w:pos="180" w:val="left"/>
        </w:tabs>
        <w:numPr>
          <w:ilvl w:val="0"/>
          <w:numId w:val="19"/>
        </w:numPr>
        <w:rPr>
          <w:rFonts w:ascii="Arial" w:cs="Arial" w:eastAsia="Arial" w:hAnsi="Arial"/>
          <w:sz w:val="11"/>
          <w:szCs w:val="11"/>
          <w:color w:val="58844D"/>
        </w:rPr>
      </w:pPr>
      <w:r>
        <w:rPr>
          <w:rFonts w:ascii="Arial" w:cs="Arial" w:eastAsia="Arial" w:hAnsi="Arial"/>
          <w:sz w:val="16"/>
          <w:szCs w:val="16"/>
          <w:color w:val="58844D"/>
          <w:vertAlign w:val="superscript"/>
        </w:rPr>
        <w:t>CORPORATE</w:t>
      </w:r>
      <w:r>
        <w:rPr>
          <w:rFonts w:ascii="Arial" w:cs="Arial" w:eastAsia="Arial" w:hAnsi="Arial"/>
          <w:sz w:val="16"/>
          <w:szCs w:val="16"/>
          <w:color w:val="58844D"/>
          <w:vertAlign w:val="subscript"/>
        </w:rPr>
        <w:t>GOVERNANCE,</w:t>
      </w:r>
      <w:r>
        <w:rPr>
          <w:rFonts w:ascii="Arial" w:cs="Arial" w:eastAsia="Arial" w:hAnsi="Arial"/>
          <w:sz w:val="16"/>
          <w:szCs w:val="16"/>
          <w:color w:val="58844D"/>
        </w:rPr>
        <w:t xml:space="preserve"> </w:t>
      </w:r>
      <w:r>
        <w:rPr>
          <w:rFonts w:ascii="Arial" w:cs="Arial" w:eastAsia="Arial" w:hAnsi="Arial"/>
          <w:sz w:val="9"/>
          <w:szCs w:val="9"/>
          <w:color w:val="58844D"/>
        </w:rPr>
        <w:t>CONFLICTS AND NOMINATING COMMITTEE</w:t>
      </w:r>
    </w:p>
    <w:p>
      <w:pPr>
        <w:spacing w:after="0" w:line="1" w:lineRule="exact"/>
        <w:rPr>
          <w:rFonts w:ascii="Arial" w:cs="Arial" w:eastAsia="Arial" w:hAnsi="Arial"/>
          <w:sz w:val="11"/>
          <w:szCs w:val="11"/>
          <w:color w:val="58844D"/>
        </w:rPr>
      </w:pPr>
    </w:p>
    <w:p>
      <w:pPr>
        <w:ind w:left="180" w:hanging="82"/>
        <w:spacing w:after="0" w:line="214" w:lineRule="auto"/>
        <w:tabs>
          <w:tab w:leader="none" w:pos="180" w:val="left"/>
        </w:tabs>
        <w:numPr>
          <w:ilvl w:val="0"/>
          <w:numId w:val="19"/>
        </w:numPr>
        <w:rPr>
          <w:rFonts w:ascii="Arial" w:cs="Arial" w:eastAsia="Arial" w:hAnsi="Arial"/>
          <w:sz w:val="30"/>
          <w:szCs w:val="30"/>
          <w:color w:val="58844D"/>
          <w:vertAlign w:val="subscript"/>
        </w:rPr>
      </w:pPr>
      <w:r>
        <w:rPr>
          <w:rFonts w:ascii="Arial" w:cs="Arial" w:eastAsia="Arial" w:hAnsi="Arial"/>
          <w:sz w:val="12"/>
          <w:szCs w:val="12"/>
          <w:color w:val="58844D"/>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234950</wp:posOffset>
            </wp:positionV>
            <wp:extent cx="727329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PROPOSAL NO. 1 ELECTION OF DIRECTORS </w:t>
      </w:r>
      <w:r>
        <w:rPr>
          <w:rFonts w:ascii="Arial" w:cs="Arial" w:eastAsia="Arial" w:hAnsi="Arial"/>
          <w:sz w:val="12"/>
          <w:szCs w:val="12"/>
          <w:b w:val="1"/>
          <w:bCs w:val="1"/>
          <w:color w:val="58844D"/>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68210" cy="455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210" cy="45593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E"/>
        </w:rPr>
        <w:t>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977265" cy="1368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265" cy="13684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40" w:right="140"/>
        <w:spacing w:after="0" w:line="239" w:lineRule="auto"/>
        <w:rPr>
          <w:sz w:val="20"/>
          <w:szCs w:val="20"/>
          <w:color w:val="auto"/>
        </w:rPr>
      </w:pPr>
      <w:r>
        <w:rPr>
          <w:rFonts w:ascii="Arial" w:cs="Arial" w:eastAsia="Arial" w:hAnsi="Arial"/>
          <w:sz w:val="15"/>
          <w:szCs w:val="15"/>
          <w:color w:val="auto"/>
        </w:rPr>
        <w:t>Mr. Andrews has served as a director since our formation in December 2012. Mr. Andrews served as our Executive Vice President and Chief Financial Officer from December 2012 to November 2016. Mr. Andrews has served as Executive Vice President and Chief Financial Officer of NRG since September 2011. Prior to joining NRG, he served as Managing Director and Co-Head Investment Banking, Power and Utilities— Americas at Deutsche Bank Securities from June 2009 to September 2011. Prior to this, he served in several capacities at Citigroup Global Markets Inc., including Managing Director, Group Head, North American Power from November 2007 to June 2009, and Head of Power M&amp;A, Mergers and Acquisitions from July 2005 to November 2007. In his banking career, Mr. Andrews led multiple large and innovative strategic, debt, equity and commodities transactions. Mr. Andrews' extensive investment banking experience, specifically in the energy industry and financial structuring, brings important experience and skills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1179830" cy="572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79830"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58844D"/>
        </w:rPr>
        <w:t xml:space="preserve">AGE: </w:t>
      </w:r>
      <w:r>
        <w:rPr>
          <w:rFonts w:ascii="Arial" w:cs="Arial" w:eastAsia="Arial" w:hAnsi="Arial"/>
          <w:sz w:val="12"/>
          <w:szCs w:val="12"/>
          <w:color w:val="58844D"/>
        </w:rPr>
        <w:t>50</w:t>
      </w:r>
    </w:p>
    <w:p>
      <w:pPr>
        <w:ind w:left="180" w:hanging="82"/>
        <w:spacing w:after="0" w:line="187" w:lineRule="auto"/>
        <w:tabs>
          <w:tab w:leader="none" w:pos="180" w:val="left"/>
        </w:tabs>
        <w:numPr>
          <w:ilvl w:val="0"/>
          <w:numId w:val="20"/>
        </w:numPr>
        <w:rPr>
          <w:rFonts w:ascii="Arial" w:cs="Arial" w:eastAsia="Arial" w:hAnsi="Arial"/>
          <w:sz w:val="17"/>
          <w:szCs w:val="17"/>
          <w:color w:val="58844D"/>
          <w:vertAlign w:val="subscript"/>
        </w:rPr>
      </w:pPr>
      <w:r>
        <w:rPr>
          <w:rFonts w:ascii="Arial" w:cs="Arial" w:eastAsia="Arial" w:hAnsi="Arial"/>
          <w:sz w:val="9"/>
          <w:szCs w:val="9"/>
          <w:color w:val="58844D"/>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68210" cy="455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45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E"/>
        </w:rPr>
        <w:t>JOHN CHILLEMI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977265" cy="13684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77265" cy="13684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40" w:right="20"/>
        <w:spacing w:after="0" w:line="254" w:lineRule="auto"/>
        <w:rPr>
          <w:sz w:val="20"/>
          <w:szCs w:val="20"/>
          <w:color w:val="auto"/>
        </w:rPr>
      </w:pPr>
      <w:r>
        <w:rPr>
          <w:rFonts w:ascii="Arial" w:cs="Arial" w:eastAsia="Arial" w:hAnsi="Arial"/>
          <w:sz w:val="14"/>
          <w:szCs w:val="14"/>
          <w:color w:val="auto"/>
        </w:rPr>
        <w:t>Mr. Chillemi has served as a director since May 2016. Mr. Chillemi has also served as Executive Vice President, National Business Development of NRG since December 2015. In this role, Mr. Chillemi is responsible for all wholesale generation development activities for NRG across the nation. Prior to December 2015, Mr. Chillemi was Senior Vice President and Regional President, West since NRG's acquisition of GenOn Energy, Inc. (GenOn) in December 2012. Mr. Chillemi served as the Regional President in California and the West for GenOn from December 2010 to December 2012, and as President and Vice President of the West at Mirant Corporation from 2007 December 2010.</w:t>
      </w:r>
    </w:p>
    <w:p>
      <w:pPr>
        <w:spacing w:after="0" w:line="3" w:lineRule="exact"/>
        <w:rPr>
          <w:sz w:val="20"/>
          <w:szCs w:val="20"/>
          <w:color w:val="auto"/>
        </w:rPr>
      </w:pPr>
    </w:p>
    <w:p>
      <w:pPr>
        <w:ind w:left="2040" w:right="320"/>
        <w:spacing w:after="0" w:line="245" w:lineRule="auto"/>
        <w:rPr>
          <w:sz w:val="20"/>
          <w:szCs w:val="20"/>
          <w:color w:val="auto"/>
        </w:rPr>
      </w:pPr>
      <w:r>
        <w:rPr>
          <w:rFonts w:ascii="Arial" w:cs="Arial" w:eastAsia="Arial" w:hAnsi="Arial"/>
          <w:sz w:val="15"/>
          <w:szCs w:val="15"/>
          <w:color w:val="auto"/>
        </w:rPr>
        <w:t>Mr. Chillemi has 30 years of power industry experience, beginning with Georgia Power in 1986. Mr. Chillemi's knowledge of the Company's assets, operations and businesses bring important experience and skills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1179830" cy="5721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79830"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58844D"/>
        </w:rPr>
        <w:t xml:space="preserve">AGE: </w:t>
      </w:r>
      <w:r>
        <w:rPr>
          <w:rFonts w:ascii="Arial" w:cs="Arial" w:eastAsia="Arial" w:hAnsi="Arial"/>
          <w:sz w:val="12"/>
          <w:szCs w:val="12"/>
          <w:color w:val="58844D"/>
        </w:rPr>
        <w:t>49</w:t>
      </w:r>
    </w:p>
    <w:p>
      <w:pPr>
        <w:ind w:left="180" w:hanging="82"/>
        <w:spacing w:after="0" w:line="187" w:lineRule="auto"/>
        <w:tabs>
          <w:tab w:leader="none" w:pos="180" w:val="left"/>
        </w:tabs>
        <w:numPr>
          <w:ilvl w:val="0"/>
          <w:numId w:val="21"/>
        </w:numPr>
        <w:rPr>
          <w:rFonts w:ascii="Arial" w:cs="Arial" w:eastAsia="Arial" w:hAnsi="Arial"/>
          <w:sz w:val="17"/>
          <w:szCs w:val="17"/>
          <w:color w:val="58844D"/>
          <w:vertAlign w:val="subscript"/>
        </w:rPr>
      </w:pPr>
      <w:r>
        <w:rPr>
          <w:rFonts w:ascii="Arial" w:cs="Arial" w:eastAsia="Arial" w:hAnsi="Arial"/>
          <w:sz w:val="9"/>
          <w:szCs w:val="9"/>
          <w:color w:val="58844D"/>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234950</wp:posOffset>
            </wp:positionV>
            <wp:extent cx="727329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PROPOSAL NO. 1 ELECTION OF DIRECTORS </w:t>
      </w:r>
      <w:r>
        <w:rPr>
          <w:rFonts w:ascii="Arial" w:cs="Arial" w:eastAsia="Arial" w:hAnsi="Arial"/>
          <w:sz w:val="12"/>
          <w:szCs w:val="12"/>
          <w:b w:val="1"/>
          <w:bCs w:val="1"/>
          <w:color w:val="58844D"/>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68210" cy="455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210" cy="45593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E"/>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977265" cy="13684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265" cy="13684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40" w:right="40"/>
        <w:spacing w:after="0" w:line="239" w:lineRule="auto"/>
        <w:rPr>
          <w:sz w:val="20"/>
          <w:szCs w:val="20"/>
          <w:color w:val="auto"/>
        </w:rPr>
      </w:pPr>
      <w:r>
        <w:rPr>
          <w:rFonts w:ascii="Arial" w:cs="Arial" w:eastAsia="Arial" w:hAnsi="Arial"/>
          <w:sz w:val="15"/>
          <w:szCs w:val="15"/>
          <w:color w:val="auto"/>
        </w:rPr>
        <w:t>Mr. Ford has served as a director since July 2013. Mr. Ford was the Chief Executive Officer of Washington Philadelphia Partners, LP, a real estate investment company, from 2008 through 2010. He retired as a partner from Ernst &amp; Young LLP in June 2008 where he had been employed since 1971. Mr. Ford currently serves on the board of various public companies: GulfMark Offshore, Inc., a global provider of marine transportation, since 2009, where he also serves as the chairman of the audit committee and as a member of the governance nominating committee; AmeriGas Propane, Inc., a propane company, since 2013, where he also serves as a member of its audit committee and corporate governance committee; FS Investment Corporation III, a specialty finance company that invests primarily in the debt securities of private U.S. middle-market companies, since 2013, where he also serves as the chairman of the audit committee. He also serves on the board of Drexel University. Mr. Ford received his B.S. in Economics from Rutgers University. Mr. Ford's extensive experience in accounting and public company matters provides strong financial, audit and accounting skills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1179830" cy="1397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7983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58844D"/>
        </w:rPr>
        <w:t xml:space="preserve">AGE: </w:t>
      </w:r>
      <w:r>
        <w:rPr>
          <w:rFonts w:ascii="Arial" w:cs="Arial" w:eastAsia="Arial" w:hAnsi="Arial"/>
          <w:sz w:val="12"/>
          <w:szCs w:val="12"/>
          <w:color w:val="58844D"/>
        </w:rPr>
        <w:t>69</w:t>
      </w:r>
    </w:p>
    <w:p>
      <w:pPr>
        <w:spacing w:after="0" w:line="6" w:lineRule="exact"/>
        <w:rPr>
          <w:sz w:val="20"/>
          <w:szCs w:val="20"/>
          <w:color w:val="auto"/>
        </w:rPr>
      </w:pPr>
    </w:p>
    <w:p>
      <w:pPr>
        <w:ind w:left="180" w:right="10120" w:hanging="82"/>
        <w:spacing w:after="0" w:line="184" w:lineRule="auto"/>
        <w:tabs>
          <w:tab w:leader="none" w:pos="180" w:val="left"/>
        </w:tabs>
        <w:numPr>
          <w:ilvl w:val="0"/>
          <w:numId w:val="22"/>
        </w:numPr>
        <w:rPr>
          <w:rFonts w:ascii="Arial" w:cs="Arial" w:eastAsia="Arial" w:hAnsi="Arial"/>
          <w:sz w:val="22"/>
          <w:szCs w:val="22"/>
          <w:color w:val="58844D"/>
          <w:vertAlign w:val="subscript"/>
        </w:rPr>
      </w:pPr>
      <w:r>
        <w:rPr>
          <w:rFonts w:ascii="Arial" w:cs="Arial" w:eastAsia="Arial" w:hAnsi="Arial"/>
          <w:sz w:val="10"/>
          <w:szCs w:val="10"/>
          <w:color w:val="58844D"/>
        </w:rPr>
        <w:t>AUDIT COMMITTEE (CHAIR)</w:t>
      </w:r>
    </w:p>
    <w:p>
      <w:pPr>
        <w:spacing w:after="0" w:line="134" w:lineRule="exact"/>
        <w:rPr>
          <w:rFonts w:ascii="Arial" w:cs="Arial" w:eastAsia="Arial" w:hAnsi="Arial"/>
          <w:sz w:val="22"/>
          <w:szCs w:val="22"/>
          <w:color w:val="58844D"/>
          <w:vertAlign w:val="subscript"/>
        </w:rPr>
      </w:pPr>
    </w:p>
    <w:p>
      <w:pPr>
        <w:ind w:left="180" w:hanging="82"/>
        <w:spacing w:after="0"/>
        <w:tabs>
          <w:tab w:leader="none" w:pos="180" w:val="left"/>
        </w:tabs>
        <w:numPr>
          <w:ilvl w:val="0"/>
          <w:numId w:val="22"/>
        </w:numPr>
        <w:rPr>
          <w:rFonts w:ascii="Arial" w:cs="Arial" w:eastAsia="Arial" w:hAnsi="Arial"/>
          <w:sz w:val="15"/>
          <w:szCs w:val="15"/>
          <w:color w:val="58844D"/>
        </w:rPr>
      </w:pPr>
      <w:r>
        <w:rPr>
          <w:rFonts w:ascii="Arial" w:cs="Arial" w:eastAsia="Arial" w:hAnsi="Arial"/>
          <w:sz w:val="24"/>
          <w:szCs w:val="24"/>
          <w:color w:val="58844D"/>
          <w:vertAlign w:val="superscript"/>
        </w:rPr>
        <w:t>COMPENSATION</w:t>
      </w:r>
      <w:r>
        <w:rPr>
          <w:rFonts w:ascii="Arial" w:cs="Arial" w:eastAsia="Arial" w:hAnsi="Arial"/>
          <w:sz w:val="24"/>
          <w:szCs w:val="24"/>
          <w:color w:val="58844D"/>
          <w:vertAlign w:val="subscript"/>
        </w:rPr>
        <w:t>COMMITTEE</w:t>
      </w:r>
    </w:p>
    <w:p>
      <w:pPr>
        <w:spacing w:after="0" w:line="168" w:lineRule="exact"/>
        <w:rPr>
          <w:rFonts w:ascii="Arial" w:cs="Arial" w:eastAsia="Arial" w:hAnsi="Arial"/>
          <w:sz w:val="15"/>
          <w:szCs w:val="15"/>
          <w:color w:val="58844D"/>
        </w:rPr>
      </w:pPr>
    </w:p>
    <w:p>
      <w:pPr>
        <w:ind w:left="180" w:right="9720" w:hanging="82"/>
        <w:spacing w:after="0" w:line="334" w:lineRule="auto"/>
        <w:tabs>
          <w:tab w:leader="none" w:pos="180" w:val="left"/>
        </w:tabs>
        <w:numPr>
          <w:ilvl w:val="0"/>
          <w:numId w:val="22"/>
        </w:numPr>
        <w:rPr>
          <w:rFonts w:ascii="Arial" w:cs="Arial" w:eastAsia="Arial" w:hAnsi="Arial"/>
          <w:sz w:val="11"/>
          <w:szCs w:val="11"/>
          <w:color w:val="58844D"/>
        </w:rPr>
      </w:pPr>
      <w:r>
        <w:rPr>
          <w:rFonts w:ascii="Arial" w:cs="Arial" w:eastAsia="Arial" w:hAnsi="Arial"/>
          <w:sz w:val="16"/>
          <w:szCs w:val="16"/>
          <w:color w:val="58844D"/>
          <w:vertAlign w:val="superscript"/>
        </w:rPr>
        <w:t>CORPORATE</w:t>
      </w:r>
      <w:r>
        <w:rPr>
          <w:rFonts w:ascii="Arial" w:cs="Arial" w:eastAsia="Arial" w:hAnsi="Arial"/>
          <w:sz w:val="16"/>
          <w:szCs w:val="16"/>
          <w:color w:val="58844D"/>
          <w:vertAlign w:val="subscript"/>
        </w:rPr>
        <w:t>GOVERNANCE,</w:t>
      </w:r>
      <w:r>
        <w:rPr>
          <w:rFonts w:ascii="Arial" w:cs="Arial" w:eastAsia="Arial" w:hAnsi="Arial"/>
          <w:sz w:val="16"/>
          <w:szCs w:val="16"/>
          <w:color w:val="58844D"/>
        </w:rPr>
        <w:t xml:space="preserve"> </w:t>
      </w:r>
      <w:r>
        <w:rPr>
          <w:rFonts w:ascii="Arial" w:cs="Arial" w:eastAsia="Arial" w:hAnsi="Arial"/>
          <w:sz w:val="9"/>
          <w:szCs w:val="9"/>
          <w:color w:val="58844D"/>
        </w:rPr>
        <w:t>CONFLICTS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68210" cy="4559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210" cy="45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E"/>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977265" cy="13684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7265" cy="13684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40" w:right="20"/>
        <w:spacing w:after="0" w:line="254" w:lineRule="auto"/>
        <w:rPr>
          <w:sz w:val="20"/>
          <w:szCs w:val="20"/>
          <w:color w:val="auto"/>
        </w:rPr>
      </w:pPr>
      <w:r>
        <w:rPr>
          <w:rFonts w:ascii="Arial" w:cs="Arial" w:eastAsia="Arial" w:hAnsi="Arial"/>
          <w:sz w:val="14"/>
          <w:szCs w:val="14"/>
          <w:color w:val="auto"/>
        </w:rPr>
        <w:t>Ms. McClean has served as a director since July 2013. Ms. McClean was a Managing Director and the Senior Advisor to the head of the 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w:t>
      </w:r>
    </w:p>
    <w:p>
      <w:pPr>
        <w:spacing w:after="0" w:line="3" w:lineRule="exact"/>
        <w:rPr>
          <w:sz w:val="20"/>
          <w:szCs w:val="20"/>
          <w:color w:val="auto"/>
        </w:rPr>
      </w:pPr>
    </w:p>
    <w:p>
      <w:pPr>
        <w:ind w:left="2040" w:right="60"/>
        <w:spacing w:after="0" w:line="245" w:lineRule="auto"/>
        <w:rPr>
          <w:sz w:val="20"/>
          <w:szCs w:val="20"/>
          <w:color w:val="auto"/>
        </w:rPr>
      </w:pPr>
      <w:r>
        <w:rPr>
          <w:rFonts w:ascii="Arial" w:cs="Arial" w:eastAsia="Arial" w:hAnsi="Arial"/>
          <w:sz w:val="15"/>
          <w:szCs w:val="15"/>
          <w:color w:val="auto"/>
        </w:rPr>
        <w:t>Ms. McClean's experience in investment banking for industrial companies as well as her experience and understanding of financial accounting, finance and disclosure matters enables her to provide essential guidance to our Board and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1179830" cy="1397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7983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58844D"/>
        </w:rPr>
        <w:t xml:space="preserve">AGE: </w:t>
      </w:r>
      <w:r>
        <w:rPr>
          <w:rFonts w:ascii="Arial" w:cs="Arial" w:eastAsia="Arial" w:hAnsi="Arial"/>
          <w:sz w:val="12"/>
          <w:szCs w:val="12"/>
          <w:color w:val="58844D"/>
        </w:rPr>
        <w:t>71</w:t>
      </w:r>
    </w:p>
    <w:p>
      <w:pPr>
        <w:spacing w:after="0" w:line="6" w:lineRule="exact"/>
        <w:rPr>
          <w:sz w:val="20"/>
          <w:szCs w:val="20"/>
          <w:color w:val="auto"/>
        </w:rPr>
      </w:pPr>
    </w:p>
    <w:p>
      <w:pPr>
        <w:ind w:left="180" w:right="10020" w:hanging="82"/>
        <w:spacing w:after="0" w:line="368" w:lineRule="auto"/>
        <w:tabs>
          <w:tab w:leader="none" w:pos="180" w:val="left"/>
        </w:tabs>
        <w:numPr>
          <w:ilvl w:val="0"/>
          <w:numId w:val="23"/>
        </w:numPr>
        <w:rPr>
          <w:rFonts w:ascii="Arial" w:cs="Arial" w:eastAsia="Arial" w:hAnsi="Arial"/>
          <w:sz w:val="9"/>
          <w:szCs w:val="9"/>
          <w:color w:val="58844D"/>
        </w:rPr>
      </w:pPr>
      <w:r>
        <w:rPr>
          <w:rFonts w:ascii="Arial" w:cs="Arial" w:eastAsia="Arial" w:hAnsi="Arial"/>
          <w:sz w:val="13"/>
          <w:szCs w:val="13"/>
          <w:color w:val="58844D"/>
          <w:vertAlign w:val="superscript"/>
        </w:rPr>
        <w:t>CORPORATE</w:t>
      </w:r>
      <w:r>
        <w:rPr>
          <w:rFonts w:ascii="Arial" w:cs="Arial" w:eastAsia="Arial" w:hAnsi="Arial"/>
          <w:sz w:val="13"/>
          <w:szCs w:val="13"/>
          <w:color w:val="58844D"/>
          <w:vertAlign w:val="subscript"/>
        </w:rPr>
        <w:t>GOVERNANCE,</w:t>
      </w:r>
      <w:r>
        <w:rPr>
          <w:rFonts w:ascii="Arial" w:cs="Arial" w:eastAsia="Arial" w:hAnsi="Arial"/>
          <w:sz w:val="13"/>
          <w:szCs w:val="13"/>
          <w:color w:val="58844D"/>
        </w:rPr>
        <w:t xml:space="preserve"> </w:t>
      </w:r>
      <w:r>
        <w:rPr>
          <w:rFonts w:ascii="Arial" w:cs="Arial" w:eastAsia="Arial" w:hAnsi="Arial"/>
          <w:sz w:val="8"/>
          <w:szCs w:val="8"/>
          <w:color w:val="58844D"/>
        </w:rPr>
        <w:t>CONFLICTS AND NOMINATING COMMITTEE (CHAIR)</w:t>
      </w:r>
    </w:p>
    <w:p>
      <w:pPr>
        <w:spacing w:after="0" w:line="93" w:lineRule="exact"/>
        <w:rPr>
          <w:rFonts w:ascii="Arial" w:cs="Arial" w:eastAsia="Arial" w:hAnsi="Arial"/>
          <w:sz w:val="9"/>
          <w:szCs w:val="9"/>
          <w:color w:val="58844D"/>
        </w:rPr>
      </w:pPr>
    </w:p>
    <w:p>
      <w:pPr>
        <w:ind w:left="180" w:hanging="82"/>
        <w:spacing w:after="0" w:line="214" w:lineRule="auto"/>
        <w:tabs>
          <w:tab w:leader="none" w:pos="180" w:val="left"/>
        </w:tabs>
        <w:numPr>
          <w:ilvl w:val="0"/>
          <w:numId w:val="23"/>
        </w:numPr>
        <w:rPr>
          <w:rFonts w:ascii="Arial" w:cs="Arial" w:eastAsia="Arial" w:hAnsi="Arial"/>
          <w:sz w:val="30"/>
          <w:szCs w:val="30"/>
          <w:color w:val="58844D"/>
          <w:vertAlign w:val="subscript"/>
        </w:rPr>
      </w:pPr>
      <w:r>
        <w:rPr>
          <w:rFonts w:ascii="Arial" w:cs="Arial" w:eastAsia="Arial" w:hAnsi="Arial"/>
          <w:sz w:val="12"/>
          <w:szCs w:val="12"/>
          <w:color w:val="58844D"/>
        </w:rPr>
        <w:t>AUDIT COMMITTEE</w:t>
      </w:r>
    </w:p>
    <w:p>
      <w:pPr>
        <w:spacing w:after="0" w:line="133" w:lineRule="exact"/>
        <w:rPr>
          <w:rFonts w:ascii="Arial" w:cs="Arial" w:eastAsia="Arial" w:hAnsi="Arial"/>
          <w:sz w:val="30"/>
          <w:szCs w:val="30"/>
          <w:color w:val="58844D"/>
          <w:vertAlign w:val="subscript"/>
        </w:rPr>
      </w:pPr>
    </w:p>
    <w:p>
      <w:pPr>
        <w:ind w:left="180" w:hanging="82"/>
        <w:spacing w:after="0"/>
        <w:tabs>
          <w:tab w:leader="none" w:pos="180" w:val="left"/>
        </w:tabs>
        <w:numPr>
          <w:ilvl w:val="0"/>
          <w:numId w:val="23"/>
        </w:numPr>
        <w:rPr>
          <w:rFonts w:ascii="Arial" w:cs="Arial" w:eastAsia="Arial" w:hAnsi="Arial"/>
          <w:sz w:val="15"/>
          <w:szCs w:val="15"/>
          <w:color w:val="58844D"/>
        </w:rPr>
      </w:pPr>
      <w:r>
        <w:rPr>
          <w:rFonts w:ascii="Arial" w:cs="Arial" w:eastAsia="Arial" w:hAnsi="Arial"/>
          <w:sz w:val="24"/>
          <w:szCs w:val="24"/>
          <w:color w:val="58844D"/>
          <w:vertAlign w:val="superscript"/>
        </w:rPr>
        <w:t>COMPENSATION</w:t>
      </w:r>
      <w:r>
        <w:rPr>
          <w:rFonts w:ascii="Arial" w:cs="Arial" w:eastAsia="Arial" w:hAnsi="Arial"/>
          <w:sz w:val="24"/>
          <w:szCs w:val="24"/>
          <w:color w:val="58844D"/>
          <w:vertAlign w:val="subscript"/>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257175</wp:posOffset>
            </wp:positionV>
            <wp:extent cx="727329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PROPOSAL NO. 1 ELECTION OF DIRECTORS </w:t>
      </w:r>
      <w:r>
        <w:rPr>
          <w:rFonts w:ascii="Arial" w:cs="Arial" w:eastAsia="Arial" w:hAnsi="Arial"/>
          <w:sz w:val="12"/>
          <w:szCs w:val="12"/>
          <w:b w:val="1"/>
          <w:bCs w:val="1"/>
          <w:color w:val="58844D"/>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68210" cy="4559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210" cy="45593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E"/>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977265" cy="13684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77265" cy="13684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40"/>
        <w:spacing w:after="0" w:line="257" w:lineRule="auto"/>
        <w:rPr>
          <w:sz w:val="20"/>
          <w:szCs w:val="20"/>
          <w:color w:val="auto"/>
        </w:rPr>
      </w:pPr>
      <w:r>
        <w:rPr>
          <w:rFonts w:ascii="Arial" w:cs="Arial" w:eastAsia="Arial" w:hAnsi="Arial"/>
          <w:sz w:val="14"/>
          <w:szCs w:val="14"/>
          <w:color w:val="auto"/>
        </w:rPr>
        <w:t>Mr. Sotos has served as President and CEO since May 2016, and as a director since May 2013. Mr. Sotos had also served in various 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joined NRG in 2004 as a Senior Finance Analyst, following more than nine years in key financial roles within the energy sector and other industries for Houston-based companies such as Koch Capital Markets, Entergy Wholesale Operations and Service Corporation International. Mr. Sotos also serves on the board of FuelCell Energy, Inc. As President and Chief Executive Officer of the Company, Mr. Sotos provides our Board with management's perspective regarding the Company's day to day operations and overall strategic plan. Mr. Sotos also brings strong financial and accounting skills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179830" cy="658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79830"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58844D"/>
        </w:rPr>
        <w:t xml:space="preserve">AGE: </w:t>
      </w:r>
      <w:r>
        <w:rPr>
          <w:rFonts w:ascii="Arial" w:cs="Arial" w:eastAsia="Arial" w:hAnsi="Arial"/>
          <w:sz w:val="12"/>
          <w:szCs w:val="12"/>
          <w:color w:val="58844D"/>
        </w:rPr>
        <w:t>46</w:t>
      </w:r>
    </w:p>
    <w:p>
      <w:pPr>
        <w:spacing w:after="0" w:line="6" w:lineRule="exact"/>
        <w:rPr>
          <w:sz w:val="20"/>
          <w:szCs w:val="20"/>
          <w:color w:val="auto"/>
        </w:rPr>
      </w:pPr>
    </w:p>
    <w:p>
      <w:pPr>
        <w:ind w:left="180" w:hanging="82"/>
        <w:spacing w:after="0"/>
        <w:tabs>
          <w:tab w:leader="none" w:pos="180" w:val="left"/>
        </w:tabs>
        <w:numPr>
          <w:ilvl w:val="0"/>
          <w:numId w:val="24"/>
        </w:numPr>
        <w:rPr>
          <w:rFonts w:ascii="Arial" w:cs="Arial" w:eastAsia="Arial" w:hAnsi="Arial"/>
          <w:sz w:val="15"/>
          <w:szCs w:val="15"/>
          <w:color w:val="58844D"/>
        </w:rPr>
      </w:pPr>
      <w:r>
        <w:rPr>
          <w:rFonts w:ascii="Arial" w:cs="Arial" w:eastAsia="Arial" w:hAnsi="Arial"/>
          <w:sz w:val="24"/>
          <w:szCs w:val="24"/>
          <w:color w:val="58844D"/>
          <w:vertAlign w:val="superscript"/>
        </w:rPr>
        <w:t>PRESIDENT,</w:t>
      </w:r>
      <w:r>
        <w:rPr>
          <w:rFonts w:ascii="Arial" w:cs="Arial" w:eastAsia="Arial" w:hAnsi="Arial"/>
          <w:sz w:val="24"/>
          <w:szCs w:val="24"/>
          <w:color w:val="58844D"/>
          <w:vertAlign w:val="subscript"/>
        </w:rPr>
        <w:t>DIRECTOR</w:t>
      </w:r>
      <w:r>
        <w:rPr>
          <w:rFonts w:ascii="Arial" w:cs="Arial" w:eastAsia="Arial" w:hAnsi="Arial"/>
          <w:sz w:val="24"/>
          <w:szCs w:val="24"/>
          <w:color w:val="58844D"/>
        </w:rPr>
        <w:t xml:space="preserve"> </w:t>
      </w:r>
      <w:r>
        <w:rPr>
          <w:rFonts w:ascii="Arial" w:cs="Arial" w:eastAsia="Arial" w:hAnsi="Arial"/>
          <w:sz w:val="24"/>
          <w:szCs w:val="24"/>
          <w:color w:val="58844D"/>
          <w:vertAlign w:val="superscript"/>
        </w:rPr>
        <w:t>CEO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68210" cy="564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210" cy="56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right="260"/>
        <w:spacing w:after="0" w:line="270" w:lineRule="auto"/>
        <w:rPr>
          <w:sz w:val="20"/>
          <w:szCs w:val="20"/>
          <w:color w:val="auto"/>
        </w:rPr>
      </w:pPr>
      <w:r>
        <w:rPr>
          <w:rFonts w:ascii="Arial" w:cs="Arial" w:eastAsia="Arial" w:hAnsi="Arial"/>
          <w:sz w:val="15"/>
          <w:szCs w:val="15"/>
          <w:b w:val="1"/>
          <w:bCs w:val="1"/>
          <w:color w:val="FFFFFE"/>
        </w:rPr>
        <w:t>The Board recommends a vote "FOR" the election to the Board of each of the foregoing nominees. Proxies received by the Board will be voted "FOR" each of the nominees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727329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520"/>
        <w:spacing w:after="0"/>
        <w:rPr>
          <w:sz w:val="20"/>
          <w:szCs w:val="20"/>
          <w:color w:val="auto"/>
        </w:rPr>
      </w:pPr>
      <w:r>
        <w:rPr>
          <w:rFonts w:ascii="Arial" w:cs="Arial" w:eastAsia="Arial" w:hAnsi="Arial"/>
          <w:sz w:val="12"/>
          <w:szCs w:val="12"/>
          <w:color w:val="FFFFFE"/>
        </w:rPr>
        <w:t xml:space="preserve">DIRECTOR COMPENSATION </w:t>
      </w:r>
      <w:r>
        <w:rPr>
          <w:rFonts w:ascii="Arial" w:cs="Arial" w:eastAsia="Arial" w:hAnsi="Arial"/>
          <w:sz w:val="12"/>
          <w:szCs w:val="12"/>
          <w:b w:val="1"/>
          <w:bCs w:val="1"/>
          <w:color w:val="FFFFFE"/>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Director Compensation</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The total annual compensation received by our directors for their service as Board members and chairs of the Committees, if applicable, is described in the chart below:</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480" w:type="dxa"/>
            <w:vAlign w:val="bottom"/>
            <w:shd w:val="clear" w:color="auto" w:fill="58854E"/>
          </w:tcPr>
          <w:p>
            <w:pPr>
              <w:spacing w:after="0"/>
              <w:rPr>
                <w:sz w:val="20"/>
                <w:szCs w:val="20"/>
                <w:color w:val="auto"/>
              </w:rPr>
            </w:pPr>
            <w:r>
              <w:rPr>
                <w:rFonts w:ascii="Arial" w:cs="Arial" w:eastAsia="Arial" w:hAnsi="Arial"/>
                <w:sz w:val="12"/>
                <w:szCs w:val="12"/>
                <w:b w:val="1"/>
                <w:bCs w:val="1"/>
                <w:color w:val="FFFFFE"/>
              </w:rPr>
              <w:t>COMPENSATION ELEMENT</w:t>
            </w:r>
          </w:p>
        </w:tc>
        <w:tc>
          <w:tcPr>
            <w:tcW w:w="180" w:type="dxa"/>
            <w:vAlign w:val="bottom"/>
          </w:tcPr>
          <w:p>
            <w:pPr>
              <w:spacing w:after="0"/>
              <w:rPr>
                <w:sz w:val="12"/>
                <w:szCs w:val="12"/>
                <w:color w:val="auto"/>
              </w:rPr>
            </w:pPr>
          </w:p>
        </w:tc>
        <w:tc>
          <w:tcPr>
            <w:tcW w:w="448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COMPENSATION AMOUNT</w:t>
            </w:r>
          </w:p>
        </w:tc>
      </w:tr>
      <w:tr>
        <w:trPr>
          <w:trHeight w:val="171"/>
        </w:trPr>
        <w:tc>
          <w:tcPr>
            <w:tcW w:w="4480" w:type="dxa"/>
            <w:vAlign w:val="bottom"/>
            <w:tcBorders>
              <w:bottom w:val="single" w:sz="8" w:color="58854E"/>
            </w:tcBorders>
          </w:tcPr>
          <w:p>
            <w:pPr>
              <w:ind w:left="60"/>
              <w:spacing w:after="0" w:line="171" w:lineRule="exact"/>
              <w:rPr>
                <w:sz w:val="20"/>
                <w:szCs w:val="20"/>
                <w:color w:val="auto"/>
              </w:rPr>
            </w:pPr>
            <w:r>
              <w:rPr>
                <w:rFonts w:ascii="Arial" w:cs="Arial" w:eastAsia="Arial" w:hAnsi="Arial"/>
                <w:sz w:val="15"/>
                <w:szCs w:val="15"/>
                <w:color w:val="auto"/>
              </w:rPr>
              <w:t>Annual Retainer</w:t>
            </w:r>
          </w:p>
        </w:tc>
        <w:tc>
          <w:tcPr>
            <w:tcW w:w="4660" w:type="dxa"/>
            <w:vAlign w:val="bottom"/>
            <w:tcBorders>
              <w:bottom w:val="single" w:sz="8" w:color="58854E"/>
            </w:tcBorders>
            <w:gridSpan w:val="2"/>
          </w:tcPr>
          <w:p>
            <w:pPr>
              <w:jc w:val="center"/>
              <w:ind w:left="126"/>
              <w:spacing w:after="0" w:line="171" w:lineRule="exact"/>
              <w:rPr>
                <w:sz w:val="20"/>
                <w:szCs w:val="20"/>
                <w:color w:val="auto"/>
              </w:rPr>
            </w:pPr>
            <w:r>
              <w:rPr>
                <w:rFonts w:ascii="Arial" w:cs="Arial" w:eastAsia="Arial" w:hAnsi="Arial"/>
                <w:sz w:val="15"/>
                <w:szCs w:val="15"/>
                <w:color w:val="auto"/>
                <w:w w:val="99"/>
              </w:rPr>
              <w:t>$160,000</w:t>
            </w:r>
          </w:p>
        </w:tc>
      </w:tr>
      <w:tr>
        <w:trPr>
          <w:trHeight w:val="162"/>
        </w:trPr>
        <w:tc>
          <w:tcPr>
            <w:tcW w:w="4480" w:type="dxa"/>
            <w:vAlign w:val="bottom"/>
            <w:tcBorders>
              <w:bottom w:val="single" w:sz="8" w:color="58854E"/>
            </w:tcBorders>
          </w:tcPr>
          <w:p>
            <w:pPr>
              <w:ind w:left="40"/>
              <w:spacing w:after="0" w:line="162" w:lineRule="exact"/>
              <w:rPr>
                <w:sz w:val="20"/>
                <w:szCs w:val="20"/>
                <w:color w:val="auto"/>
              </w:rPr>
            </w:pPr>
            <w:r>
              <w:rPr>
                <w:rFonts w:ascii="Arial" w:cs="Arial" w:eastAsia="Arial" w:hAnsi="Arial"/>
                <w:sz w:val="15"/>
                <w:szCs w:val="15"/>
                <w:color w:val="auto"/>
              </w:rPr>
              <w:t>Lead Independent Director Retainer</w:t>
            </w:r>
          </w:p>
        </w:tc>
        <w:tc>
          <w:tcPr>
            <w:tcW w:w="4660" w:type="dxa"/>
            <w:vAlign w:val="bottom"/>
            <w:tcBorders>
              <w:bottom w:val="single" w:sz="8" w:color="58854E"/>
            </w:tcBorders>
            <w:gridSpan w:val="2"/>
          </w:tcPr>
          <w:p>
            <w:pPr>
              <w:jc w:val="center"/>
              <w:ind w:left="126"/>
              <w:spacing w:after="0" w:line="162" w:lineRule="exact"/>
              <w:rPr>
                <w:sz w:val="20"/>
                <w:szCs w:val="20"/>
                <w:color w:val="auto"/>
              </w:rPr>
            </w:pPr>
            <w:r>
              <w:rPr>
                <w:rFonts w:ascii="Arial" w:cs="Arial" w:eastAsia="Arial" w:hAnsi="Arial"/>
                <w:sz w:val="15"/>
                <w:szCs w:val="15"/>
                <w:color w:val="auto"/>
                <w:w w:val="99"/>
              </w:rPr>
              <w:t>$20,000</w:t>
            </w:r>
          </w:p>
        </w:tc>
      </w:tr>
      <w:tr>
        <w:trPr>
          <w:trHeight w:val="162"/>
        </w:trPr>
        <w:tc>
          <w:tcPr>
            <w:tcW w:w="4480" w:type="dxa"/>
            <w:vAlign w:val="bottom"/>
            <w:tcBorders>
              <w:bottom w:val="single" w:sz="8" w:color="58854E"/>
            </w:tcBorders>
          </w:tcPr>
          <w:p>
            <w:pPr>
              <w:ind w:left="40"/>
              <w:spacing w:after="0" w:line="162" w:lineRule="exact"/>
              <w:rPr>
                <w:sz w:val="20"/>
                <w:szCs w:val="20"/>
                <w:color w:val="auto"/>
              </w:rPr>
            </w:pPr>
            <w:r>
              <w:rPr>
                <w:rFonts w:ascii="Arial" w:cs="Arial" w:eastAsia="Arial" w:hAnsi="Arial"/>
                <w:sz w:val="15"/>
                <w:szCs w:val="15"/>
                <w:color w:val="auto"/>
              </w:rPr>
              <w:t>Committee Chair Retainer</w:t>
            </w:r>
          </w:p>
        </w:tc>
        <w:tc>
          <w:tcPr>
            <w:tcW w:w="4660" w:type="dxa"/>
            <w:vAlign w:val="bottom"/>
            <w:tcBorders>
              <w:bottom w:val="single" w:sz="8" w:color="58854E"/>
            </w:tcBorders>
            <w:gridSpan w:val="2"/>
          </w:tcPr>
          <w:p>
            <w:pPr>
              <w:jc w:val="center"/>
              <w:ind w:left="126"/>
              <w:spacing w:after="0" w:line="162" w:lineRule="exact"/>
              <w:rPr>
                <w:sz w:val="20"/>
                <w:szCs w:val="20"/>
                <w:color w:val="auto"/>
              </w:rPr>
            </w:pPr>
            <w:r>
              <w:rPr>
                <w:rFonts w:ascii="Arial" w:cs="Arial" w:eastAsia="Arial" w:hAnsi="Arial"/>
                <w:sz w:val="15"/>
                <w:szCs w:val="15"/>
                <w:color w:val="auto"/>
                <w:w w:val="99"/>
              </w:rPr>
              <w:t>$15,000</w:t>
            </w:r>
          </w:p>
        </w:tc>
      </w:tr>
      <w:tr>
        <w:trPr>
          <w:trHeight w:val="162"/>
        </w:trPr>
        <w:tc>
          <w:tcPr>
            <w:tcW w:w="4480" w:type="dxa"/>
            <w:vAlign w:val="bottom"/>
            <w:tcBorders>
              <w:bottom w:val="single" w:sz="8" w:color="58854E"/>
            </w:tcBorders>
          </w:tcPr>
          <w:p>
            <w:pPr>
              <w:ind w:left="40"/>
              <w:spacing w:after="0" w:line="162" w:lineRule="exact"/>
              <w:rPr>
                <w:sz w:val="20"/>
                <w:szCs w:val="20"/>
                <w:color w:val="auto"/>
              </w:rPr>
            </w:pPr>
            <w:r>
              <w:rPr>
                <w:rFonts w:ascii="Arial" w:cs="Arial" w:eastAsia="Arial" w:hAnsi="Arial"/>
                <w:sz w:val="15"/>
                <w:szCs w:val="15"/>
                <w:color w:val="auto"/>
              </w:rPr>
              <w:t>Employee Directors</w:t>
            </w:r>
          </w:p>
        </w:tc>
        <w:tc>
          <w:tcPr>
            <w:tcW w:w="180" w:type="dxa"/>
            <w:vAlign w:val="bottom"/>
            <w:tcBorders>
              <w:bottom w:val="single" w:sz="8" w:color="58854E"/>
            </w:tcBorders>
          </w:tcPr>
          <w:p>
            <w:pPr>
              <w:spacing w:after="0"/>
              <w:rPr>
                <w:sz w:val="14"/>
                <w:szCs w:val="14"/>
                <w:color w:val="auto"/>
              </w:rPr>
            </w:pPr>
          </w:p>
        </w:tc>
        <w:tc>
          <w:tcPr>
            <w:tcW w:w="4480" w:type="dxa"/>
            <w:vAlign w:val="bottom"/>
            <w:tcBorders>
              <w:bottom w:val="single" w:sz="8" w:color="58854E"/>
            </w:tcBorders>
          </w:tcPr>
          <w:p>
            <w:pPr>
              <w:jc w:val="center"/>
              <w:spacing w:after="0" w:line="162" w:lineRule="exact"/>
              <w:rPr>
                <w:sz w:val="20"/>
                <w:szCs w:val="20"/>
                <w:color w:val="auto"/>
              </w:rPr>
            </w:pPr>
            <w:r>
              <w:rPr>
                <w:rFonts w:ascii="Arial" w:cs="Arial" w:eastAsia="Arial" w:hAnsi="Arial"/>
                <w:sz w:val="15"/>
                <w:szCs w:val="15"/>
                <w:color w:val="auto"/>
                <w:w w:val="97"/>
              </w:rPr>
              <w:t>No compensation</w:t>
            </w:r>
          </w:p>
        </w:tc>
      </w:tr>
    </w:tbl>
    <w:p>
      <w:pPr>
        <w:spacing w:after="0" w:line="18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officers of the Company or NRG who also serve as our directors do not receive additional compensation for their service as one of our directors. Our directors who are not officers or employees of the Company or NRG receive compensation as "non-employee directors" as set by our Board based on recommendations by the Compensation Committee.</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In the 2017 fiscal year, our non-employee directors received 50 percent of their total annual compensation in the form of cash and the remaining 50 percent in the form of deferred stock units (DSUs) issued under our Amended and Restated 2013 Equity Incentive Plan (LTIP). Each DSU issued in the 2017 fiscal year is equivalent in value to one share of Class C common stock and represents the right to receive one such share of Class C common stock payable at the time elected by the director or immediately if no such election is made,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non-employee director also receives dividend equivalent rights (DERs) which become exercisable proportionately with the DSUs to which they relate. Each DER represents the right to receive one share of Class A common stock or Class C common stock, as applicable, under its terms. Similar to its competitive assessment on behalf of the NEO compensation, Pay Governance performed a review of director compensation. Results of the review were shared with the Compensation Committee who made a recommendation to the full Board for final approval. The Compensation Committee and Board did not make any changes to director compensation in 2017.</w:t>
      </w:r>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In addition, our directors are reimbursed for out-of-pocket expenses in connection with attending meetings of the Board or its Committees. As a general matter, we expect that in the future each non-employee director who is not also an officer of the Company or NRG will receive grants of equity-based awards upon appointment to our Board and from time to time thereafter for so long as he or she serves as a director.</w:t>
      </w:r>
    </w:p>
    <w:p>
      <w:pPr>
        <w:spacing w:after="0" w:line="176" w:lineRule="exact"/>
        <w:rPr>
          <w:sz w:val="20"/>
          <w:szCs w:val="20"/>
          <w:color w:val="auto"/>
        </w:rPr>
      </w:pPr>
    </w:p>
    <w:p>
      <w:pPr>
        <w:ind w:right="280"/>
        <w:spacing w:after="0" w:line="241" w:lineRule="auto"/>
        <w:rPr>
          <w:sz w:val="20"/>
          <w:szCs w:val="20"/>
          <w:color w:val="auto"/>
        </w:rPr>
      </w:pPr>
      <w:r>
        <w:rPr>
          <w:rFonts w:ascii="Arial" w:cs="Arial" w:eastAsia="Arial" w:hAnsi="Arial"/>
          <w:sz w:val="15"/>
          <w:szCs w:val="15"/>
          <w:color w:val="auto"/>
        </w:rPr>
        <w:t>Each member of our Board is indemnified for his or her actions associated with being a director to the fullest extent permitted under Delaware law. 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107315</wp:posOffset>
            </wp:positionV>
            <wp:extent cx="727329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DIRECTOR COMPENSATION </w:t>
      </w:r>
      <w:r>
        <w:rPr>
          <w:rFonts w:ascii="Arial" w:cs="Arial" w:eastAsia="Arial" w:hAnsi="Arial"/>
          <w:sz w:val="12"/>
          <w:szCs w:val="12"/>
          <w:b w:val="1"/>
          <w:bCs w:val="1"/>
          <w:color w:val="58844D"/>
        </w:rPr>
        <w:t>17</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58844D"/>
        </w:rPr>
        <w:t>Director Compensation</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58844D"/>
        </w:rPr>
        <w:t>Fiscal Year Ended December 31, 2017</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22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shd w:val="clear" w:color="auto" w:fill="58854E"/>
          </w:tcPr>
          <w:p>
            <w:pPr>
              <w:jc w:val="center"/>
              <w:ind w:left="15"/>
              <w:spacing w:after="0"/>
              <w:rPr>
                <w:sz w:val="20"/>
                <w:szCs w:val="20"/>
                <w:color w:val="auto"/>
              </w:rPr>
            </w:pPr>
            <w:r>
              <w:rPr>
                <w:rFonts w:ascii="Arial" w:cs="Arial" w:eastAsia="Arial" w:hAnsi="Arial"/>
                <w:sz w:val="12"/>
                <w:szCs w:val="12"/>
                <w:b w:val="1"/>
                <w:bCs w:val="1"/>
                <w:color w:val="FFFFFE"/>
              </w:rPr>
              <w:t>FEES EARNED OR</w:t>
            </w:r>
          </w:p>
        </w:tc>
        <w:tc>
          <w:tcPr>
            <w:tcW w:w="140" w:type="dxa"/>
            <w:vAlign w:val="bottom"/>
          </w:tcPr>
          <w:p>
            <w:pPr>
              <w:spacing w:after="0"/>
              <w:rPr>
                <w:sz w:val="12"/>
                <w:szCs w:val="12"/>
                <w:color w:val="auto"/>
              </w:rPr>
            </w:pPr>
          </w:p>
        </w:tc>
        <w:tc>
          <w:tcPr>
            <w:tcW w:w="2160" w:type="dxa"/>
            <w:vAlign w:val="bottom"/>
            <w:vMerge w:val="restart"/>
            <w:shd w:val="clear" w:color="auto" w:fill="58854E"/>
          </w:tcPr>
          <w:p>
            <w:pPr>
              <w:ind w:left="600"/>
              <w:spacing w:after="0"/>
              <w:rPr>
                <w:sz w:val="20"/>
                <w:szCs w:val="20"/>
                <w:color w:val="auto"/>
              </w:rPr>
            </w:pPr>
            <w:r>
              <w:rPr>
                <w:rFonts w:ascii="Arial" w:cs="Arial" w:eastAsia="Arial" w:hAnsi="Arial"/>
                <w:sz w:val="12"/>
                <w:szCs w:val="12"/>
                <w:b w:val="1"/>
                <w:bCs w:val="1"/>
                <w:color w:val="FFFFFE"/>
              </w:rPr>
              <w:t>STOCK AWARDS</w:t>
            </w:r>
            <w:r>
              <w:rPr>
                <w:rFonts w:ascii="Arial" w:cs="Arial" w:eastAsia="Arial" w:hAnsi="Arial"/>
                <w:sz w:val="18"/>
                <w:szCs w:val="18"/>
                <w:b w:val="1"/>
                <w:bCs w:val="1"/>
                <w:color w:val="FFFFFE"/>
                <w:vertAlign w:val="superscript"/>
              </w:rPr>
              <w:t>1</w:t>
            </w:r>
          </w:p>
        </w:tc>
        <w:tc>
          <w:tcPr>
            <w:tcW w:w="140" w:type="dxa"/>
            <w:vAlign w:val="bottom"/>
          </w:tcPr>
          <w:p>
            <w:pPr>
              <w:spacing w:after="0"/>
              <w:rPr>
                <w:sz w:val="12"/>
                <w:szCs w:val="12"/>
                <w:color w:val="auto"/>
              </w:rPr>
            </w:pPr>
          </w:p>
        </w:tc>
        <w:tc>
          <w:tcPr>
            <w:tcW w:w="2160" w:type="dxa"/>
            <w:vAlign w:val="bottom"/>
            <w:shd w:val="clear" w:color="auto" w:fill="58854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20" w:type="dxa"/>
            <w:vAlign w:val="bottom"/>
            <w:shd w:val="clear" w:color="auto" w:fill="58854E"/>
          </w:tcPr>
          <w:p>
            <w:pPr>
              <w:ind w:left="60"/>
              <w:spacing w:after="0"/>
              <w:rPr>
                <w:sz w:val="20"/>
                <w:szCs w:val="20"/>
                <w:color w:val="auto"/>
              </w:rPr>
            </w:pPr>
            <w:r>
              <w:rPr>
                <w:rFonts w:ascii="Arial" w:cs="Arial" w:eastAsia="Arial" w:hAnsi="Arial"/>
                <w:sz w:val="12"/>
                <w:szCs w:val="12"/>
                <w:b w:val="1"/>
                <w:bCs w:val="1"/>
                <w:color w:val="FFFFFE"/>
              </w:rPr>
              <w:t>NAME</w:t>
            </w:r>
          </w:p>
        </w:tc>
        <w:tc>
          <w:tcPr>
            <w:tcW w:w="140" w:type="dxa"/>
            <w:vAlign w:val="bottom"/>
          </w:tcPr>
          <w:p>
            <w:pPr>
              <w:spacing w:after="0"/>
              <w:rPr>
                <w:sz w:val="12"/>
                <w:szCs w:val="12"/>
                <w:color w:val="auto"/>
              </w:rPr>
            </w:pPr>
          </w:p>
        </w:tc>
        <w:tc>
          <w:tcPr>
            <w:tcW w:w="2160" w:type="dxa"/>
            <w:vAlign w:val="bottom"/>
            <w:shd w:val="clear" w:color="auto" w:fill="58854E"/>
          </w:tcPr>
          <w:p>
            <w:pPr>
              <w:jc w:val="center"/>
              <w:ind w:left="15"/>
              <w:spacing w:after="0"/>
              <w:rPr>
                <w:sz w:val="20"/>
                <w:szCs w:val="20"/>
                <w:color w:val="auto"/>
              </w:rPr>
            </w:pPr>
            <w:r>
              <w:rPr>
                <w:rFonts w:ascii="Arial" w:cs="Arial" w:eastAsia="Arial" w:hAnsi="Arial"/>
                <w:sz w:val="12"/>
                <w:szCs w:val="12"/>
                <w:b w:val="1"/>
                <w:bCs w:val="1"/>
                <w:color w:val="FFFFFE"/>
                <w:w w:val="98"/>
              </w:rPr>
              <w:t>PAID IN CASH</w:t>
            </w:r>
          </w:p>
        </w:tc>
        <w:tc>
          <w:tcPr>
            <w:tcW w:w="140" w:type="dxa"/>
            <w:vAlign w:val="bottom"/>
          </w:tcPr>
          <w:p>
            <w:pPr>
              <w:spacing w:after="0"/>
              <w:rPr>
                <w:sz w:val="12"/>
                <w:szCs w:val="12"/>
                <w:color w:val="auto"/>
              </w:rPr>
            </w:pPr>
          </w:p>
        </w:tc>
        <w:tc>
          <w:tcPr>
            <w:tcW w:w="2160" w:type="dxa"/>
            <w:vAlign w:val="bottom"/>
            <w:vMerge w:val="continue"/>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shd w:val="clear" w:color="auto" w:fill="58854E"/>
          </w:tcPr>
          <w:p>
            <w:pPr>
              <w:jc w:val="right"/>
              <w:ind w:right="769"/>
              <w:spacing w:after="0"/>
              <w:rPr>
                <w:sz w:val="20"/>
                <w:szCs w:val="20"/>
                <w:color w:val="auto"/>
              </w:rPr>
            </w:pPr>
            <w:r>
              <w:rPr>
                <w:rFonts w:ascii="Arial" w:cs="Arial" w:eastAsia="Arial" w:hAnsi="Arial"/>
                <w:sz w:val="12"/>
                <w:szCs w:val="12"/>
                <w:b w:val="1"/>
                <w:bCs w:val="1"/>
                <w:color w:val="FFFFFE"/>
              </w:rPr>
              <w:t>TOTAL</w:t>
            </w:r>
          </w:p>
        </w:tc>
        <w:tc>
          <w:tcPr>
            <w:tcW w:w="0" w:type="dxa"/>
            <w:vAlign w:val="bottom"/>
          </w:tcPr>
          <w:p>
            <w:pPr>
              <w:spacing w:after="0"/>
              <w:rPr>
                <w:sz w:val="1"/>
                <w:szCs w:val="1"/>
                <w:color w:val="auto"/>
              </w:rPr>
            </w:pPr>
          </w:p>
        </w:tc>
      </w:tr>
      <w:tr>
        <w:trPr>
          <w:trHeight w:val="182"/>
        </w:trPr>
        <w:tc>
          <w:tcPr>
            <w:tcW w:w="2220" w:type="dxa"/>
            <w:vAlign w:val="bottom"/>
            <w:tcBorders>
              <w:bottom w:val="single" w:sz="8" w:color="58854E"/>
            </w:tcBorders>
          </w:tcPr>
          <w:p>
            <w:pPr>
              <w:ind w:left="60"/>
              <w:spacing w:after="0"/>
              <w:rPr>
                <w:sz w:val="20"/>
                <w:szCs w:val="20"/>
                <w:color w:val="auto"/>
              </w:rPr>
            </w:pPr>
            <w:r>
              <w:rPr>
                <w:rFonts w:ascii="Arial" w:cs="Arial" w:eastAsia="Arial" w:hAnsi="Arial"/>
                <w:sz w:val="15"/>
                <w:szCs w:val="15"/>
                <w:color w:val="auto"/>
              </w:rPr>
              <w:t>John F. Chlebowski</w:t>
            </w:r>
            <w:r>
              <w:rPr>
                <w:rFonts w:ascii="Arial" w:cs="Arial" w:eastAsia="Arial" w:hAnsi="Arial"/>
                <w:sz w:val="9"/>
                <w:szCs w:val="9"/>
                <w:color w:val="58844D"/>
              </w:rPr>
              <w:t>2</w:t>
            </w:r>
          </w:p>
        </w:tc>
        <w:tc>
          <w:tcPr>
            <w:tcW w:w="2440" w:type="dxa"/>
            <w:vAlign w:val="bottom"/>
            <w:tcBorders>
              <w:bottom w:val="single" w:sz="8" w:color="58854E"/>
            </w:tcBorders>
            <w:gridSpan w:val="3"/>
          </w:tcPr>
          <w:p>
            <w:pPr>
              <w:jc w:val="right"/>
              <w:ind w:right="140"/>
              <w:spacing w:after="0"/>
              <w:rPr>
                <w:sz w:val="20"/>
                <w:szCs w:val="20"/>
                <w:color w:val="auto"/>
              </w:rPr>
            </w:pPr>
            <w:r>
              <w:rPr>
                <w:rFonts w:ascii="Arial" w:cs="Arial" w:eastAsia="Arial" w:hAnsi="Arial"/>
                <w:sz w:val="15"/>
                <w:szCs w:val="15"/>
                <w:color w:val="auto"/>
              </w:rPr>
              <w:t>$97,500</w:t>
            </w:r>
          </w:p>
        </w:tc>
        <w:tc>
          <w:tcPr>
            <w:tcW w:w="2300" w:type="dxa"/>
            <w:vAlign w:val="bottom"/>
            <w:tcBorders>
              <w:bottom w:val="single" w:sz="8" w:color="58854E"/>
            </w:tcBorders>
            <w:gridSpan w:val="2"/>
          </w:tcPr>
          <w:p>
            <w:pPr>
              <w:jc w:val="right"/>
              <w:ind w:right="140"/>
              <w:spacing w:after="0"/>
              <w:rPr>
                <w:sz w:val="20"/>
                <w:szCs w:val="20"/>
                <w:color w:val="auto"/>
              </w:rPr>
            </w:pPr>
            <w:r>
              <w:rPr>
                <w:rFonts w:ascii="Arial" w:cs="Arial" w:eastAsia="Arial" w:hAnsi="Arial"/>
                <w:sz w:val="15"/>
                <w:szCs w:val="15"/>
                <w:color w:val="auto"/>
              </w:rPr>
              <w:t>$147,534</w:t>
            </w:r>
          </w:p>
        </w:tc>
        <w:tc>
          <w:tcPr>
            <w:tcW w:w="2160" w:type="dxa"/>
            <w:vAlign w:val="bottom"/>
            <w:tcBorders>
              <w:bottom w:val="single" w:sz="8" w:color="58854E"/>
            </w:tcBorders>
          </w:tcPr>
          <w:p>
            <w:pPr>
              <w:jc w:val="right"/>
              <w:spacing w:after="0"/>
              <w:rPr>
                <w:sz w:val="20"/>
                <w:szCs w:val="20"/>
                <w:color w:val="auto"/>
              </w:rPr>
            </w:pPr>
            <w:r>
              <w:rPr>
                <w:rFonts w:ascii="Arial" w:cs="Arial" w:eastAsia="Arial" w:hAnsi="Arial"/>
                <w:sz w:val="15"/>
                <w:szCs w:val="15"/>
                <w:color w:val="auto"/>
              </w:rPr>
              <w:t>$245,034</w:t>
            </w:r>
          </w:p>
        </w:tc>
        <w:tc>
          <w:tcPr>
            <w:tcW w:w="0" w:type="dxa"/>
            <w:vAlign w:val="bottom"/>
          </w:tcPr>
          <w:p>
            <w:pPr>
              <w:spacing w:after="0"/>
              <w:rPr>
                <w:sz w:val="1"/>
                <w:szCs w:val="1"/>
                <w:color w:val="auto"/>
              </w:rPr>
            </w:pPr>
          </w:p>
        </w:tc>
      </w:tr>
      <w:tr>
        <w:trPr>
          <w:trHeight w:val="162"/>
        </w:trPr>
        <w:tc>
          <w:tcPr>
            <w:tcW w:w="2220" w:type="dxa"/>
            <w:vAlign w:val="bottom"/>
            <w:tcBorders>
              <w:bottom w:val="single" w:sz="8" w:color="58854E"/>
            </w:tcBorders>
          </w:tcPr>
          <w:p>
            <w:pPr>
              <w:ind w:left="60"/>
              <w:spacing w:after="0" w:line="162" w:lineRule="exact"/>
              <w:rPr>
                <w:sz w:val="20"/>
                <w:szCs w:val="20"/>
                <w:color w:val="auto"/>
              </w:rPr>
            </w:pPr>
            <w:r>
              <w:rPr>
                <w:rFonts w:ascii="Arial" w:cs="Arial" w:eastAsia="Arial" w:hAnsi="Arial"/>
                <w:sz w:val="15"/>
                <w:szCs w:val="15"/>
                <w:color w:val="auto"/>
              </w:rPr>
              <w:t>Brian R. Ford</w:t>
            </w:r>
          </w:p>
        </w:tc>
        <w:tc>
          <w:tcPr>
            <w:tcW w:w="2440" w:type="dxa"/>
            <w:vAlign w:val="bottom"/>
            <w:tcBorders>
              <w:bottom w:val="single" w:sz="8" w:color="58854E"/>
            </w:tcBorders>
            <w:gridSpan w:val="3"/>
          </w:tcPr>
          <w:p>
            <w:pPr>
              <w:jc w:val="right"/>
              <w:ind w:right="140"/>
              <w:spacing w:after="0" w:line="162" w:lineRule="exact"/>
              <w:rPr>
                <w:sz w:val="20"/>
                <w:szCs w:val="20"/>
                <w:color w:val="auto"/>
              </w:rPr>
            </w:pPr>
            <w:r>
              <w:rPr>
                <w:rFonts w:ascii="Arial" w:cs="Arial" w:eastAsia="Arial" w:hAnsi="Arial"/>
                <w:sz w:val="15"/>
                <w:szCs w:val="15"/>
                <w:color w:val="auto"/>
              </w:rPr>
              <w:t>$87,500</w:t>
            </w:r>
          </w:p>
        </w:tc>
        <w:tc>
          <w:tcPr>
            <w:tcW w:w="2300" w:type="dxa"/>
            <w:vAlign w:val="bottom"/>
            <w:tcBorders>
              <w:bottom w:val="single" w:sz="8" w:color="58854E"/>
            </w:tcBorders>
            <w:gridSpan w:val="2"/>
          </w:tcPr>
          <w:p>
            <w:pPr>
              <w:jc w:val="right"/>
              <w:ind w:right="140"/>
              <w:spacing w:after="0" w:line="162" w:lineRule="exact"/>
              <w:rPr>
                <w:sz w:val="20"/>
                <w:szCs w:val="20"/>
                <w:color w:val="auto"/>
              </w:rPr>
            </w:pPr>
            <w:r>
              <w:rPr>
                <w:rFonts w:ascii="Arial" w:cs="Arial" w:eastAsia="Arial" w:hAnsi="Arial"/>
                <w:sz w:val="15"/>
                <w:szCs w:val="15"/>
                <w:color w:val="auto"/>
              </w:rPr>
              <w:t>$113,964</w:t>
            </w:r>
          </w:p>
        </w:tc>
        <w:tc>
          <w:tcPr>
            <w:tcW w:w="21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$201,464</w:t>
            </w:r>
          </w:p>
        </w:tc>
        <w:tc>
          <w:tcPr>
            <w:tcW w:w="0" w:type="dxa"/>
            <w:vAlign w:val="bottom"/>
          </w:tcPr>
          <w:p>
            <w:pPr>
              <w:spacing w:after="0"/>
              <w:rPr>
                <w:sz w:val="1"/>
                <w:szCs w:val="1"/>
                <w:color w:val="auto"/>
              </w:rPr>
            </w:pPr>
          </w:p>
        </w:tc>
      </w:tr>
      <w:tr>
        <w:trPr>
          <w:trHeight w:val="160"/>
        </w:trPr>
        <w:tc>
          <w:tcPr>
            <w:tcW w:w="2220" w:type="dxa"/>
            <w:vAlign w:val="bottom"/>
          </w:tcPr>
          <w:p>
            <w:pPr>
              <w:ind w:left="60"/>
              <w:spacing w:after="0" w:line="160" w:lineRule="exact"/>
              <w:rPr>
                <w:sz w:val="20"/>
                <w:szCs w:val="20"/>
                <w:color w:val="auto"/>
              </w:rPr>
            </w:pPr>
            <w:r>
              <w:rPr>
                <w:rFonts w:ascii="Arial" w:cs="Arial" w:eastAsia="Arial" w:hAnsi="Arial"/>
                <w:sz w:val="15"/>
                <w:szCs w:val="15"/>
                <w:color w:val="auto"/>
              </w:rPr>
              <w:t>Ferrell P. McClean</w:t>
            </w:r>
            <w:r>
              <w:rPr>
                <w:rFonts w:ascii="Arial" w:cs="Arial" w:eastAsia="Arial" w:hAnsi="Arial"/>
                <w:sz w:val="9"/>
                <w:szCs w:val="9"/>
                <w:color w:val="58844D"/>
              </w:rPr>
              <w:t>3</w:t>
            </w:r>
          </w:p>
        </w:tc>
        <w:tc>
          <w:tcPr>
            <w:tcW w:w="140" w:type="dxa"/>
            <w:vAlign w:val="bottom"/>
          </w:tcPr>
          <w:p>
            <w:pPr>
              <w:spacing w:after="0"/>
              <w:rPr>
                <w:sz w:val="13"/>
                <w:szCs w:val="13"/>
                <w:color w:val="auto"/>
              </w:rPr>
            </w:pPr>
          </w:p>
        </w:tc>
        <w:tc>
          <w:tcPr>
            <w:tcW w:w="2300" w:type="dxa"/>
            <w:vAlign w:val="bottom"/>
            <w:gridSpan w:val="2"/>
          </w:tcPr>
          <w:p>
            <w:pPr>
              <w:jc w:val="right"/>
              <w:ind w:right="140"/>
              <w:spacing w:after="0" w:line="160" w:lineRule="exact"/>
              <w:rPr>
                <w:sz w:val="20"/>
                <w:szCs w:val="20"/>
                <w:color w:val="auto"/>
              </w:rPr>
            </w:pPr>
            <w:r>
              <w:rPr>
                <w:rFonts w:ascii="Arial" w:cs="Arial" w:eastAsia="Arial" w:hAnsi="Arial"/>
                <w:sz w:val="15"/>
                <w:szCs w:val="15"/>
                <w:color w:val="auto"/>
              </w:rPr>
              <w:t>—</w:t>
            </w:r>
          </w:p>
        </w:tc>
        <w:tc>
          <w:tcPr>
            <w:tcW w:w="2300" w:type="dxa"/>
            <w:vAlign w:val="bottom"/>
            <w:gridSpan w:val="2"/>
          </w:tcPr>
          <w:p>
            <w:pPr>
              <w:jc w:val="right"/>
              <w:ind w:right="140"/>
              <w:spacing w:after="0" w:line="160" w:lineRule="exact"/>
              <w:rPr>
                <w:sz w:val="20"/>
                <w:szCs w:val="20"/>
                <w:color w:val="auto"/>
              </w:rPr>
            </w:pPr>
            <w:r>
              <w:rPr>
                <w:rFonts w:ascii="Arial" w:cs="Arial" w:eastAsia="Arial" w:hAnsi="Arial"/>
                <w:sz w:val="15"/>
                <w:szCs w:val="15"/>
                <w:color w:val="auto"/>
              </w:rPr>
              <w:t>$227,907</w:t>
            </w:r>
          </w:p>
        </w:tc>
        <w:tc>
          <w:tcPr>
            <w:tcW w:w="2160" w:type="dxa"/>
            <w:vAlign w:val="bottom"/>
          </w:tcPr>
          <w:p>
            <w:pPr>
              <w:jc w:val="right"/>
              <w:spacing w:after="0" w:line="160" w:lineRule="exact"/>
              <w:rPr>
                <w:sz w:val="20"/>
                <w:szCs w:val="20"/>
                <w:color w:val="auto"/>
              </w:rPr>
            </w:pPr>
            <w:r>
              <w:rPr>
                <w:rFonts w:ascii="Arial" w:cs="Arial" w:eastAsia="Arial" w:hAnsi="Arial"/>
                <w:sz w:val="15"/>
                <w:szCs w:val="15"/>
                <w:color w:val="auto"/>
              </w:rPr>
              <w:t>$227,907</w:t>
            </w: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1500" w:right="1280" w:hanging="303"/>
        <w:spacing w:after="0" w:line="203" w:lineRule="auto"/>
        <w:tabs>
          <w:tab w:leader="none" w:pos="1500" w:val="left"/>
        </w:tabs>
        <w:numPr>
          <w:ilvl w:val="0"/>
          <w:numId w:val="25"/>
        </w:numPr>
        <w:rPr>
          <w:rFonts w:ascii="Arial" w:cs="Arial" w:eastAsia="Arial" w:hAnsi="Arial"/>
          <w:sz w:val="18"/>
          <w:szCs w:val="18"/>
          <w:color w:val="58844D"/>
          <w:vertAlign w:val="superscript"/>
        </w:rPr>
      </w:pPr>
      <w:r>
        <w:rPr>
          <w:rFonts w:ascii="Arial" w:cs="Arial" w:eastAsia="Arial" w:hAnsi="Arial"/>
          <w:sz w:val="12"/>
          <w:szCs w:val="12"/>
          <w:color w:val="auto"/>
        </w:rPr>
        <w:t>Reflects the grant date fair value of DSUs awarded and DERs received in 2017 determined in accordance with Financial Accounting Standards Board Accounting Standards Codification Topic 718, Compensation-Stock Compensation, the full amount of which is recorded as a compensation expense in the income statement for the 2017 fiscal year. For all directors, the grant date fair value of the DSUs that are payable in Class C common stock was based on the closing price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-268605</wp:posOffset>
            </wp:positionV>
            <wp:extent cx="5812790" cy="7023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12790" cy="702310"/>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35"/>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2</w:t>
            </w:r>
          </w:p>
        </w:tc>
        <w:tc>
          <w:tcPr>
            <w:tcW w:w="140" w:type="dxa"/>
            <w:vAlign w:val="bottom"/>
          </w:tcPr>
          <w:p>
            <w:pPr>
              <w:spacing w:after="0"/>
              <w:rPr>
                <w:sz w:val="11"/>
                <w:szCs w:val="11"/>
                <w:color w:val="auto"/>
              </w:rPr>
            </w:pPr>
          </w:p>
        </w:tc>
        <w:tc>
          <w:tcPr>
            <w:tcW w:w="8780" w:type="dxa"/>
            <w:vAlign w:val="bottom"/>
          </w:tcPr>
          <w:p>
            <w:pPr>
              <w:spacing w:after="0" w:line="135" w:lineRule="exact"/>
              <w:rPr>
                <w:sz w:val="20"/>
                <w:szCs w:val="20"/>
                <w:color w:val="auto"/>
              </w:rPr>
            </w:pPr>
            <w:r>
              <w:rPr>
                <w:rFonts w:ascii="Arial" w:cs="Arial" w:eastAsia="Arial" w:hAnsi="Arial"/>
                <w:sz w:val="12"/>
                <w:szCs w:val="12"/>
                <w:color w:val="auto"/>
              </w:rPr>
              <w:t>Class C common stock, which was $18.00 per share on June 1, 2017. All DSUs held by the directors are payable upon termination of service as a Board member.</w:t>
            </w:r>
          </w:p>
        </w:tc>
        <w:tc>
          <w:tcPr>
            <w:tcW w:w="0" w:type="dxa"/>
            <w:vAlign w:val="bottom"/>
          </w:tcPr>
          <w:p>
            <w:pPr>
              <w:spacing w:after="0"/>
              <w:rPr>
                <w:sz w:val="1"/>
                <w:szCs w:val="1"/>
                <w:color w:val="auto"/>
              </w:rPr>
            </w:pPr>
          </w:p>
        </w:tc>
      </w:tr>
      <w:tr>
        <w:trPr>
          <w:trHeight w:val="83"/>
        </w:trPr>
        <w:tc>
          <w:tcPr>
            <w:tcW w:w="160" w:type="dxa"/>
            <w:vAlign w:val="bottom"/>
            <w:vMerge w:val="continue"/>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8780" w:type="dxa"/>
            <w:vAlign w:val="bottom"/>
            <w:vMerge w:val="restart"/>
            <w:shd w:val="clear" w:color="auto" w:fill="E9EEE6"/>
          </w:tcPr>
          <w:p>
            <w:pPr>
              <w:spacing w:after="0" w:line="137" w:lineRule="exact"/>
              <w:rPr>
                <w:sz w:val="20"/>
                <w:szCs w:val="20"/>
                <w:color w:val="auto"/>
              </w:rPr>
            </w:pPr>
            <w:r>
              <w:rPr>
                <w:rFonts w:ascii="Arial" w:cs="Arial" w:eastAsia="Arial" w:hAnsi="Arial"/>
                <w:sz w:val="12"/>
                <w:szCs w:val="12"/>
                <w:color w:val="auto"/>
              </w:rPr>
              <w:t>Mr. Chlebowski elected to convert his DSUs to shares of Class C common stock immediately on the date of grant.</w:t>
            </w:r>
          </w:p>
        </w:tc>
        <w:tc>
          <w:tcPr>
            <w:tcW w:w="0" w:type="dxa"/>
            <w:vAlign w:val="bottom"/>
          </w:tcPr>
          <w:p>
            <w:pPr>
              <w:spacing w:after="0"/>
              <w:rPr>
                <w:sz w:val="1"/>
                <w:szCs w:val="1"/>
                <w:color w:val="auto"/>
              </w:rPr>
            </w:pPr>
          </w:p>
        </w:tc>
      </w:tr>
      <w:tr>
        <w:trPr>
          <w:trHeight w:val="54"/>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3</w:t>
            </w:r>
          </w:p>
        </w:tc>
        <w:tc>
          <w:tcPr>
            <w:tcW w:w="140" w:type="dxa"/>
            <w:vAlign w:val="bottom"/>
            <w:shd w:val="clear" w:color="auto" w:fill="E9EEE6"/>
          </w:tcPr>
          <w:p>
            <w:pPr>
              <w:spacing w:after="0"/>
              <w:rPr>
                <w:sz w:val="4"/>
                <w:szCs w:val="4"/>
                <w:color w:val="auto"/>
              </w:rPr>
            </w:pPr>
          </w:p>
        </w:tc>
        <w:tc>
          <w:tcPr>
            <w:tcW w:w="8780" w:type="dxa"/>
            <w:vAlign w:val="bottom"/>
            <w:vMerge w:val="continue"/>
            <w:shd w:val="clear" w:color="auto" w:fill="E9EEE6"/>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60" w:type="dxa"/>
            <w:vAlign w:val="bottom"/>
            <w:vMerge w:val="continue"/>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8780" w:type="dxa"/>
            <w:vAlign w:val="bottom"/>
            <w:vMerge w:val="restart"/>
            <w:shd w:val="clear" w:color="auto" w:fill="E9EEE6"/>
          </w:tcPr>
          <w:p>
            <w:pPr>
              <w:spacing w:after="0"/>
              <w:rPr>
                <w:sz w:val="20"/>
                <w:szCs w:val="20"/>
                <w:color w:val="auto"/>
              </w:rPr>
            </w:pPr>
            <w:r>
              <w:rPr>
                <w:rFonts w:ascii="Arial" w:cs="Arial" w:eastAsia="Arial" w:hAnsi="Arial"/>
                <w:sz w:val="12"/>
                <w:szCs w:val="12"/>
                <w:color w:val="auto"/>
              </w:rPr>
              <w:t>Ms. McClean elected to receive the cash portion of her director compensation and her $15,000 compensation for serving as the Corporate Governance, Conflicts &amp;</w:t>
            </w:r>
          </w:p>
        </w:tc>
        <w:tc>
          <w:tcPr>
            <w:tcW w:w="0" w:type="dxa"/>
            <w:vAlign w:val="bottom"/>
          </w:tcPr>
          <w:p>
            <w:pPr>
              <w:spacing w:after="0"/>
              <w:rPr>
                <w:sz w:val="1"/>
                <w:szCs w:val="1"/>
                <w:color w:val="auto"/>
              </w:rPr>
            </w:pPr>
          </w:p>
        </w:tc>
      </w:tr>
      <w:tr>
        <w:trPr>
          <w:trHeight w:val="58"/>
        </w:trPr>
        <w:tc>
          <w:tcPr>
            <w:tcW w:w="160" w:type="dxa"/>
            <w:vAlign w:val="bottom"/>
          </w:tcPr>
          <w:p>
            <w:pPr>
              <w:spacing w:after="0"/>
              <w:rPr>
                <w:sz w:val="5"/>
                <w:szCs w:val="5"/>
                <w:color w:val="auto"/>
              </w:rPr>
            </w:pPr>
          </w:p>
        </w:tc>
        <w:tc>
          <w:tcPr>
            <w:tcW w:w="140" w:type="dxa"/>
            <w:vAlign w:val="bottom"/>
            <w:shd w:val="clear" w:color="auto" w:fill="E9EEE6"/>
          </w:tcPr>
          <w:p>
            <w:pPr>
              <w:spacing w:after="0"/>
              <w:rPr>
                <w:sz w:val="5"/>
                <w:szCs w:val="5"/>
                <w:color w:val="auto"/>
              </w:rPr>
            </w:pPr>
          </w:p>
        </w:tc>
        <w:tc>
          <w:tcPr>
            <w:tcW w:w="8780" w:type="dxa"/>
            <w:vAlign w:val="bottom"/>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8780" w:type="dxa"/>
            <w:vAlign w:val="bottom"/>
            <w:shd w:val="clear" w:color="auto" w:fill="E9EEE6"/>
          </w:tcPr>
          <w:p>
            <w:pPr>
              <w:spacing w:after="0" w:line="137" w:lineRule="exact"/>
              <w:rPr>
                <w:sz w:val="20"/>
                <w:szCs w:val="20"/>
                <w:color w:val="auto"/>
              </w:rPr>
            </w:pPr>
            <w:r>
              <w:rPr>
                <w:rFonts w:ascii="Arial" w:cs="Arial" w:eastAsia="Arial" w:hAnsi="Arial"/>
                <w:sz w:val="12"/>
                <w:szCs w:val="12"/>
                <w:color w:val="auto"/>
              </w:rPr>
              <w:t>Nominating Committee Chair in the 2017 fiscal year in the form of DSUs that are payable in Class C common stock upon termination of service as a Board</w:t>
            </w: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8780" w:type="dxa"/>
            <w:vAlign w:val="bottom"/>
            <w:shd w:val="clear" w:color="auto" w:fill="E9EEE6"/>
          </w:tcPr>
          <w:p>
            <w:pPr>
              <w:spacing w:after="0" w:line="133" w:lineRule="exact"/>
              <w:rPr>
                <w:sz w:val="20"/>
                <w:szCs w:val="20"/>
                <w:color w:val="auto"/>
              </w:rPr>
            </w:pPr>
            <w:r>
              <w:rPr>
                <w:rFonts w:ascii="Arial" w:cs="Arial" w:eastAsia="Arial" w:hAnsi="Arial"/>
                <w:sz w:val="12"/>
                <w:szCs w:val="12"/>
                <w:color w:val="auto"/>
              </w:rPr>
              <w:t>member.</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60"/>
        <w:spacing w:after="0" w:line="241" w:lineRule="auto"/>
        <w:rPr>
          <w:sz w:val="20"/>
          <w:szCs w:val="20"/>
          <w:color w:val="auto"/>
        </w:rPr>
      </w:pPr>
      <w:r>
        <w:rPr>
          <w:rFonts w:ascii="Arial" w:cs="Arial" w:eastAsia="Arial" w:hAnsi="Arial"/>
          <w:sz w:val="15"/>
          <w:szCs w:val="15"/>
          <w:color w:val="auto"/>
        </w:rPr>
        <w:t>In September 2017, the Board approved a special one-time payment in the amount of $25,000, which was paid in January 2018, to the independent Board members in recognition of the significant time and effort devoted to the Corporate Governance, Conflicts and Nominating Committee in connection with the contemplated sale of NRG's interest in the Company, drop down transactions and other matters before the committee during 2017.</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aggregate number of stock awards (DSUs and DERs) held by each of the non-employee directors as of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7260" w:type="dxa"/>
            <w:vAlign w:val="bottom"/>
            <w:shd w:val="clear" w:color="auto" w:fill="58854E"/>
          </w:tcPr>
          <w:p>
            <w:pPr>
              <w:spacing w:after="0"/>
              <w:rPr>
                <w:sz w:val="12"/>
                <w:szCs w:val="12"/>
                <w:color w:val="auto"/>
              </w:rPr>
            </w:pPr>
          </w:p>
        </w:tc>
        <w:tc>
          <w:tcPr>
            <w:tcW w:w="40" w:type="dxa"/>
            <w:vAlign w:val="bottom"/>
            <w:tcBorders>
              <w:left w:val="single" w:sz="8" w:color="58854E"/>
            </w:tcBorders>
          </w:tcPr>
          <w:p>
            <w:pPr>
              <w:spacing w:after="0"/>
              <w:rPr>
                <w:sz w:val="12"/>
                <w:szCs w:val="12"/>
                <w:color w:val="auto"/>
              </w:rPr>
            </w:pPr>
          </w:p>
        </w:tc>
        <w:tc>
          <w:tcPr>
            <w:tcW w:w="16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CLASS A STOCK</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260" w:type="dxa"/>
            <w:vAlign w:val="bottom"/>
            <w:shd w:val="clear" w:color="auto" w:fill="58854E"/>
          </w:tcPr>
          <w:p>
            <w:pPr>
              <w:spacing w:after="0"/>
              <w:rPr>
                <w:sz w:val="20"/>
                <w:szCs w:val="20"/>
                <w:color w:val="auto"/>
              </w:rPr>
            </w:pPr>
            <w:r>
              <w:rPr>
                <w:rFonts w:ascii="Arial" w:cs="Arial" w:eastAsia="Arial" w:hAnsi="Arial"/>
                <w:sz w:val="12"/>
                <w:szCs w:val="12"/>
                <w:b w:val="1"/>
                <w:bCs w:val="1"/>
                <w:color w:val="FFFFFE"/>
              </w:rPr>
              <w:t>NAME</w:t>
            </w:r>
          </w:p>
        </w:tc>
        <w:tc>
          <w:tcPr>
            <w:tcW w:w="40" w:type="dxa"/>
            <w:vAlign w:val="bottom"/>
            <w:tcBorders>
              <w:left w:val="single" w:sz="8" w:color="58854E"/>
            </w:tcBorders>
          </w:tcPr>
          <w:p>
            <w:pPr>
              <w:spacing w:after="0"/>
              <w:rPr>
                <w:sz w:val="12"/>
                <w:szCs w:val="12"/>
                <w:color w:val="auto"/>
              </w:rPr>
            </w:pPr>
          </w:p>
        </w:tc>
        <w:tc>
          <w:tcPr>
            <w:tcW w:w="16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6"/>
              </w:rPr>
              <w:t>AWARDS</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260" w:type="dxa"/>
            <w:vAlign w:val="bottom"/>
            <w:tcBorders>
              <w:bottom w:val="single" w:sz="8" w:color="58854E"/>
            </w:tcBorders>
          </w:tcPr>
          <w:p>
            <w:pPr>
              <w:ind w:left="60"/>
              <w:spacing w:after="0" w:line="171" w:lineRule="exact"/>
              <w:rPr>
                <w:sz w:val="20"/>
                <w:szCs w:val="20"/>
                <w:color w:val="auto"/>
              </w:rPr>
            </w:pPr>
            <w:r>
              <w:rPr>
                <w:rFonts w:ascii="Arial" w:cs="Arial" w:eastAsia="Arial" w:hAnsi="Arial"/>
                <w:sz w:val="15"/>
                <w:szCs w:val="15"/>
                <w:color w:val="auto"/>
              </w:rPr>
              <w:t>John F. Chlebowski</w:t>
            </w:r>
          </w:p>
        </w:tc>
        <w:tc>
          <w:tcPr>
            <w:tcW w:w="1700" w:type="dxa"/>
            <w:vAlign w:val="bottom"/>
            <w:tcBorders>
              <w:bottom w:val="single" w:sz="8" w:color="58854E"/>
            </w:tcBorders>
            <w:gridSpan w:val="2"/>
          </w:tcPr>
          <w:p>
            <w:pPr>
              <w:jc w:val="right"/>
              <w:ind w:right="519"/>
              <w:spacing w:after="0" w:line="171" w:lineRule="exact"/>
              <w:rPr>
                <w:sz w:val="20"/>
                <w:szCs w:val="20"/>
                <w:color w:val="auto"/>
              </w:rPr>
            </w:pPr>
            <w:r>
              <w:rPr>
                <w:rFonts w:ascii="Arial" w:cs="Arial" w:eastAsia="Arial" w:hAnsi="Arial"/>
                <w:sz w:val="15"/>
                <w:szCs w:val="15"/>
                <w:color w:val="auto"/>
              </w:rPr>
              <w:t>12,487</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260" w:type="dxa"/>
            <w:vAlign w:val="bottom"/>
            <w:tcBorders>
              <w:bottom w:val="single" w:sz="8" w:color="58854E"/>
            </w:tcBorders>
          </w:tcPr>
          <w:p>
            <w:pPr>
              <w:ind w:left="60"/>
              <w:spacing w:after="0" w:line="162" w:lineRule="exact"/>
              <w:rPr>
                <w:sz w:val="20"/>
                <w:szCs w:val="20"/>
                <w:color w:val="auto"/>
              </w:rPr>
            </w:pPr>
            <w:r>
              <w:rPr>
                <w:rFonts w:ascii="Arial" w:cs="Arial" w:eastAsia="Arial" w:hAnsi="Arial"/>
                <w:sz w:val="15"/>
                <w:szCs w:val="15"/>
                <w:color w:val="auto"/>
              </w:rPr>
              <w:t>Brian R. Ford</w:t>
            </w:r>
          </w:p>
        </w:tc>
        <w:tc>
          <w:tcPr>
            <w:tcW w:w="1700" w:type="dxa"/>
            <w:vAlign w:val="bottom"/>
            <w:tcBorders>
              <w:bottom w:val="single" w:sz="8" w:color="58854E"/>
            </w:tcBorders>
            <w:gridSpan w:val="2"/>
          </w:tcPr>
          <w:p>
            <w:pPr>
              <w:jc w:val="right"/>
              <w:ind w:right="519"/>
              <w:spacing w:after="0" w:line="162" w:lineRule="exact"/>
              <w:rPr>
                <w:sz w:val="20"/>
                <w:szCs w:val="20"/>
                <w:color w:val="auto"/>
              </w:rPr>
            </w:pPr>
            <w:r>
              <w:rPr>
                <w:rFonts w:ascii="Arial" w:cs="Arial" w:eastAsia="Arial" w:hAnsi="Arial"/>
                <w:sz w:val="15"/>
                <w:szCs w:val="15"/>
                <w:color w:val="auto"/>
              </w:rPr>
              <w:t>5,566</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260" w:type="dxa"/>
            <w:vAlign w:val="bottom"/>
            <w:tcBorders>
              <w:bottom w:val="single" w:sz="8" w:color="58854E"/>
            </w:tcBorders>
          </w:tcPr>
          <w:p>
            <w:pPr>
              <w:ind w:left="60"/>
              <w:spacing w:after="0" w:line="162" w:lineRule="exact"/>
              <w:rPr>
                <w:sz w:val="20"/>
                <w:szCs w:val="20"/>
                <w:color w:val="auto"/>
              </w:rPr>
            </w:pPr>
            <w:r>
              <w:rPr>
                <w:rFonts w:ascii="Arial" w:cs="Arial" w:eastAsia="Arial" w:hAnsi="Arial"/>
                <w:sz w:val="15"/>
                <w:szCs w:val="15"/>
                <w:color w:val="auto"/>
              </w:rPr>
              <w:t>Ferrell P. McClean</w:t>
            </w:r>
          </w:p>
        </w:tc>
        <w:tc>
          <w:tcPr>
            <w:tcW w:w="1700" w:type="dxa"/>
            <w:vAlign w:val="bottom"/>
            <w:tcBorders>
              <w:bottom w:val="single" w:sz="8" w:color="58854E"/>
            </w:tcBorders>
            <w:gridSpan w:val="2"/>
          </w:tcPr>
          <w:p>
            <w:pPr>
              <w:jc w:val="right"/>
              <w:ind w:right="519"/>
              <w:spacing w:after="0" w:line="162" w:lineRule="exact"/>
              <w:rPr>
                <w:sz w:val="20"/>
                <w:szCs w:val="20"/>
                <w:color w:val="auto"/>
              </w:rPr>
            </w:pPr>
            <w:r>
              <w:rPr>
                <w:rFonts w:ascii="Arial" w:cs="Arial" w:eastAsia="Arial" w:hAnsi="Arial"/>
                <w:sz w:val="15"/>
                <w:szCs w:val="15"/>
                <w:color w:val="auto"/>
              </w:rPr>
              <w:t>11,131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1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7260" w:type="dxa"/>
            <w:vAlign w:val="bottom"/>
            <w:shd w:val="clear" w:color="auto" w:fill="58854E"/>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shd w:val="clear" w:color="auto" w:fill="58854E"/>
          </w:tcPr>
          <w:p>
            <w:pPr>
              <w:jc w:val="center"/>
              <w:spacing w:after="0" w:line="127" w:lineRule="exact"/>
              <w:rPr>
                <w:sz w:val="20"/>
                <w:szCs w:val="20"/>
                <w:color w:val="auto"/>
              </w:rPr>
            </w:pPr>
            <w:r>
              <w:rPr>
                <w:rFonts w:ascii="Arial" w:cs="Arial" w:eastAsia="Arial" w:hAnsi="Arial"/>
                <w:sz w:val="12"/>
                <w:szCs w:val="12"/>
                <w:b w:val="1"/>
                <w:bCs w:val="1"/>
                <w:color w:val="FFFFFE"/>
              </w:rPr>
              <w:t>CLASS C STOCK</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260" w:type="dxa"/>
            <w:vAlign w:val="bottom"/>
            <w:shd w:val="clear" w:color="auto" w:fill="58854E"/>
          </w:tcPr>
          <w:p>
            <w:pPr>
              <w:spacing w:after="0"/>
              <w:rPr>
                <w:sz w:val="20"/>
                <w:szCs w:val="20"/>
                <w:color w:val="auto"/>
              </w:rPr>
            </w:pPr>
            <w:r>
              <w:rPr>
                <w:rFonts w:ascii="Arial" w:cs="Arial" w:eastAsia="Arial" w:hAnsi="Arial"/>
                <w:sz w:val="12"/>
                <w:szCs w:val="12"/>
                <w:b w:val="1"/>
                <w:bCs w:val="1"/>
                <w:color w:val="FFFFFE"/>
              </w:rPr>
              <w:t>NAME</w:t>
            </w:r>
          </w:p>
        </w:tc>
        <w:tc>
          <w:tcPr>
            <w:tcW w:w="40" w:type="dxa"/>
            <w:vAlign w:val="bottom"/>
          </w:tcPr>
          <w:p>
            <w:pPr>
              <w:spacing w:after="0"/>
              <w:rPr>
                <w:sz w:val="12"/>
                <w:szCs w:val="12"/>
                <w:color w:val="auto"/>
              </w:rPr>
            </w:pPr>
          </w:p>
        </w:tc>
        <w:tc>
          <w:tcPr>
            <w:tcW w:w="16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AWARDS</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260" w:type="dxa"/>
            <w:vAlign w:val="bottom"/>
            <w:tcBorders>
              <w:bottom w:val="single" w:sz="8" w:color="58854E"/>
            </w:tcBorders>
          </w:tcPr>
          <w:p>
            <w:pPr>
              <w:ind w:left="60"/>
              <w:spacing w:after="0" w:line="171" w:lineRule="exact"/>
              <w:rPr>
                <w:sz w:val="20"/>
                <w:szCs w:val="20"/>
                <w:color w:val="auto"/>
              </w:rPr>
            </w:pPr>
            <w:r>
              <w:rPr>
                <w:rFonts w:ascii="Arial" w:cs="Arial" w:eastAsia="Arial" w:hAnsi="Arial"/>
                <w:sz w:val="15"/>
                <w:szCs w:val="15"/>
                <w:color w:val="auto"/>
              </w:rPr>
              <w:t>John F. Chlebowski</w:t>
            </w:r>
          </w:p>
        </w:tc>
        <w:tc>
          <w:tcPr>
            <w:tcW w:w="1700" w:type="dxa"/>
            <w:vAlign w:val="bottom"/>
            <w:tcBorders>
              <w:bottom w:val="single" w:sz="8" w:color="58854E"/>
            </w:tcBorders>
            <w:gridSpan w:val="2"/>
          </w:tcPr>
          <w:p>
            <w:pPr>
              <w:jc w:val="center"/>
              <w:spacing w:after="0" w:line="171" w:lineRule="exact"/>
              <w:rPr>
                <w:sz w:val="20"/>
                <w:szCs w:val="20"/>
                <w:color w:val="auto"/>
              </w:rPr>
            </w:pPr>
            <w:r>
              <w:rPr>
                <w:rFonts w:ascii="Arial" w:cs="Arial" w:eastAsia="Arial" w:hAnsi="Arial"/>
                <w:sz w:val="15"/>
                <w:szCs w:val="15"/>
                <w:color w:val="auto"/>
                <w:w w:val="95"/>
              </w:rPr>
              <w:t>34,777</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260" w:type="dxa"/>
            <w:vAlign w:val="bottom"/>
            <w:tcBorders>
              <w:bottom w:val="single" w:sz="8" w:color="58854E"/>
            </w:tcBorders>
          </w:tcPr>
          <w:p>
            <w:pPr>
              <w:ind w:left="60"/>
              <w:spacing w:after="0" w:line="162" w:lineRule="exact"/>
              <w:rPr>
                <w:sz w:val="20"/>
                <w:szCs w:val="20"/>
                <w:color w:val="auto"/>
              </w:rPr>
            </w:pPr>
            <w:r>
              <w:rPr>
                <w:rFonts w:ascii="Arial" w:cs="Arial" w:eastAsia="Arial" w:hAnsi="Arial"/>
                <w:sz w:val="15"/>
                <w:szCs w:val="15"/>
                <w:color w:val="auto"/>
              </w:rPr>
              <w:t>Brian R. Ford</w:t>
            </w:r>
          </w:p>
        </w:tc>
        <w:tc>
          <w:tcPr>
            <w:tcW w:w="1700" w:type="dxa"/>
            <w:vAlign w:val="bottom"/>
            <w:tcBorders>
              <w:bottom w:val="single" w:sz="8" w:color="58854E"/>
            </w:tcBorders>
            <w:gridSpan w:val="2"/>
          </w:tcPr>
          <w:p>
            <w:pPr>
              <w:jc w:val="center"/>
              <w:spacing w:after="0" w:line="162" w:lineRule="exact"/>
              <w:rPr>
                <w:sz w:val="20"/>
                <w:szCs w:val="20"/>
                <w:color w:val="auto"/>
              </w:rPr>
            </w:pPr>
            <w:r>
              <w:rPr>
                <w:rFonts w:ascii="Arial" w:cs="Arial" w:eastAsia="Arial" w:hAnsi="Arial"/>
                <w:sz w:val="15"/>
                <w:szCs w:val="15"/>
                <w:color w:val="auto"/>
                <w:w w:val="95"/>
              </w:rPr>
              <w:t>20,597</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260" w:type="dxa"/>
            <w:vAlign w:val="bottom"/>
            <w:tcBorders>
              <w:bottom w:val="single" w:sz="8" w:color="58854E"/>
            </w:tcBorders>
          </w:tcPr>
          <w:p>
            <w:pPr>
              <w:ind w:left="60"/>
              <w:spacing w:after="0" w:line="162" w:lineRule="exact"/>
              <w:rPr>
                <w:sz w:val="20"/>
                <w:szCs w:val="20"/>
                <w:color w:val="auto"/>
              </w:rPr>
            </w:pPr>
            <w:r>
              <w:rPr>
                <w:rFonts w:ascii="Arial" w:cs="Arial" w:eastAsia="Arial" w:hAnsi="Arial"/>
                <w:sz w:val="15"/>
                <w:szCs w:val="15"/>
                <w:color w:val="auto"/>
              </w:rPr>
              <w:t>Ferrell P. McClean</w:t>
            </w:r>
          </w:p>
        </w:tc>
        <w:tc>
          <w:tcPr>
            <w:tcW w:w="1700" w:type="dxa"/>
            <w:vAlign w:val="bottom"/>
            <w:tcBorders>
              <w:bottom w:val="single" w:sz="8" w:color="58854E"/>
            </w:tcBorders>
            <w:gridSpan w:val="2"/>
          </w:tcPr>
          <w:p>
            <w:pPr>
              <w:jc w:val="center"/>
              <w:spacing w:after="0" w:line="162" w:lineRule="exact"/>
              <w:rPr>
                <w:sz w:val="20"/>
                <w:szCs w:val="20"/>
                <w:color w:val="auto"/>
              </w:rPr>
            </w:pPr>
            <w:r>
              <w:rPr>
                <w:rFonts w:ascii="Arial" w:cs="Arial" w:eastAsia="Arial" w:hAnsi="Arial"/>
                <w:sz w:val="15"/>
                <w:szCs w:val="15"/>
                <w:color w:val="auto"/>
                <w:w w:val="95"/>
              </w:rPr>
              <w:t>41,191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140" w:type="dxa"/>
            <w:vAlign w:val="bottom"/>
            <w:tcBorders>
              <w:bottom w:val="single" w:sz="8" w:color="808080"/>
            </w:tcBorders>
          </w:tcPr>
          <w:p>
            <w:pPr>
              <w:spacing w:after="0"/>
              <w:rPr>
                <w:sz w:val="7"/>
                <w:szCs w:val="7"/>
                <w:color w:val="auto"/>
              </w:rPr>
            </w:pPr>
          </w:p>
        </w:tc>
        <w:tc>
          <w:tcPr>
            <w:tcW w:w="72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ind w:right="1100"/>
        <w:spacing w:after="0"/>
        <w:rPr>
          <w:sz w:val="20"/>
          <w:szCs w:val="20"/>
          <w:color w:val="auto"/>
        </w:rPr>
      </w:pPr>
      <w:r>
        <w:rPr>
          <w:rFonts w:ascii="Arial" w:cs="Arial" w:eastAsia="Arial" w:hAnsi="Arial"/>
          <w:sz w:val="12"/>
          <w:szCs w:val="12"/>
          <w:color w:val="FFFFFE"/>
        </w:rPr>
        <w:t xml:space="preserve">PROPOSAL NO. 2 ADVISORY VOTE TO APPROVE THE COMPANY'S EXECUTIVE COMPENSATION </w:t>
      </w:r>
      <w:r>
        <w:rPr>
          <w:rFonts w:ascii="Arial" w:cs="Arial" w:eastAsia="Arial" w:hAnsi="Arial"/>
          <w:sz w:val="12"/>
          <w:szCs w:val="12"/>
          <w:b w:val="1"/>
          <w:bCs w:val="1"/>
          <w:color w:val="FFFFFE"/>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Proposal No. 2</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Advisory Vote to Approve the</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Company's Executive Compensation</w:t>
      </w:r>
    </w:p>
    <w:p>
      <w:pPr>
        <w:sectPr>
          <w:pgSz w:w="11900" w:h="16838" w:orient="portrait"/>
          <w:cols w:equalWidth="0" w:num="1">
            <w:col w:w="11440"/>
          </w:cols>
          <w:pgMar w:left="240" w:top="142" w:right="2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(Securities Act). Currently, this vote is conducted every year. The next vote will occur at the 2019 Annual Meeting.</w:t>
      </w:r>
    </w:p>
    <w:p>
      <w:pPr>
        <w:spacing w:after="0" w:line="178"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As described more fully in the CD&amp;A beginning on page 37,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79" w:lineRule="exact"/>
        <w:rPr>
          <w:sz w:val="20"/>
          <w:szCs w:val="20"/>
          <w:color w:val="auto"/>
        </w:rPr>
      </w:pPr>
    </w:p>
    <w:p>
      <w:pPr>
        <w:jc w:val="both"/>
        <w:ind w:right="160"/>
        <w:spacing w:after="0" w:line="241" w:lineRule="auto"/>
        <w:rPr>
          <w:sz w:val="20"/>
          <w:szCs w:val="20"/>
          <w:color w:val="auto"/>
        </w:rPr>
      </w:pPr>
      <w:r>
        <w:rPr>
          <w:rFonts w:ascii="Arial" w:cs="Arial" w:eastAsia="Arial" w:hAnsi="Arial"/>
          <w:sz w:val="15"/>
          <w:szCs w:val="15"/>
          <w:color w:val="auto"/>
        </w:rPr>
        <w:t>This proposal, commonly known as a "say on pay" proposal, gives stockholders the opportunity to express their views on the NEOs' compensation. This vote is not intended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address any specific item of compensation, but rather the overall compensation of the NEOs as described in this Proxy Statement. Accordingly, the Board recommends that stockholders vote in favor of the following resolution:</w:t>
      </w:r>
    </w:p>
    <w:p>
      <w:pPr>
        <w:spacing w:after="0" w:line="176"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"RESOLVED, that the compensation paid to the NEOs, as disclosed pursuant to Item 402 of Regulation S-K, including the CD&amp;A, compensation tables and narrative discussion, is hereby APPROVED."</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335280</wp:posOffset>
            </wp:positionV>
            <wp:extent cx="7268210" cy="564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210" cy="564515"/>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2">
            <w:col w:w="5360" w:space="700"/>
            <w:col w:w="5380"/>
          </w:cols>
          <w:pgMar w:left="240" w:top="142" w:right="21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80" w:right="380"/>
        <w:spacing w:after="0" w:line="270" w:lineRule="auto"/>
        <w:rPr>
          <w:sz w:val="20"/>
          <w:szCs w:val="20"/>
          <w:color w:val="auto"/>
        </w:rPr>
      </w:pPr>
      <w:r>
        <w:rPr>
          <w:rFonts w:ascii="Arial" w:cs="Arial" w:eastAsia="Arial" w:hAnsi="Arial"/>
          <w:sz w:val="15"/>
          <w:szCs w:val="15"/>
          <w:b w:val="1"/>
          <w:bCs w:val="1"/>
          <w:color w:val="FFFFFE"/>
        </w:rPr>
        <w:t>The Board recommends a vote "FOR" the approval of the Company's executive compensation as disclosed in this Proxy Statement. Proxies received by the Board will be voted "FOR" the approval of the NEO compensation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727329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type w:val="continuous"/>
        </w:sectPr>
      </w:pPr>
    </w:p>
    <w:bookmarkStart w:id="23" w:name="page24"/>
    <w:bookmarkEnd w:id="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ind w:right="1000"/>
        <w:spacing w:after="0"/>
        <w:rPr>
          <w:sz w:val="20"/>
          <w:szCs w:val="20"/>
          <w:color w:val="auto"/>
        </w:rPr>
      </w:pPr>
      <w:r>
        <w:rPr>
          <w:rFonts w:ascii="Arial" w:cs="Arial" w:eastAsia="Arial" w:hAnsi="Arial"/>
          <w:sz w:val="12"/>
          <w:szCs w:val="12"/>
          <w:color w:val="FFFFFE"/>
        </w:rPr>
        <w:t xml:space="preserve">PROPOSAL NO. 3 RATIFICATION OF INDEPENDENT REGISTERED PUBLIC ACCOUNTING FIRM FOR THE 2018 FISCAL YEAR </w:t>
      </w:r>
      <w:r>
        <w:rPr>
          <w:rFonts w:ascii="Arial" w:cs="Arial" w:eastAsia="Arial" w:hAnsi="Arial"/>
          <w:sz w:val="12"/>
          <w:szCs w:val="12"/>
          <w:b w:val="1"/>
          <w:bCs w:val="1"/>
          <w:color w:val="FFFFFE"/>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Proposal No. 3</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Ratification of Independent Registered Public</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Accounting Firm for the 2018 Fiscal Year</w:t>
      </w:r>
    </w:p>
    <w:p>
      <w:pPr>
        <w:sectPr>
          <w:pgSz w:w="11900" w:h="16838" w:orient="portrait"/>
          <w:cols w:equalWidth="0" w:num="1">
            <w:col w:w="11340"/>
          </w:cols>
          <w:pgMar w:left="240" w:top="142" w:right="3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Audit Committee appointed the firm of KPMG LLP, an independent registered public accounting firm, to audit the consolidated financial statements of the Company and its subsidiaries for the 2018 fiscal year at a meeting held in February 2018. KPMG LLP has been retained as the Company's independent registered public accounting firm continuously since the Company's initial public offering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July 2013. In accordance with SEC rules and KPMG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KPMG LLP's lead audit partner.</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Audit Committee and the Board believe that the continued retention of KPMG LLP to serve as the Company's independent registered public accounting firm for the 2018 fiscal year is in the best interests of the Company and its stockholders. If the stockholders do not ratify the appointment of KPMG LLP, the Audit Committee will reconsider its selection. Representatives of KPMG LLP are expected to attend the Annual Meeting where they will be available to respond to questions and, if they desire, to make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335280</wp:posOffset>
            </wp:positionV>
            <wp:extent cx="7268210" cy="564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210" cy="564515"/>
                    </a:xfrm>
                    <a:prstGeom prst="rect">
                      <a:avLst/>
                    </a:prstGeom>
                    <a:noFill/>
                  </pic:spPr>
                </pic:pic>
              </a:graphicData>
            </a:graphic>
          </wp:anchor>
        </w:drawing>
      </w:r>
    </w:p>
    <w:p>
      <w:pPr>
        <w:spacing w:after="0" w:line="370" w:lineRule="exact"/>
        <w:rPr>
          <w:sz w:val="20"/>
          <w:szCs w:val="20"/>
          <w:color w:val="auto"/>
        </w:rPr>
      </w:pPr>
    </w:p>
    <w:p>
      <w:pPr>
        <w:sectPr>
          <w:pgSz w:w="11900" w:h="16838" w:orient="portrait"/>
          <w:cols w:equalWidth="0" w:num="2">
            <w:col w:w="5340" w:space="720"/>
            <w:col w:w="5280"/>
          </w:cols>
          <w:pgMar w:left="240" w:top="142" w:right="31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80" w:right="60"/>
        <w:spacing w:after="0" w:line="270" w:lineRule="auto"/>
        <w:rPr>
          <w:sz w:val="20"/>
          <w:szCs w:val="20"/>
          <w:color w:val="auto"/>
        </w:rPr>
      </w:pPr>
      <w:r>
        <w:rPr>
          <w:rFonts w:ascii="Arial" w:cs="Arial" w:eastAsia="Arial" w:hAnsi="Arial"/>
          <w:sz w:val="15"/>
          <w:szCs w:val="15"/>
          <w:b w:val="1"/>
          <w:bCs w:val="1"/>
          <w:color w:val="FFFFFE"/>
        </w:rPr>
        <w:t>The Board recommends a vote "FOR" the ratification of the appointment of KPMG LLP as the Company's independent registered public accounting firm for the 2018 fiscal year. Proxies received by the Board will be voted "FOR" ratification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7273290"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type w:val="continuous"/>
        </w:sectPr>
      </w:pPr>
    </w:p>
    <w:bookmarkStart w:id="24" w:name="page25"/>
    <w:bookmarkEnd w:id="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Executive Officers</w:t>
      </w:r>
    </w:p>
    <w:p>
      <w:pPr>
        <w:spacing w:after="0" w:line="200" w:lineRule="exact"/>
        <w:rPr>
          <w:sz w:val="20"/>
          <w:szCs w:val="20"/>
          <w:color w:val="auto"/>
        </w:rPr>
      </w:pPr>
    </w:p>
    <w:p>
      <w:pPr>
        <w:spacing w:after="0" w:line="380"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Our executive officers are elected by the Board annually to hold office until their successors are elected and qualified. The biographical information for each of the executive officers is provided below.</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Christopher S. Sotos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Age 46</w:t>
      </w:r>
    </w:p>
    <w:p>
      <w:pPr>
        <w:spacing w:after="0"/>
        <w:rPr>
          <w:sz w:val="20"/>
          <w:szCs w:val="20"/>
          <w:color w:val="auto"/>
        </w:rPr>
      </w:pPr>
      <w:r>
        <w:rPr>
          <w:rFonts w:ascii="Arial" w:cs="Arial" w:eastAsia="Arial" w:hAnsi="Arial"/>
          <w:sz w:val="15"/>
          <w:szCs w:val="15"/>
          <w:color w:val="auto"/>
        </w:rPr>
        <w:t>President and Chief Executive Officer</w:t>
      </w:r>
    </w:p>
    <w:p>
      <w:pPr>
        <w:spacing w:after="0" w:line="181" w:lineRule="exact"/>
        <w:rPr>
          <w:sz w:val="20"/>
          <w:szCs w:val="20"/>
          <w:color w:val="auto"/>
        </w:rPr>
      </w:pPr>
    </w:p>
    <w:p>
      <w:pPr>
        <w:ind w:right="360"/>
        <w:spacing w:after="0" w:line="245" w:lineRule="auto"/>
        <w:rPr>
          <w:sz w:val="20"/>
          <w:szCs w:val="20"/>
          <w:color w:val="auto"/>
        </w:rPr>
      </w:pPr>
      <w:r>
        <w:rPr>
          <w:rFonts w:ascii="Arial" w:cs="Arial" w:eastAsia="Arial" w:hAnsi="Arial"/>
          <w:sz w:val="15"/>
          <w:szCs w:val="15"/>
          <w:color w:val="auto"/>
        </w:rPr>
        <w:t>For biographical information for Christopher S. Sotos, see "Proposal No. 1— Nominees for Director."</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Chad Plotkin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Age 43</w:t>
      </w:r>
    </w:p>
    <w:p>
      <w:pPr>
        <w:spacing w:after="0"/>
        <w:rPr>
          <w:sz w:val="20"/>
          <w:szCs w:val="20"/>
          <w:color w:val="auto"/>
        </w:rPr>
      </w:pPr>
      <w:r>
        <w:rPr>
          <w:rFonts w:ascii="Arial" w:cs="Arial" w:eastAsia="Arial" w:hAnsi="Arial"/>
          <w:sz w:val="15"/>
          <w:szCs w:val="15"/>
          <w:color w:val="auto"/>
        </w:rPr>
        <w:t>Senior Vice President and Chief Financial Officer</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Mr. Plotkin has served as our Senior Vice President and Chief Financial Officer since November 2016. Prior to this appointment, he served in various roles at NRG for over nine years, most recently serving as Senior Vice President, Finance and Strategy, of NRG since January 2016. Prior to this, he served in varying capacities at NRG, including as Vice President of Investor Relations of both the Company and NRG from September 2015 to January 2016 and from January 2012 to February 2015 and Vice President of Finance of NRG from February</w:t>
      </w:r>
    </w:p>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2015 to September 2015. From October 2007 to January 2012, Mr. Plotkin served in various capacities in the Strategy and Mergers and Acquisitions group of NRG, including as Vice President, beginning in December 2010.</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David Callen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Age 46</w:t>
      </w:r>
    </w:p>
    <w:p>
      <w:pPr>
        <w:spacing w:after="0"/>
        <w:rPr>
          <w:sz w:val="20"/>
          <w:szCs w:val="20"/>
          <w:color w:val="auto"/>
        </w:rPr>
      </w:pPr>
      <w:r>
        <w:rPr>
          <w:rFonts w:ascii="Arial" w:cs="Arial" w:eastAsia="Arial" w:hAnsi="Arial"/>
          <w:sz w:val="15"/>
          <w:szCs w:val="15"/>
          <w:color w:val="auto"/>
        </w:rPr>
        <w:t>Vice President and Chief Accounting Officer</w:t>
      </w:r>
    </w:p>
    <w:p>
      <w:pPr>
        <w:spacing w:after="0" w:line="181"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Mr. Callen has served as our Vice President and Chief Accounting Officer since March 2015. In this capacity, Mr. Callen is responsible for directing our financial accounting and reporting activities. Mr. Callen also has served as Senior Vice President and Chief Accounting Officer of NRG since February 2016 and Vice President and Chief Accounting Officer from March 2015 to February 2016. Prior to this, Mr. Callen served as NRG's Vice President, Financial Planning &amp; Analysis from November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80"/>
        <w:spacing w:after="0"/>
        <w:rPr>
          <w:sz w:val="20"/>
          <w:szCs w:val="20"/>
          <w:color w:val="auto"/>
        </w:rPr>
      </w:pPr>
      <w:r>
        <w:rPr>
          <w:rFonts w:ascii="Arial" w:cs="Arial" w:eastAsia="Arial" w:hAnsi="Arial"/>
          <w:sz w:val="12"/>
          <w:szCs w:val="12"/>
          <w:color w:val="FFFFFE"/>
        </w:rPr>
        <w:t xml:space="preserve">EXECUTIVE OFFICERS </w:t>
      </w:r>
      <w:r>
        <w:rPr>
          <w:rFonts w:ascii="Arial" w:cs="Arial" w:eastAsia="Arial" w:hAnsi="Arial"/>
          <w:sz w:val="12"/>
          <w:szCs w:val="12"/>
          <w:b w:val="1"/>
          <w:bCs w:val="1"/>
          <w:color w:val="FFFFFE"/>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-363220</wp:posOffset>
            </wp:positionV>
            <wp:extent cx="6840855" cy="21501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2010 to March 2015. He previously served as Director, Finance from October 2007 through October 2010, Director, Financial Reporting from February 2006 through October 2007, and Manager, Accounting Research from September 2004 through February 2006. Prior to NRG, Mr. Callen was an auditor for KPMG LLP in both New York City and Tel Aviv Israel from October 1996 through April 2001.</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David R. Hill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Age 54</w:t>
      </w:r>
    </w:p>
    <w:p>
      <w:pPr>
        <w:spacing w:after="0"/>
        <w:rPr>
          <w:sz w:val="20"/>
          <w:szCs w:val="20"/>
          <w:color w:val="auto"/>
        </w:rPr>
      </w:pPr>
      <w:r>
        <w:rPr>
          <w:rFonts w:ascii="Arial" w:cs="Arial" w:eastAsia="Arial" w:hAnsi="Arial"/>
          <w:sz w:val="15"/>
          <w:szCs w:val="15"/>
          <w:color w:val="auto"/>
        </w:rPr>
        <w:t>Executive Vice President and General Counsel</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Mr. Hill has served as our Executive Vice President and General Counsel since our formation in December 2012. Mr. Hill also has served as Executive Vice President and General Counsel of NRG since September 2012. Prior to joining NRG, Mr. Hill was a partner and co-head of Sidley Austin LLP's global energy practice group from February 2009 to August 2012. Prior to this, Mr. Hill served as General Counsel of the U.S. Department of Energy (DOE) from August 2005 to January 2009 and, for the three years prior to that, as Deputy General Counsel for Energy Policy of the DOE. Before his federal government services, Mr. Hill was a partner at major law firms in Washington D.C. and Kansas City, Missouri, and handled a variety of regulatory, litigation and corporate matters.</w:t>
      </w:r>
    </w:p>
    <w:p>
      <w:pPr>
        <w:spacing w:after="0" w:line="182" w:lineRule="exact"/>
        <w:rPr>
          <w:sz w:val="20"/>
          <w:szCs w:val="20"/>
          <w:color w:val="auto"/>
        </w:rPr>
      </w:pPr>
    </w:p>
    <w:p>
      <w:pPr>
        <w:ind w:right="440"/>
        <w:spacing w:after="0" w:line="245" w:lineRule="auto"/>
        <w:rPr>
          <w:sz w:val="20"/>
          <w:szCs w:val="20"/>
          <w:color w:val="auto"/>
        </w:rPr>
      </w:pPr>
      <w:r>
        <w:rPr>
          <w:rFonts w:ascii="Arial" w:cs="Arial" w:eastAsia="Arial" w:hAnsi="Arial"/>
          <w:sz w:val="15"/>
          <w:szCs w:val="15"/>
          <w:color w:val="auto"/>
        </w:rPr>
        <w:t>Effective March 16, 2018, Mr. Hill will be stepping down from his position as Executive Vice President and General Counsel.</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58844D"/>
        </w:rPr>
        <w:t>Kevin P. Malcarney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Age 51</w:t>
      </w:r>
    </w:p>
    <w:p>
      <w:pPr>
        <w:spacing w:after="0"/>
        <w:rPr>
          <w:sz w:val="20"/>
          <w:szCs w:val="20"/>
          <w:color w:val="auto"/>
        </w:rPr>
      </w:pPr>
      <w:r>
        <w:rPr>
          <w:rFonts w:ascii="Arial" w:cs="Arial" w:eastAsia="Arial" w:hAnsi="Arial"/>
          <w:sz w:val="15"/>
          <w:szCs w:val="15"/>
          <w:color w:val="auto"/>
        </w:rPr>
        <w:t>Interim General Counsel (effective March 16, 2018)</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Mr. Malcarney will serve as Interim General Counsel of the Company effective March 16, 2018. Mr. Malcarney also has served as Vice President and Deputy General Counsel of NRG Energy, Inc. since December 2012 and previously in various roles at NRG since September 2008. Prior to NRG, Mr. Malcarney worked at two major law firms in Princeton, NJ and Philadelphia, PA, and handled mergers and acquisitions, project financing and general corporate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489585</wp:posOffset>
            </wp:positionV>
            <wp:extent cx="727329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0" w:space="700"/>
            <w:col w:w="5380"/>
          </w:cols>
          <w:pgMar w:left="240" w:top="14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980"/>
        <w:spacing w:after="0"/>
        <w:rPr>
          <w:sz w:val="20"/>
          <w:szCs w:val="20"/>
          <w:color w:val="auto"/>
        </w:rPr>
      </w:pPr>
      <w:r>
        <w:rPr>
          <w:rFonts w:ascii="Arial" w:cs="Arial" w:eastAsia="Arial" w:hAnsi="Arial"/>
          <w:sz w:val="12"/>
          <w:szCs w:val="12"/>
          <w:color w:val="FFFFFE"/>
        </w:rPr>
        <w:t xml:space="preserve">STOCK OWNERSHIP OF DIRECTORS, NAMED EXECUTIVE OFFICERS AND CERTAIN BENEFICIAL OWNERS </w:t>
      </w:r>
      <w:r>
        <w:rPr>
          <w:rFonts w:ascii="Arial" w:cs="Arial" w:eastAsia="Arial" w:hAnsi="Arial"/>
          <w:sz w:val="12"/>
          <w:szCs w:val="12"/>
          <w:b w:val="1"/>
          <w:bCs w:val="1"/>
          <w:color w:val="FFFFFE"/>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Stock Ownership of Directors, Named</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Executive Officers and Certain Beneficial Owners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58844D"/>
        </w:rPr>
        <w:t>Stock Ownership of Directors and Executive Officers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34,586,250 shares of Class A common stock outstanding as of March 1, 2018 and 64,730,519 shares of Class C common stock outstanding as of March 1, 2018, and percentage of combined voting power is based on 78,399,694 votes represented by our outstanding Class A, Class B, Class C and Class D common stock in the aggregate as of March 1, 2018. The percentage of beneficial ownership and the percentage of combined voting power also include any shares that such person has the right to acquire within 60 days of March 1, 2018. Unless otherwise indicated, each person has sole voting and dispositive power with respect the shares set forth in the following table.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address of the beneficial owners is NRG Yield, Inc., 804 Carnegie Center, Princeton, New Jersey 08540.</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60" w:type="dxa"/>
            <w:vAlign w:val="bottom"/>
            <w:shd w:val="clear" w:color="auto" w:fill="58854E"/>
          </w:tcPr>
          <w:p>
            <w:pPr>
              <w:spacing w:after="0"/>
              <w:rPr>
                <w:sz w:val="15"/>
                <w:szCs w:val="15"/>
                <w:color w:val="auto"/>
              </w:rPr>
            </w:pPr>
          </w:p>
        </w:tc>
        <w:tc>
          <w:tcPr>
            <w:tcW w:w="3280" w:type="dxa"/>
            <w:vAlign w:val="bottom"/>
            <w:shd w:val="clear" w:color="auto" w:fill="58854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58854E"/>
          </w:tcPr>
          <w:p>
            <w:pPr>
              <w:spacing w:after="0"/>
              <w:rPr>
                <w:sz w:val="15"/>
                <w:szCs w:val="15"/>
                <w:color w:val="auto"/>
              </w:rPr>
            </w:pPr>
          </w:p>
        </w:tc>
        <w:tc>
          <w:tcPr>
            <w:tcW w:w="1960" w:type="dxa"/>
            <w:vAlign w:val="bottom"/>
            <w:gridSpan w:val="2"/>
            <w:shd w:val="clear" w:color="auto" w:fill="58854E"/>
          </w:tcPr>
          <w:p>
            <w:pPr>
              <w:ind w:left="200"/>
              <w:spacing w:after="0"/>
              <w:rPr>
                <w:sz w:val="20"/>
                <w:szCs w:val="20"/>
                <w:color w:val="auto"/>
              </w:rPr>
            </w:pPr>
            <w:r>
              <w:rPr>
                <w:rFonts w:ascii="Arial" w:cs="Arial" w:eastAsia="Arial" w:hAnsi="Arial"/>
                <w:sz w:val="12"/>
                <w:szCs w:val="12"/>
                <w:b w:val="1"/>
                <w:bCs w:val="1"/>
                <w:color w:val="FFFFFE"/>
              </w:rPr>
              <w:t>CLASS A COMMON STOCK</w:t>
            </w:r>
          </w:p>
        </w:tc>
        <w:tc>
          <w:tcPr>
            <w:tcW w:w="140" w:type="dxa"/>
            <w:vAlign w:val="bottom"/>
          </w:tcPr>
          <w:p>
            <w:pPr>
              <w:spacing w:after="0"/>
              <w:rPr>
                <w:sz w:val="15"/>
                <w:szCs w:val="15"/>
                <w:color w:val="auto"/>
              </w:rPr>
            </w:pPr>
          </w:p>
        </w:tc>
        <w:tc>
          <w:tcPr>
            <w:tcW w:w="80" w:type="dxa"/>
            <w:vAlign w:val="bottom"/>
            <w:shd w:val="clear" w:color="auto" w:fill="58854E"/>
          </w:tcPr>
          <w:p>
            <w:pPr>
              <w:spacing w:after="0"/>
              <w:rPr>
                <w:sz w:val="15"/>
                <w:szCs w:val="15"/>
                <w:color w:val="auto"/>
              </w:rPr>
            </w:pPr>
          </w:p>
        </w:tc>
        <w:tc>
          <w:tcPr>
            <w:tcW w:w="2020" w:type="dxa"/>
            <w:vAlign w:val="bottom"/>
            <w:gridSpan w:val="2"/>
            <w:shd w:val="clear" w:color="auto" w:fill="58854E"/>
          </w:tcPr>
          <w:p>
            <w:pPr>
              <w:ind w:left="220"/>
              <w:spacing w:after="0"/>
              <w:rPr>
                <w:sz w:val="20"/>
                <w:szCs w:val="20"/>
                <w:color w:val="auto"/>
              </w:rPr>
            </w:pPr>
            <w:r>
              <w:rPr>
                <w:rFonts w:ascii="Arial" w:cs="Arial" w:eastAsia="Arial" w:hAnsi="Arial"/>
                <w:sz w:val="12"/>
                <w:szCs w:val="12"/>
                <w:b w:val="1"/>
                <w:bCs w:val="1"/>
                <w:color w:val="FFFFFE"/>
              </w:rPr>
              <w:t>CLASS C COMMON STOCK</w:t>
            </w:r>
          </w:p>
        </w:tc>
        <w:tc>
          <w:tcPr>
            <w:tcW w:w="140" w:type="dxa"/>
            <w:vAlign w:val="bottom"/>
          </w:tcPr>
          <w:p>
            <w:pPr>
              <w:spacing w:after="0"/>
              <w:rPr>
                <w:sz w:val="15"/>
                <w:szCs w:val="15"/>
                <w:color w:val="auto"/>
              </w:rPr>
            </w:pPr>
          </w:p>
        </w:tc>
        <w:tc>
          <w:tcPr>
            <w:tcW w:w="1160" w:type="dxa"/>
            <w:vAlign w:val="bottom"/>
            <w:gridSpan w:val="2"/>
            <w:shd w:val="clear" w:color="auto" w:fill="58854E"/>
          </w:tcPr>
          <w:p>
            <w:pPr>
              <w:jc w:val="center"/>
              <w:spacing w:after="0"/>
              <w:rPr>
                <w:sz w:val="20"/>
                <w:szCs w:val="20"/>
                <w:color w:val="auto"/>
              </w:rPr>
            </w:pPr>
            <w:r>
              <w:rPr>
                <w:rFonts w:ascii="Arial" w:cs="Arial" w:eastAsia="Arial" w:hAnsi="Arial"/>
                <w:sz w:val="12"/>
                <w:szCs w:val="12"/>
                <w:b w:val="1"/>
                <w:bCs w:val="1"/>
                <w:color w:val="FFFFFE"/>
              </w:rPr>
              <w:t>COMMON STOCK</w:t>
            </w:r>
          </w:p>
        </w:tc>
        <w:tc>
          <w:tcPr>
            <w:tcW w:w="0" w:type="dxa"/>
            <w:vAlign w:val="bottom"/>
          </w:tcPr>
          <w:p>
            <w:pPr>
              <w:spacing w:after="0"/>
              <w:rPr>
                <w:sz w:val="1"/>
                <w:szCs w:val="1"/>
                <w:color w:val="auto"/>
              </w:rPr>
            </w:pPr>
          </w:p>
        </w:tc>
      </w:tr>
      <w:tr>
        <w:trPr>
          <w:trHeight w:val="141"/>
        </w:trPr>
        <w:tc>
          <w:tcPr>
            <w:tcW w:w="260" w:type="dxa"/>
            <w:vAlign w:val="bottom"/>
            <w:shd w:val="clear" w:color="auto" w:fill="58854E"/>
          </w:tcPr>
          <w:p>
            <w:pPr>
              <w:spacing w:after="0"/>
              <w:rPr>
                <w:sz w:val="12"/>
                <w:szCs w:val="12"/>
                <w:color w:val="auto"/>
              </w:rPr>
            </w:pPr>
          </w:p>
        </w:tc>
        <w:tc>
          <w:tcPr>
            <w:tcW w:w="328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1000" w:type="dxa"/>
            <w:vAlign w:val="bottom"/>
            <w:vMerge w:val="restart"/>
            <w:shd w:val="clear" w:color="auto" w:fill="58854E"/>
          </w:tcPr>
          <w:p>
            <w:pPr>
              <w:jc w:val="right"/>
              <w:ind w:right="195"/>
              <w:spacing w:after="0"/>
              <w:rPr>
                <w:sz w:val="20"/>
                <w:szCs w:val="20"/>
                <w:color w:val="auto"/>
              </w:rPr>
            </w:pPr>
            <w:r>
              <w:rPr>
                <w:rFonts w:ascii="Arial" w:cs="Arial" w:eastAsia="Arial" w:hAnsi="Arial"/>
                <w:sz w:val="12"/>
                <w:szCs w:val="12"/>
                <w:b w:val="1"/>
                <w:bCs w:val="1"/>
                <w:color w:val="FFFFFE"/>
              </w:rPr>
              <w:t>NUMBER</w:t>
            </w:r>
            <w:r>
              <w:rPr>
                <w:rFonts w:ascii="Arial" w:cs="Arial" w:eastAsia="Arial" w:hAnsi="Arial"/>
                <w:sz w:val="18"/>
                <w:szCs w:val="18"/>
                <w:color w:val="FFFFFE"/>
                <w:vertAlign w:val="superscript"/>
              </w:rPr>
              <w:t>1</w:t>
            </w:r>
          </w:p>
        </w:tc>
        <w:tc>
          <w:tcPr>
            <w:tcW w:w="9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 OF CLASS A</w:t>
            </w:r>
          </w:p>
        </w:tc>
        <w:tc>
          <w:tcPr>
            <w:tcW w:w="14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1020" w:type="dxa"/>
            <w:vAlign w:val="bottom"/>
            <w:vMerge w:val="restart"/>
            <w:shd w:val="clear" w:color="auto" w:fill="58854E"/>
          </w:tcPr>
          <w:p>
            <w:pPr>
              <w:jc w:val="right"/>
              <w:ind w:right="215"/>
              <w:spacing w:after="0"/>
              <w:rPr>
                <w:sz w:val="20"/>
                <w:szCs w:val="20"/>
                <w:color w:val="auto"/>
              </w:rPr>
            </w:pPr>
            <w:r>
              <w:rPr>
                <w:rFonts w:ascii="Arial" w:cs="Arial" w:eastAsia="Arial" w:hAnsi="Arial"/>
                <w:sz w:val="12"/>
                <w:szCs w:val="12"/>
                <w:b w:val="1"/>
                <w:bCs w:val="1"/>
                <w:color w:val="FFFFFE"/>
              </w:rPr>
              <w:t>NUMBER</w:t>
            </w:r>
            <w:r>
              <w:rPr>
                <w:rFonts w:ascii="Arial" w:cs="Arial" w:eastAsia="Arial" w:hAnsi="Arial"/>
                <w:sz w:val="18"/>
                <w:szCs w:val="18"/>
                <w:color w:val="FFFFFE"/>
                <w:vertAlign w:val="superscript"/>
              </w:rPr>
              <w:t>1</w:t>
            </w:r>
          </w:p>
        </w:tc>
        <w:tc>
          <w:tcPr>
            <w:tcW w:w="100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 OF CLASS C</w:t>
            </w:r>
          </w:p>
        </w:tc>
        <w:tc>
          <w:tcPr>
            <w:tcW w:w="140" w:type="dxa"/>
            <w:vAlign w:val="bottom"/>
          </w:tcPr>
          <w:p>
            <w:pPr>
              <w:spacing w:after="0"/>
              <w:rPr>
                <w:sz w:val="12"/>
                <w:szCs w:val="12"/>
                <w:color w:val="auto"/>
              </w:rPr>
            </w:pPr>
          </w:p>
        </w:tc>
        <w:tc>
          <w:tcPr>
            <w:tcW w:w="1160" w:type="dxa"/>
            <w:vAlign w:val="bottom"/>
            <w:gridSpan w:val="2"/>
            <w:vMerge w:val="restart"/>
            <w:shd w:val="clear" w:color="auto" w:fill="58854E"/>
          </w:tcPr>
          <w:p>
            <w:pPr>
              <w:jc w:val="center"/>
              <w:spacing w:after="0"/>
              <w:rPr>
                <w:sz w:val="20"/>
                <w:szCs w:val="20"/>
                <w:color w:val="auto"/>
              </w:rPr>
            </w:pPr>
            <w:r>
              <w:rPr>
                <w:rFonts w:ascii="Arial" w:cs="Arial" w:eastAsia="Arial" w:hAnsi="Arial"/>
                <w:sz w:val="12"/>
                <w:szCs w:val="12"/>
                <w:b w:val="1"/>
                <w:bCs w:val="1"/>
                <w:color w:val="FFFFFE"/>
              </w:rPr>
              <w:t>% OF COMBINED</w:t>
            </w:r>
          </w:p>
        </w:tc>
        <w:tc>
          <w:tcPr>
            <w:tcW w:w="0" w:type="dxa"/>
            <w:vAlign w:val="bottom"/>
          </w:tcPr>
          <w:p>
            <w:pPr>
              <w:spacing w:after="0"/>
              <w:rPr>
                <w:sz w:val="1"/>
                <w:szCs w:val="1"/>
                <w:color w:val="auto"/>
              </w:rPr>
            </w:pPr>
          </w:p>
        </w:tc>
      </w:tr>
      <w:tr>
        <w:trPr>
          <w:trHeight w:val="57"/>
        </w:trPr>
        <w:tc>
          <w:tcPr>
            <w:tcW w:w="3540" w:type="dxa"/>
            <w:vAlign w:val="bottom"/>
            <w:gridSpan w:val="2"/>
            <w:vMerge w:val="restart"/>
            <w:shd w:val="clear" w:color="auto" w:fill="58854E"/>
          </w:tcPr>
          <w:p>
            <w:pPr>
              <w:spacing w:after="0"/>
              <w:rPr>
                <w:sz w:val="20"/>
                <w:szCs w:val="20"/>
                <w:color w:val="auto"/>
              </w:rPr>
            </w:pPr>
            <w:r>
              <w:rPr>
                <w:rFonts w:ascii="Arial" w:cs="Arial" w:eastAsia="Arial" w:hAnsi="Arial"/>
                <w:sz w:val="12"/>
                <w:szCs w:val="12"/>
                <w:b w:val="1"/>
                <w:bCs w:val="1"/>
                <w:color w:val="FFFFFE"/>
              </w:rPr>
              <w:t>DIRECTORS AND EXECUTIVE OFFICERS</w:t>
            </w:r>
          </w:p>
        </w:tc>
        <w:tc>
          <w:tcPr>
            <w:tcW w:w="140" w:type="dxa"/>
            <w:vAlign w:val="bottom"/>
          </w:tcPr>
          <w:p>
            <w:pPr>
              <w:spacing w:after="0"/>
              <w:rPr>
                <w:sz w:val="4"/>
                <w:szCs w:val="4"/>
                <w:color w:val="auto"/>
              </w:rPr>
            </w:pPr>
          </w:p>
        </w:tc>
        <w:tc>
          <w:tcPr>
            <w:tcW w:w="80" w:type="dxa"/>
            <w:vAlign w:val="bottom"/>
            <w:shd w:val="clear" w:color="auto" w:fill="58854E"/>
          </w:tcPr>
          <w:p>
            <w:pPr>
              <w:spacing w:after="0"/>
              <w:rPr>
                <w:sz w:val="4"/>
                <w:szCs w:val="4"/>
                <w:color w:val="auto"/>
              </w:rPr>
            </w:pPr>
          </w:p>
        </w:tc>
        <w:tc>
          <w:tcPr>
            <w:tcW w:w="1000" w:type="dxa"/>
            <w:vAlign w:val="bottom"/>
            <w:vMerge w:val="continue"/>
            <w:shd w:val="clear" w:color="auto" w:fill="58854E"/>
          </w:tcPr>
          <w:p>
            <w:pPr>
              <w:spacing w:after="0"/>
              <w:rPr>
                <w:sz w:val="4"/>
                <w:szCs w:val="4"/>
                <w:color w:val="auto"/>
              </w:rPr>
            </w:pPr>
          </w:p>
        </w:tc>
        <w:tc>
          <w:tcPr>
            <w:tcW w:w="960" w:type="dxa"/>
            <w:vAlign w:val="bottom"/>
            <w:vMerge w:val="restart"/>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COMMON</w:t>
            </w:r>
          </w:p>
        </w:tc>
        <w:tc>
          <w:tcPr>
            <w:tcW w:w="140" w:type="dxa"/>
            <w:vAlign w:val="bottom"/>
          </w:tcPr>
          <w:p>
            <w:pPr>
              <w:spacing w:after="0"/>
              <w:rPr>
                <w:sz w:val="4"/>
                <w:szCs w:val="4"/>
                <w:color w:val="auto"/>
              </w:rPr>
            </w:pPr>
          </w:p>
        </w:tc>
        <w:tc>
          <w:tcPr>
            <w:tcW w:w="80" w:type="dxa"/>
            <w:vAlign w:val="bottom"/>
            <w:shd w:val="clear" w:color="auto" w:fill="58854E"/>
          </w:tcPr>
          <w:p>
            <w:pPr>
              <w:spacing w:after="0"/>
              <w:rPr>
                <w:sz w:val="4"/>
                <w:szCs w:val="4"/>
                <w:color w:val="auto"/>
              </w:rPr>
            </w:pPr>
          </w:p>
        </w:tc>
        <w:tc>
          <w:tcPr>
            <w:tcW w:w="1020" w:type="dxa"/>
            <w:vAlign w:val="bottom"/>
            <w:vMerge w:val="continue"/>
            <w:shd w:val="clear" w:color="auto" w:fill="58854E"/>
          </w:tcPr>
          <w:p>
            <w:pPr>
              <w:spacing w:after="0"/>
              <w:rPr>
                <w:sz w:val="4"/>
                <w:szCs w:val="4"/>
                <w:color w:val="auto"/>
              </w:rPr>
            </w:pPr>
          </w:p>
        </w:tc>
        <w:tc>
          <w:tcPr>
            <w:tcW w:w="1000" w:type="dxa"/>
            <w:vAlign w:val="bottom"/>
            <w:vMerge w:val="restart"/>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COMMON</w:t>
            </w:r>
          </w:p>
        </w:tc>
        <w:tc>
          <w:tcPr>
            <w:tcW w:w="140" w:type="dxa"/>
            <w:vAlign w:val="bottom"/>
          </w:tcPr>
          <w:p>
            <w:pPr>
              <w:spacing w:after="0"/>
              <w:rPr>
                <w:sz w:val="4"/>
                <w:szCs w:val="4"/>
                <w:color w:val="auto"/>
              </w:rPr>
            </w:pPr>
          </w:p>
        </w:tc>
        <w:tc>
          <w:tcPr>
            <w:tcW w:w="1160" w:type="dxa"/>
            <w:vAlign w:val="bottom"/>
            <w:gridSpan w:val="2"/>
            <w:vMerge w:val="continue"/>
            <w:shd w:val="clear" w:color="auto" w:fill="58854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540" w:type="dxa"/>
            <w:vAlign w:val="bottom"/>
            <w:gridSpan w:val="2"/>
            <w:vMerge w:val="continue"/>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1000" w:type="dxa"/>
            <w:vAlign w:val="bottom"/>
            <w:vMerge w:val="continue"/>
            <w:shd w:val="clear" w:color="auto" w:fill="58854E"/>
          </w:tcPr>
          <w:p>
            <w:pPr>
              <w:spacing w:after="0"/>
              <w:rPr>
                <w:sz w:val="10"/>
                <w:szCs w:val="10"/>
                <w:color w:val="auto"/>
              </w:rPr>
            </w:pPr>
          </w:p>
        </w:tc>
        <w:tc>
          <w:tcPr>
            <w:tcW w:w="960" w:type="dxa"/>
            <w:vAlign w:val="bottom"/>
            <w:vMerge w:val="continue"/>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1020" w:type="dxa"/>
            <w:vAlign w:val="bottom"/>
            <w:vMerge w:val="continue"/>
            <w:shd w:val="clear" w:color="auto" w:fill="58854E"/>
          </w:tcPr>
          <w:p>
            <w:pPr>
              <w:spacing w:after="0"/>
              <w:rPr>
                <w:sz w:val="10"/>
                <w:szCs w:val="10"/>
                <w:color w:val="auto"/>
              </w:rPr>
            </w:pPr>
          </w:p>
        </w:tc>
        <w:tc>
          <w:tcPr>
            <w:tcW w:w="1000" w:type="dxa"/>
            <w:vAlign w:val="bottom"/>
            <w:vMerge w:val="continue"/>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shd w:val="clear" w:color="auto" w:fill="58854E"/>
          </w:tcPr>
          <w:p>
            <w:pPr>
              <w:jc w:val="center"/>
              <w:spacing w:after="0" w:line="124" w:lineRule="exact"/>
              <w:rPr>
                <w:sz w:val="20"/>
                <w:szCs w:val="20"/>
                <w:color w:val="auto"/>
              </w:rPr>
            </w:pPr>
            <w:r>
              <w:rPr>
                <w:rFonts w:ascii="Arial" w:cs="Arial" w:eastAsia="Arial" w:hAnsi="Arial"/>
                <w:sz w:val="10"/>
                <w:szCs w:val="10"/>
                <w:b w:val="1"/>
                <w:bCs w:val="1"/>
                <w:color w:val="FFFFFE"/>
              </w:rPr>
              <w:t>VOTING POWER</w:t>
            </w:r>
            <w:r>
              <w:rPr>
                <w:rFonts w:ascii="Arial" w:cs="Arial" w:eastAsia="Arial" w:hAnsi="Arial"/>
                <w:sz w:val="14"/>
                <w:szCs w:val="14"/>
                <w:color w:val="FFFFFE"/>
                <w:vertAlign w:val="superscript"/>
              </w:rPr>
              <w:t>2</w:t>
            </w:r>
          </w:p>
        </w:tc>
        <w:tc>
          <w:tcPr>
            <w:tcW w:w="0" w:type="dxa"/>
            <w:vAlign w:val="bottom"/>
          </w:tcPr>
          <w:p>
            <w:pPr>
              <w:spacing w:after="0"/>
              <w:rPr>
                <w:sz w:val="1"/>
                <w:szCs w:val="1"/>
                <w:color w:val="auto"/>
              </w:rPr>
            </w:pPr>
          </w:p>
        </w:tc>
      </w:tr>
      <w:tr>
        <w:trPr>
          <w:trHeight w:val="103"/>
        </w:trPr>
        <w:tc>
          <w:tcPr>
            <w:tcW w:w="260" w:type="dxa"/>
            <w:vAlign w:val="bottom"/>
            <w:shd w:val="clear" w:color="auto" w:fill="58854E"/>
          </w:tcPr>
          <w:p>
            <w:pPr>
              <w:spacing w:after="0"/>
              <w:rPr>
                <w:sz w:val="8"/>
                <w:szCs w:val="8"/>
                <w:color w:val="auto"/>
              </w:rPr>
            </w:pPr>
          </w:p>
        </w:tc>
        <w:tc>
          <w:tcPr>
            <w:tcW w:w="3280" w:type="dxa"/>
            <w:vAlign w:val="bottom"/>
            <w:shd w:val="clear" w:color="auto" w:fill="58854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shd w:val="clear" w:color="auto" w:fill="58854E"/>
          </w:tcPr>
          <w:p>
            <w:pPr>
              <w:spacing w:after="0"/>
              <w:rPr>
                <w:sz w:val="8"/>
                <w:szCs w:val="8"/>
                <w:color w:val="auto"/>
              </w:rPr>
            </w:pPr>
          </w:p>
        </w:tc>
        <w:tc>
          <w:tcPr>
            <w:tcW w:w="1000" w:type="dxa"/>
            <w:vAlign w:val="bottom"/>
            <w:shd w:val="clear" w:color="auto" w:fill="58854E"/>
          </w:tcPr>
          <w:p>
            <w:pPr>
              <w:spacing w:after="0"/>
              <w:rPr>
                <w:sz w:val="8"/>
                <w:szCs w:val="8"/>
                <w:color w:val="auto"/>
              </w:rPr>
            </w:pPr>
          </w:p>
        </w:tc>
        <w:tc>
          <w:tcPr>
            <w:tcW w:w="960" w:type="dxa"/>
            <w:vAlign w:val="bottom"/>
            <w:shd w:val="clear" w:color="auto" w:fill="58854E"/>
          </w:tcPr>
          <w:p>
            <w:pPr>
              <w:jc w:val="center"/>
              <w:spacing w:after="0" w:line="103" w:lineRule="exact"/>
              <w:rPr>
                <w:sz w:val="20"/>
                <w:szCs w:val="20"/>
                <w:color w:val="auto"/>
              </w:rPr>
            </w:pPr>
            <w:r>
              <w:rPr>
                <w:rFonts w:ascii="Arial" w:cs="Arial" w:eastAsia="Arial" w:hAnsi="Arial"/>
                <w:sz w:val="11"/>
                <w:szCs w:val="11"/>
                <w:b w:val="1"/>
                <w:bCs w:val="1"/>
                <w:color w:val="FFFFFE"/>
              </w:rPr>
              <w:t>STOCK</w:t>
            </w:r>
          </w:p>
        </w:tc>
        <w:tc>
          <w:tcPr>
            <w:tcW w:w="140" w:type="dxa"/>
            <w:vAlign w:val="bottom"/>
          </w:tcPr>
          <w:p>
            <w:pPr>
              <w:spacing w:after="0"/>
              <w:rPr>
                <w:sz w:val="8"/>
                <w:szCs w:val="8"/>
                <w:color w:val="auto"/>
              </w:rPr>
            </w:pPr>
          </w:p>
        </w:tc>
        <w:tc>
          <w:tcPr>
            <w:tcW w:w="80" w:type="dxa"/>
            <w:vAlign w:val="bottom"/>
            <w:shd w:val="clear" w:color="auto" w:fill="58854E"/>
          </w:tcPr>
          <w:p>
            <w:pPr>
              <w:spacing w:after="0"/>
              <w:rPr>
                <w:sz w:val="8"/>
                <w:szCs w:val="8"/>
                <w:color w:val="auto"/>
              </w:rPr>
            </w:pPr>
          </w:p>
        </w:tc>
        <w:tc>
          <w:tcPr>
            <w:tcW w:w="1020" w:type="dxa"/>
            <w:vAlign w:val="bottom"/>
            <w:shd w:val="clear" w:color="auto" w:fill="58854E"/>
          </w:tcPr>
          <w:p>
            <w:pPr>
              <w:spacing w:after="0"/>
              <w:rPr>
                <w:sz w:val="8"/>
                <w:szCs w:val="8"/>
                <w:color w:val="auto"/>
              </w:rPr>
            </w:pPr>
          </w:p>
        </w:tc>
        <w:tc>
          <w:tcPr>
            <w:tcW w:w="1000" w:type="dxa"/>
            <w:vAlign w:val="bottom"/>
            <w:shd w:val="clear" w:color="auto" w:fill="58854E"/>
          </w:tcPr>
          <w:p>
            <w:pPr>
              <w:jc w:val="center"/>
              <w:spacing w:after="0" w:line="103" w:lineRule="exact"/>
              <w:rPr>
                <w:sz w:val="20"/>
                <w:szCs w:val="20"/>
                <w:color w:val="auto"/>
              </w:rPr>
            </w:pPr>
            <w:r>
              <w:rPr>
                <w:rFonts w:ascii="Arial" w:cs="Arial" w:eastAsia="Arial" w:hAnsi="Arial"/>
                <w:sz w:val="11"/>
                <w:szCs w:val="11"/>
                <w:b w:val="1"/>
                <w:bCs w:val="1"/>
                <w:color w:val="FFFFFE"/>
              </w:rPr>
              <w:t>STOCK</w:t>
            </w:r>
          </w:p>
        </w:tc>
        <w:tc>
          <w:tcPr>
            <w:tcW w:w="140" w:type="dxa"/>
            <w:vAlign w:val="bottom"/>
          </w:tcPr>
          <w:p>
            <w:pPr>
              <w:spacing w:after="0"/>
              <w:rPr>
                <w:sz w:val="8"/>
                <w:szCs w:val="8"/>
                <w:color w:val="auto"/>
              </w:rPr>
            </w:pPr>
          </w:p>
        </w:tc>
        <w:tc>
          <w:tcPr>
            <w:tcW w:w="1040" w:type="dxa"/>
            <w:vAlign w:val="bottom"/>
            <w:shd w:val="clear" w:color="auto" w:fill="58854E"/>
          </w:tcPr>
          <w:p>
            <w:pPr>
              <w:spacing w:after="0"/>
              <w:rPr>
                <w:sz w:val="8"/>
                <w:szCs w:val="8"/>
                <w:color w:val="auto"/>
              </w:rPr>
            </w:pPr>
          </w:p>
        </w:tc>
        <w:tc>
          <w:tcPr>
            <w:tcW w:w="120" w:type="dxa"/>
            <w:vAlign w:val="bottom"/>
            <w:shd w:val="clear" w:color="auto" w:fill="58854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680" w:type="dxa"/>
            <w:vAlign w:val="bottom"/>
            <w:tcBorders>
              <w:bottom w:val="single" w:sz="8" w:color="58854E"/>
            </w:tcBorders>
            <w:gridSpan w:val="3"/>
          </w:tcPr>
          <w:p>
            <w:pPr>
              <w:spacing w:after="0"/>
              <w:rPr>
                <w:sz w:val="20"/>
                <w:szCs w:val="20"/>
                <w:color w:val="auto"/>
              </w:rPr>
            </w:pPr>
            <w:r>
              <w:rPr>
                <w:rFonts w:ascii="Arial" w:cs="Arial" w:eastAsia="Arial" w:hAnsi="Arial"/>
                <w:sz w:val="15"/>
                <w:szCs w:val="15"/>
                <w:color w:val="auto"/>
              </w:rPr>
              <w:t>Mauricio Gutierrez</w:t>
            </w:r>
          </w:p>
        </w:tc>
        <w:tc>
          <w:tcPr>
            <w:tcW w:w="1080" w:type="dxa"/>
            <w:vAlign w:val="bottom"/>
            <w:tcBorders>
              <w:bottom w:val="single" w:sz="8" w:color="58854E"/>
            </w:tcBorders>
            <w:gridSpan w:val="2"/>
          </w:tcPr>
          <w:p>
            <w:pPr>
              <w:jc w:val="right"/>
              <w:ind w:right="35"/>
              <w:spacing w:after="0"/>
              <w:rPr>
                <w:sz w:val="20"/>
                <w:szCs w:val="20"/>
                <w:color w:val="auto"/>
              </w:rPr>
            </w:pPr>
            <w:r>
              <w:rPr>
                <w:rFonts w:ascii="Arial" w:cs="Arial" w:eastAsia="Arial" w:hAnsi="Arial"/>
                <w:sz w:val="15"/>
                <w:szCs w:val="15"/>
                <w:color w:val="auto"/>
              </w:rPr>
              <w:t>6,000</w:t>
            </w:r>
          </w:p>
        </w:tc>
        <w:tc>
          <w:tcPr>
            <w:tcW w:w="96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240" w:type="dxa"/>
            <w:vAlign w:val="bottom"/>
            <w:tcBorders>
              <w:bottom w:val="single" w:sz="8" w:color="58854E"/>
            </w:tcBorders>
            <w:gridSpan w:val="3"/>
          </w:tcPr>
          <w:p>
            <w:pPr>
              <w:jc w:val="right"/>
              <w:ind w:right="55"/>
              <w:spacing w:after="0"/>
              <w:rPr>
                <w:sz w:val="20"/>
                <w:szCs w:val="20"/>
                <w:color w:val="auto"/>
              </w:rPr>
            </w:pPr>
            <w:r>
              <w:rPr>
                <w:rFonts w:ascii="Arial" w:cs="Arial" w:eastAsia="Arial" w:hAnsi="Arial"/>
                <w:sz w:val="15"/>
                <w:szCs w:val="15"/>
                <w:color w:val="auto"/>
              </w:rPr>
              <w:t>6,000</w:t>
            </w:r>
          </w:p>
        </w:tc>
        <w:tc>
          <w:tcPr>
            <w:tcW w:w="100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Borders>
              <w:bottom w:val="single" w:sz="8" w:color="58854E"/>
            </w:tcBorders>
          </w:tcPr>
          <w:p>
            <w:pPr>
              <w:spacing w:after="0"/>
              <w:rPr>
                <w:sz w:val="15"/>
                <w:szCs w:val="15"/>
                <w:color w:val="auto"/>
              </w:rPr>
            </w:pPr>
          </w:p>
        </w:tc>
        <w:tc>
          <w:tcPr>
            <w:tcW w:w="1160" w:type="dxa"/>
            <w:vAlign w:val="bottom"/>
            <w:tcBorders>
              <w:bottom w:val="single" w:sz="8" w:color="58854E"/>
            </w:tcBorders>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58854E"/>
            </w:tcBorders>
            <w:gridSpan w:val="3"/>
          </w:tcPr>
          <w:p>
            <w:pPr>
              <w:spacing w:after="0"/>
              <w:rPr>
                <w:sz w:val="20"/>
                <w:szCs w:val="20"/>
                <w:color w:val="auto"/>
              </w:rPr>
            </w:pPr>
            <w:r>
              <w:rPr>
                <w:rFonts w:ascii="Arial" w:cs="Arial" w:eastAsia="Arial" w:hAnsi="Arial"/>
                <w:sz w:val="15"/>
                <w:szCs w:val="15"/>
                <w:color w:val="auto"/>
              </w:rPr>
              <w:t>Christopher S. Sotos</w:t>
            </w:r>
          </w:p>
        </w:tc>
        <w:tc>
          <w:tcPr>
            <w:tcW w:w="1080" w:type="dxa"/>
            <w:vAlign w:val="bottom"/>
            <w:tcBorders>
              <w:bottom w:val="single" w:sz="8" w:color="58854E"/>
            </w:tcBorders>
            <w:gridSpan w:val="2"/>
          </w:tcPr>
          <w:p>
            <w:pPr>
              <w:jc w:val="right"/>
              <w:ind w:right="35"/>
              <w:spacing w:after="0"/>
              <w:rPr>
                <w:sz w:val="20"/>
                <w:szCs w:val="20"/>
                <w:color w:val="auto"/>
              </w:rPr>
            </w:pPr>
            <w:r>
              <w:rPr>
                <w:rFonts w:ascii="Arial" w:cs="Arial" w:eastAsia="Arial" w:hAnsi="Arial"/>
                <w:sz w:val="15"/>
                <w:szCs w:val="15"/>
                <w:color w:val="auto"/>
              </w:rPr>
              <w:t>10,400</w:t>
            </w:r>
          </w:p>
        </w:tc>
        <w:tc>
          <w:tcPr>
            <w:tcW w:w="96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240" w:type="dxa"/>
            <w:vAlign w:val="bottom"/>
            <w:tcBorders>
              <w:bottom w:val="single" w:sz="8" w:color="58854E"/>
            </w:tcBorders>
            <w:gridSpan w:val="3"/>
          </w:tcPr>
          <w:p>
            <w:pPr>
              <w:jc w:val="right"/>
              <w:spacing w:after="0" w:line="174" w:lineRule="exact"/>
              <w:rPr>
                <w:sz w:val="20"/>
                <w:szCs w:val="20"/>
                <w:color w:val="auto"/>
              </w:rPr>
            </w:pPr>
            <w:r>
              <w:rPr>
                <w:rFonts w:ascii="Arial" w:cs="Arial" w:eastAsia="Arial" w:hAnsi="Arial"/>
                <w:sz w:val="15"/>
                <w:szCs w:val="15"/>
                <w:color w:val="auto"/>
              </w:rPr>
              <w:t>26,900</w:t>
            </w:r>
            <w:r>
              <w:rPr>
                <w:rFonts w:ascii="Arial" w:cs="Arial" w:eastAsia="Arial" w:hAnsi="Arial"/>
                <w:sz w:val="18"/>
                <w:szCs w:val="18"/>
                <w:color w:val="58844D"/>
                <w:vertAlign w:val="superscript"/>
              </w:rPr>
              <w:t>3</w:t>
            </w:r>
          </w:p>
        </w:tc>
        <w:tc>
          <w:tcPr>
            <w:tcW w:w="100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Borders>
              <w:bottom w:val="single" w:sz="8" w:color="58854E"/>
            </w:tcBorders>
          </w:tcPr>
          <w:p>
            <w:pPr>
              <w:spacing w:after="0"/>
              <w:rPr>
                <w:sz w:val="15"/>
                <w:szCs w:val="15"/>
                <w:color w:val="auto"/>
              </w:rPr>
            </w:pPr>
          </w:p>
        </w:tc>
        <w:tc>
          <w:tcPr>
            <w:tcW w:w="1160" w:type="dxa"/>
            <w:vAlign w:val="bottom"/>
            <w:tcBorders>
              <w:bottom w:val="single" w:sz="8" w:color="58854E"/>
            </w:tcBorders>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58854E"/>
            </w:tcBorders>
            <w:gridSpan w:val="3"/>
          </w:tcPr>
          <w:p>
            <w:pPr>
              <w:spacing w:after="0"/>
              <w:rPr>
                <w:sz w:val="20"/>
                <w:szCs w:val="20"/>
                <w:color w:val="auto"/>
              </w:rPr>
            </w:pPr>
            <w:r>
              <w:rPr>
                <w:rFonts w:ascii="Arial" w:cs="Arial" w:eastAsia="Arial" w:hAnsi="Arial"/>
                <w:sz w:val="15"/>
                <w:szCs w:val="15"/>
                <w:color w:val="auto"/>
              </w:rPr>
              <w:t>Chad Plotkin</w:t>
            </w:r>
          </w:p>
        </w:tc>
        <w:tc>
          <w:tcPr>
            <w:tcW w:w="1080" w:type="dxa"/>
            <w:vAlign w:val="bottom"/>
            <w:tcBorders>
              <w:bottom w:val="single" w:sz="8" w:color="58854E"/>
            </w:tcBorders>
            <w:gridSpan w:val="2"/>
          </w:tcPr>
          <w:p>
            <w:pPr>
              <w:jc w:val="right"/>
              <w:ind w:right="35"/>
              <w:spacing w:after="0"/>
              <w:rPr>
                <w:sz w:val="20"/>
                <w:szCs w:val="20"/>
                <w:color w:val="auto"/>
              </w:rPr>
            </w:pPr>
            <w:r>
              <w:rPr>
                <w:rFonts w:ascii="Arial" w:cs="Arial" w:eastAsia="Arial" w:hAnsi="Arial"/>
                <w:sz w:val="15"/>
                <w:szCs w:val="15"/>
                <w:color w:val="auto"/>
              </w:rPr>
              <w:t>2,747</w:t>
            </w:r>
          </w:p>
        </w:tc>
        <w:tc>
          <w:tcPr>
            <w:tcW w:w="96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240" w:type="dxa"/>
            <w:vAlign w:val="bottom"/>
            <w:tcBorders>
              <w:bottom w:val="single" w:sz="8" w:color="58854E"/>
            </w:tcBorders>
            <w:gridSpan w:val="3"/>
          </w:tcPr>
          <w:p>
            <w:pPr>
              <w:jc w:val="right"/>
              <w:spacing w:after="0" w:line="174" w:lineRule="exact"/>
              <w:rPr>
                <w:sz w:val="20"/>
                <w:szCs w:val="20"/>
                <w:color w:val="auto"/>
              </w:rPr>
            </w:pPr>
            <w:r>
              <w:rPr>
                <w:rFonts w:ascii="Arial" w:cs="Arial" w:eastAsia="Arial" w:hAnsi="Arial"/>
                <w:sz w:val="15"/>
                <w:szCs w:val="15"/>
                <w:color w:val="auto"/>
              </w:rPr>
              <w:t>9,616</w:t>
            </w:r>
            <w:r>
              <w:rPr>
                <w:rFonts w:ascii="Arial" w:cs="Arial" w:eastAsia="Arial" w:hAnsi="Arial"/>
                <w:sz w:val="18"/>
                <w:szCs w:val="18"/>
                <w:color w:val="58844D"/>
                <w:vertAlign w:val="superscript"/>
              </w:rPr>
              <w:t>4</w:t>
            </w:r>
          </w:p>
        </w:tc>
        <w:tc>
          <w:tcPr>
            <w:tcW w:w="100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Borders>
              <w:bottom w:val="single" w:sz="8" w:color="58854E"/>
            </w:tcBorders>
          </w:tcPr>
          <w:p>
            <w:pPr>
              <w:spacing w:after="0"/>
              <w:rPr>
                <w:sz w:val="15"/>
                <w:szCs w:val="15"/>
                <w:color w:val="auto"/>
              </w:rPr>
            </w:pPr>
          </w:p>
        </w:tc>
        <w:tc>
          <w:tcPr>
            <w:tcW w:w="1160" w:type="dxa"/>
            <w:vAlign w:val="bottom"/>
            <w:tcBorders>
              <w:bottom w:val="single" w:sz="8" w:color="58854E"/>
            </w:tcBorders>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58854E"/>
            </w:tcBorders>
            <w:gridSpan w:val="3"/>
          </w:tcPr>
          <w:p>
            <w:pPr>
              <w:spacing w:after="0"/>
              <w:rPr>
                <w:sz w:val="20"/>
                <w:szCs w:val="20"/>
                <w:color w:val="auto"/>
              </w:rPr>
            </w:pPr>
            <w:r>
              <w:rPr>
                <w:rFonts w:ascii="Arial" w:cs="Arial" w:eastAsia="Arial" w:hAnsi="Arial"/>
                <w:sz w:val="15"/>
                <w:szCs w:val="15"/>
                <w:color w:val="auto"/>
              </w:rPr>
              <w:t>Kirkland B. Andrews</w:t>
            </w:r>
          </w:p>
        </w:tc>
        <w:tc>
          <w:tcPr>
            <w:tcW w:w="1080" w:type="dxa"/>
            <w:vAlign w:val="bottom"/>
            <w:tcBorders>
              <w:bottom w:val="single" w:sz="8" w:color="58854E"/>
            </w:tcBorders>
            <w:gridSpan w:val="2"/>
          </w:tcPr>
          <w:p>
            <w:pPr>
              <w:jc w:val="right"/>
              <w:ind w:right="35"/>
              <w:spacing w:after="0"/>
              <w:rPr>
                <w:sz w:val="20"/>
                <w:szCs w:val="20"/>
                <w:color w:val="auto"/>
              </w:rPr>
            </w:pPr>
            <w:r>
              <w:rPr>
                <w:rFonts w:ascii="Arial" w:cs="Arial" w:eastAsia="Arial" w:hAnsi="Arial"/>
                <w:sz w:val="15"/>
                <w:szCs w:val="15"/>
                <w:color w:val="auto"/>
              </w:rPr>
              <w:t>5,000</w:t>
            </w:r>
          </w:p>
        </w:tc>
        <w:tc>
          <w:tcPr>
            <w:tcW w:w="96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240" w:type="dxa"/>
            <w:vAlign w:val="bottom"/>
            <w:tcBorders>
              <w:bottom w:val="single" w:sz="8" w:color="58854E"/>
            </w:tcBorders>
            <w:gridSpan w:val="3"/>
          </w:tcPr>
          <w:p>
            <w:pPr>
              <w:jc w:val="right"/>
              <w:ind w:right="55"/>
              <w:spacing w:after="0"/>
              <w:rPr>
                <w:sz w:val="20"/>
                <w:szCs w:val="20"/>
                <w:color w:val="auto"/>
              </w:rPr>
            </w:pPr>
            <w:r>
              <w:rPr>
                <w:rFonts w:ascii="Arial" w:cs="Arial" w:eastAsia="Arial" w:hAnsi="Arial"/>
                <w:sz w:val="15"/>
                <w:szCs w:val="15"/>
                <w:color w:val="auto"/>
              </w:rPr>
              <w:t>5,000</w:t>
            </w:r>
          </w:p>
        </w:tc>
        <w:tc>
          <w:tcPr>
            <w:tcW w:w="100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Borders>
              <w:bottom w:val="single" w:sz="8" w:color="58854E"/>
            </w:tcBorders>
          </w:tcPr>
          <w:p>
            <w:pPr>
              <w:spacing w:after="0"/>
              <w:rPr>
                <w:sz w:val="15"/>
                <w:szCs w:val="15"/>
                <w:color w:val="auto"/>
              </w:rPr>
            </w:pPr>
          </w:p>
        </w:tc>
        <w:tc>
          <w:tcPr>
            <w:tcW w:w="1160" w:type="dxa"/>
            <w:vAlign w:val="bottom"/>
            <w:tcBorders>
              <w:bottom w:val="single" w:sz="8" w:color="58854E"/>
            </w:tcBorders>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58854E"/>
            </w:tcBorders>
            <w:gridSpan w:val="3"/>
          </w:tcPr>
          <w:p>
            <w:pPr>
              <w:spacing w:after="0"/>
              <w:rPr>
                <w:sz w:val="20"/>
                <w:szCs w:val="20"/>
                <w:color w:val="auto"/>
              </w:rPr>
            </w:pPr>
            <w:r>
              <w:rPr>
                <w:rFonts w:ascii="Arial" w:cs="Arial" w:eastAsia="Arial" w:hAnsi="Arial"/>
                <w:sz w:val="15"/>
                <w:szCs w:val="15"/>
                <w:color w:val="auto"/>
              </w:rPr>
              <w:t>John Chillemi</w:t>
            </w:r>
          </w:p>
        </w:tc>
        <w:tc>
          <w:tcPr>
            <w:tcW w:w="80" w:type="dxa"/>
            <w:vAlign w:val="bottom"/>
            <w:tcBorders>
              <w:bottom w:val="single" w:sz="8" w:color="58854E"/>
            </w:tcBorders>
          </w:tcPr>
          <w:p>
            <w:pPr>
              <w:spacing w:after="0"/>
              <w:rPr>
                <w:sz w:val="15"/>
                <w:szCs w:val="15"/>
                <w:color w:val="auto"/>
              </w:rPr>
            </w:pPr>
          </w:p>
        </w:tc>
        <w:tc>
          <w:tcPr>
            <w:tcW w:w="1000" w:type="dxa"/>
            <w:vAlign w:val="bottom"/>
            <w:tcBorders>
              <w:bottom w:val="single" w:sz="8" w:color="58854E"/>
            </w:tcBorders>
          </w:tcPr>
          <w:p>
            <w:pPr>
              <w:jc w:val="right"/>
              <w:ind w:right="3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4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1020" w:type="dxa"/>
            <w:vAlign w:val="bottom"/>
            <w:tcBorders>
              <w:bottom w:val="single" w:sz="8" w:color="58854E"/>
            </w:tcBorders>
          </w:tcPr>
          <w:p>
            <w:pPr>
              <w:jc w:val="right"/>
              <w:ind w:right="55"/>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Borders>
              <w:bottom w:val="single" w:sz="8" w:color="58854E"/>
            </w:tcBorders>
          </w:tcPr>
          <w:p>
            <w:pPr>
              <w:spacing w:after="0"/>
              <w:rPr>
                <w:sz w:val="15"/>
                <w:szCs w:val="15"/>
                <w:color w:val="auto"/>
              </w:rPr>
            </w:pPr>
          </w:p>
        </w:tc>
        <w:tc>
          <w:tcPr>
            <w:tcW w:w="1160" w:type="dxa"/>
            <w:vAlign w:val="bottom"/>
            <w:tcBorders>
              <w:bottom w:val="single" w:sz="8" w:color="58854E"/>
            </w:tcBorders>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58854E"/>
            </w:tcBorders>
            <w:gridSpan w:val="3"/>
          </w:tcPr>
          <w:p>
            <w:pPr>
              <w:spacing w:after="0"/>
              <w:rPr>
                <w:sz w:val="20"/>
                <w:szCs w:val="20"/>
                <w:color w:val="auto"/>
              </w:rPr>
            </w:pPr>
            <w:r>
              <w:rPr>
                <w:rFonts w:ascii="Arial" w:cs="Arial" w:eastAsia="Arial" w:hAnsi="Arial"/>
                <w:sz w:val="15"/>
                <w:szCs w:val="15"/>
                <w:color w:val="auto"/>
              </w:rPr>
              <w:t>John F. Chlebowski</w:t>
            </w:r>
          </w:p>
        </w:tc>
        <w:tc>
          <w:tcPr>
            <w:tcW w:w="1080" w:type="dxa"/>
            <w:vAlign w:val="bottom"/>
            <w:tcBorders>
              <w:bottom w:val="single" w:sz="8" w:color="58854E"/>
            </w:tcBorders>
            <w:gridSpan w:val="2"/>
          </w:tcPr>
          <w:p>
            <w:pPr>
              <w:jc w:val="right"/>
              <w:spacing w:after="0" w:line="174" w:lineRule="exact"/>
              <w:rPr>
                <w:sz w:val="20"/>
                <w:szCs w:val="20"/>
                <w:color w:val="auto"/>
              </w:rPr>
            </w:pPr>
            <w:r>
              <w:rPr>
                <w:rFonts w:ascii="Arial" w:cs="Arial" w:eastAsia="Arial" w:hAnsi="Arial"/>
                <w:sz w:val="15"/>
                <w:szCs w:val="15"/>
                <w:color w:val="auto"/>
              </w:rPr>
              <w:t>22,712</w:t>
            </w:r>
            <w:r>
              <w:rPr>
                <w:rFonts w:ascii="Arial" w:cs="Arial" w:eastAsia="Arial" w:hAnsi="Arial"/>
                <w:sz w:val="18"/>
                <w:szCs w:val="18"/>
                <w:color w:val="58844D"/>
                <w:vertAlign w:val="superscript"/>
              </w:rPr>
              <w:t>5</w:t>
            </w:r>
          </w:p>
        </w:tc>
        <w:tc>
          <w:tcPr>
            <w:tcW w:w="96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240" w:type="dxa"/>
            <w:vAlign w:val="bottom"/>
            <w:tcBorders>
              <w:bottom w:val="single" w:sz="8" w:color="58854E"/>
            </w:tcBorders>
            <w:gridSpan w:val="3"/>
          </w:tcPr>
          <w:p>
            <w:pPr>
              <w:jc w:val="right"/>
              <w:spacing w:after="0" w:line="174" w:lineRule="exact"/>
              <w:rPr>
                <w:sz w:val="20"/>
                <w:szCs w:val="20"/>
                <w:color w:val="auto"/>
              </w:rPr>
            </w:pPr>
            <w:r>
              <w:rPr>
                <w:rFonts w:ascii="Arial" w:cs="Arial" w:eastAsia="Arial" w:hAnsi="Arial"/>
                <w:sz w:val="15"/>
                <w:szCs w:val="15"/>
                <w:color w:val="auto"/>
              </w:rPr>
              <w:t>50,822</w:t>
            </w:r>
            <w:r>
              <w:rPr>
                <w:rFonts w:ascii="Arial" w:cs="Arial" w:eastAsia="Arial" w:hAnsi="Arial"/>
                <w:sz w:val="18"/>
                <w:szCs w:val="18"/>
                <w:color w:val="58844D"/>
                <w:vertAlign w:val="superscript"/>
              </w:rPr>
              <w:t>5</w:t>
            </w:r>
          </w:p>
        </w:tc>
        <w:tc>
          <w:tcPr>
            <w:tcW w:w="100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Borders>
              <w:bottom w:val="single" w:sz="8" w:color="58854E"/>
            </w:tcBorders>
          </w:tcPr>
          <w:p>
            <w:pPr>
              <w:spacing w:after="0"/>
              <w:rPr>
                <w:sz w:val="15"/>
                <w:szCs w:val="15"/>
                <w:color w:val="auto"/>
              </w:rPr>
            </w:pPr>
          </w:p>
        </w:tc>
        <w:tc>
          <w:tcPr>
            <w:tcW w:w="1160" w:type="dxa"/>
            <w:vAlign w:val="bottom"/>
            <w:tcBorders>
              <w:bottom w:val="single" w:sz="8" w:color="58854E"/>
            </w:tcBorders>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58854E"/>
            </w:tcBorders>
            <w:gridSpan w:val="3"/>
          </w:tcPr>
          <w:p>
            <w:pPr>
              <w:spacing w:after="0"/>
              <w:rPr>
                <w:sz w:val="20"/>
                <w:szCs w:val="20"/>
                <w:color w:val="auto"/>
              </w:rPr>
            </w:pPr>
            <w:r>
              <w:rPr>
                <w:rFonts w:ascii="Arial" w:cs="Arial" w:eastAsia="Arial" w:hAnsi="Arial"/>
                <w:sz w:val="15"/>
                <w:szCs w:val="15"/>
                <w:color w:val="auto"/>
              </w:rPr>
              <w:t>Ferrell P. McClean</w:t>
            </w:r>
          </w:p>
        </w:tc>
        <w:tc>
          <w:tcPr>
            <w:tcW w:w="1080" w:type="dxa"/>
            <w:vAlign w:val="bottom"/>
            <w:tcBorders>
              <w:bottom w:val="single" w:sz="8" w:color="58854E"/>
            </w:tcBorders>
            <w:gridSpan w:val="2"/>
          </w:tcPr>
          <w:p>
            <w:pPr>
              <w:jc w:val="right"/>
              <w:spacing w:after="0" w:line="174" w:lineRule="exact"/>
              <w:rPr>
                <w:sz w:val="20"/>
                <w:szCs w:val="20"/>
                <w:color w:val="auto"/>
              </w:rPr>
            </w:pPr>
            <w:r>
              <w:rPr>
                <w:rFonts w:ascii="Arial" w:cs="Arial" w:eastAsia="Arial" w:hAnsi="Arial"/>
                <w:sz w:val="15"/>
                <w:szCs w:val="15"/>
                <w:color w:val="auto"/>
              </w:rPr>
              <w:t>14,331</w:t>
            </w:r>
            <w:r>
              <w:rPr>
                <w:rFonts w:ascii="Arial" w:cs="Arial" w:eastAsia="Arial" w:hAnsi="Arial"/>
                <w:sz w:val="18"/>
                <w:szCs w:val="18"/>
                <w:color w:val="58844D"/>
                <w:vertAlign w:val="superscript"/>
              </w:rPr>
              <w:t>6</w:t>
            </w:r>
          </w:p>
        </w:tc>
        <w:tc>
          <w:tcPr>
            <w:tcW w:w="96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240" w:type="dxa"/>
            <w:vAlign w:val="bottom"/>
            <w:tcBorders>
              <w:bottom w:val="single" w:sz="8" w:color="58854E"/>
            </w:tcBorders>
            <w:gridSpan w:val="3"/>
          </w:tcPr>
          <w:p>
            <w:pPr>
              <w:jc w:val="right"/>
              <w:spacing w:after="0" w:line="174" w:lineRule="exact"/>
              <w:rPr>
                <w:sz w:val="20"/>
                <w:szCs w:val="20"/>
                <w:color w:val="auto"/>
              </w:rPr>
            </w:pPr>
            <w:r>
              <w:rPr>
                <w:rFonts w:ascii="Arial" w:cs="Arial" w:eastAsia="Arial" w:hAnsi="Arial"/>
                <w:sz w:val="15"/>
                <w:szCs w:val="15"/>
                <w:color w:val="auto"/>
              </w:rPr>
              <w:t>44,936</w:t>
            </w:r>
            <w:r>
              <w:rPr>
                <w:rFonts w:ascii="Arial" w:cs="Arial" w:eastAsia="Arial" w:hAnsi="Arial"/>
                <w:sz w:val="18"/>
                <w:szCs w:val="18"/>
                <w:color w:val="58844D"/>
                <w:vertAlign w:val="superscript"/>
              </w:rPr>
              <w:t>6</w:t>
            </w:r>
          </w:p>
        </w:tc>
        <w:tc>
          <w:tcPr>
            <w:tcW w:w="100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Borders>
              <w:bottom w:val="single" w:sz="8" w:color="58854E"/>
            </w:tcBorders>
          </w:tcPr>
          <w:p>
            <w:pPr>
              <w:spacing w:after="0"/>
              <w:rPr>
                <w:sz w:val="15"/>
                <w:szCs w:val="15"/>
                <w:color w:val="auto"/>
              </w:rPr>
            </w:pPr>
          </w:p>
        </w:tc>
        <w:tc>
          <w:tcPr>
            <w:tcW w:w="1160" w:type="dxa"/>
            <w:vAlign w:val="bottom"/>
            <w:tcBorders>
              <w:bottom w:val="single" w:sz="8" w:color="58854E"/>
            </w:tcBorders>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58854E"/>
            </w:tcBorders>
            <w:gridSpan w:val="3"/>
          </w:tcPr>
          <w:p>
            <w:pPr>
              <w:spacing w:after="0"/>
              <w:rPr>
                <w:sz w:val="20"/>
                <w:szCs w:val="20"/>
                <w:color w:val="auto"/>
              </w:rPr>
            </w:pPr>
            <w:r>
              <w:rPr>
                <w:rFonts w:ascii="Arial" w:cs="Arial" w:eastAsia="Arial" w:hAnsi="Arial"/>
                <w:sz w:val="15"/>
                <w:szCs w:val="15"/>
                <w:color w:val="auto"/>
              </w:rPr>
              <w:t>Brian R. Ford</w:t>
            </w:r>
          </w:p>
        </w:tc>
        <w:tc>
          <w:tcPr>
            <w:tcW w:w="1080" w:type="dxa"/>
            <w:vAlign w:val="bottom"/>
            <w:tcBorders>
              <w:bottom w:val="single" w:sz="8" w:color="58854E"/>
            </w:tcBorders>
            <w:gridSpan w:val="2"/>
          </w:tcPr>
          <w:p>
            <w:pPr>
              <w:jc w:val="right"/>
              <w:spacing w:after="0" w:line="174" w:lineRule="exact"/>
              <w:rPr>
                <w:sz w:val="20"/>
                <w:szCs w:val="20"/>
                <w:color w:val="auto"/>
              </w:rPr>
            </w:pPr>
            <w:r>
              <w:rPr>
                <w:rFonts w:ascii="Arial" w:cs="Arial" w:eastAsia="Arial" w:hAnsi="Arial"/>
                <w:sz w:val="15"/>
                <w:szCs w:val="15"/>
                <w:color w:val="auto"/>
              </w:rPr>
              <w:t>6,664</w:t>
            </w:r>
            <w:r>
              <w:rPr>
                <w:rFonts w:ascii="Arial" w:cs="Arial" w:eastAsia="Arial" w:hAnsi="Arial"/>
                <w:sz w:val="18"/>
                <w:szCs w:val="18"/>
                <w:color w:val="58844D"/>
                <w:vertAlign w:val="superscript"/>
              </w:rPr>
              <w:t>7</w:t>
            </w:r>
          </w:p>
        </w:tc>
        <w:tc>
          <w:tcPr>
            <w:tcW w:w="96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240" w:type="dxa"/>
            <w:vAlign w:val="bottom"/>
            <w:tcBorders>
              <w:bottom w:val="single" w:sz="8" w:color="58854E"/>
            </w:tcBorders>
            <w:gridSpan w:val="3"/>
          </w:tcPr>
          <w:p>
            <w:pPr>
              <w:jc w:val="right"/>
              <w:spacing w:after="0" w:line="174" w:lineRule="exact"/>
              <w:rPr>
                <w:sz w:val="20"/>
                <w:szCs w:val="20"/>
                <w:color w:val="auto"/>
              </w:rPr>
            </w:pPr>
            <w:r>
              <w:rPr>
                <w:rFonts w:ascii="Arial" w:cs="Arial" w:eastAsia="Arial" w:hAnsi="Arial"/>
                <w:sz w:val="15"/>
                <w:szCs w:val="15"/>
                <w:color w:val="auto"/>
              </w:rPr>
              <w:t>21,967</w:t>
            </w:r>
            <w:r>
              <w:rPr>
                <w:rFonts w:ascii="Arial" w:cs="Arial" w:eastAsia="Arial" w:hAnsi="Arial"/>
                <w:sz w:val="18"/>
                <w:szCs w:val="18"/>
                <w:color w:val="58844D"/>
                <w:vertAlign w:val="superscript"/>
              </w:rPr>
              <w:t>7</w:t>
            </w:r>
          </w:p>
        </w:tc>
        <w:tc>
          <w:tcPr>
            <w:tcW w:w="100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Borders>
              <w:bottom w:val="single" w:sz="8" w:color="58854E"/>
            </w:tcBorders>
          </w:tcPr>
          <w:p>
            <w:pPr>
              <w:spacing w:after="0"/>
              <w:rPr>
                <w:sz w:val="15"/>
                <w:szCs w:val="15"/>
                <w:color w:val="auto"/>
              </w:rPr>
            </w:pPr>
          </w:p>
        </w:tc>
        <w:tc>
          <w:tcPr>
            <w:tcW w:w="1160" w:type="dxa"/>
            <w:vAlign w:val="bottom"/>
            <w:tcBorders>
              <w:bottom w:val="single" w:sz="8" w:color="58854E"/>
            </w:tcBorders>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65"/>
        </w:trPr>
        <w:tc>
          <w:tcPr>
            <w:tcW w:w="3680" w:type="dxa"/>
            <w:vAlign w:val="bottom"/>
            <w:gridSpan w:val="3"/>
          </w:tcPr>
          <w:p>
            <w:pPr>
              <w:spacing w:after="0" w:line="165" w:lineRule="exact"/>
              <w:rPr>
                <w:sz w:val="20"/>
                <w:szCs w:val="20"/>
                <w:color w:val="auto"/>
              </w:rPr>
            </w:pPr>
            <w:r>
              <w:rPr>
                <w:rFonts w:ascii="Arial" w:cs="Arial" w:eastAsia="Arial" w:hAnsi="Arial"/>
                <w:sz w:val="15"/>
                <w:szCs w:val="15"/>
                <w:color w:val="auto"/>
              </w:rPr>
              <w:t>All Directors and Executive Officers as a group (10</w:t>
            </w:r>
          </w:p>
        </w:tc>
        <w:tc>
          <w:tcPr>
            <w:tcW w:w="1080" w:type="dxa"/>
            <w:vAlign w:val="bottom"/>
            <w:gridSpan w:val="2"/>
          </w:tcPr>
          <w:p>
            <w:pPr>
              <w:jc w:val="right"/>
              <w:spacing w:after="0" w:line="165" w:lineRule="exact"/>
              <w:rPr>
                <w:sz w:val="20"/>
                <w:szCs w:val="20"/>
                <w:color w:val="auto"/>
              </w:rPr>
            </w:pPr>
            <w:r>
              <w:rPr>
                <w:rFonts w:ascii="Arial" w:cs="Arial" w:eastAsia="Arial" w:hAnsi="Arial"/>
                <w:sz w:val="15"/>
                <w:szCs w:val="15"/>
                <w:color w:val="auto"/>
              </w:rPr>
              <w:t>71,354</w:t>
            </w:r>
            <w:r>
              <w:rPr>
                <w:rFonts w:ascii="Arial" w:cs="Arial" w:eastAsia="Arial" w:hAnsi="Arial"/>
                <w:sz w:val="18"/>
                <w:szCs w:val="18"/>
                <w:color w:val="58844D"/>
                <w:vertAlign w:val="superscript"/>
              </w:rPr>
              <w:t>8</w:t>
            </w:r>
          </w:p>
        </w:tc>
        <w:tc>
          <w:tcPr>
            <w:tcW w:w="960" w:type="dxa"/>
            <w:vAlign w:val="bottom"/>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1240" w:type="dxa"/>
            <w:vAlign w:val="bottom"/>
            <w:gridSpan w:val="3"/>
          </w:tcPr>
          <w:p>
            <w:pPr>
              <w:jc w:val="right"/>
              <w:spacing w:after="0" w:line="165" w:lineRule="exact"/>
              <w:rPr>
                <w:sz w:val="20"/>
                <w:szCs w:val="20"/>
                <w:color w:val="auto"/>
              </w:rPr>
            </w:pPr>
            <w:r>
              <w:rPr>
                <w:rFonts w:ascii="Arial" w:cs="Arial" w:eastAsia="Arial" w:hAnsi="Arial"/>
                <w:sz w:val="15"/>
                <w:szCs w:val="15"/>
                <w:color w:val="auto"/>
              </w:rPr>
              <w:t>167,741</w:t>
            </w:r>
            <w:r>
              <w:rPr>
                <w:rFonts w:ascii="Arial" w:cs="Arial" w:eastAsia="Arial" w:hAnsi="Arial"/>
                <w:sz w:val="18"/>
                <w:szCs w:val="18"/>
                <w:color w:val="58844D"/>
                <w:vertAlign w:val="superscript"/>
              </w:rPr>
              <w:t>8</w:t>
            </w:r>
          </w:p>
        </w:tc>
        <w:tc>
          <w:tcPr>
            <w:tcW w:w="1000" w:type="dxa"/>
            <w:vAlign w:val="bottom"/>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c>
          <w:tcPr>
            <w:tcW w:w="140" w:type="dxa"/>
            <w:vAlign w:val="bottom"/>
          </w:tcPr>
          <w:p>
            <w:pPr>
              <w:spacing w:after="0"/>
              <w:rPr>
                <w:sz w:val="14"/>
                <w:szCs w:val="14"/>
                <w:color w:val="auto"/>
              </w:rPr>
            </w:pPr>
          </w:p>
        </w:tc>
        <w:tc>
          <w:tcPr>
            <w:tcW w:w="1160" w:type="dxa"/>
            <w:vAlign w:val="bottom"/>
            <w:gridSpan w:val="2"/>
          </w:tcPr>
          <w:p>
            <w:pPr>
              <w:jc w:val="center"/>
              <w:spacing w:after="0" w:line="151" w:lineRule="exact"/>
              <w:rPr>
                <w:sz w:val="20"/>
                <w:szCs w:val="20"/>
                <w:color w:val="auto"/>
              </w:rPr>
            </w:pPr>
            <w:r>
              <w:rPr>
                <w:rFonts w:ascii="MS PGothic" w:cs="MS PGothic" w:eastAsia="MS PGothic" w:hAnsi="MS PGothic"/>
                <w:sz w:val="15"/>
                <w:szCs w:val="15"/>
                <w:color w:val="58844D"/>
                <w:w w:val="79"/>
              </w:rPr>
              <w:t>★</w:t>
            </w:r>
          </w:p>
        </w:tc>
        <w:tc>
          <w:tcPr>
            <w:tcW w:w="0" w:type="dxa"/>
            <w:vAlign w:val="bottom"/>
          </w:tcPr>
          <w:p>
            <w:pPr>
              <w:spacing w:after="0"/>
              <w:rPr>
                <w:sz w:val="1"/>
                <w:szCs w:val="1"/>
                <w:color w:val="auto"/>
              </w:rPr>
            </w:pPr>
          </w:p>
        </w:tc>
      </w:tr>
      <w:tr>
        <w:trPr>
          <w:trHeight w:val="168"/>
        </w:trPr>
        <w:tc>
          <w:tcPr>
            <w:tcW w:w="3680" w:type="dxa"/>
            <w:vAlign w:val="bottom"/>
            <w:tcBorders>
              <w:bottom w:val="single" w:sz="8" w:color="58854E"/>
            </w:tcBorders>
            <w:gridSpan w:val="3"/>
          </w:tcPr>
          <w:p>
            <w:pPr>
              <w:ind w:left="140"/>
              <w:spacing w:after="0" w:line="169" w:lineRule="exact"/>
              <w:rPr>
                <w:sz w:val="20"/>
                <w:szCs w:val="20"/>
                <w:color w:val="auto"/>
              </w:rPr>
            </w:pPr>
            <w:r>
              <w:rPr>
                <w:rFonts w:ascii="Arial" w:cs="Arial" w:eastAsia="Arial" w:hAnsi="Arial"/>
                <w:sz w:val="15"/>
                <w:szCs w:val="15"/>
                <w:color w:val="auto"/>
              </w:rPr>
              <w:t>people)</w:t>
            </w:r>
          </w:p>
        </w:tc>
        <w:tc>
          <w:tcPr>
            <w:tcW w:w="80" w:type="dxa"/>
            <w:vAlign w:val="bottom"/>
            <w:tcBorders>
              <w:bottom w:val="single" w:sz="8" w:color="58854E"/>
            </w:tcBorders>
          </w:tcPr>
          <w:p>
            <w:pPr>
              <w:spacing w:after="0"/>
              <w:rPr>
                <w:sz w:val="14"/>
                <w:szCs w:val="14"/>
                <w:color w:val="auto"/>
              </w:rPr>
            </w:pPr>
          </w:p>
        </w:tc>
        <w:tc>
          <w:tcPr>
            <w:tcW w:w="1000" w:type="dxa"/>
            <w:vAlign w:val="bottom"/>
            <w:tcBorders>
              <w:bottom w:val="single" w:sz="8" w:color="58854E"/>
            </w:tcBorders>
          </w:tcPr>
          <w:p>
            <w:pPr>
              <w:spacing w:after="0"/>
              <w:rPr>
                <w:sz w:val="14"/>
                <w:szCs w:val="14"/>
                <w:color w:val="auto"/>
              </w:rPr>
            </w:pPr>
          </w:p>
        </w:tc>
        <w:tc>
          <w:tcPr>
            <w:tcW w:w="960" w:type="dxa"/>
            <w:vAlign w:val="bottom"/>
            <w:tcBorders>
              <w:bottom w:val="single" w:sz="8" w:color="58854E"/>
            </w:tcBorders>
          </w:tcPr>
          <w:p>
            <w:pPr>
              <w:spacing w:after="0"/>
              <w:rPr>
                <w:sz w:val="14"/>
                <w:szCs w:val="14"/>
                <w:color w:val="auto"/>
              </w:rPr>
            </w:pPr>
          </w:p>
        </w:tc>
        <w:tc>
          <w:tcPr>
            <w:tcW w:w="14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1020" w:type="dxa"/>
            <w:vAlign w:val="bottom"/>
            <w:tcBorders>
              <w:bottom w:val="single" w:sz="8" w:color="58854E"/>
            </w:tcBorders>
          </w:tcPr>
          <w:p>
            <w:pPr>
              <w:spacing w:after="0"/>
              <w:rPr>
                <w:sz w:val="14"/>
                <w:szCs w:val="14"/>
                <w:color w:val="auto"/>
              </w:rPr>
            </w:pPr>
          </w:p>
        </w:tc>
        <w:tc>
          <w:tcPr>
            <w:tcW w:w="1000" w:type="dxa"/>
            <w:vAlign w:val="bottom"/>
            <w:tcBorders>
              <w:bottom w:val="single" w:sz="8" w:color="58854E"/>
            </w:tcBorders>
          </w:tcPr>
          <w:p>
            <w:pPr>
              <w:spacing w:after="0"/>
              <w:rPr>
                <w:sz w:val="14"/>
                <w:szCs w:val="14"/>
                <w:color w:val="auto"/>
              </w:rPr>
            </w:pPr>
          </w:p>
        </w:tc>
        <w:tc>
          <w:tcPr>
            <w:tcW w:w="140" w:type="dxa"/>
            <w:vAlign w:val="bottom"/>
            <w:tcBorders>
              <w:bottom w:val="single" w:sz="8" w:color="58854E"/>
            </w:tcBorders>
          </w:tcPr>
          <w:p>
            <w:pPr>
              <w:spacing w:after="0"/>
              <w:rPr>
                <w:sz w:val="14"/>
                <w:szCs w:val="14"/>
                <w:color w:val="auto"/>
              </w:rPr>
            </w:pPr>
          </w:p>
        </w:tc>
        <w:tc>
          <w:tcPr>
            <w:tcW w:w="1040" w:type="dxa"/>
            <w:vAlign w:val="bottom"/>
            <w:tcBorders>
              <w:bottom w:val="single" w:sz="8" w:color="58854E"/>
            </w:tcBorders>
          </w:tcPr>
          <w:p>
            <w:pPr>
              <w:spacing w:after="0"/>
              <w:rPr>
                <w:sz w:val="14"/>
                <w:szCs w:val="14"/>
                <w:color w:val="auto"/>
              </w:rPr>
            </w:pPr>
          </w:p>
        </w:tc>
        <w:tc>
          <w:tcPr>
            <w:tcW w:w="120" w:type="dxa"/>
            <w:vAlign w:val="bottom"/>
            <w:tcBorders>
              <w:bottom w:val="single" w:sz="8" w:color="58854E"/>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E9EEE6"/>
          </w:tcPr>
          <w:p>
            <w:pPr>
              <w:ind w:left="60"/>
              <w:spacing w:after="0" w:line="121" w:lineRule="exact"/>
              <w:rPr>
                <w:sz w:val="20"/>
                <w:szCs w:val="20"/>
                <w:color w:val="auto"/>
              </w:rPr>
            </w:pPr>
            <w:r>
              <w:rPr>
                <w:rFonts w:ascii="MS PGothic" w:cs="MS PGothic" w:eastAsia="MS PGothic" w:hAnsi="MS PGothic"/>
                <w:sz w:val="12"/>
                <w:szCs w:val="12"/>
                <w:color w:val="58844D"/>
              </w:rPr>
              <w:t>★</w:t>
            </w:r>
          </w:p>
        </w:tc>
        <w:tc>
          <w:tcPr>
            <w:tcW w:w="7700" w:type="dxa"/>
            <w:vAlign w:val="bottom"/>
            <w:gridSpan w:val="9"/>
            <w:shd w:val="clear" w:color="auto" w:fill="E9EEE6"/>
          </w:tcPr>
          <w:p>
            <w:pPr>
              <w:ind w:left="100"/>
              <w:spacing w:after="0" w:line="128" w:lineRule="exact"/>
              <w:rPr>
                <w:sz w:val="20"/>
                <w:szCs w:val="20"/>
                <w:color w:val="auto"/>
              </w:rPr>
            </w:pPr>
            <w:r>
              <w:rPr>
                <w:rFonts w:ascii="Arial" w:cs="Arial" w:eastAsia="Arial" w:hAnsi="Arial"/>
                <w:sz w:val="12"/>
                <w:szCs w:val="12"/>
                <w:color w:val="auto"/>
              </w:rPr>
              <w:t>Less than one percent of outstanding Class A common stock, Class C common stock or combined voting power, as applicable.</w:t>
            </w:r>
          </w:p>
        </w:tc>
        <w:tc>
          <w:tcPr>
            <w:tcW w:w="140" w:type="dxa"/>
            <w:vAlign w:val="bottom"/>
            <w:shd w:val="clear" w:color="auto" w:fill="E9EEE6"/>
          </w:tcPr>
          <w:p>
            <w:pPr>
              <w:spacing w:after="0"/>
              <w:rPr>
                <w:sz w:val="11"/>
                <w:szCs w:val="11"/>
                <w:color w:val="auto"/>
              </w:rPr>
            </w:pPr>
          </w:p>
        </w:tc>
        <w:tc>
          <w:tcPr>
            <w:tcW w:w="1040" w:type="dxa"/>
            <w:vAlign w:val="bottom"/>
            <w:shd w:val="clear" w:color="auto" w:fill="E9EEE6"/>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0" w:type="dxa"/>
            <w:vAlign w:val="bottom"/>
          </w:tcPr>
          <w:p>
            <w:pPr>
              <w:ind w:left="60"/>
              <w:spacing w:after="0"/>
              <w:rPr>
                <w:sz w:val="20"/>
                <w:szCs w:val="20"/>
                <w:color w:val="auto"/>
              </w:rPr>
            </w:pPr>
            <w:r>
              <w:rPr>
                <w:rFonts w:ascii="Arial" w:cs="Arial" w:eastAsia="Arial" w:hAnsi="Arial"/>
                <w:sz w:val="9"/>
                <w:szCs w:val="9"/>
                <w:color w:val="58844D"/>
              </w:rPr>
              <w:t>1</w:t>
            </w:r>
          </w:p>
        </w:tc>
        <w:tc>
          <w:tcPr>
            <w:tcW w:w="9000" w:type="dxa"/>
            <w:vAlign w:val="bottom"/>
            <w:gridSpan w:val="12"/>
            <w:vMerge w:val="restart"/>
          </w:tcPr>
          <w:p>
            <w:pPr>
              <w:ind w:left="100"/>
              <w:spacing w:after="0"/>
              <w:rPr>
                <w:sz w:val="20"/>
                <w:szCs w:val="20"/>
                <w:color w:val="auto"/>
              </w:rPr>
            </w:pPr>
            <w:r>
              <w:rPr>
                <w:rFonts w:ascii="Arial" w:cs="Arial" w:eastAsia="Arial" w:hAnsi="Arial"/>
                <w:sz w:val="12"/>
                <w:szCs w:val="12"/>
                <w:color w:val="auto"/>
              </w:rPr>
              <w:t>The number of shares beneficially owned by each person or entity is determined under the rules of the SEC, and the information is not necessarily indicative of</w:t>
            </w:r>
          </w:p>
        </w:tc>
        <w:tc>
          <w:tcPr>
            <w:tcW w:w="0" w:type="dxa"/>
            <w:vAlign w:val="bottom"/>
          </w:tcPr>
          <w:p>
            <w:pPr>
              <w:spacing w:after="0"/>
              <w:rPr>
                <w:sz w:val="1"/>
                <w:szCs w:val="1"/>
                <w:color w:val="auto"/>
              </w:rPr>
            </w:pPr>
          </w:p>
        </w:tc>
      </w:tr>
      <w:tr>
        <w:trPr>
          <w:trHeight w:val="32"/>
        </w:trPr>
        <w:tc>
          <w:tcPr>
            <w:tcW w:w="260" w:type="dxa"/>
            <w:vAlign w:val="bottom"/>
          </w:tcPr>
          <w:p>
            <w:pPr>
              <w:spacing w:after="0"/>
              <w:rPr>
                <w:sz w:val="2"/>
                <w:szCs w:val="2"/>
                <w:color w:val="auto"/>
              </w:rPr>
            </w:pPr>
          </w:p>
        </w:tc>
        <w:tc>
          <w:tcPr>
            <w:tcW w:w="9000" w:type="dxa"/>
            <w:vAlign w:val="bottom"/>
            <w:gridSpan w:val="1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-1652270</wp:posOffset>
            </wp:positionV>
            <wp:extent cx="35471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47110" cy="698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-175895</wp:posOffset>
            </wp:positionV>
            <wp:extent cx="5812790" cy="1230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12790" cy="1230630"/>
                    </a:xfrm>
                    <a:prstGeom prst="rect">
                      <a:avLst/>
                    </a:prstGeom>
                    <a:noFill/>
                  </pic:spPr>
                </pic:pic>
              </a:graphicData>
            </a:graphic>
          </wp:anchor>
        </w:drawing>
      </w:r>
    </w:p>
    <w:p>
      <w:pPr>
        <w:ind w:left="1500" w:right="1300"/>
        <w:spacing w:after="0" w:line="212" w:lineRule="auto"/>
        <w:rPr>
          <w:sz w:val="20"/>
          <w:szCs w:val="20"/>
          <w:color w:val="auto"/>
        </w:rPr>
      </w:pPr>
      <w:r>
        <w:rPr>
          <w:rFonts w:ascii="Arial" w:cs="Arial" w:eastAsia="Arial" w:hAnsi="Arial"/>
          <w:sz w:val="12"/>
          <w:szCs w:val="12"/>
          <w:color w:val="auto"/>
        </w:rPr>
        <w:t>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30" w:lineRule="exact"/>
        <w:rPr>
          <w:sz w:val="20"/>
          <w:szCs w:val="20"/>
          <w:color w:val="auto"/>
        </w:rPr>
      </w:pPr>
    </w:p>
    <w:p>
      <w:pPr>
        <w:ind w:left="1500" w:right="1360" w:hanging="302"/>
        <w:spacing w:after="0" w:line="181" w:lineRule="auto"/>
        <w:tabs>
          <w:tab w:leader="none" w:pos="1500" w:val="left"/>
        </w:tabs>
        <w:numPr>
          <w:ilvl w:val="0"/>
          <w:numId w:val="26"/>
        </w:numPr>
        <w:rPr>
          <w:rFonts w:ascii="Arial" w:cs="Arial" w:eastAsia="Arial" w:hAnsi="Arial"/>
          <w:sz w:val="17"/>
          <w:szCs w:val="17"/>
          <w:color w:val="58844D"/>
          <w:vertAlign w:val="superscript"/>
        </w:rPr>
      </w:pPr>
      <w:r>
        <w:rPr>
          <w:rFonts w:ascii="Arial" w:cs="Arial" w:eastAsia="Arial" w:hAnsi="Arial"/>
          <w:sz w:val="12"/>
          <w:szCs w:val="12"/>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of one vote for each share held. Holders of shares of our</w:t>
      </w:r>
    </w:p>
    <w:tbl>
      <w:tblPr>
        <w:tblLayout w:type="fixed"/>
        <w:tblInd w:w="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Class A, Class B, Class C and Class D common stock vote together as a single class on all matters presented to our stockholders for their vote or approval, except</w:t>
            </w:r>
          </w:p>
        </w:tc>
        <w:tc>
          <w:tcPr>
            <w:tcW w:w="0" w:type="dxa"/>
            <w:vAlign w:val="bottom"/>
          </w:tcPr>
          <w:p>
            <w:pPr>
              <w:spacing w:after="0"/>
              <w:rPr>
                <w:sz w:val="1"/>
                <w:szCs w:val="1"/>
                <w:color w:val="auto"/>
              </w:rPr>
            </w:pPr>
          </w:p>
        </w:tc>
      </w:tr>
      <w:tr>
        <w:trPr>
          <w:trHeight w:val="137"/>
        </w:trPr>
        <w:tc>
          <w:tcPr>
            <w:tcW w:w="1380" w:type="dxa"/>
            <w:vAlign w:val="bottom"/>
            <w:vMerge w:val="restart"/>
          </w:tcPr>
          <w:p>
            <w:pPr>
              <w:jc w:val="right"/>
              <w:ind w:right="94"/>
              <w:spacing w:after="0"/>
              <w:rPr>
                <w:sz w:val="20"/>
                <w:szCs w:val="20"/>
                <w:color w:val="auto"/>
              </w:rPr>
            </w:pPr>
            <w:r>
              <w:rPr>
                <w:rFonts w:ascii="Arial" w:cs="Arial" w:eastAsia="Arial" w:hAnsi="Arial"/>
                <w:sz w:val="9"/>
                <w:szCs w:val="9"/>
                <w:color w:val="58844D"/>
              </w:rPr>
              <w:t>3</w:t>
            </w:r>
          </w:p>
        </w:tc>
        <w:tc>
          <w:tcPr>
            <w:tcW w:w="10060" w:type="dxa"/>
            <w:vAlign w:val="bottom"/>
          </w:tcPr>
          <w:p>
            <w:pPr>
              <w:ind w:left="120"/>
              <w:spacing w:after="0" w:line="137" w:lineRule="exact"/>
              <w:rPr>
                <w:sz w:val="20"/>
                <w:szCs w:val="20"/>
                <w:color w:val="auto"/>
              </w:rPr>
            </w:pPr>
            <w:r>
              <w:rPr>
                <w:rFonts w:ascii="Arial" w:cs="Arial" w:eastAsia="Arial" w:hAnsi="Arial"/>
                <w:sz w:val="12"/>
                <w:szCs w:val="12"/>
                <w:color w:val="auto"/>
              </w:rPr>
              <w:t>as otherwise provided by applicable law.</w:t>
            </w:r>
          </w:p>
        </w:tc>
        <w:tc>
          <w:tcPr>
            <w:tcW w:w="0" w:type="dxa"/>
            <w:vAlign w:val="bottom"/>
          </w:tcPr>
          <w:p>
            <w:pPr>
              <w:spacing w:after="0"/>
              <w:rPr>
                <w:sz w:val="1"/>
                <w:szCs w:val="1"/>
                <w:color w:val="auto"/>
              </w:rPr>
            </w:pPr>
          </w:p>
        </w:tc>
      </w:tr>
      <w:tr>
        <w:trPr>
          <w:trHeight w:val="79"/>
        </w:trPr>
        <w:tc>
          <w:tcPr>
            <w:tcW w:w="1380" w:type="dxa"/>
            <w:vAlign w:val="bottom"/>
            <w:vMerge w:val="continue"/>
          </w:tcPr>
          <w:p>
            <w:pPr>
              <w:spacing w:after="0"/>
              <w:rPr>
                <w:sz w:val="6"/>
                <w:szCs w:val="6"/>
                <w:color w:val="auto"/>
              </w:rPr>
            </w:pPr>
          </w:p>
        </w:tc>
        <w:tc>
          <w:tcPr>
            <w:tcW w:w="10060" w:type="dxa"/>
            <w:vAlign w:val="bottom"/>
            <w:vMerge w:val="restart"/>
          </w:tcPr>
          <w:p>
            <w:pPr>
              <w:ind w:left="120"/>
              <w:spacing w:after="0" w:line="137" w:lineRule="exact"/>
              <w:rPr>
                <w:sz w:val="20"/>
                <w:szCs w:val="20"/>
                <w:color w:val="auto"/>
              </w:rPr>
            </w:pPr>
            <w:r>
              <w:rPr>
                <w:rFonts w:ascii="Arial" w:cs="Arial" w:eastAsia="Arial" w:hAnsi="Arial"/>
                <w:sz w:val="12"/>
                <w:szCs w:val="12"/>
                <w:color w:val="auto"/>
              </w:rPr>
              <w:t>Includes 13,306 DERs to be paid in Class C common stock. Excludes 105,347 restricted stock units (RSUs) and 78,974 relative performance stock units (RPSUs).</w:t>
            </w:r>
          </w:p>
        </w:tc>
        <w:tc>
          <w:tcPr>
            <w:tcW w:w="0" w:type="dxa"/>
            <w:vAlign w:val="bottom"/>
          </w:tcPr>
          <w:p>
            <w:pPr>
              <w:spacing w:after="0"/>
              <w:rPr>
                <w:sz w:val="1"/>
                <w:szCs w:val="1"/>
                <w:color w:val="auto"/>
              </w:rPr>
            </w:pPr>
          </w:p>
        </w:tc>
      </w:tr>
      <w:tr>
        <w:trPr>
          <w:trHeight w:val="58"/>
        </w:trPr>
        <w:tc>
          <w:tcPr>
            <w:tcW w:w="1380" w:type="dxa"/>
            <w:vAlign w:val="bottom"/>
          </w:tcPr>
          <w:p>
            <w:pPr>
              <w:spacing w:after="0"/>
              <w:rPr>
                <w:sz w:val="5"/>
                <w:szCs w:val="5"/>
                <w:color w:val="auto"/>
              </w:rPr>
            </w:pPr>
          </w:p>
        </w:tc>
        <w:tc>
          <w:tcPr>
            <w:tcW w:w="10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10060" w:type="dxa"/>
            <w:vAlign w:val="bottom"/>
          </w:tcPr>
          <w:p>
            <w:pPr>
              <w:ind w:left="120"/>
              <w:spacing w:after="0" w:line="137" w:lineRule="exact"/>
              <w:rPr>
                <w:sz w:val="20"/>
                <w:szCs w:val="20"/>
                <w:color w:val="auto"/>
              </w:rPr>
            </w:pPr>
            <w:r>
              <w:rPr>
                <w:rFonts w:ascii="Arial" w:cs="Arial" w:eastAsia="Arial" w:hAnsi="Arial"/>
                <w:sz w:val="12"/>
                <w:szCs w:val="12"/>
                <w:color w:val="auto"/>
              </w:rPr>
              <w:t>Each RSU represents the right to receive one share of Class C common stock upon vesting. Each RPSU represents the potential to receive Class C common stock</w:t>
            </w:r>
          </w:p>
        </w:tc>
        <w:tc>
          <w:tcPr>
            <w:tcW w:w="0" w:type="dxa"/>
            <w:vAlign w:val="bottom"/>
          </w:tcPr>
          <w:p>
            <w:pPr>
              <w:spacing w:after="0"/>
              <w:rPr>
                <w:sz w:val="1"/>
                <w:szCs w:val="1"/>
                <w:color w:val="auto"/>
              </w:rPr>
            </w:pPr>
          </w:p>
        </w:tc>
      </w:tr>
      <w:tr>
        <w:trPr>
          <w:trHeight w:val="137"/>
        </w:trPr>
        <w:tc>
          <w:tcPr>
            <w:tcW w:w="1380" w:type="dxa"/>
            <w:vAlign w:val="bottom"/>
            <w:vMerge w:val="restart"/>
          </w:tcPr>
          <w:p>
            <w:pPr>
              <w:jc w:val="right"/>
              <w:ind w:right="94"/>
              <w:spacing w:after="0"/>
              <w:rPr>
                <w:sz w:val="20"/>
                <w:szCs w:val="20"/>
                <w:color w:val="auto"/>
              </w:rPr>
            </w:pPr>
            <w:r>
              <w:rPr>
                <w:rFonts w:ascii="Arial" w:cs="Arial" w:eastAsia="Arial" w:hAnsi="Arial"/>
                <w:sz w:val="9"/>
                <w:szCs w:val="9"/>
                <w:color w:val="58844D"/>
              </w:rPr>
              <w:t>4</w:t>
            </w:r>
          </w:p>
        </w:tc>
        <w:tc>
          <w:tcPr>
            <w:tcW w:w="10060" w:type="dxa"/>
            <w:vAlign w:val="bottom"/>
          </w:tcPr>
          <w:p>
            <w:pPr>
              <w:ind w:left="120"/>
              <w:spacing w:after="0" w:line="137" w:lineRule="exact"/>
              <w:rPr>
                <w:sz w:val="20"/>
                <w:szCs w:val="20"/>
                <w:color w:val="auto"/>
              </w:rPr>
            </w:pPr>
            <w:r>
              <w:rPr>
                <w:rFonts w:ascii="Arial" w:cs="Arial" w:eastAsia="Arial" w:hAnsi="Arial"/>
                <w:sz w:val="12"/>
                <w:szCs w:val="12"/>
                <w:color w:val="auto"/>
              </w:rPr>
              <w:t>based upon the Company achieving a certain level of total stockholder return relative to the Company's peer group over a three-year performance period.</w:t>
            </w:r>
          </w:p>
        </w:tc>
        <w:tc>
          <w:tcPr>
            <w:tcW w:w="0" w:type="dxa"/>
            <w:vAlign w:val="bottom"/>
          </w:tcPr>
          <w:p>
            <w:pPr>
              <w:spacing w:after="0"/>
              <w:rPr>
                <w:sz w:val="1"/>
                <w:szCs w:val="1"/>
                <w:color w:val="auto"/>
              </w:rPr>
            </w:pPr>
          </w:p>
        </w:tc>
      </w:tr>
      <w:tr>
        <w:trPr>
          <w:trHeight w:val="79"/>
        </w:trPr>
        <w:tc>
          <w:tcPr>
            <w:tcW w:w="1380" w:type="dxa"/>
            <w:vAlign w:val="bottom"/>
            <w:vMerge w:val="continue"/>
          </w:tcPr>
          <w:p>
            <w:pPr>
              <w:spacing w:after="0"/>
              <w:rPr>
                <w:sz w:val="6"/>
                <w:szCs w:val="6"/>
                <w:color w:val="auto"/>
              </w:rPr>
            </w:pPr>
          </w:p>
        </w:tc>
        <w:tc>
          <w:tcPr>
            <w:tcW w:w="10060" w:type="dxa"/>
            <w:vAlign w:val="bottom"/>
            <w:vMerge w:val="restart"/>
          </w:tcPr>
          <w:p>
            <w:pPr>
              <w:ind w:left="120"/>
              <w:spacing w:after="0" w:line="137" w:lineRule="exact"/>
              <w:rPr>
                <w:sz w:val="20"/>
                <w:szCs w:val="20"/>
                <w:color w:val="auto"/>
              </w:rPr>
            </w:pPr>
            <w:r>
              <w:rPr>
                <w:rFonts w:ascii="Arial" w:cs="Arial" w:eastAsia="Arial" w:hAnsi="Arial"/>
                <w:sz w:val="12"/>
                <w:szCs w:val="12"/>
                <w:color w:val="auto"/>
              </w:rPr>
              <w:t>Includes 2,015 DERs to be paid in Class C common stock. Excludes 15,088 RSUs and 22,113 RPSUs. Each RSU represents the right to receive one share of</w:t>
            </w:r>
          </w:p>
        </w:tc>
        <w:tc>
          <w:tcPr>
            <w:tcW w:w="0" w:type="dxa"/>
            <w:vAlign w:val="bottom"/>
          </w:tcPr>
          <w:p>
            <w:pPr>
              <w:spacing w:after="0"/>
              <w:rPr>
                <w:sz w:val="1"/>
                <w:szCs w:val="1"/>
                <w:color w:val="auto"/>
              </w:rPr>
            </w:pPr>
          </w:p>
        </w:tc>
      </w:tr>
      <w:tr>
        <w:trPr>
          <w:trHeight w:val="58"/>
        </w:trPr>
        <w:tc>
          <w:tcPr>
            <w:tcW w:w="1380" w:type="dxa"/>
            <w:vAlign w:val="bottom"/>
          </w:tcPr>
          <w:p>
            <w:pPr>
              <w:spacing w:after="0"/>
              <w:rPr>
                <w:sz w:val="5"/>
                <w:szCs w:val="5"/>
                <w:color w:val="auto"/>
              </w:rPr>
            </w:pPr>
          </w:p>
        </w:tc>
        <w:tc>
          <w:tcPr>
            <w:tcW w:w="10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10060" w:type="dxa"/>
            <w:vAlign w:val="bottom"/>
          </w:tcPr>
          <w:p>
            <w:pPr>
              <w:ind w:left="120"/>
              <w:spacing w:after="0" w:line="137" w:lineRule="exact"/>
              <w:rPr>
                <w:sz w:val="20"/>
                <w:szCs w:val="20"/>
                <w:color w:val="auto"/>
              </w:rPr>
            </w:pPr>
            <w:r>
              <w:rPr>
                <w:rFonts w:ascii="Arial" w:cs="Arial" w:eastAsia="Arial" w:hAnsi="Arial"/>
                <w:sz w:val="12"/>
                <w:szCs w:val="12"/>
                <w:color w:val="auto"/>
              </w:rPr>
              <w:t>Class C common stock upon vesting. Each RPSU represents the potential to receive Class C common stock based upon the Company achieving a certain level of</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total stockholder return relative to the Company's peer group over a three-year performance period.</w:t>
            </w:r>
          </w:p>
        </w:tc>
        <w:tc>
          <w:tcPr>
            <w:tcW w:w="0" w:type="dxa"/>
            <w:vAlign w:val="bottom"/>
          </w:tcPr>
          <w:p>
            <w:pPr>
              <w:spacing w:after="0"/>
              <w:rPr>
                <w:sz w:val="1"/>
                <w:szCs w:val="1"/>
                <w:color w:val="auto"/>
              </w:rPr>
            </w:pPr>
          </w:p>
        </w:tc>
      </w:tr>
      <w:tr>
        <w:trPr>
          <w:trHeight w:val="85"/>
        </w:trPr>
        <w:tc>
          <w:tcPr>
            <w:tcW w:w="1380" w:type="dxa"/>
            <w:vAlign w:val="bottom"/>
            <w:tcBorders>
              <w:bottom w:val="single" w:sz="8" w:color="808080"/>
            </w:tcBorders>
          </w:tcPr>
          <w:p>
            <w:pPr>
              <w:spacing w:after="0"/>
              <w:rPr>
                <w:sz w:val="7"/>
                <w:szCs w:val="7"/>
                <w:color w:val="auto"/>
              </w:rPr>
            </w:pPr>
          </w:p>
        </w:tc>
        <w:tc>
          <w:tcPr>
            <w:tcW w:w="100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STOCK OWNERSHIP OF DIRECTORS, NAMED EXECUTIVE OFFICERS AND CERTAIN BENEFICIAL OWNERS </w:t>
      </w:r>
      <w:r>
        <w:rPr>
          <w:rFonts w:ascii="Arial" w:cs="Arial" w:eastAsia="Arial" w:hAnsi="Arial"/>
          <w:sz w:val="12"/>
          <w:szCs w:val="12"/>
          <w:b w:val="1"/>
          <w:bCs w:val="1"/>
          <w:color w:val="58844D"/>
        </w:rPr>
        <w:t>22</w:t>
      </w:r>
    </w:p>
    <w:p>
      <w:pPr>
        <w:spacing w:after="0" w:line="218" w:lineRule="exact"/>
        <w:rPr>
          <w:sz w:val="20"/>
          <w:szCs w:val="20"/>
          <w:color w:val="auto"/>
        </w:rPr>
      </w:pPr>
    </w:p>
    <w:p>
      <w:pPr>
        <w:ind w:left="1500" w:right="1160" w:hanging="302"/>
        <w:spacing w:after="0" w:line="216" w:lineRule="auto"/>
        <w:tabs>
          <w:tab w:leader="none" w:pos="1500" w:val="left"/>
        </w:tabs>
        <w:numPr>
          <w:ilvl w:val="0"/>
          <w:numId w:val="27"/>
        </w:numPr>
        <w:rPr>
          <w:rFonts w:ascii="Arial" w:cs="Arial" w:eastAsia="Arial" w:hAnsi="Arial"/>
          <w:sz w:val="18"/>
          <w:szCs w:val="18"/>
          <w:color w:val="58844D"/>
          <w:vertAlign w:val="superscript"/>
        </w:rPr>
      </w:pPr>
      <w:r>
        <w:rPr>
          <w:rFonts w:ascii="Arial" w:cs="Arial" w:eastAsia="Arial" w:hAnsi="Arial"/>
          <w:sz w:val="12"/>
          <w:szCs w:val="12"/>
          <w:color w:val="auto"/>
        </w:rPr>
        <w:t>Includes 10,201 DSUs and 2,511 DERs to be paid in Class A common stock and 29,951 DSUs and 5,454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by the Compensation Committee or elected by the participant under the terms of an award and the tax rules applicable to nonqualified deferred compensation plans under Section 409A of the Code. DERs become exercisable proportionately with the DSUs to which they relate. Each DER is the right to receive one share of Class A common stock or Class C common stock,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-435610</wp:posOffset>
            </wp:positionV>
            <wp:extent cx="5812790" cy="9556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12790" cy="955675"/>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34"/>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6</w:t>
            </w:r>
          </w:p>
        </w:tc>
        <w:tc>
          <w:tcPr>
            <w:tcW w:w="140" w:type="dxa"/>
            <w:vAlign w:val="bottom"/>
          </w:tcPr>
          <w:p>
            <w:pPr>
              <w:spacing w:after="0"/>
              <w:rPr>
                <w:sz w:val="11"/>
                <w:szCs w:val="11"/>
                <w:color w:val="auto"/>
              </w:rPr>
            </w:pPr>
          </w:p>
        </w:tc>
        <w:tc>
          <w:tcPr>
            <w:tcW w:w="8780" w:type="dxa"/>
            <w:vAlign w:val="bottom"/>
          </w:tcPr>
          <w:p>
            <w:pPr>
              <w:spacing w:after="0" w:line="134" w:lineRule="exact"/>
              <w:rPr>
                <w:sz w:val="20"/>
                <w:szCs w:val="20"/>
                <w:color w:val="auto"/>
              </w:rPr>
            </w:pPr>
            <w:r>
              <w:rPr>
                <w:rFonts w:ascii="Arial" w:cs="Arial" w:eastAsia="Arial" w:hAnsi="Arial"/>
                <w:sz w:val="12"/>
                <w:szCs w:val="12"/>
                <w:color w:val="auto"/>
              </w:rPr>
              <w:t>under its terms.</w:t>
            </w:r>
          </w:p>
        </w:tc>
        <w:tc>
          <w:tcPr>
            <w:tcW w:w="0" w:type="dxa"/>
            <w:vAlign w:val="bottom"/>
          </w:tcPr>
          <w:p>
            <w:pPr>
              <w:spacing w:after="0"/>
              <w:rPr>
                <w:sz w:val="1"/>
                <w:szCs w:val="1"/>
                <w:color w:val="auto"/>
              </w:rPr>
            </w:pPr>
          </w:p>
        </w:tc>
      </w:tr>
      <w:tr>
        <w:trPr>
          <w:trHeight w:val="83"/>
        </w:trPr>
        <w:tc>
          <w:tcPr>
            <w:tcW w:w="160" w:type="dxa"/>
            <w:vAlign w:val="bottom"/>
            <w:vMerge w:val="continue"/>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8780" w:type="dxa"/>
            <w:vAlign w:val="bottom"/>
            <w:vMerge w:val="restart"/>
            <w:shd w:val="clear" w:color="auto" w:fill="E9EEE6"/>
          </w:tcPr>
          <w:p>
            <w:pPr>
              <w:spacing w:after="0"/>
              <w:rPr>
                <w:sz w:val="20"/>
                <w:szCs w:val="20"/>
                <w:color w:val="auto"/>
              </w:rPr>
            </w:pPr>
            <w:r>
              <w:rPr>
                <w:rFonts w:ascii="Arial" w:cs="Arial" w:eastAsia="Arial" w:hAnsi="Arial"/>
                <w:sz w:val="12"/>
                <w:szCs w:val="12"/>
                <w:color w:val="auto"/>
              </w:rPr>
              <w:t>Includes 9,093 DSUs and 2,238 DERs to be paid in Class A common stock and 36,470 DSUs and 5,544 DERs to be paid in Class C common stock, each payable</w:t>
            </w:r>
          </w:p>
        </w:tc>
        <w:tc>
          <w:tcPr>
            <w:tcW w:w="0" w:type="dxa"/>
            <w:vAlign w:val="bottom"/>
          </w:tcPr>
          <w:p>
            <w:pPr>
              <w:spacing w:after="0"/>
              <w:rPr>
                <w:sz w:val="1"/>
                <w:szCs w:val="1"/>
                <w:color w:val="auto"/>
              </w:rPr>
            </w:pPr>
          </w:p>
        </w:tc>
      </w:tr>
      <w:tr>
        <w:trPr>
          <w:trHeight w:val="58"/>
        </w:trPr>
        <w:tc>
          <w:tcPr>
            <w:tcW w:w="160" w:type="dxa"/>
            <w:vAlign w:val="bottom"/>
          </w:tcPr>
          <w:p>
            <w:pPr>
              <w:spacing w:after="0"/>
              <w:rPr>
                <w:sz w:val="5"/>
                <w:szCs w:val="5"/>
                <w:color w:val="auto"/>
              </w:rPr>
            </w:pPr>
          </w:p>
        </w:tc>
        <w:tc>
          <w:tcPr>
            <w:tcW w:w="140" w:type="dxa"/>
            <w:vAlign w:val="bottom"/>
            <w:shd w:val="clear" w:color="auto" w:fill="E9EEE6"/>
          </w:tcPr>
          <w:p>
            <w:pPr>
              <w:spacing w:after="0"/>
              <w:rPr>
                <w:sz w:val="5"/>
                <w:szCs w:val="5"/>
                <w:color w:val="auto"/>
              </w:rPr>
            </w:pPr>
          </w:p>
        </w:tc>
        <w:tc>
          <w:tcPr>
            <w:tcW w:w="8780" w:type="dxa"/>
            <w:vAlign w:val="bottom"/>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7</w:t>
            </w:r>
          </w:p>
        </w:tc>
        <w:tc>
          <w:tcPr>
            <w:tcW w:w="140" w:type="dxa"/>
            <w:vAlign w:val="bottom"/>
            <w:shd w:val="clear" w:color="auto" w:fill="E9EEE6"/>
          </w:tcPr>
          <w:p>
            <w:pPr>
              <w:spacing w:after="0"/>
              <w:rPr>
                <w:sz w:val="11"/>
                <w:szCs w:val="11"/>
                <w:color w:val="auto"/>
              </w:rPr>
            </w:pPr>
          </w:p>
        </w:tc>
        <w:tc>
          <w:tcPr>
            <w:tcW w:w="8780" w:type="dxa"/>
            <w:vAlign w:val="bottom"/>
            <w:shd w:val="clear" w:color="auto" w:fill="E9EEE6"/>
          </w:tcPr>
          <w:p>
            <w:pPr>
              <w:spacing w:after="0" w:line="133" w:lineRule="exact"/>
              <w:rPr>
                <w:sz w:val="20"/>
                <w:szCs w:val="20"/>
                <w:color w:val="auto"/>
              </w:rPr>
            </w:pPr>
            <w:r>
              <w:rPr>
                <w:rFonts w:ascii="Arial" w:cs="Arial" w:eastAsia="Arial" w:hAnsi="Arial"/>
                <w:sz w:val="12"/>
                <w:szCs w:val="12"/>
                <w:color w:val="auto"/>
              </w:rPr>
              <w:t>in the event the director ceases to be a member of the Board.</w:t>
            </w:r>
          </w:p>
        </w:tc>
        <w:tc>
          <w:tcPr>
            <w:tcW w:w="0" w:type="dxa"/>
            <w:vAlign w:val="bottom"/>
          </w:tcPr>
          <w:p>
            <w:pPr>
              <w:spacing w:after="0"/>
              <w:rPr>
                <w:sz w:val="1"/>
                <w:szCs w:val="1"/>
                <w:color w:val="auto"/>
              </w:rPr>
            </w:pPr>
          </w:p>
        </w:tc>
      </w:tr>
      <w:tr>
        <w:trPr>
          <w:trHeight w:val="83"/>
        </w:trPr>
        <w:tc>
          <w:tcPr>
            <w:tcW w:w="160" w:type="dxa"/>
            <w:vAlign w:val="bottom"/>
            <w:vMerge w:val="continue"/>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8780" w:type="dxa"/>
            <w:vAlign w:val="bottom"/>
            <w:vMerge w:val="restart"/>
            <w:shd w:val="clear" w:color="auto" w:fill="E9EEE6"/>
          </w:tcPr>
          <w:p>
            <w:pPr>
              <w:spacing w:after="0"/>
              <w:rPr>
                <w:sz w:val="20"/>
                <w:szCs w:val="20"/>
                <w:color w:val="auto"/>
              </w:rPr>
            </w:pPr>
            <w:r>
              <w:rPr>
                <w:rFonts w:ascii="Arial" w:cs="Arial" w:eastAsia="Arial" w:hAnsi="Arial"/>
                <w:sz w:val="12"/>
                <w:szCs w:val="12"/>
                <w:color w:val="auto"/>
              </w:rPr>
              <w:t>Includes 4,547 DSUs and 1,117 DERs to be paid in Class A common stock and 18,236 DSUs and 2,731 DERs to be paid in Class C common stock, each payable</w:t>
            </w:r>
          </w:p>
        </w:tc>
        <w:tc>
          <w:tcPr>
            <w:tcW w:w="0" w:type="dxa"/>
            <w:vAlign w:val="bottom"/>
          </w:tcPr>
          <w:p>
            <w:pPr>
              <w:spacing w:after="0"/>
              <w:rPr>
                <w:sz w:val="1"/>
                <w:szCs w:val="1"/>
                <w:color w:val="auto"/>
              </w:rPr>
            </w:pPr>
          </w:p>
        </w:tc>
      </w:tr>
      <w:tr>
        <w:trPr>
          <w:trHeight w:val="58"/>
        </w:trPr>
        <w:tc>
          <w:tcPr>
            <w:tcW w:w="160" w:type="dxa"/>
            <w:vAlign w:val="bottom"/>
          </w:tcPr>
          <w:p>
            <w:pPr>
              <w:spacing w:after="0"/>
              <w:rPr>
                <w:sz w:val="5"/>
                <w:szCs w:val="5"/>
                <w:color w:val="auto"/>
              </w:rPr>
            </w:pPr>
          </w:p>
        </w:tc>
        <w:tc>
          <w:tcPr>
            <w:tcW w:w="140" w:type="dxa"/>
            <w:vAlign w:val="bottom"/>
            <w:shd w:val="clear" w:color="auto" w:fill="E9EEE6"/>
          </w:tcPr>
          <w:p>
            <w:pPr>
              <w:spacing w:after="0"/>
              <w:rPr>
                <w:sz w:val="5"/>
                <w:szCs w:val="5"/>
                <w:color w:val="auto"/>
              </w:rPr>
            </w:pPr>
          </w:p>
        </w:tc>
        <w:tc>
          <w:tcPr>
            <w:tcW w:w="8780" w:type="dxa"/>
            <w:vAlign w:val="bottom"/>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8</w:t>
            </w:r>
          </w:p>
        </w:tc>
        <w:tc>
          <w:tcPr>
            <w:tcW w:w="140" w:type="dxa"/>
            <w:vAlign w:val="bottom"/>
            <w:shd w:val="clear" w:color="auto" w:fill="E9EEE6"/>
          </w:tcPr>
          <w:p>
            <w:pPr>
              <w:spacing w:after="0"/>
              <w:rPr>
                <w:sz w:val="11"/>
                <w:szCs w:val="11"/>
                <w:color w:val="auto"/>
              </w:rPr>
            </w:pPr>
          </w:p>
        </w:tc>
        <w:tc>
          <w:tcPr>
            <w:tcW w:w="8780" w:type="dxa"/>
            <w:vAlign w:val="bottom"/>
            <w:shd w:val="clear" w:color="auto" w:fill="E9EEE6"/>
          </w:tcPr>
          <w:p>
            <w:pPr>
              <w:spacing w:after="0" w:line="137" w:lineRule="exact"/>
              <w:rPr>
                <w:sz w:val="20"/>
                <w:szCs w:val="20"/>
                <w:color w:val="auto"/>
              </w:rPr>
            </w:pPr>
            <w:r>
              <w:rPr>
                <w:rFonts w:ascii="Arial" w:cs="Arial" w:eastAsia="Arial" w:hAnsi="Arial"/>
                <w:sz w:val="12"/>
                <w:szCs w:val="12"/>
                <w:color w:val="auto"/>
              </w:rPr>
              <w:t>in the event the director ceases to be a member of the Board.</w:t>
            </w:r>
          </w:p>
        </w:tc>
        <w:tc>
          <w:tcPr>
            <w:tcW w:w="0" w:type="dxa"/>
            <w:vAlign w:val="bottom"/>
          </w:tcPr>
          <w:p>
            <w:pPr>
              <w:spacing w:after="0"/>
              <w:rPr>
                <w:sz w:val="1"/>
                <w:szCs w:val="1"/>
                <w:color w:val="auto"/>
              </w:rPr>
            </w:pPr>
          </w:p>
        </w:tc>
      </w:tr>
      <w:tr>
        <w:trPr>
          <w:trHeight w:val="79"/>
        </w:trPr>
        <w:tc>
          <w:tcPr>
            <w:tcW w:w="160" w:type="dxa"/>
            <w:vAlign w:val="bottom"/>
            <w:vMerge w:val="continue"/>
          </w:tcPr>
          <w:p>
            <w:pPr>
              <w:spacing w:after="0"/>
              <w:rPr>
                <w:sz w:val="6"/>
                <w:szCs w:val="6"/>
                <w:color w:val="auto"/>
              </w:rPr>
            </w:pPr>
          </w:p>
        </w:tc>
        <w:tc>
          <w:tcPr>
            <w:tcW w:w="140" w:type="dxa"/>
            <w:vAlign w:val="bottom"/>
            <w:shd w:val="clear" w:color="auto" w:fill="E9EEE6"/>
          </w:tcPr>
          <w:p>
            <w:pPr>
              <w:spacing w:after="0"/>
              <w:rPr>
                <w:sz w:val="6"/>
                <w:szCs w:val="6"/>
                <w:color w:val="auto"/>
              </w:rPr>
            </w:pPr>
          </w:p>
        </w:tc>
        <w:tc>
          <w:tcPr>
            <w:tcW w:w="8780" w:type="dxa"/>
            <w:vAlign w:val="bottom"/>
            <w:vMerge w:val="restart"/>
            <w:shd w:val="clear" w:color="auto" w:fill="E9EEE6"/>
          </w:tcPr>
          <w:p>
            <w:pPr>
              <w:spacing w:after="0" w:line="133" w:lineRule="exact"/>
              <w:rPr>
                <w:sz w:val="20"/>
                <w:szCs w:val="20"/>
                <w:color w:val="auto"/>
              </w:rPr>
            </w:pPr>
            <w:r>
              <w:rPr>
                <w:rFonts w:ascii="Arial" w:cs="Arial" w:eastAsia="Arial" w:hAnsi="Arial"/>
                <w:sz w:val="12"/>
                <w:szCs w:val="12"/>
                <w:color w:val="auto"/>
              </w:rPr>
              <w:t>Consists of the total holdings of directors and all executive officers as a group.</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40" w:type="dxa"/>
            <w:vAlign w:val="bottom"/>
            <w:shd w:val="clear" w:color="auto" w:fill="E9EEE6"/>
          </w:tcPr>
          <w:p>
            <w:pPr>
              <w:spacing w:after="0"/>
              <w:rPr>
                <w:sz w:val="4"/>
                <w:szCs w:val="4"/>
                <w:color w:val="auto"/>
              </w:rPr>
            </w:pPr>
          </w:p>
        </w:tc>
        <w:tc>
          <w:tcPr>
            <w:tcW w:w="8780" w:type="dxa"/>
            <w:vAlign w:val="bottom"/>
            <w:vMerge w:val="continue"/>
            <w:shd w:val="clear" w:color="auto" w:fill="E9EEE6"/>
          </w:tcPr>
          <w:p>
            <w:pPr>
              <w:spacing w:after="0"/>
              <w:rPr>
                <w:sz w:val="4"/>
                <w:szCs w:val="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58844D"/>
        </w:rPr>
        <w:t>Stock Ownership of Principal Stockholders</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NRG), percentage of beneficial ownership is based on 34,586,250 shares of Class A common stock outstanding as of March 1, 2018 and 64,730,519 shares of Class C common stock outstanding as of March 1, 2018, and percentage of combined voting power is based on 78,399,694 votes represented by our outstanding Class A, Class B, Class C and Class D common stock in the aggregate as of March 1, 2018. For NRG, who is the sole beneficial owner of our Class B and Class D common stock, percentage of beneficial ownership is based on 34,586,250 shares of Class A common stock outstanding as of March 1, 2018 and 64,730,519 shares of Class C common stock outstanding as of March 1, 2018, plus any shares exchangeable into Class A or Class C common stock within 60 days of March 1, 2018, and percentage of combined voting power is based on 78,399,694 votes represented by our outstanding Class A, Class B, Class C and Class D common stock in the aggregate as of March 1, 2018. Unless otherwise indicated, each person has sole voting and dispositive power with respect the shares set forth in the following table. For further information regarding material transactions between us and NRG, see "Certain Relationships and Related Person Transactions."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60" w:type="dxa"/>
            <w:vAlign w:val="bottom"/>
            <w:shd w:val="clear" w:color="auto" w:fill="58854E"/>
          </w:tcPr>
          <w:p>
            <w:pPr>
              <w:spacing w:after="0"/>
              <w:rPr>
                <w:sz w:val="14"/>
                <w:szCs w:val="14"/>
                <w:color w:val="auto"/>
              </w:rPr>
            </w:pPr>
          </w:p>
        </w:tc>
        <w:tc>
          <w:tcPr>
            <w:tcW w:w="2740" w:type="dxa"/>
            <w:vAlign w:val="bottom"/>
            <w:shd w:val="clear" w:color="auto" w:fill="58854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shd w:val="clear" w:color="auto" w:fill="58854E"/>
          </w:tcPr>
          <w:p>
            <w:pPr>
              <w:spacing w:after="0"/>
              <w:rPr>
                <w:sz w:val="14"/>
                <w:szCs w:val="14"/>
                <w:color w:val="auto"/>
              </w:rPr>
            </w:pPr>
          </w:p>
        </w:tc>
        <w:tc>
          <w:tcPr>
            <w:tcW w:w="2200" w:type="dxa"/>
            <w:vAlign w:val="bottom"/>
            <w:gridSpan w:val="2"/>
            <w:shd w:val="clear" w:color="auto" w:fill="58854E"/>
          </w:tcPr>
          <w:p>
            <w:pPr>
              <w:ind w:left="320"/>
              <w:spacing w:after="0"/>
              <w:rPr>
                <w:sz w:val="20"/>
                <w:szCs w:val="20"/>
                <w:color w:val="auto"/>
              </w:rPr>
            </w:pPr>
            <w:r>
              <w:rPr>
                <w:rFonts w:ascii="Arial" w:cs="Arial" w:eastAsia="Arial" w:hAnsi="Arial"/>
                <w:sz w:val="12"/>
                <w:szCs w:val="12"/>
                <w:b w:val="1"/>
                <w:bCs w:val="1"/>
                <w:color w:val="FFFFFE"/>
              </w:rPr>
              <w:t>CLASS A COMMON STOCK</w:t>
            </w:r>
          </w:p>
        </w:tc>
        <w:tc>
          <w:tcPr>
            <w:tcW w:w="140" w:type="dxa"/>
            <w:vAlign w:val="bottom"/>
          </w:tcPr>
          <w:p>
            <w:pPr>
              <w:spacing w:after="0"/>
              <w:rPr>
                <w:sz w:val="14"/>
                <w:szCs w:val="14"/>
                <w:color w:val="auto"/>
              </w:rPr>
            </w:pPr>
          </w:p>
        </w:tc>
        <w:tc>
          <w:tcPr>
            <w:tcW w:w="80" w:type="dxa"/>
            <w:vAlign w:val="bottom"/>
            <w:shd w:val="clear" w:color="auto" w:fill="58854E"/>
          </w:tcPr>
          <w:p>
            <w:pPr>
              <w:spacing w:after="0"/>
              <w:rPr>
                <w:sz w:val="14"/>
                <w:szCs w:val="14"/>
                <w:color w:val="auto"/>
              </w:rPr>
            </w:pPr>
          </w:p>
        </w:tc>
        <w:tc>
          <w:tcPr>
            <w:tcW w:w="2100" w:type="dxa"/>
            <w:vAlign w:val="bottom"/>
            <w:gridSpan w:val="2"/>
            <w:shd w:val="clear" w:color="auto" w:fill="58854E"/>
          </w:tcPr>
          <w:p>
            <w:pPr>
              <w:ind w:left="260"/>
              <w:spacing w:after="0"/>
              <w:rPr>
                <w:sz w:val="20"/>
                <w:szCs w:val="20"/>
                <w:color w:val="auto"/>
              </w:rPr>
            </w:pPr>
            <w:r>
              <w:rPr>
                <w:rFonts w:ascii="Arial" w:cs="Arial" w:eastAsia="Arial" w:hAnsi="Arial"/>
                <w:sz w:val="12"/>
                <w:szCs w:val="12"/>
                <w:b w:val="1"/>
                <w:bCs w:val="1"/>
                <w:color w:val="FFFFFE"/>
              </w:rPr>
              <w:t>CLASS C COMMON STOCK</w:t>
            </w:r>
          </w:p>
        </w:tc>
        <w:tc>
          <w:tcPr>
            <w:tcW w:w="140" w:type="dxa"/>
            <w:vAlign w:val="bottom"/>
          </w:tcPr>
          <w:p>
            <w:pPr>
              <w:spacing w:after="0"/>
              <w:rPr>
                <w:sz w:val="14"/>
                <w:szCs w:val="14"/>
                <w:color w:val="auto"/>
              </w:rPr>
            </w:pPr>
          </w:p>
        </w:tc>
        <w:tc>
          <w:tcPr>
            <w:tcW w:w="80" w:type="dxa"/>
            <w:vAlign w:val="bottom"/>
            <w:shd w:val="clear" w:color="auto" w:fill="58854E"/>
          </w:tcPr>
          <w:p>
            <w:pPr>
              <w:spacing w:after="0"/>
              <w:rPr>
                <w:sz w:val="14"/>
                <w:szCs w:val="14"/>
                <w:color w:val="auto"/>
              </w:rPr>
            </w:pPr>
          </w:p>
        </w:tc>
        <w:tc>
          <w:tcPr>
            <w:tcW w:w="1160" w:type="dxa"/>
            <w:vAlign w:val="bottom"/>
            <w:shd w:val="clear" w:color="auto" w:fill="58854E"/>
          </w:tcPr>
          <w:p>
            <w:pPr>
              <w:ind w:left="80"/>
              <w:spacing w:after="0"/>
              <w:rPr>
                <w:sz w:val="20"/>
                <w:szCs w:val="20"/>
                <w:color w:val="auto"/>
              </w:rPr>
            </w:pPr>
            <w:r>
              <w:rPr>
                <w:rFonts w:ascii="Arial" w:cs="Arial" w:eastAsia="Arial" w:hAnsi="Arial"/>
                <w:sz w:val="12"/>
                <w:szCs w:val="12"/>
                <w:b w:val="1"/>
                <w:bCs w:val="1"/>
                <w:color w:val="FFFFFE"/>
              </w:rPr>
              <w:t>COMMON STOCK</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60" w:type="dxa"/>
            <w:vAlign w:val="bottom"/>
            <w:shd w:val="clear" w:color="auto" w:fill="58854E"/>
          </w:tcPr>
          <w:p>
            <w:pPr>
              <w:spacing w:after="0"/>
              <w:rPr>
                <w:sz w:val="12"/>
                <w:szCs w:val="12"/>
                <w:color w:val="auto"/>
              </w:rPr>
            </w:pPr>
          </w:p>
        </w:tc>
        <w:tc>
          <w:tcPr>
            <w:tcW w:w="274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1100" w:type="dxa"/>
            <w:vAlign w:val="bottom"/>
            <w:vMerge w:val="restart"/>
            <w:shd w:val="clear" w:color="auto" w:fill="58854E"/>
          </w:tcPr>
          <w:p>
            <w:pPr>
              <w:jc w:val="right"/>
              <w:ind w:right="295"/>
              <w:spacing w:after="0"/>
              <w:rPr>
                <w:sz w:val="20"/>
                <w:szCs w:val="20"/>
                <w:color w:val="auto"/>
              </w:rPr>
            </w:pPr>
            <w:r>
              <w:rPr>
                <w:rFonts w:ascii="Arial" w:cs="Arial" w:eastAsia="Arial" w:hAnsi="Arial"/>
                <w:sz w:val="12"/>
                <w:szCs w:val="12"/>
                <w:b w:val="1"/>
                <w:bCs w:val="1"/>
                <w:color w:val="FFFFFE"/>
              </w:rPr>
              <w:t>NUMBER</w:t>
            </w:r>
            <w:r>
              <w:rPr>
                <w:rFonts w:ascii="Arial" w:cs="Arial" w:eastAsia="Arial" w:hAnsi="Arial"/>
                <w:sz w:val="18"/>
                <w:szCs w:val="18"/>
                <w:color w:val="FFFFFE"/>
                <w:vertAlign w:val="superscript"/>
              </w:rPr>
              <w:t>1</w:t>
            </w:r>
          </w:p>
        </w:tc>
        <w:tc>
          <w:tcPr>
            <w:tcW w:w="110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 OF CLASS A</w:t>
            </w:r>
          </w:p>
        </w:tc>
        <w:tc>
          <w:tcPr>
            <w:tcW w:w="14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1100" w:type="dxa"/>
            <w:vAlign w:val="bottom"/>
            <w:vMerge w:val="restart"/>
            <w:shd w:val="clear" w:color="auto" w:fill="58854E"/>
          </w:tcPr>
          <w:p>
            <w:pPr>
              <w:jc w:val="right"/>
              <w:ind w:right="275"/>
              <w:spacing w:after="0"/>
              <w:rPr>
                <w:sz w:val="20"/>
                <w:szCs w:val="20"/>
                <w:color w:val="auto"/>
              </w:rPr>
            </w:pPr>
            <w:r>
              <w:rPr>
                <w:rFonts w:ascii="Arial" w:cs="Arial" w:eastAsia="Arial" w:hAnsi="Arial"/>
                <w:sz w:val="12"/>
                <w:szCs w:val="12"/>
                <w:b w:val="1"/>
                <w:bCs w:val="1"/>
                <w:color w:val="FFFFFE"/>
              </w:rPr>
              <w:t>NUMBER</w:t>
            </w:r>
            <w:r>
              <w:rPr>
                <w:rFonts w:ascii="Arial" w:cs="Arial" w:eastAsia="Arial" w:hAnsi="Arial"/>
                <w:sz w:val="18"/>
                <w:szCs w:val="18"/>
                <w:color w:val="FFFFFE"/>
                <w:vertAlign w:val="superscript"/>
              </w:rPr>
              <w:t>1</w:t>
            </w:r>
          </w:p>
        </w:tc>
        <w:tc>
          <w:tcPr>
            <w:tcW w:w="100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 OF CLASS C</w:t>
            </w:r>
          </w:p>
        </w:tc>
        <w:tc>
          <w:tcPr>
            <w:tcW w:w="14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1160" w:type="dxa"/>
            <w:vAlign w:val="bottom"/>
            <w:vMerge w:val="restart"/>
            <w:shd w:val="clear" w:color="auto" w:fill="58854E"/>
          </w:tcPr>
          <w:p>
            <w:pPr>
              <w:ind w:left="80"/>
              <w:spacing w:after="0"/>
              <w:rPr>
                <w:sz w:val="20"/>
                <w:szCs w:val="20"/>
                <w:color w:val="auto"/>
              </w:rPr>
            </w:pPr>
            <w:r>
              <w:rPr>
                <w:rFonts w:ascii="Arial" w:cs="Arial" w:eastAsia="Arial" w:hAnsi="Arial"/>
                <w:sz w:val="12"/>
                <w:szCs w:val="12"/>
                <w:b w:val="1"/>
                <w:bCs w:val="1"/>
                <w:color w:val="FFFFFE"/>
              </w:rPr>
              <w:t>% OF COMBINED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3000" w:type="dxa"/>
            <w:vAlign w:val="bottom"/>
            <w:gridSpan w:val="2"/>
            <w:vMerge w:val="restart"/>
            <w:shd w:val="clear" w:color="auto" w:fill="58854E"/>
          </w:tcPr>
          <w:p>
            <w:pPr>
              <w:spacing w:after="0"/>
              <w:rPr>
                <w:sz w:val="20"/>
                <w:szCs w:val="20"/>
                <w:color w:val="auto"/>
              </w:rPr>
            </w:pPr>
            <w:r>
              <w:rPr>
                <w:rFonts w:ascii="Arial" w:cs="Arial" w:eastAsia="Arial" w:hAnsi="Arial"/>
                <w:sz w:val="12"/>
                <w:szCs w:val="12"/>
                <w:b w:val="1"/>
                <w:bCs w:val="1"/>
                <w:color w:val="FFFFFE"/>
              </w:rPr>
              <w:t>NAME OF BENEFICIAL OWNER</w:t>
            </w:r>
          </w:p>
        </w:tc>
        <w:tc>
          <w:tcPr>
            <w:tcW w:w="140" w:type="dxa"/>
            <w:vAlign w:val="bottom"/>
          </w:tcPr>
          <w:p>
            <w:pPr>
              <w:spacing w:after="0"/>
              <w:rPr>
                <w:sz w:val="4"/>
                <w:szCs w:val="4"/>
                <w:color w:val="auto"/>
              </w:rPr>
            </w:pPr>
          </w:p>
        </w:tc>
        <w:tc>
          <w:tcPr>
            <w:tcW w:w="80" w:type="dxa"/>
            <w:vAlign w:val="bottom"/>
            <w:shd w:val="clear" w:color="auto" w:fill="58854E"/>
          </w:tcPr>
          <w:p>
            <w:pPr>
              <w:spacing w:after="0"/>
              <w:rPr>
                <w:sz w:val="4"/>
                <w:szCs w:val="4"/>
                <w:color w:val="auto"/>
              </w:rPr>
            </w:pPr>
          </w:p>
        </w:tc>
        <w:tc>
          <w:tcPr>
            <w:tcW w:w="1100" w:type="dxa"/>
            <w:vAlign w:val="bottom"/>
            <w:vMerge w:val="continue"/>
            <w:shd w:val="clear" w:color="auto" w:fill="58854E"/>
          </w:tcPr>
          <w:p>
            <w:pPr>
              <w:spacing w:after="0"/>
              <w:rPr>
                <w:sz w:val="4"/>
                <w:szCs w:val="4"/>
                <w:color w:val="auto"/>
              </w:rPr>
            </w:pPr>
          </w:p>
        </w:tc>
        <w:tc>
          <w:tcPr>
            <w:tcW w:w="1100" w:type="dxa"/>
            <w:vAlign w:val="bottom"/>
            <w:vMerge w:val="restart"/>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COMMON</w:t>
            </w:r>
          </w:p>
        </w:tc>
        <w:tc>
          <w:tcPr>
            <w:tcW w:w="140" w:type="dxa"/>
            <w:vAlign w:val="bottom"/>
          </w:tcPr>
          <w:p>
            <w:pPr>
              <w:spacing w:after="0"/>
              <w:rPr>
                <w:sz w:val="4"/>
                <w:szCs w:val="4"/>
                <w:color w:val="auto"/>
              </w:rPr>
            </w:pPr>
          </w:p>
        </w:tc>
        <w:tc>
          <w:tcPr>
            <w:tcW w:w="80" w:type="dxa"/>
            <w:vAlign w:val="bottom"/>
            <w:shd w:val="clear" w:color="auto" w:fill="58854E"/>
          </w:tcPr>
          <w:p>
            <w:pPr>
              <w:spacing w:after="0"/>
              <w:rPr>
                <w:sz w:val="4"/>
                <w:szCs w:val="4"/>
                <w:color w:val="auto"/>
              </w:rPr>
            </w:pPr>
          </w:p>
        </w:tc>
        <w:tc>
          <w:tcPr>
            <w:tcW w:w="1100" w:type="dxa"/>
            <w:vAlign w:val="bottom"/>
            <w:vMerge w:val="continue"/>
            <w:shd w:val="clear" w:color="auto" w:fill="58854E"/>
          </w:tcPr>
          <w:p>
            <w:pPr>
              <w:spacing w:after="0"/>
              <w:rPr>
                <w:sz w:val="4"/>
                <w:szCs w:val="4"/>
                <w:color w:val="auto"/>
              </w:rPr>
            </w:pPr>
          </w:p>
        </w:tc>
        <w:tc>
          <w:tcPr>
            <w:tcW w:w="1000" w:type="dxa"/>
            <w:vAlign w:val="bottom"/>
            <w:vMerge w:val="restart"/>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COMMON</w:t>
            </w:r>
          </w:p>
        </w:tc>
        <w:tc>
          <w:tcPr>
            <w:tcW w:w="140" w:type="dxa"/>
            <w:vAlign w:val="bottom"/>
          </w:tcPr>
          <w:p>
            <w:pPr>
              <w:spacing w:after="0"/>
              <w:rPr>
                <w:sz w:val="4"/>
                <w:szCs w:val="4"/>
                <w:color w:val="auto"/>
              </w:rPr>
            </w:pPr>
          </w:p>
        </w:tc>
        <w:tc>
          <w:tcPr>
            <w:tcW w:w="80" w:type="dxa"/>
            <w:vAlign w:val="bottom"/>
            <w:shd w:val="clear" w:color="auto" w:fill="58854E"/>
          </w:tcPr>
          <w:p>
            <w:pPr>
              <w:spacing w:after="0"/>
              <w:rPr>
                <w:sz w:val="4"/>
                <w:szCs w:val="4"/>
                <w:color w:val="auto"/>
              </w:rPr>
            </w:pPr>
          </w:p>
        </w:tc>
        <w:tc>
          <w:tcPr>
            <w:tcW w:w="1160" w:type="dxa"/>
            <w:vAlign w:val="bottom"/>
            <w:vMerge w:val="continue"/>
            <w:shd w:val="clear" w:color="auto" w:fill="58854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000" w:type="dxa"/>
            <w:vAlign w:val="bottom"/>
            <w:gridSpan w:val="2"/>
            <w:vMerge w:val="continue"/>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1100" w:type="dxa"/>
            <w:vAlign w:val="bottom"/>
            <w:vMerge w:val="continue"/>
            <w:shd w:val="clear" w:color="auto" w:fill="58854E"/>
          </w:tcPr>
          <w:p>
            <w:pPr>
              <w:spacing w:after="0"/>
              <w:rPr>
                <w:sz w:val="10"/>
                <w:szCs w:val="10"/>
                <w:color w:val="auto"/>
              </w:rPr>
            </w:pPr>
          </w:p>
        </w:tc>
        <w:tc>
          <w:tcPr>
            <w:tcW w:w="1100" w:type="dxa"/>
            <w:vAlign w:val="bottom"/>
            <w:vMerge w:val="continue"/>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1100" w:type="dxa"/>
            <w:vAlign w:val="bottom"/>
            <w:vMerge w:val="continue"/>
            <w:shd w:val="clear" w:color="auto" w:fill="58854E"/>
          </w:tcPr>
          <w:p>
            <w:pPr>
              <w:spacing w:after="0"/>
              <w:rPr>
                <w:sz w:val="10"/>
                <w:szCs w:val="10"/>
                <w:color w:val="auto"/>
              </w:rPr>
            </w:pPr>
          </w:p>
        </w:tc>
        <w:tc>
          <w:tcPr>
            <w:tcW w:w="1000" w:type="dxa"/>
            <w:vAlign w:val="bottom"/>
            <w:vMerge w:val="continue"/>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1160" w:type="dxa"/>
            <w:vAlign w:val="bottom"/>
            <w:shd w:val="clear" w:color="auto" w:fill="58854E"/>
          </w:tcPr>
          <w:p>
            <w:pPr>
              <w:ind w:left="80"/>
              <w:spacing w:after="0" w:line="124" w:lineRule="exact"/>
              <w:rPr>
                <w:sz w:val="20"/>
                <w:szCs w:val="20"/>
                <w:color w:val="auto"/>
              </w:rPr>
            </w:pPr>
            <w:r>
              <w:rPr>
                <w:rFonts w:ascii="Arial" w:cs="Arial" w:eastAsia="Arial" w:hAnsi="Arial"/>
                <w:sz w:val="10"/>
                <w:szCs w:val="10"/>
                <w:b w:val="1"/>
                <w:bCs w:val="1"/>
                <w:color w:val="FFFFFE"/>
              </w:rPr>
              <w:t>VOTING POWER</w:t>
            </w:r>
            <w:r>
              <w:rPr>
                <w:rFonts w:ascii="Arial" w:cs="Arial" w:eastAsia="Arial" w:hAnsi="Arial"/>
                <w:sz w:val="14"/>
                <w:szCs w:val="14"/>
                <w:color w:val="FFFFFE"/>
                <w:vertAlign w:val="superscript"/>
              </w:rPr>
              <w:t>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60" w:type="dxa"/>
            <w:vAlign w:val="bottom"/>
            <w:shd w:val="clear" w:color="auto" w:fill="58854E"/>
          </w:tcPr>
          <w:p>
            <w:pPr>
              <w:spacing w:after="0"/>
              <w:rPr>
                <w:sz w:val="8"/>
                <w:szCs w:val="8"/>
                <w:color w:val="auto"/>
              </w:rPr>
            </w:pPr>
          </w:p>
        </w:tc>
        <w:tc>
          <w:tcPr>
            <w:tcW w:w="2740" w:type="dxa"/>
            <w:vAlign w:val="bottom"/>
            <w:shd w:val="clear" w:color="auto" w:fill="58854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shd w:val="clear" w:color="auto" w:fill="58854E"/>
          </w:tcPr>
          <w:p>
            <w:pPr>
              <w:spacing w:after="0"/>
              <w:rPr>
                <w:sz w:val="8"/>
                <w:szCs w:val="8"/>
                <w:color w:val="auto"/>
              </w:rPr>
            </w:pPr>
          </w:p>
        </w:tc>
        <w:tc>
          <w:tcPr>
            <w:tcW w:w="1100" w:type="dxa"/>
            <w:vAlign w:val="bottom"/>
            <w:shd w:val="clear" w:color="auto" w:fill="58854E"/>
          </w:tcPr>
          <w:p>
            <w:pPr>
              <w:spacing w:after="0"/>
              <w:rPr>
                <w:sz w:val="8"/>
                <w:szCs w:val="8"/>
                <w:color w:val="auto"/>
              </w:rPr>
            </w:pPr>
          </w:p>
        </w:tc>
        <w:tc>
          <w:tcPr>
            <w:tcW w:w="1100" w:type="dxa"/>
            <w:vAlign w:val="bottom"/>
            <w:shd w:val="clear" w:color="auto" w:fill="58854E"/>
          </w:tcPr>
          <w:p>
            <w:pPr>
              <w:jc w:val="center"/>
              <w:spacing w:after="0" w:line="103" w:lineRule="exact"/>
              <w:rPr>
                <w:sz w:val="20"/>
                <w:szCs w:val="20"/>
                <w:color w:val="auto"/>
              </w:rPr>
            </w:pPr>
            <w:r>
              <w:rPr>
                <w:rFonts w:ascii="Arial" w:cs="Arial" w:eastAsia="Arial" w:hAnsi="Arial"/>
                <w:sz w:val="11"/>
                <w:szCs w:val="11"/>
                <w:b w:val="1"/>
                <w:bCs w:val="1"/>
                <w:color w:val="FFFFFE"/>
              </w:rPr>
              <w:t>STOCK</w:t>
            </w:r>
          </w:p>
        </w:tc>
        <w:tc>
          <w:tcPr>
            <w:tcW w:w="140" w:type="dxa"/>
            <w:vAlign w:val="bottom"/>
          </w:tcPr>
          <w:p>
            <w:pPr>
              <w:spacing w:after="0"/>
              <w:rPr>
                <w:sz w:val="8"/>
                <w:szCs w:val="8"/>
                <w:color w:val="auto"/>
              </w:rPr>
            </w:pPr>
          </w:p>
        </w:tc>
        <w:tc>
          <w:tcPr>
            <w:tcW w:w="80" w:type="dxa"/>
            <w:vAlign w:val="bottom"/>
            <w:shd w:val="clear" w:color="auto" w:fill="58854E"/>
          </w:tcPr>
          <w:p>
            <w:pPr>
              <w:spacing w:after="0"/>
              <w:rPr>
                <w:sz w:val="8"/>
                <w:szCs w:val="8"/>
                <w:color w:val="auto"/>
              </w:rPr>
            </w:pPr>
          </w:p>
        </w:tc>
        <w:tc>
          <w:tcPr>
            <w:tcW w:w="1100" w:type="dxa"/>
            <w:vAlign w:val="bottom"/>
            <w:shd w:val="clear" w:color="auto" w:fill="58854E"/>
          </w:tcPr>
          <w:p>
            <w:pPr>
              <w:spacing w:after="0"/>
              <w:rPr>
                <w:sz w:val="8"/>
                <w:szCs w:val="8"/>
                <w:color w:val="auto"/>
              </w:rPr>
            </w:pPr>
          </w:p>
        </w:tc>
        <w:tc>
          <w:tcPr>
            <w:tcW w:w="1000" w:type="dxa"/>
            <w:vAlign w:val="bottom"/>
            <w:shd w:val="clear" w:color="auto" w:fill="58854E"/>
          </w:tcPr>
          <w:p>
            <w:pPr>
              <w:jc w:val="center"/>
              <w:spacing w:after="0" w:line="103" w:lineRule="exact"/>
              <w:rPr>
                <w:sz w:val="20"/>
                <w:szCs w:val="20"/>
                <w:color w:val="auto"/>
              </w:rPr>
            </w:pPr>
            <w:r>
              <w:rPr>
                <w:rFonts w:ascii="Arial" w:cs="Arial" w:eastAsia="Arial" w:hAnsi="Arial"/>
                <w:sz w:val="11"/>
                <w:szCs w:val="11"/>
                <w:b w:val="1"/>
                <w:bCs w:val="1"/>
                <w:color w:val="FFFFFE"/>
              </w:rPr>
              <w:t>STOCK</w:t>
            </w:r>
          </w:p>
        </w:tc>
        <w:tc>
          <w:tcPr>
            <w:tcW w:w="140" w:type="dxa"/>
            <w:vAlign w:val="bottom"/>
          </w:tcPr>
          <w:p>
            <w:pPr>
              <w:spacing w:after="0"/>
              <w:rPr>
                <w:sz w:val="8"/>
                <w:szCs w:val="8"/>
                <w:color w:val="auto"/>
              </w:rPr>
            </w:pPr>
          </w:p>
        </w:tc>
        <w:tc>
          <w:tcPr>
            <w:tcW w:w="80" w:type="dxa"/>
            <w:vAlign w:val="bottom"/>
            <w:shd w:val="clear" w:color="auto" w:fill="58854E"/>
          </w:tcPr>
          <w:p>
            <w:pPr>
              <w:spacing w:after="0"/>
              <w:rPr>
                <w:sz w:val="8"/>
                <w:szCs w:val="8"/>
                <w:color w:val="auto"/>
              </w:rPr>
            </w:pPr>
          </w:p>
        </w:tc>
        <w:tc>
          <w:tcPr>
            <w:tcW w:w="1160" w:type="dxa"/>
            <w:vAlign w:val="bottom"/>
            <w:shd w:val="clear" w:color="auto" w:fill="58854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000" w:type="dxa"/>
            <w:vAlign w:val="bottom"/>
            <w:gridSpan w:val="2"/>
          </w:tcPr>
          <w:p>
            <w:pPr>
              <w:ind w:left="60"/>
              <w:spacing w:after="0" w:line="158" w:lineRule="exact"/>
              <w:rPr>
                <w:sz w:val="20"/>
                <w:szCs w:val="20"/>
                <w:color w:val="auto"/>
              </w:rPr>
            </w:pPr>
            <w:r>
              <w:rPr>
                <w:rFonts w:ascii="Arial" w:cs="Arial" w:eastAsia="Arial" w:hAnsi="Arial"/>
                <w:sz w:val="15"/>
                <w:szCs w:val="15"/>
                <w:b w:val="1"/>
                <w:bCs w:val="1"/>
                <w:color w:val="auto"/>
              </w:rPr>
              <w:t>NRG Energy, Inc.</w:t>
            </w:r>
          </w:p>
        </w:tc>
        <w:tc>
          <w:tcPr>
            <w:tcW w:w="140" w:type="dxa"/>
            <w:vAlign w:val="bottom"/>
          </w:tcPr>
          <w:p>
            <w:pPr>
              <w:spacing w:after="0"/>
              <w:rPr>
                <w:sz w:val="13"/>
                <w:szCs w:val="13"/>
                <w:color w:val="auto"/>
              </w:rPr>
            </w:pPr>
          </w:p>
        </w:tc>
        <w:tc>
          <w:tcPr>
            <w:tcW w:w="1180" w:type="dxa"/>
            <w:vAlign w:val="bottom"/>
            <w:gridSpan w:val="2"/>
          </w:tcPr>
          <w:p>
            <w:pPr>
              <w:jc w:val="right"/>
              <w:ind w:right="75"/>
              <w:spacing w:after="0" w:line="158" w:lineRule="exact"/>
              <w:rPr>
                <w:sz w:val="20"/>
                <w:szCs w:val="20"/>
                <w:color w:val="auto"/>
              </w:rPr>
            </w:pPr>
            <w:r>
              <w:rPr>
                <w:rFonts w:ascii="Arial" w:cs="Arial" w:eastAsia="Arial" w:hAnsi="Arial"/>
                <w:sz w:val="15"/>
                <w:szCs w:val="15"/>
                <w:color w:val="auto"/>
              </w:rPr>
              <w:t>42,738,750</w:t>
            </w:r>
            <w:r>
              <w:rPr>
                <w:rFonts w:ascii="Arial" w:cs="Arial" w:eastAsia="Arial" w:hAnsi="Arial"/>
                <w:sz w:val="9"/>
                <w:szCs w:val="9"/>
                <w:color w:val="58844D"/>
              </w:rPr>
              <w:t>3</w:t>
            </w:r>
          </w:p>
        </w:tc>
        <w:tc>
          <w:tcPr>
            <w:tcW w:w="12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55.3%</w:t>
            </w:r>
          </w:p>
        </w:tc>
        <w:tc>
          <w:tcPr>
            <w:tcW w:w="1180" w:type="dxa"/>
            <w:vAlign w:val="bottom"/>
            <w:gridSpan w:val="2"/>
          </w:tcPr>
          <w:p>
            <w:pPr>
              <w:jc w:val="right"/>
              <w:ind w:right="75"/>
              <w:spacing w:after="0" w:line="158" w:lineRule="exact"/>
              <w:rPr>
                <w:sz w:val="20"/>
                <w:szCs w:val="20"/>
                <w:color w:val="auto"/>
              </w:rPr>
            </w:pPr>
            <w:r>
              <w:rPr>
                <w:rFonts w:ascii="Arial" w:cs="Arial" w:eastAsia="Arial" w:hAnsi="Arial"/>
                <w:sz w:val="15"/>
                <w:szCs w:val="15"/>
                <w:color w:val="auto"/>
              </w:rPr>
              <w:t>42,738,750</w:t>
            </w:r>
            <w:r>
              <w:rPr>
                <w:rFonts w:ascii="Arial" w:cs="Arial" w:eastAsia="Arial" w:hAnsi="Arial"/>
                <w:sz w:val="9"/>
                <w:szCs w:val="9"/>
                <w:color w:val="58844D"/>
              </w:rPr>
              <w:t>3</w:t>
            </w:r>
          </w:p>
        </w:tc>
        <w:tc>
          <w:tcPr>
            <w:tcW w:w="1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39.8%</w:t>
            </w:r>
          </w:p>
        </w:tc>
        <w:tc>
          <w:tcPr>
            <w:tcW w:w="1380" w:type="dxa"/>
            <w:vAlign w:val="bottom"/>
            <w:gridSpan w:val="3"/>
          </w:tcPr>
          <w:p>
            <w:pPr>
              <w:jc w:val="right"/>
              <w:ind w:right="80"/>
              <w:spacing w:after="0" w:line="158" w:lineRule="exact"/>
              <w:rPr>
                <w:sz w:val="20"/>
                <w:szCs w:val="20"/>
                <w:color w:val="auto"/>
              </w:rPr>
            </w:pPr>
            <w:r>
              <w:rPr>
                <w:rFonts w:ascii="Arial" w:cs="Arial" w:eastAsia="Arial" w:hAnsi="Arial"/>
                <w:sz w:val="15"/>
                <w:szCs w:val="15"/>
                <w:color w:val="auto"/>
              </w:rPr>
              <w:t>55.1%</w:t>
            </w:r>
            <w:r>
              <w:rPr>
                <w:rFonts w:ascii="Arial" w:cs="Arial" w:eastAsia="Arial" w:hAnsi="Arial"/>
                <w:sz w:val="9"/>
                <w:szCs w:val="9"/>
                <w:color w:val="58844D"/>
              </w:rPr>
              <w:t>4</w:t>
            </w:r>
          </w:p>
        </w:tc>
        <w:tc>
          <w:tcPr>
            <w:tcW w:w="0" w:type="dxa"/>
            <w:vAlign w:val="bottom"/>
          </w:tcPr>
          <w:p>
            <w:pPr>
              <w:spacing w:after="0"/>
              <w:rPr>
                <w:sz w:val="1"/>
                <w:szCs w:val="1"/>
                <w:color w:val="auto"/>
              </w:rPr>
            </w:pPr>
          </w:p>
        </w:tc>
      </w:tr>
      <w:tr>
        <w:trPr>
          <w:trHeight w:val="171"/>
        </w:trPr>
        <w:tc>
          <w:tcPr>
            <w:tcW w:w="314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804 Carnegie Center</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4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Princeton, New Jersey 08540</w:t>
            </w: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60" w:type="dxa"/>
            <w:vAlign w:val="bottom"/>
            <w:tcBorders>
              <w:bottom w:val="single" w:sz="8" w:color="58854E"/>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ind w:left="60"/>
              <w:spacing w:after="0" w:line="149" w:lineRule="exact"/>
              <w:rPr>
                <w:sz w:val="20"/>
                <w:szCs w:val="20"/>
                <w:color w:val="auto"/>
              </w:rPr>
            </w:pPr>
            <w:r>
              <w:rPr>
                <w:rFonts w:ascii="Arial" w:cs="Arial" w:eastAsia="Arial" w:hAnsi="Arial"/>
                <w:sz w:val="15"/>
                <w:szCs w:val="15"/>
                <w:b w:val="1"/>
                <w:bCs w:val="1"/>
                <w:color w:val="auto"/>
              </w:rPr>
              <w:t>BlackRock, Inc.</w:t>
            </w:r>
          </w:p>
        </w:tc>
        <w:tc>
          <w:tcPr>
            <w:tcW w:w="1180" w:type="dxa"/>
            <w:vAlign w:val="bottom"/>
            <w:gridSpan w:val="2"/>
          </w:tcPr>
          <w:p>
            <w:pPr>
              <w:jc w:val="right"/>
              <w:ind w:right="75"/>
              <w:spacing w:after="0" w:line="149" w:lineRule="exact"/>
              <w:rPr>
                <w:sz w:val="20"/>
                <w:szCs w:val="20"/>
                <w:color w:val="auto"/>
              </w:rPr>
            </w:pPr>
            <w:r>
              <w:rPr>
                <w:rFonts w:ascii="Arial" w:cs="Arial" w:eastAsia="Arial" w:hAnsi="Arial"/>
                <w:sz w:val="15"/>
                <w:szCs w:val="15"/>
                <w:color w:val="auto"/>
              </w:rPr>
              <w:t>3,197,766</w:t>
            </w:r>
            <w:r>
              <w:rPr>
                <w:rFonts w:ascii="Arial" w:cs="Arial" w:eastAsia="Arial" w:hAnsi="Arial"/>
                <w:sz w:val="9"/>
                <w:szCs w:val="9"/>
                <w:color w:val="58844D"/>
              </w:rPr>
              <w:t>5</w:t>
            </w:r>
          </w:p>
        </w:tc>
        <w:tc>
          <w:tcPr>
            <w:tcW w:w="12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9.3%</w:t>
            </w:r>
          </w:p>
        </w:tc>
        <w:tc>
          <w:tcPr>
            <w:tcW w:w="1180" w:type="dxa"/>
            <w:vAlign w:val="bottom"/>
            <w:gridSpan w:val="2"/>
          </w:tcPr>
          <w:p>
            <w:pPr>
              <w:jc w:val="right"/>
              <w:ind w:right="75"/>
              <w:spacing w:after="0" w:line="149" w:lineRule="exact"/>
              <w:rPr>
                <w:sz w:val="20"/>
                <w:szCs w:val="20"/>
                <w:color w:val="auto"/>
              </w:rPr>
            </w:pPr>
            <w:r>
              <w:rPr>
                <w:rFonts w:ascii="Arial" w:cs="Arial" w:eastAsia="Arial" w:hAnsi="Arial"/>
                <w:sz w:val="15"/>
                <w:szCs w:val="15"/>
                <w:color w:val="auto"/>
              </w:rPr>
              <w:t>4,369,279</w:t>
            </w:r>
            <w:r>
              <w:rPr>
                <w:rFonts w:ascii="Arial" w:cs="Arial" w:eastAsia="Arial" w:hAnsi="Arial"/>
                <w:sz w:val="9"/>
                <w:szCs w:val="9"/>
                <w:color w:val="58844D"/>
              </w:rPr>
              <w:t>5</w:t>
            </w:r>
          </w:p>
        </w:tc>
        <w:tc>
          <w:tcPr>
            <w:tcW w:w="11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6.8%</w:t>
            </w:r>
          </w:p>
        </w:tc>
        <w:tc>
          <w:tcPr>
            <w:tcW w:w="138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71"/>
        </w:trPr>
        <w:tc>
          <w:tcPr>
            <w:tcW w:w="314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55 East 52nd Street</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4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New York, New York 10055</w:t>
            </w: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60" w:type="dxa"/>
            <w:vAlign w:val="bottom"/>
            <w:tcBorders>
              <w:bottom w:val="single" w:sz="8" w:color="58854E"/>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ind w:left="60"/>
              <w:spacing w:after="0" w:line="149" w:lineRule="exact"/>
              <w:rPr>
                <w:sz w:val="20"/>
                <w:szCs w:val="20"/>
                <w:color w:val="auto"/>
              </w:rPr>
            </w:pPr>
            <w:r>
              <w:rPr>
                <w:rFonts w:ascii="Arial" w:cs="Arial" w:eastAsia="Arial" w:hAnsi="Arial"/>
                <w:sz w:val="15"/>
                <w:szCs w:val="15"/>
                <w:b w:val="1"/>
                <w:bCs w:val="1"/>
                <w:color w:val="auto"/>
              </w:rPr>
              <w:t>The Vanguard Group</w:t>
            </w:r>
          </w:p>
        </w:tc>
        <w:tc>
          <w:tcPr>
            <w:tcW w:w="1180" w:type="dxa"/>
            <w:vAlign w:val="bottom"/>
            <w:gridSpan w:val="2"/>
          </w:tcPr>
          <w:p>
            <w:pPr>
              <w:jc w:val="right"/>
              <w:ind w:right="75"/>
              <w:spacing w:after="0" w:line="149" w:lineRule="exact"/>
              <w:rPr>
                <w:sz w:val="20"/>
                <w:szCs w:val="20"/>
                <w:color w:val="auto"/>
              </w:rPr>
            </w:pPr>
            <w:r>
              <w:rPr>
                <w:rFonts w:ascii="Arial" w:cs="Arial" w:eastAsia="Arial" w:hAnsi="Arial"/>
                <w:sz w:val="15"/>
                <w:szCs w:val="15"/>
                <w:color w:val="auto"/>
              </w:rPr>
              <w:t>3,164,778</w:t>
            </w:r>
            <w:r>
              <w:rPr>
                <w:rFonts w:ascii="Arial" w:cs="Arial" w:eastAsia="Arial" w:hAnsi="Arial"/>
                <w:sz w:val="9"/>
                <w:szCs w:val="9"/>
                <w:color w:val="58844D"/>
              </w:rPr>
              <w:t>6</w:t>
            </w:r>
          </w:p>
        </w:tc>
        <w:tc>
          <w:tcPr>
            <w:tcW w:w="12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9.2%</w:t>
            </w:r>
          </w:p>
        </w:tc>
        <w:tc>
          <w:tcPr>
            <w:tcW w:w="1180" w:type="dxa"/>
            <w:vAlign w:val="bottom"/>
            <w:gridSpan w:val="2"/>
          </w:tcPr>
          <w:p>
            <w:pPr>
              <w:jc w:val="right"/>
              <w:ind w:right="75"/>
              <w:spacing w:after="0" w:line="149" w:lineRule="exact"/>
              <w:rPr>
                <w:sz w:val="20"/>
                <w:szCs w:val="20"/>
                <w:color w:val="auto"/>
              </w:rPr>
            </w:pPr>
            <w:r>
              <w:rPr>
                <w:rFonts w:ascii="Arial" w:cs="Arial" w:eastAsia="Arial" w:hAnsi="Arial"/>
                <w:sz w:val="15"/>
                <w:szCs w:val="15"/>
                <w:color w:val="auto"/>
              </w:rPr>
              <w:t>5,703,784</w:t>
            </w:r>
            <w:r>
              <w:rPr>
                <w:rFonts w:ascii="Arial" w:cs="Arial" w:eastAsia="Arial" w:hAnsi="Arial"/>
                <w:sz w:val="9"/>
                <w:szCs w:val="9"/>
                <w:color w:val="58844D"/>
              </w:rPr>
              <w:t>6</w:t>
            </w:r>
          </w:p>
        </w:tc>
        <w:tc>
          <w:tcPr>
            <w:tcW w:w="11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8.8%</w:t>
            </w:r>
          </w:p>
        </w:tc>
        <w:tc>
          <w:tcPr>
            <w:tcW w:w="138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71"/>
        </w:trPr>
        <w:tc>
          <w:tcPr>
            <w:tcW w:w="314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100 Vanguard Blvd.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4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Malvern, Pennsylvania, 19355</w:t>
            </w: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60" w:type="dxa"/>
            <w:vAlign w:val="bottom"/>
            <w:tcBorders>
              <w:bottom w:val="single" w:sz="8" w:color="58854E"/>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140" w:type="dxa"/>
            <w:vAlign w:val="bottom"/>
            <w:gridSpan w:val="3"/>
          </w:tcPr>
          <w:p>
            <w:pPr>
              <w:ind w:left="60"/>
              <w:spacing w:after="0" w:line="147" w:lineRule="exact"/>
              <w:rPr>
                <w:sz w:val="20"/>
                <w:szCs w:val="20"/>
                <w:color w:val="auto"/>
              </w:rPr>
            </w:pPr>
            <w:r>
              <w:rPr>
                <w:rFonts w:ascii="Arial" w:cs="Arial" w:eastAsia="Arial" w:hAnsi="Arial"/>
                <w:sz w:val="15"/>
                <w:szCs w:val="15"/>
                <w:b w:val="1"/>
                <w:bCs w:val="1"/>
                <w:color w:val="auto"/>
              </w:rPr>
              <w:t>Massachusetts Financial Services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gridSpan w:val="3"/>
          </w:tcPr>
          <w:p>
            <w:pPr>
              <w:ind w:left="60"/>
              <w:spacing w:after="0"/>
              <w:rPr>
                <w:sz w:val="20"/>
                <w:szCs w:val="20"/>
                <w:color w:val="auto"/>
              </w:rPr>
            </w:pPr>
            <w:r>
              <w:rPr>
                <w:rFonts w:ascii="Arial" w:cs="Arial" w:eastAsia="Arial" w:hAnsi="Arial"/>
                <w:sz w:val="15"/>
                <w:szCs w:val="15"/>
                <w:b w:val="1"/>
                <w:bCs w:val="1"/>
                <w:color w:val="auto"/>
              </w:rPr>
              <w:t>Company</w:t>
            </w:r>
          </w:p>
        </w:tc>
        <w:tc>
          <w:tcPr>
            <w:tcW w:w="1180" w:type="dxa"/>
            <w:vAlign w:val="bottom"/>
            <w:gridSpan w:val="2"/>
          </w:tcPr>
          <w:p>
            <w:pPr>
              <w:jc w:val="right"/>
              <w:ind w:right="75"/>
              <w:spacing w:after="0"/>
              <w:rPr>
                <w:sz w:val="20"/>
                <w:szCs w:val="20"/>
                <w:color w:val="auto"/>
              </w:rPr>
            </w:pPr>
            <w:r>
              <w:rPr>
                <w:rFonts w:ascii="Arial" w:cs="Arial" w:eastAsia="Arial" w:hAnsi="Arial"/>
                <w:sz w:val="15"/>
                <w:szCs w:val="15"/>
                <w:color w:val="auto"/>
              </w:rPr>
              <w:t>2,950,088</w:t>
            </w:r>
            <w:r>
              <w:rPr>
                <w:rFonts w:ascii="Arial" w:cs="Arial" w:eastAsia="Arial" w:hAnsi="Arial"/>
                <w:sz w:val="9"/>
                <w:szCs w:val="9"/>
                <w:color w:val="58844D"/>
              </w:rPr>
              <w:t>7</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71"/>
        </w:trPr>
        <w:tc>
          <w:tcPr>
            <w:tcW w:w="314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111 Huntington Avenue</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4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Boston, Massachusetts 02199</w:t>
            </w: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60" w:type="dxa"/>
            <w:vAlign w:val="bottom"/>
            <w:tcBorders>
              <w:bottom w:val="single" w:sz="8" w:color="58854E"/>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ind w:left="60"/>
              <w:spacing w:after="0" w:line="149" w:lineRule="exact"/>
              <w:rPr>
                <w:sz w:val="20"/>
                <w:szCs w:val="20"/>
                <w:color w:val="auto"/>
              </w:rPr>
            </w:pPr>
            <w:r>
              <w:rPr>
                <w:rFonts w:ascii="Arial" w:cs="Arial" w:eastAsia="Arial" w:hAnsi="Arial"/>
                <w:sz w:val="15"/>
                <w:szCs w:val="15"/>
                <w:b w:val="1"/>
                <w:bCs w:val="1"/>
                <w:color w:val="auto"/>
              </w:rPr>
              <w:t>FMR LLC</w:t>
            </w:r>
          </w:p>
        </w:tc>
        <w:tc>
          <w:tcPr>
            <w:tcW w:w="1180" w:type="dxa"/>
            <w:vAlign w:val="bottom"/>
            <w:gridSpan w:val="2"/>
          </w:tcPr>
          <w:p>
            <w:pPr>
              <w:jc w:val="right"/>
              <w:ind w:right="75"/>
              <w:spacing w:after="0" w:line="149" w:lineRule="exact"/>
              <w:rPr>
                <w:sz w:val="20"/>
                <w:szCs w:val="20"/>
                <w:color w:val="auto"/>
              </w:rPr>
            </w:pPr>
            <w:r>
              <w:rPr>
                <w:rFonts w:ascii="Arial" w:cs="Arial" w:eastAsia="Arial" w:hAnsi="Arial"/>
                <w:sz w:val="15"/>
                <w:szCs w:val="15"/>
                <w:color w:val="auto"/>
              </w:rPr>
              <w:t>2,051,026</w:t>
            </w:r>
            <w:r>
              <w:rPr>
                <w:rFonts w:ascii="Arial" w:cs="Arial" w:eastAsia="Arial" w:hAnsi="Arial"/>
                <w:sz w:val="9"/>
                <w:szCs w:val="9"/>
                <w:color w:val="58844D"/>
              </w:rPr>
              <w:t>8</w:t>
            </w:r>
          </w:p>
        </w:tc>
        <w:tc>
          <w:tcPr>
            <w:tcW w:w="12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5.9%</w:t>
            </w:r>
          </w:p>
        </w:tc>
        <w:tc>
          <w:tcPr>
            <w:tcW w:w="1180" w:type="dxa"/>
            <w:vAlign w:val="bottom"/>
            <w:gridSpan w:val="2"/>
          </w:tcPr>
          <w:p>
            <w:pPr>
              <w:jc w:val="right"/>
              <w:ind w:right="75"/>
              <w:spacing w:after="0" w:line="149" w:lineRule="exact"/>
              <w:rPr>
                <w:sz w:val="20"/>
                <w:szCs w:val="20"/>
                <w:color w:val="auto"/>
              </w:rPr>
            </w:pPr>
            <w:r>
              <w:rPr>
                <w:rFonts w:ascii="Arial" w:cs="Arial" w:eastAsia="Arial" w:hAnsi="Arial"/>
                <w:sz w:val="15"/>
                <w:szCs w:val="15"/>
                <w:color w:val="auto"/>
              </w:rPr>
              <w:t>3,189,954</w:t>
            </w:r>
            <w:r>
              <w:rPr>
                <w:rFonts w:ascii="Arial" w:cs="Arial" w:eastAsia="Arial" w:hAnsi="Arial"/>
                <w:sz w:val="9"/>
                <w:szCs w:val="9"/>
                <w:color w:val="58844D"/>
              </w:rPr>
              <w:t>8</w:t>
            </w:r>
          </w:p>
        </w:tc>
        <w:tc>
          <w:tcPr>
            <w:tcW w:w="11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4.9%</w:t>
            </w:r>
          </w:p>
        </w:tc>
        <w:tc>
          <w:tcPr>
            <w:tcW w:w="138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71"/>
        </w:trPr>
        <w:tc>
          <w:tcPr>
            <w:tcW w:w="314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245 Summer Street,</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4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Boston, Massachusetts 02210</w:t>
            </w: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60" w:type="dxa"/>
            <w:vAlign w:val="bottom"/>
            <w:tcBorders>
              <w:bottom w:val="single" w:sz="8" w:color="58854E"/>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ind w:left="60"/>
              <w:spacing w:after="0" w:line="149" w:lineRule="exact"/>
              <w:rPr>
                <w:sz w:val="20"/>
                <w:szCs w:val="20"/>
                <w:color w:val="auto"/>
              </w:rPr>
            </w:pPr>
            <w:r>
              <w:rPr>
                <w:rFonts w:ascii="Arial" w:cs="Arial" w:eastAsia="Arial" w:hAnsi="Arial"/>
                <w:sz w:val="15"/>
                <w:szCs w:val="15"/>
                <w:b w:val="1"/>
                <w:bCs w:val="1"/>
                <w:color w:val="auto"/>
              </w:rPr>
              <w:t>Morgan Stanley</w:t>
            </w:r>
          </w:p>
        </w:tc>
        <w:tc>
          <w:tcPr>
            <w:tcW w:w="1180" w:type="dxa"/>
            <w:vAlign w:val="bottom"/>
            <w:gridSpan w:val="2"/>
          </w:tcPr>
          <w:p>
            <w:pPr>
              <w:jc w:val="right"/>
              <w:ind w:right="75"/>
              <w:spacing w:after="0" w:line="149" w:lineRule="exact"/>
              <w:rPr>
                <w:sz w:val="20"/>
                <w:szCs w:val="20"/>
                <w:color w:val="auto"/>
              </w:rPr>
            </w:pPr>
            <w:r>
              <w:rPr>
                <w:rFonts w:ascii="Arial" w:cs="Arial" w:eastAsia="Arial" w:hAnsi="Arial"/>
                <w:sz w:val="15"/>
                <w:szCs w:val="15"/>
                <w:color w:val="auto"/>
              </w:rPr>
              <w:t>1,828,361</w:t>
            </w:r>
            <w:r>
              <w:rPr>
                <w:rFonts w:ascii="Arial" w:cs="Arial" w:eastAsia="Arial" w:hAnsi="Arial"/>
                <w:sz w:val="9"/>
                <w:szCs w:val="9"/>
                <w:color w:val="58844D"/>
              </w:rPr>
              <w:t>9</w:t>
            </w:r>
          </w:p>
        </w:tc>
        <w:tc>
          <w:tcPr>
            <w:tcW w:w="12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5.3%</w:t>
            </w:r>
          </w:p>
        </w:tc>
        <w:tc>
          <w:tcPr>
            <w:tcW w:w="1180" w:type="dxa"/>
            <w:vAlign w:val="bottom"/>
            <w:gridSpan w:val="2"/>
          </w:tcPr>
          <w:p>
            <w:pPr>
              <w:jc w:val="right"/>
              <w:ind w:right="75"/>
              <w:spacing w:after="0" w:line="149" w:lineRule="exact"/>
              <w:rPr>
                <w:sz w:val="20"/>
                <w:szCs w:val="20"/>
                <w:color w:val="auto"/>
              </w:rPr>
            </w:pPr>
            <w:r>
              <w:rPr>
                <w:rFonts w:ascii="Arial" w:cs="Arial" w:eastAsia="Arial" w:hAnsi="Arial"/>
                <w:sz w:val="15"/>
                <w:szCs w:val="15"/>
                <w:color w:val="auto"/>
              </w:rPr>
              <w:t>5,782,500</w:t>
            </w:r>
            <w:r>
              <w:rPr>
                <w:rFonts w:ascii="Arial" w:cs="Arial" w:eastAsia="Arial" w:hAnsi="Arial"/>
                <w:sz w:val="9"/>
                <w:szCs w:val="9"/>
                <w:color w:val="58844D"/>
              </w:rPr>
              <w:t>9</w:t>
            </w:r>
          </w:p>
        </w:tc>
        <w:tc>
          <w:tcPr>
            <w:tcW w:w="11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8.9%</w:t>
            </w:r>
          </w:p>
        </w:tc>
        <w:tc>
          <w:tcPr>
            <w:tcW w:w="138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1"/>
        </w:trPr>
        <w:tc>
          <w:tcPr>
            <w:tcW w:w="314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1585 Broadway</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4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New York, New York 10036</w:t>
            </w: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60" w:type="dxa"/>
            <w:vAlign w:val="bottom"/>
            <w:tcBorders>
              <w:bottom w:val="single" w:sz="8" w:color="58854E"/>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140" w:type="dxa"/>
            <w:vAlign w:val="bottom"/>
            <w:gridSpan w:val="3"/>
          </w:tcPr>
          <w:p>
            <w:pPr>
              <w:ind w:left="60"/>
              <w:spacing w:after="0" w:line="147" w:lineRule="exact"/>
              <w:rPr>
                <w:sz w:val="20"/>
                <w:szCs w:val="20"/>
                <w:color w:val="auto"/>
              </w:rPr>
            </w:pPr>
            <w:r>
              <w:rPr>
                <w:rFonts w:ascii="Arial" w:cs="Arial" w:eastAsia="Arial" w:hAnsi="Arial"/>
                <w:sz w:val="15"/>
                <w:szCs w:val="15"/>
                <w:b w:val="1"/>
                <w:bCs w:val="1"/>
                <w:color w:val="auto"/>
              </w:rPr>
              <w:t>The Bank of New York Mellon</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gridSpan w:val="3"/>
          </w:tcPr>
          <w:p>
            <w:pPr>
              <w:ind w:left="60"/>
              <w:spacing w:after="0"/>
              <w:rPr>
                <w:sz w:val="20"/>
                <w:szCs w:val="20"/>
                <w:color w:val="auto"/>
              </w:rPr>
            </w:pPr>
            <w:r>
              <w:rPr>
                <w:rFonts w:ascii="Arial" w:cs="Arial" w:eastAsia="Arial" w:hAnsi="Arial"/>
                <w:sz w:val="15"/>
                <w:szCs w:val="15"/>
                <w:b w:val="1"/>
                <w:bCs w:val="1"/>
                <w:color w:val="auto"/>
              </w:rPr>
              <w:t>Corporation</w:t>
            </w:r>
          </w:p>
        </w:tc>
        <w:tc>
          <w:tcPr>
            <w:tcW w:w="80" w:type="dxa"/>
            <w:vAlign w:val="bottom"/>
          </w:tcPr>
          <w:p>
            <w:pPr>
              <w:spacing w:after="0"/>
              <w:rPr>
                <w:sz w:val="15"/>
                <w:szCs w:val="15"/>
                <w:color w:val="auto"/>
              </w:rPr>
            </w:pPr>
          </w:p>
        </w:tc>
        <w:tc>
          <w:tcPr>
            <w:tcW w:w="1100" w:type="dxa"/>
            <w:vAlign w:val="bottom"/>
          </w:tcPr>
          <w:p>
            <w:pPr>
              <w:jc w:val="right"/>
              <w:ind w:right="515"/>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5"/>
              <w:spacing w:after="0"/>
              <w:rPr>
                <w:sz w:val="20"/>
                <w:szCs w:val="20"/>
                <w:color w:val="auto"/>
              </w:rPr>
            </w:pPr>
            <w:r>
              <w:rPr>
                <w:rFonts w:ascii="Arial" w:cs="Arial" w:eastAsia="Arial" w:hAnsi="Arial"/>
                <w:sz w:val="15"/>
                <w:szCs w:val="15"/>
                <w:color w:val="auto"/>
              </w:rPr>
              <w:t>3,781,697</w:t>
            </w:r>
            <w:r>
              <w:rPr>
                <w:rFonts w:ascii="Arial" w:cs="Arial" w:eastAsia="Arial" w:hAnsi="Arial"/>
                <w:sz w:val="9"/>
                <w:szCs w:val="9"/>
                <w:color w:val="58844D"/>
              </w:rPr>
              <w:t>10</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5.8%</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60"/>
              <w:spacing w:after="0" w:line="171" w:lineRule="exact"/>
              <w:rPr>
                <w:sz w:val="20"/>
                <w:szCs w:val="20"/>
                <w:color w:val="auto"/>
              </w:rPr>
            </w:pPr>
            <w:r>
              <w:rPr>
                <w:rFonts w:ascii="Arial" w:cs="Arial" w:eastAsia="Arial" w:hAnsi="Arial"/>
                <w:sz w:val="15"/>
                <w:szCs w:val="15"/>
                <w:i w:val="1"/>
                <w:iCs w:val="1"/>
                <w:color w:val="auto"/>
              </w:rPr>
              <w:t>225 Liberty Street</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40" w:type="dxa"/>
            <w:vAlign w:val="bottom"/>
            <w:tcBorders>
              <w:bottom w:val="single" w:sz="8" w:color="58854E"/>
            </w:tcBorders>
            <w:gridSpan w:val="3"/>
          </w:tcPr>
          <w:p>
            <w:pPr>
              <w:ind w:left="60"/>
              <w:spacing w:after="0"/>
              <w:rPr>
                <w:sz w:val="20"/>
                <w:szCs w:val="20"/>
                <w:color w:val="auto"/>
              </w:rPr>
            </w:pPr>
            <w:r>
              <w:rPr>
                <w:rFonts w:ascii="Arial" w:cs="Arial" w:eastAsia="Arial" w:hAnsi="Arial"/>
                <w:sz w:val="15"/>
                <w:szCs w:val="15"/>
                <w:i w:val="1"/>
                <w:iCs w:val="1"/>
                <w:color w:val="auto"/>
              </w:rPr>
              <w:t>New York, New York 10286</w:t>
            </w: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00" w:type="dxa"/>
            <w:vAlign w:val="bottom"/>
            <w:tcBorders>
              <w:bottom w:val="single" w:sz="8" w:color="58854E"/>
            </w:tcBorders>
          </w:tcPr>
          <w:p>
            <w:pPr>
              <w:spacing w:after="0"/>
              <w:rPr>
                <w:sz w:val="16"/>
                <w:szCs w:val="16"/>
                <w:color w:val="auto"/>
              </w:rPr>
            </w:pPr>
          </w:p>
        </w:tc>
        <w:tc>
          <w:tcPr>
            <w:tcW w:w="1000" w:type="dxa"/>
            <w:vAlign w:val="bottom"/>
            <w:tcBorders>
              <w:bottom w:val="single" w:sz="8" w:color="58854E"/>
            </w:tcBorders>
          </w:tcPr>
          <w:p>
            <w:pPr>
              <w:spacing w:after="0"/>
              <w:rPr>
                <w:sz w:val="16"/>
                <w:szCs w:val="16"/>
                <w:color w:val="auto"/>
              </w:rPr>
            </w:pPr>
          </w:p>
        </w:tc>
        <w:tc>
          <w:tcPr>
            <w:tcW w:w="140" w:type="dxa"/>
            <w:vAlign w:val="bottom"/>
            <w:tcBorders>
              <w:bottom w:val="single" w:sz="8" w:color="58854E"/>
            </w:tcBorders>
          </w:tcPr>
          <w:p>
            <w:pPr>
              <w:spacing w:after="0"/>
              <w:rPr>
                <w:sz w:val="16"/>
                <w:szCs w:val="16"/>
                <w:color w:val="auto"/>
              </w:rPr>
            </w:pPr>
          </w:p>
        </w:tc>
        <w:tc>
          <w:tcPr>
            <w:tcW w:w="80" w:type="dxa"/>
            <w:vAlign w:val="bottom"/>
            <w:tcBorders>
              <w:bottom w:val="single" w:sz="8" w:color="58854E"/>
            </w:tcBorders>
          </w:tcPr>
          <w:p>
            <w:pPr>
              <w:spacing w:after="0"/>
              <w:rPr>
                <w:sz w:val="16"/>
                <w:szCs w:val="16"/>
                <w:color w:val="auto"/>
              </w:rPr>
            </w:pPr>
          </w:p>
        </w:tc>
        <w:tc>
          <w:tcPr>
            <w:tcW w:w="1160" w:type="dxa"/>
            <w:vAlign w:val="bottom"/>
            <w:tcBorders>
              <w:bottom w:val="single" w:sz="8" w:color="58854E"/>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E9EEE6"/>
          </w:tcPr>
          <w:p>
            <w:pPr>
              <w:ind w:left="60"/>
              <w:spacing w:after="0" w:line="121" w:lineRule="exact"/>
              <w:rPr>
                <w:sz w:val="20"/>
                <w:szCs w:val="20"/>
                <w:color w:val="auto"/>
              </w:rPr>
            </w:pPr>
            <w:r>
              <w:rPr>
                <w:rFonts w:ascii="MS PGothic" w:cs="MS PGothic" w:eastAsia="MS PGothic" w:hAnsi="MS PGothic"/>
                <w:sz w:val="12"/>
                <w:szCs w:val="12"/>
                <w:color w:val="58844D"/>
              </w:rPr>
              <w:t>★</w:t>
            </w:r>
          </w:p>
        </w:tc>
        <w:tc>
          <w:tcPr>
            <w:tcW w:w="7620" w:type="dxa"/>
            <w:vAlign w:val="bottom"/>
            <w:gridSpan w:val="10"/>
            <w:shd w:val="clear" w:color="auto" w:fill="E9EEE6"/>
          </w:tcPr>
          <w:p>
            <w:pPr>
              <w:ind w:left="100"/>
              <w:spacing w:after="0" w:line="128" w:lineRule="exact"/>
              <w:rPr>
                <w:sz w:val="20"/>
                <w:szCs w:val="20"/>
                <w:color w:val="auto"/>
              </w:rPr>
            </w:pPr>
            <w:r>
              <w:rPr>
                <w:rFonts w:ascii="Arial" w:cs="Arial" w:eastAsia="Arial" w:hAnsi="Arial"/>
                <w:sz w:val="12"/>
                <w:szCs w:val="12"/>
                <w:color w:val="auto"/>
              </w:rPr>
              <w:t>Less than one percent of outstanding Class A common stock, Class C common stock or combined voting power, as applicable.</w:t>
            </w:r>
          </w:p>
        </w:tc>
        <w:tc>
          <w:tcPr>
            <w:tcW w:w="80" w:type="dxa"/>
            <w:vAlign w:val="bottom"/>
            <w:shd w:val="clear" w:color="auto" w:fill="E9EEE6"/>
          </w:tcPr>
          <w:p>
            <w:pPr>
              <w:spacing w:after="0"/>
              <w:rPr>
                <w:sz w:val="11"/>
                <w:szCs w:val="11"/>
                <w:color w:val="auto"/>
              </w:rPr>
            </w:pPr>
          </w:p>
        </w:tc>
        <w:tc>
          <w:tcPr>
            <w:tcW w:w="1160" w:type="dxa"/>
            <w:vAlign w:val="bottom"/>
            <w:shd w:val="clear" w:color="auto" w:fill="E9EEE6"/>
          </w:tcPr>
          <w:p>
            <w:pPr>
              <w:spacing w:after="0"/>
              <w:rPr>
                <w:sz w:val="11"/>
                <w:szCs w:val="11"/>
                <w:color w:val="auto"/>
              </w:rPr>
            </w:pPr>
          </w:p>
        </w:tc>
        <w:tc>
          <w:tcPr>
            <w:tcW w:w="140" w:type="dxa"/>
            <w:vAlign w:val="bottom"/>
            <w:tcBorders>
              <w:left w:val="single" w:sz="8" w:color="E9EEE6"/>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0" w:type="dxa"/>
            <w:vAlign w:val="bottom"/>
          </w:tcPr>
          <w:p>
            <w:pPr>
              <w:ind w:left="60"/>
              <w:spacing w:after="0"/>
              <w:rPr>
                <w:sz w:val="20"/>
                <w:szCs w:val="20"/>
                <w:color w:val="auto"/>
              </w:rPr>
            </w:pPr>
            <w:r>
              <w:rPr>
                <w:rFonts w:ascii="Arial" w:cs="Arial" w:eastAsia="Arial" w:hAnsi="Arial"/>
                <w:sz w:val="9"/>
                <w:szCs w:val="9"/>
                <w:color w:val="58844D"/>
              </w:rPr>
              <w:t>1</w:t>
            </w:r>
          </w:p>
        </w:tc>
        <w:tc>
          <w:tcPr>
            <w:tcW w:w="9000" w:type="dxa"/>
            <w:vAlign w:val="bottom"/>
            <w:gridSpan w:val="13"/>
            <w:vMerge w:val="restart"/>
          </w:tcPr>
          <w:p>
            <w:pPr>
              <w:ind w:left="100"/>
              <w:spacing w:after="0"/>
              <w:rPr>
                <w:sz w:val="20"/>
                <w:szCs w:val="20"/>
                <w:color w:val="auto"/>
              </w:rPr>
            </w:pPr>
            <w:r>
              <w:rPr>
                <w:rFonts w:ascii="Arial" w:cs="Arial" w:eastAsia="Arial" w:hAnsi="Arial"/>
                <w:sz w:val="12"/>
                <w:szCs w:val="12"/>
                <w:color w:val="auto"/>
              </w:rPr>
              <w:t>The number of shares beneficially owned by each person or entity is determined under the rules of the SEC, and the information is not necessarily indicative of</w:t>
            </w:r>
          </w:p>
        </w:tc>
        <w:tc>
          <w:tcPr>
            <w:tcW w:w="0" w:type="dxa"/>
            <w:vAlign w:val="bottom"/>
          </w:tcPr>
          <w:p>
            <w:pPr>
              <w:spacing w:after="0"/>
              <w:rPr>
                <w:sz w:val="1"/>
                <w:szCs w:val="1"/>
                <w:color w:val="auto"/>
              </w:rPr>
            </w:pPr>
          </w:p>
        </w:tc>
      </w:tr>
      <w:tr>
        <w:trPr>
          <w:trHeight w:val="32"/>
        </w:trPr>
        <w:tc>
          <w:tcPr>
            <w:tcW w:w="260" w:type="dxa"/>
            <w:vAlign w:val="bottom"/>
          </w:tcPr>
          <w:p>
            <w:pPr>
              <w:spacing w:after="0"/>
              <w:rPr>
                <w:sz w:val="2"/>
                <w:szCs w:val="2"/>
                <w:color w:val="auto"/>
              </w:rPr>
            </w:pPr>
          </w:p>
        </w:tc>
        <w:tc>
          <w:tcPr>
            <w:tcW w:w="90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-2991485</wp:posOffset>
            </wp:positionV>
            <wp:extent cx="380047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00475" cy="698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-175895</wp:posOffset>
            </wp:positionV>
            <wp:extent cx="5812790" cy="3473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12790" cy="347345"/>
                    </a:xfrm>
                    <a:prstGeom prst="rect">
                      <a:avLst/>
                    </a:prstGeom>
                    <a:noFill/>
                  </pic:spPr>
                </pic:pic>
              </a:graphicData>
            </a:graphic>
          </wp:anchor>
        </w:drawing>
      </w:r>
    </w:p>
    <w:p>
      <w:pPr>
        <w:ind w:left="1500" w:right="1300"/>
        <w:spacing w:after="0" w:line="251" w:lineRule="auto"/>
        <w:rPr>
          <w:sz w:val="20"/>
          <w:szCs w:val="20"/>
          <w:color w:val="auto"/>
        </w:rPr>
      </w:pPr>
      <w:r>
        <w:rPr>
          <w:rFonts w:ascii="Arial" w:cs="Arial" w:eastAsia="Arial" w:hAnsi="Arial"/>
          <w:sz w:val="12"/>
          <w:szCs w:val="12"/>
          <w:color w:val="auto"/>
        </w:rPr>
        <w:t>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43180</wp:posOffset>
            </wp:positionV>
            <wp:extent cx="7273290"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STOCK OWNERSHIP OF DIRECTORS, NAMED EXECUTIVE OFFICERS AND CERTAIN BENEFICIAL OWNERS </w:t>
      </w:r>
      <w:r>
        <w:rPr>
          <w:rFonts w:ascii="Arial" w:cs="Arial" w:eastAsia="Arial" w:hAnsi="Arial"/>
          <w:sz w:val="12"/>
          <w:szCs w:val="12"/>
          <w:b w:val="1"/>
          <w:bCs w:val="1"/>
          <w:color w:val="58844D"/>
        </w:rPr>
        <w:t>23</w:t>
      </w:r>
    </w:p>
    <w:p>
      <w:pPr>
        <w:spacing w:after="0" w:line="218" w:lineRule="exact"/>
        <w:rPr>
          <w:sz w:val="20"/>
          <w:szCs w:val="20"/>
          <w:color w:val="auto"/>
        </w:rPr>
      </w:pPr>
    </w:p>
    <w:p>
      <w:pPr>
        <w:ind w:left="1500" w:right="1240" w:hanging="303"/>
        <w:spacing w:after="0" w:line="203" w:lineRule="auto"/>
        <w:tabs>
          <w:tab w:leader="none" w:pos="1500" w:val="left"/>
        </w:tabs>
        <w:numPr>
          <w:ilvl w:val="0"/>
          <w:numId w:val="28"/>
        </w:numPr>
        <w:rPr>
          <w:rFonts w:ascii="Arial" w:cs="Arial" w:eastAsia="Arial" w:hAnsi="Arial"/>
          <w:sz w:val="18"/>
          <w:szCs w:val="18"/>
          <w:color w:val="58844D"/>
          <w:vertAlign w:val="superscript"/>
        </w:rPr>
      </w:pPr>
      <w:r>
        <w:rPr>
          <w:rFonts w:ascii="Arial" w:cs="Arial" w:eastAsia="Arial" w:hAnsi="Arial"/>
          <w:sz w:val="12"/>
          <w:szCs w:val="12"/>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1/100th of one vote for each share held. Holders of shares of our Class A, Class B, Class C and Class D common stock vote together as a single class on all matters presented to our stockholders for their vote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-261620</wp:posOffset>
            </wp:positionV>
            <wp:extent cx="5812790" cy="45313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12790" cy="4531360"/>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35"/>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3</w:t>
            </w:r>
          </w:p>
        </w:tc>
        <w:tc>
          <w:tcPr>
            <w:tcW w:w="8920" w:type="dxa"/>
            <w:vAlign w:val="bottom"/>
          </w:tcPr>
          <w:p>
            <w:pPr>
              <w:ind w:left="140"/>
              <w:spacing w:after="0" w:line="135" w:lineRule="exact"/>
              <w:rPr>
                <w:sz w:val="20"/>
                <w:szCs w:val="20"/>
                <w:color w:val="auto"/>
              </w:rPr>
            </w:pPr>
            <w:r>
              <w:rPr>
                <w:rFonts w:ascii="Arial" w:cs="Arial" w:eastAsia="Arial" w:hAnsi="Arial"/>
                <w:sz w:val="12"/>
                <w:szCs w:val="12"/>
                <w:color w:val="auto"/>
              </w:rPr>
              <w:t>except as otherwise provided by applicable law.</w:t>
            </w:r>
          </w:p>
        </w:tc>
        <w:tc>
          <w:tcPr>
            <w:tcW w:w="0" w:type="dxa"/>
            <w:vAlign w:val="bottom"/>
          </w:tcPr>
          <w:p>
            <w:pPr>
              <w:spacing w:after="0"/>
              <w:rPr>
                <w:sz w:val="1"/>
                <w:szCs w:val="1"/>
                <w:color w:val="auto"/>
              </w:rPr>
            </w:pPr>
          </w:p>
        </w:tc>
      </w:tr>
      <w:tr>
        <w:trPr>
          <w:trHeight w:val="83"/>
        </w:trPr>
        <w:tc>
          <w:tcPr>
            <w:tcW w:w="160" w:type="dxa"/>
            <w:vAlign w:val="bottom"/>
            <w:vMerge w:val="continue"/>
          </w:tcPr>
          <w:p>
            <w:pPr>
              <w:spacing w:after="0"/>
              <w:rPr>
                <w:sz w:val="7"/>
                <w:szCs w:val="7"/>
                <w:color w:val="auto"/>
              </w:rPr>
            </w:pPr>
          </w:p>
        </w:tc>
        <w:tc>
          <w:tcPr>
            <w:tcW w:w="8920" w:type="dxa"/>
            <w:vAlign w:val="bottom"/>
            <w:vMerge w:val="restart"/>
            <w:shd w:val="clear" w:color="auto" w:fill="E9EEE6"/>
          </w:tcPr>
          <w:p>
            <w:pPr>
              <w:ind w:left="140"/>
              <w:spacing w:after="0"/>
              <w:rPr>
                <w:sz w:val="20"/>
                <w:szCs w:val="20"/>
                <w:color w:val="auto"/>
              </w:rPr>
            </w:pPr>
            <w:r>
              <w:rPr>
                <w:rFonts w:ascii="Arial" w:cs="Arial" w:eastAsia="Arial" w:hAnsi="Arial"/>
                <w:sz w:val="12"/>
                <w:szCs w:val="12"/>
                <w:color w:val="auto"/>
              </w:rPr>
              <w:t>Based upon information set forth in the Schedule 13D/A filed on February 8, 2018 by NRG. Consists entirely of Class B units and Class D units of NRG Yield LLC</w:t>
            </w:r>
          </w:p>
        </w:tc>
        <w:tc>
          <w:tcPr>
            <w:tcW w:w="0" w:type="dxa"/>
            <w:vAlign w:val="bottom"/>
          </w:tcPr>
          <w:p>
            <w:pPr>
              <w:spacing w:after="0"/>
              <w:rPr>
                <w:sz w:val="1"/>
                <w:szCs w:val="1"/>
                <w:color w:val="auto"/>
              </w:rPr>
            </w:pPr>
          </w:p>
        </w:tc>
      </w:tr>
      <w:tr>
        <w:trPr>
          <w:trHeight w:val="58"/>
        </w:trPr>
        <w:tc>
          <w:tcPr>
            <w:tcW w:w="160" w:type="dxa"/>
            <w:vAlign w:val="bottom"/>
          </w:tcPr>
          <w:p>
            <w:pPr>
              <w:spacing w:after="0"/>
              <w:rPr>
                <w:sz w:val="5"/>
                <w:szCs w:val="5"/>
                <w:color w:val="auto"/>
              </w:rPr>
            </w:pPr>
          </w:p>
        </w:tc>
        <w:tc>
          <w:tcPr>
            <w:tcW w:w="8920" w:type="dxa"/>
            <w:vAlign w:val="bottom"/>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shd w:val="clear" w:color="auto" w:fill="E9EEE6"/>
          </w:tcPr>
          <w:p>
            <w:pPr>
              <w:ind w:left="140"/>
              <w:spacing w:after="0" w:line="137" w:lineRule="exact"/>
              <w:rPr>
                <w:sz w:val="20"/>
                <w:szCs w:val="20"/>
                <w:color w:val="auto"/>
              </w:rPr>
            </w:pPr>
            <w:r>
              <w:rPr>
                <w:rFonts w:ascii="Arial" w:cs="Arial" w:eastAsia="Arial" w:hAnsi="Arial"/>
                <w:sz w:val="12"/>
                <w:szCs w:val="12"/>
                <w:color w:val="auto"/>
              </w:rPr>
              <w:t>(Yield LLC). The Class B units of Yield LLC are exchangeable for shares of our Class A common stock at any time and the Class D units are exchangeable for</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shd w:val="clear" w:color="auto" w:fill="E9EEE6"/>
          </w:tcPr>
          <w:p>
            <w:pPr>
              <w:ind w:left="140"/>
              <w:spacing w:after="0" w:line="137" w:lineRule="exact"/>
              <w:rPr>
                <w:sz w:val="20"/>
                <w:szCs w:val="20"/>
                <w:color w:val="auto"/>
              </w:rPr>
            </w:pPr>
            <w:r>
              <w:rPr>
                <w:rFonts w:ascii="Arial" w:cs="Arial" w:eastAsia="Arial" w:hAnsi="Arial"/>
                <w:sz w:val="12"/>
                <w:szCs w:val="12"/>
                <w:color w:val="auto"/>
              </w:rPr>
              <w:t>shares of our Class C common stock at any time. As a result, NRG may be deemed to beneficially own the shares of Class A common stock or Class C common</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shd w:val="clear" w:color="auto" w:fill="E9EEE6"/>
          </w:tcPr>
          <w:p>
            <w:pPr>
              <w:ind w:left="140"/>
              <w:spacing w:after="0" w:line="137" w:lineRule="exact"/>
              <w:rPr>
                <w:sz w:val="20"/>
                <w:szCs w:val="20"/>
                <w:color w:val="auto"/>
              </w:rPr>
            </w:pPr>
            <w:r>
              <w:rPr>
                <w:rFonts w:ascii="Arial" w:cs="Arial" w:eastAsia="Arial" w:hAnsi="Arial"/>
                <w:sz w:val="12"/>
                <w:szCs w:val="12"/>
                <w:color w:val="auto"/>
              </w:rPr>
              <w:t>stock for which such Class B units or Class D units of Yield LLC, as applicable, are exchangeable. NRG may exchange Class B units of Yield LLC for shares of our</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shd w:val="clear" w:color="auto" w:fill="E9EEE6"/>
          </w:tcPr>
          <w:p>
            <w:pPr>
              <w:ind w:left="140"/>
              <w:spacing w:after="0" w:line="137" w:lineRule="exact"/>
              <w:rPr>
                <w:sz w:val="20"/>
                <w:szCs w:val="20"/>
                <w:color w:val="auto"/>
              </w:rPr>
            </w:pPr>
            <w:r>
              <w:rPr>
                <w:rFonts w:ascii="Arial" w:cs="Arial" w:eastAsia="Arial" w:hAnsi="Arial"/>
                <w:sz w:val="12"/>
                <w:szCs w:val="12"/>
                <w:color w:val="auto"/>
              </w:rPr>
              <w:t>Class A common stock and Class D units of Yield LLC for shares of our Class C common stock on a one-for-one basis, subject to equitable adjustments for stock</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shd w:val="clear" w:color="auto" w:fill="E9EEE6"/>
          </w:tcPr>
          <w:p>
            <w:pPr>
              <w:ind w:left="140"/>
              <w:spacing w:after="0" w:line="137" w:lineRule="exact"/>
              <w:rPr>
                <w:sz w:val="20"/>
                <w:szCs w:val="20"/>
                <w:color w:val="auto"/>
              </w:rPr>
            </w:pPr>
            <w:r>
              <w:rPr>
                <w:rFonts w:ascii="Arial" w:cs="Arial" w:eastAsia="Arial" w:hAnsi="Arial"/>
                <w:sz w:val="12"/>
                <w:szCs w:val="12"/>
                <w:color w:val="auto"/>
              </w:rPr>
              <w:t>splits, stock dividends and reclassifications in accordance with the terms of the Amended and Restated Exchange Agreement, dated May 14, 2015, between us</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shd w:val="clear" w:color="auto" w:fill="E9EEE6"/>
          </w:tcPr>
          <w:p>
            <w:pPr>
              <w:ind w:left="140"/>
              <w:spacing w:after="0" w:line="137" w:lineRule="exact"/>
              <w:rPr>
                <w:sz w:val="20"/>
                <w:szCs w:val="20"/>
                <w:color w:val="auto"/>
              </w:rPr>
            </w:pPr>
            <w:r>
              <w:rPr>
                <w:rFonts w:ascii="Arial" w:cs="Arial" w:eastAsia="Arial" w:hAnsi="Arial"/>
                <w:sz w:val="12"/>
                <w:szCs w:val="12"/>
                <w:color w:val="auto"/>
              </w:rPr>
              <w:t>and NRG; provided, however, upon any exchange of Class B units of Yield LLC for shares of our Class A common stock or Class D units of Yield LLC for shares of</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shd w:val="clear" w:color="auto" w:fill="E9EEE6"/>
          </w:tcPr>
          <w:p>
            <w:pPr>
              <w:ind w:left="140"/>
              <w:spacing w:after="0" w:line="137" w:lineRule="exact"/>
              <w:rPr>
                <w:sz w:val="20"/>
                <w:szCs w:val="20"/>
                <w:color w:val="auto"/>
              </w:rPr>
            </w:pPr>
            <w:r>
              <w:rPr>
                <w:rFonts w:ascii="Arial" w:cs="Arial" w:eastAsia="Arial" w:hAnsi="Arial"/>
                <w:sz w:val="12"/>
                <w:szCs w:val="12"/>
                <w:color w:val="auto"/>
              </w:rPr>
              <w:t>our Class C common stock, a corresponding number of shares of Class B common stock or Class D common stock, as applicable, are extinguished. For additional</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shd w:val="clear" w:color="auto" w:fill="E9EEE6"/>
          </w:tcPr>
          <w:p>
            <w:pPr>
              <w:ind w:left="140"/>
              <w:spacing w:after="0" w:line="137" w:lineRule="exact"/>
              <w:rPr>
                <w:sz w:val="20"/>
                <w:szCs w:val="20"/>
                <w:color w:val="auto"/>
              </w:rPr>
            </w:pPr>
            <w:r>
              <w:rPr>
                <w:rFonts w:ascii="Arial" w:cs="Arial" w:eastAsia="Arial" w:hAnsi="Arial"/>
                <w:sz w:val="12"/>
                <w:szCs w:val="12"/>
                <w:color w:val="auto"/>
              </w:rPr>
              <w:t>information, see "Certain Relationships and Related Person Transactions—Third Amended and Restated Limited Liability Company Agreement of Yield LLC" and</w:t>
            </w:r>
          </w:p>
        </w:tc>
        <w:tc>
          <w:tcPr>
            <w:tcW w:w="0" w:type="dxa"/>
            <w:vAlign w:val="bottom"/>
          </w:tcPr>
          <w:p>
            <w:pPr>
              <w:spacing w:after="0"/>
              <w:rPr>
                <w:sz w:val="1"/>
                <w:szCs w:val="1"/>
                <w:color w:val="auto"/>
              </w:rPr>
            </w:pPr>
          </w:p>
        </w:tc>
      </w:tr>
      <w:tr>
        <w:trPr>
          <w:trHeight w:val="133"/>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4</w:t>
            </w:r>
          </w:p>
        </w:tc>
        <w:tc>
          <w:tcPr>
            <w:tcW w:w="8920" w:type="dxa"/>
            <w:vAlign w:val="bottom"/>
            <w:shd w:val="clear" w:color="auto" w:fill="E9EEE6"/>
          </w:tcPr>
          <w:p>
            <w:pPr>
              <w:ind w:left="140"/>
              <w:spacing w:after="0" w:line="133" w:lineRule="exact"/>
              <w:rPr>
                <w:sz w:val="20"/>
                <w:szCs w:val="20"/>
                <w:color w:val="auto"/>
              </w:rPr>
            </w:pPr>
            <w:r>
              <w:rPr>
                <w:rFonts w:ascii="Arial" w:cs="Arial" w:eastAsia="Arial" w:hAnsi="Arial"/>
                <w:sz w:val="12"/>
                <w:szCs w:val="12"/>
                <w:color w:val="auto"/>
              </w:rPr>
              <w:t>"Certain Relationships and Related Person Transactions—Exchange Agreement."</w:t>
            </w:r>
          </w:p>
        </w:tc>
        <w:tc>
          <w:tcPr>
            <w:tcW w:w="0" w:type="dxa"/>
            <w:vAlign w:val="bottom"/>
          </w:tcPr>
          <w:p>
            <w:pPr>
              <w:spacing w:after="0"/>
              <w:rPr>
                <w:sz w:val="1"/>
                <w:szCs w:val="1"/>
                <w:color w:val="auto"/>
              </w:rPr>
            </w:pPr>
          </w:p>
        </w:tc>
      </w:tr>
      <w:tr>
        <w:trPr>
          <w:trHeight w:val="83"/>
        </w:trPr>
        <w:tc>
          <w:tcPr>
            <w:tcW w:w="160" w:type="dxa"/>
            <w:vAlign w:val="bottom"/>
            <w:vMerge w:val="continue"/>
          </w:tcPr>
          <w:p>
            <w:pPr>
              <w:spacing w:after="0"/>
              <w:rPr>
                <w:sz w:val="7"/>
                <w:szCs w:val="7"/>
                <w:color w:val="auto"/>
              </w:rPr>
            </w:pPr>
          </w:p>
        </w:tc>
        <w:tc>
          <w:tcPr>
            <w:tcW w:w="8920" w:type="dxa"/>
            <w:vAlign w:val="bottom"/>
            <w:vMerge w:val="restart"/>
          </w:tcPr>
          <w:p>
            <w:pPr>
              <w:ind w:left="140"/>
              <w:spacing w:after="0" w:line="134" w:lineRule="exact"/>
              <w:rPr>
                <w:sz w:val="20"/>
                <w:szCs w:val="20"/>
                <w:color w:val="auto"/>
              </w:rPr>
            </w:pPr>
            <w:r>
              <w:rPr>
                <w:rFonts w:ascii="Arial" w:cs="Arial" w:eastAsia="Arial" w:hAnsi="Arial"/>
                <w:sz w:val="12"/>
                <w:szCs w:val="12"/>
                <w:color w:val="auto"/>
              </w:rPr>
              <w:t>NRG holds 42,738,750 shares of our Class B common stock and 42,738,750 shares of our Class D common stock. Each holder of Class B common stock is</w:t>
            </w:r>
          </w:p>
        </w:tc>
        <w:tc>
          <w:tcPr>
            <w:tcW w:w="0" w:type="dxa"/>
            <w:vAlign w:val="bottom"/>
          </w:tcPr>
          <w:p>
            <w:pPr>
              <w:spacing w:after="0"/>
              <w:rPr>
                <w:sz w:val="1"/>
                <w:szCs w:val="1"/>
                <w:color w:val="auto"/>
              </w:rPr>
            </w:pPr>
          </w:p>
        </w:tc>
      </w:tr>
      <w:tr>
        <w:trPr>
          <w:trHeight w:val="51"/>
        </w:trPr>
        <w:tc>
          <w:tcPr>
            <w:tcW w:w="160" w:type="dxa"/>
            <w:vAlign w:val="bottom"/>
          </w:tcPr>
          <w:p>
            <w:pPr>
              <w:spacing w:after="0"/>
              <w:rPr>
                <w:sz w:val="4"/>
                <w:szCs w:val="4"/>
                <w:color w:val="auto"/>
              </w:rPr>
            </w:pPr>
          </w:p>
        </w:tc>
        <w:tc>
          <w:tcPr>
            <w:tcW w:w="8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8920" w:type="dxa"/>
            <w:vAlign w:val="bottom"/>
          </w:tcPr>
          <w:p>
            <w:pPr>
              <w:ind w:left="140"/>
              <w:spacing w:after="0" w:line="166" w:lineRule="exact"/>
              <w:rPr>
                <w:sz w:val="20"/>
                <w:szCs w:val="20"/>
                <w:color w:val="auto"/>
              </w:rPr>
            </w:pPr>
            <w:r>
              <w:rPr>
                <w:rFonts w:ascii="Arial" w:cs="Arial" w:eastAsia="Arial" w:hAnsi="Arial"/>
                <w:sz w:val="12"/>
                <w:szCs w:val="12"/>
                <w:color w:val="auto"/>
              </w:rPr>
              <w:t>entitled to one vote per share of Class B common stock. Each holder of our Class D common stock is entitled 1/100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of one vote per share of Class D common</w:t>
            </w:r>
          </w:p>
        </w:tc>
        <w:tc>
          <w:tcPr>
            <w:tcW w:w="0" w:type="dxa"/>
            <w:vAlign w:val="bottom"/>
          </w:tcPr>
          <w:p>
            <w:pPr>
              <w:spacing w:after="0"/>
              <w:rPr>
                <w:sz w:val="1"/>
                <w:szCs w:val="1"/>
                <w:color w:val="auto"/>
              </w:rPr>
            </w:pPr>
          </w:p>
        </w:tc>
      </w:tr>
      <w:tr>
        <w:trPr>
          <w:trHeight w:val="137"/>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5</w:t>
            </w:r>
          </w:p>
        </w:tc>
        <w:tc>
          <w:tcPr>
            <w:tcW w:w="8920" w:type="dxa"/>
            <w:vAlign w:val="bottom"/>
          </w:tcPr>
          <w:p>
            <w:pPr>
              <w:ind w:left="140"/>
              <w:spacing w:after="0" w:line="137" w:lineRule="exact"/>
              <w:rPr>
                <w:sz w:val="20"/>
                <w:szCs w:val="20"/>
                <w:color w:val="auto"/>
              </w:rPr>
            </w:pPr>
            <w:r>
              <w:rPr>
                <w:rFonts w:ascii="Arial" w:cs="Arial" w:eastAsia="Arial" w:hAnsi="Arial"/>
                <w:sz w:val="12"/>
                <w:szCs w:val="12"/>
                <w:color w:val="auto"/>
              </w:rPr>
              <w:t>stock.</w:t>
            </w:r>
          </w:p>
        </w:tc>
        <w:tc>
          <w:tcPr>
            <w:tcW w:w="0" w:type="dxa"/>
            <w:vAlign w:val="bottom"/>
          </w:tcPr>
          <w:p>
            <w:pPr>
              <w:spacing w:after="0"/>
              <w:rPr>
                <w:sz w:val="1"/>
                <w:szCs w:val="1"/>
                <w:color w:val="auto"/>
              </w:rPr>
            </w:pPr>
          </w:p>
        </w:tc>
      </w:tr>
      <w:tr>
        <w:trPr>
          <w:trHeight w:val="79"/>
        </w:trPr>
        <w:tc>
          <w:tcPr>
            <w:tcW w:w="160" w:type="dxa"/>
            <w:vAlign w:val="bottom"/>
            <w:vMerge w:val="continue"/>
          </w:tcPr>
          <w:p>
            <w:pPr>
              <w:spacing w:after="0"/>
              <w:rPr>
                <w:sz w:val="6"/>
                <w:szCs w:val="6"/>
                <w:color w:val="auto"/>
              </w:rPr>
            </w:pPr>
          </w:p>
        </w:tc>
        <w:tc>
          <w:tcPr>
            <w:tcW w:w="8920" w:type="dxa"/>
            <w:vAlign w:val="bottom"/>
            <w:vMerge w:val="restart"/>
          </w:tcPr>
          <w:p>
            <w:pPr>
              <w:ind w:left="140"/>
              <w:spacing w:after="0" w:line="137" w:lineRule="exact"/>
              <w:rPr>
                <w:sz w:val="20"/>
                <w:szCs w:val="20"/>
                <w:color w:val="auto"/>
              </w:rPr>
            </w:pPr>
            <w:r>
              <w:rPr>
                <w:rFonts w:ascii="Arial" w:cs="Arial" w:eastAsia="Arial" w:hAnsi="Arial"/>
                <w:sz w:val="12"/>
                <w:szCs w:val="12"/>
                <w:color w:val="auto"/>
              </w:rPr>
              <w:t>Based upon information set forth in the Schedules 13G/A filed on January 25, 2018 and February 8, 2018 by BlackRock, Inc. (BlackRock). With respect to the</w:t>
            </w:r>
          </w:p>
        </w:tc>
        <w:tc>
          <w:tcPr>
            <w:tcW w:w="0" w:type="dxa"/>
            <w:vAlign w:val="bottom"/>
          </w:tcPr>
          <w:p>
            <w:pPr>
              <w:spacing w:after="0"/>
              <w:rPr>
                <w:sz w:val="1"/>
                <w:szCs w:val="1"/>
                <w:color w:val="auto"/>
              </w:rPr>
            </w:pPr>
          </w:p>
        </w:tc>
      </w:tr>
      <w:tr>
        <w:trPr>
          <w:trHeight w:val="58"/>
        </w:trPr>
        <w:tc>
          <w:tcPr>
            <w:tcW w:w="160" w:type="dxa"/>
            <w:vAlign w:val="bottom"/>
          </w:tcPr>
          <w:p>
            <w:pPr>
              <w:spacing w:after="0"/>
              <w:rPr>
                <w:sz w:val="5"/>
                <w:szCs w:val="5"/>
                <w:color w:val="auto"/>
              </w:rPr>
            </w:pPr>
          </w:p>
        </w:tc>
        <w:tc>
          <w:tcPr>
            <w:tcW w:w="8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8920" w:type="dxa"/>
            <w:vAlign w:val="bottom"/>
          </w:tcPr>
          <w:p>
            <w:pPr>
              <w:ind w:left="140"/>
              <w:spacing w:after="0" w:line="137" w:lineRule="exact"/>
              <w:rPr>
                <w:sz w:val="20"/>
                <w:szCs w:val="20"/>
                <w:color w:val="auto"/>
              </w:rPr>
            </w:pPr>
            <w:r>
              <w:rPr>
                <w:rFonts w:ascii="Arial" w:cs="Arial" w:eastAsia="Arial" w:hAnsi="Arial"/>
                <w:sz w:val="12"/>
                <w:szCs w:val="12"/>
                <w:color w:val="auto"/>
              </w:rPr>
              <w:t>Class A shares, BlackRock has sole voting power over 3,118,876 Class A shares and sole dispositive power over 3,197,766 Class A shares. With respect to the</w:t>
            </w:r>
          </w:p>
        </w:tc>
        <w:tc>
          <w:tcPr>
            <w:tcW w:w="0" w:type="dxa"/>
            <w:vAlign w:val="bottom"/>
          </w:tcPr>
          <w:p>
            <w:pPr>
              <w:spacing w:after="0"/>
              <w:rPr>
                <w:sz w:val="1"/>
                <w:szCs w:val="1"/>
                <w:color w:val="auto"/>
              </w:rPr>
            </w:pPr>
          </w:p>
        </w:tc>
      </w:tr>
      <w:tr>
        <w:trPr>
          <w:trHeight w:val="107"/>
        </w:trPr>
        <w:tc>
          <w:tcPr>
            <w:tcW w:w="160" w:type="dxa"/>
            <w:vAlign w:val="bottom"/>
          </w:tcPr>
          <w:p>
            <w:pPr>
              <w:spacing w:after="0"/>
              <w:rPr>
                <w:sz w:val="9"/>
                <w:szCs w:val="9"/>
                <w:color w:val="auto"/>
              </w:rPr>
            </w:pPr>
          </w:p>
        </w:tc>
        <w:tc>
          <w:tcPr>
            <w:tcW w:w="8920" w:type="dxa"/>
            <w:vAlign w:val="bottom"/>
          </w:tcPr>
          <w:p>
            <w:pPr>
              <w:ind w:left="140"/>
              <w:spacing w:after="0" w:line="107" w:lineRule="exact"/>
              <w:rPr>
                <w:sz w:val="20"/>
                <w:szCs w:val="20"/>
                <w:color w:val="auto"/>
              </w:rPr>
            </w:pPr>
            <w:r>
              <w:rPr>
                <w:rFonts w:ascii="Arial" w:cs="Arial" w:eastAsia="Arial" w:hAnsi="Arial"/>
                <w:sz w:val="12"/>
                <w:szCs w:val="12"/>
                <w:color w:val="auto"/>
              </w:rPr>
              <w:t>Class C shares, BlackRock has sole voting power over 4,236,356 Class C shares and sole dispositive power over 4,369,279 Class C shares.</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500" w:right="1240" w:hanging="302"/>
        <w:spacing w:after="0" w:line="222" w:lineRule="auto"/>
        <w:tabs>
          <w:tab w:leader="none" w:pos="1500" w:val="left"/>
        </w:tabs>
        <w:numPr>
          <w:ilvl w:val="0"/>
          <w:numId w:val="29"/>
        </w:numPr>
        <w:rPr>
          <w:rFonts w:ascii="Arial" w:cs="Arial" w:eastAsia="Arial" w:hAnsi="Arial"/>
          <w:sz w:val="18"/>
          <w:szCs w:val="18"/>
          <w:color w:val="58844D"/>
          <w:vertAlign w:val="superscript"/>
        </w:rPr>
      </w:pPr>
      <w:r>
        <w:rPr>
          <w:rFonts w:ascii="Arial" w:cs="Arial" w:eastAsia="Arial" w:hAnsi="Arial"/>
          <w:sz w:val="12"/>
          <w:szCs w:val="12"/>
          <w:color w:val="auto"/>
        </w:rPr>
        <w:t>Based upon information set forth in the Schedules 13G/A filed on February 13, 2018 by The Vanguard Group (Vanguard). With respect to the Class A shares, Vanguard has sole voting power over 37,435 Class A shares, shared voting power over 1,500 Class A Shares, sole dispositive power over 3,127,843 Class A shares, and shared dispositive power over 36,935 Class A shares. With respect to the Class C shares, Vanguard has sole voting power over 72,036 Class C shares, shared voting power over 9,809 Class C shares, sole dispositive power over 5,627,494 Class C shares and shared dispositive power over 76,290 Class C shares. Vanguard Fiduciary Trust Company (VFTC), a wholly-owned subsidiary of Vanguard, is the beneficial owner of 35,435 Class A shares and 66,481 Class C shares as a result of VFTC serving as investment manager of collective trust accounts. Vanguard Investments Australia, Ltd. (VIA), a wholly-owned subsidiary of Vanguard, is the beneficial owner of 3,500 Class A shares and 15,364 Class C shares as a result of VIA serving as investment manager of Australian investment</w:t>
      </w:r>
    </w:p>
    <w:p>
      <w:pPr>
        <w:ind w:left="1500"/>
        <w:spacing w:after="0" w:line="187" w:lineRule="auto"/>
        <w:rPr>
          <w:sz w:val="20"/>
          <w:szCs w:val="20"/>
          <w:color w:val="auto"/>
        </w:rPr>
      </w:pPr>
      <w:r>
        <w:rPr>
          <w:rFonts w:ascii="Arial" w:cs="Arial" w:eastAsia="Arial" w:hAnsi="Arial"/>
          <w:sz w:val="12"/>
          <w:szCs w:val="12"/>
          <w:color w:val="auto"/>
        </w:rPr>
        <w:t>offerings.</w:t>
      </w:r>
    </w:p>
    <w:p>
      <w:pPr>
        <w:ind w:left="1500" w:hanging="302"/>
        <w:spacing w:after="0" w:line="192" w:lineRule="auto"/>
        <w:tabs>
          <w:tab w:leader="none" w:pos="1500" w:val="left"/>
        </w:tabs>
        <w:numPr>
          <w:ilvl w:val="0"/>
          <w:numId w:val="30"/>
        </w:numPr>
        <w:rPr>
          <w:rFonts w:ascii="Arial" w:cs="Arial" w:eastAsia="Arial" w:hAnsi="Arial"/>
          <w:sz w:val="18"/>
          <w:szCs w:val="18"/>
          <w:color w:val="58844D"/>
          <w:vertAlign w:val="superscript"/>
        </w:rPr>
      </w:pPr>
      <w:r>
        <w:rPr>
          <w:rFonts w:ascii="Arial" w:cs="Arial" w:eastAsia="Arial" w:hAnsi="Arial"/>
          <w:sz w:val="12"/>
          <w:szCs w:val="12"/>
          <w:color w:val="auto"/>
        </w:rPr>
        <w:t>Based upon information set forth in the Schedule 13G/A filed on February 9, 2018 by Massachusetts Financial Services Company (MFS). MFS has sole voting</w:t>
      </w:r>
    </w:p>
    <w:p>
      <w:pPr>
        <w:ind w:left="1500"/>
        <w:spacing w:after="0" w:line="187" w:lineRule="auto"/>
        <w:rPr>
          <w:sz w:val="20"/>
          <w:szCs w:val="20"/>
          <w:color w:val="auto"/>
        </w:rPr>
      </w:pPr>
      <w:r>
        <w:rPr>
          <w:rFonts w:ascii="Arial" w:cs="Arial" w:eastAsia="Arial" w:hAnsi="Arial"/>
          <w:sz w:val="12"/>
          <w:szCs w:val="12"/>
          <w:color w:val="auto"/>
        </w:rPr>
        <w:t>power over 2,932,036 Class A shares and sole dispositive power over 2,950,088 Class A shares.</w:t>
      </w:r>
    </w:p>
    <w:p>
      <w:pPr>
        <w:spacing w:after="0" w:line="30" w:lineRule="exact"/>
        <w:rPr>
          <w:sz w:val="20"/>
          <w:szCs w:val="20"/>
          <w:color w:val="auto"/>
        </w:rPr>
      </w:pPr>
    </w:p>
    <w:p>
      <w:pPr>
        <w:ind w:left="1500" w:right="1180" w:hanging="302"/>
        <w:spacing w:after="0" w:line="225" w:lineRule="auto"/>
        <w:tabs>
          <w:tab w:leader="none" w:pos="1500" w:val="left"/>
        </w:tabs>
        <w:numPr>
          <w:ilvl w:val="0"/>
          <w:numId w:val="31"/>
        </w:numPr>
        <w:rPr>
          <w:rFonts w:ascii="Arial" w:cs="Arial" w:eastAsia="Arial" w:hAnsi="Arial"/>
          <w:sz w:val="18"/>
          <w:szCs w:val="18"/>
          <w:color w:val="58844D"/>
          <w:vertAlign w:val="superscript"/>
        </w:rPr>
      </w:pPr>
      <w:r>
        <w:rPr>
          <w:rFonts w:ascii="Arial" w:cs="Arial" w:eastAsia="Arial" w:hAnsi="Arial"/>
          <w:sz w:val="12"/>
          <w:szCs w:val="12"/>
          <w:color w:val="auto"/>
        </w:rPr>
        <w:t>Based upon information set forth in the Schedule 13G and Schedule 13G/A filed on February 13, 2018 by FMR LLC (FMR). With respect to the Class A shares, FMR has sole voting power over 648,896 Class A shares and sole dispositive power over 2,051,026 Class A shares. With respect to the Class C shares, FMR has sole voting power over 391,746 Class C shares and sole dispositive power over 3,189,954 Class C shares.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Neither FMR nor Abigail P. Johnson has the sole power to vote or direct the voting of the shares owned directly by the various investment companies registered under the Investment Company Act of 1940 (Fidelity</w:t>
      </w:r>
    </w:p>
    <w:p>
      <w:pPr>
        <w:spacing w:after="0" w:line="2" w:lineRule="exact"/>
        <w:rPr>
          <w:rFonts w:ascii="Arial" w:cs="Arial" w:eastAsia="Arial" w:hAnsi="Arial"/>
          <w:sz w:val="18"/>
          <w:szCs w:val="18"/>
          <w:color w:val="58844D"/>
          <w:vertAlign w:val="superscript"/>
        </w:rPr>
      </w:pPr>
    </w:p>
    <w:p>
      <w:pPr>
        <w:ind w:left="1500"/>
        <w:spacing w:after="0"/>
        <w:rPr>
          <w:rFonts w:ascii="Arial" w:cs="Arial" w:eastAsia="Arial" w:hAnsi="Arial"/>
          <w:sz w:val="18"/>
          <w:szCs w:val="18"/>
          <w:color w:val="58844D"/>
          <w:vertAlign w:val="superscript"/>
        </w:rPr>
      </w:pPr>
      <w:r>
        <w:rPr>
          <w:rFonts w:ascii="Arial" w:cs="Arial" w:eastAsia="Arial" w:hAnsi="Arial"/>
          <w:sz w:val="12"/>
          <w:szCs w:val="12"/>
          <w:color w:val="auto"/>
        </w:rPr>
        <w:t>Funds) advised by Fidelity Management &amp; Research Company, a wholly owned subsidiary of FMR, which power resides with the Fidelity Funds' Boards of</w:t>
      </w:r>
    </w:p>
    <w:p>
      <w:pPr>
        <w:spacing w:after="0" w:line="24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Trustees.</w:t>
      </w:r>
    </w:p>
    <w:p>
      <w:pPr>
        <w:ind w:left="1500" w:hanging="302"/>
        <w:spacing w:after="0" w:line="192" w:lineRule="auto"/>
        <w:tabs>
          <w:tab w:leader="none" w:pos="1500" w:val="left"/>
        </w:tabs>
        <w:numPr>
          <w:ilvl w:val="0"/>
          <w:numId w:val="32"/>
        </w:numPr>
        <w:rPr>
          <w:rFonts w:ascii="Arial" w:cs="Arial" w:eastAsia="Arial" w:hAnsi="Arial"/>
          <w:sz w:val="18"/>
          <w:szCs w:val="18"/>
          <w:color w:val="58844D"/>
          <w:vertAlign w:val="superscript"/>
        </w:rPr>
      </w:pPr>
      <w:r>
        <w:rPr>
          <w:rFonts w:ascii="Arial" w:cs="Arial" w:eastAsia="Arial" w:hAnsi="Arial"/>
          <w:sz w:val="12"/>
          <w:szCs w:val="12"/>
          <w:color w:val="auto"/>
        </w:rPr>
        <w:t>Based upon information set forth in the Schedule 13G filed on February 17, 2015 and the Schedule 13G/A filed on February 12, 2018 by Morgan Stanley and</w:t>
      </w:r>
    </w:p>
    <w:p>
      <w:pPr>
        <w:spacing w:after="0" w:line="1" w:lineRule="exact"/>
        <w:rPr>
          <w:sz w:val="20"/>
          <w:szCs w:val="20"/>
          <w:color w:val="auto"/>
        </w:rPr>
      </w:pPr>
    </w:p>
    <w:p>
      <w:pPr>
        <w:ind w:left="1500" w:right="1180"/>
        <w:spacing w:after="0" w:line="229" w:lineRule="auto"/>
        <w:rPr>
          <w:sz w:val="20"/>
          <w:szCs w:val="20"/>
          <w:color w:val="auto"/>
        </w:rPr>
      </w:pPr>
      <w:r>
        <w:rPr>
          <w:rFonts w:ascii="Arial" w:cs="Arial" w:eastAsia="Arial" w:hAnsi="Arial"/>
          <w:sz w:val="12"/>
          <w:szCs w:val="12"/>
          <w:color w:val="auto"/>
        </w:rPr>
        <w:t>Morgan Stanley Smith Barney LLC. With respect to the Class A shares, Morgan Stanley has sole voting power over 1,492,155 Class A shares. Morgan Stanley has shared voting power over 231,384 Class A shares and shared dispositive power over 1,596,978 Class A shares. With respect to the Class C shares, Morgan Stanley has shared voting power over 5,585,431 Class C shares and shared dispositive power over 4,700,796 Class C shares; and Morgan Stanley Smith Barney LLC has shared voting power over 5,426,994 Class C shares and shared dispositive power over 4,536,604 Class C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31" w:lineRule="exact"/>
        <w:rPr>
          <w:sz w:val="20"/>
          <w:szCs w:val="20"/>
          <w:color w:val="auto"/>
        </w:rPr>
      </w:pPr>
    </w:p>
    <w:p>
      <w:pPr>
        <w:ind w:left="1500" w:right="1400" w:hanging="302"/>
        <w:spacing w:after="0" w:line="208" w:lineRule="auto"/>
        <w:tabs>
          <w:tab w:leader="none" w:pos="1500" w:val="left"/>
        </w:tabs>
        <w:numPr>
          <w:ilvl w:val="0"/>
          <w:numId w:val="33"/>
        </w:numPr>
        <w:rPr>
          <w:rFonts w:ascii="Arial" w:cs="Arial" w:eastAsia="Arial" w:hAnsi="Arial"/>
          <w:sz w:val="18"/>
          <w:szCs w:val="18"/>
          <w:color w:val="58844D"/>
          <w:vertAlign w:val="superscript"/>
        </w:rPr>
      </w:pPr>
      <w:r>
        <w:rPr>
          <w:rFonts w:ascii="Arial" w:cs="Arial" w:eastAsia="Arial" w:hAnsi="Arial"/>
          <w:sz w:val="12"/>
          <w:szCs w:val="12"/>
          <w:color w:val="auto"/>
        </w:rPr>
        <w:t>Based upon information set forth in the Schedule 13G/A filed on February 7, 2018 by The Bank of New York Mellon Corporation (BNY Mellon). BNY Mellon has sole voting power over 3,694,227 Class C shares and sole dispositive power over 3,769,558 Class C shares. BNY Mellon has shared voting power over 2,550 Class C shares and shared dispositive power over 12,139 Class 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7273290"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STOCK OWNERSHIP OF DIRECTORS, NAMED EXECUTIVE OFFICERS AND CERTAIN BENEFICIAL OWNERS </w:t>
      </w:r>
      <w:r>
        <w:rPr>
          <w:rFonts w:ascii="Arial" w:cs="Arial" w:eastAsia="Arial" w:hAnsi="Arial"/>
          <w:sz w:val="12"/>
          <w:szCs w:val="12"/>
          <w:b w:val="1"/>
          <w:bCs w:val="1"/>
          <w:color w:val="58844D"/>
        </w:rPr>
        <w:t>24</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ARRANGEMENTS RESULTING IN CHANGE IN CONTROL</w:t>
      </w:r>
    </w:p>
    <w:p>
      <w:pPr>
        <w:spacing w:after="0" w:line="199" w:lineRule="exact"/>
        <w:rPr>
          <w:sz w:val="20"/>
          <w:szCs w:val="20"/>
          <w:color w:val="auto"/>
        </w:rPr>
      </w:pPr>
    </w:p>
    <w:p>
      <w:pPr>
        <w:ind w:right="40"/>
        <w:spacing w:after="0"/>
        <w:rPr>
          <w:sz w:val="20"/>
          <w:szCs w:val="20"/>
          <w:color w:val="auto"/>
        </w:rPr>
      </w:pPr>
      <w:r>
        <w:rPr>
          <w:rFonts w:ascii="Arial" w:cs="Arial" w:eastAsia="Arial" w:hAnsi="Arial"/>
          <w:sz w:val="15"/>
          <w:szCs w:val="15"/>
          <w:color w:val="auto"/>
        </w:rPr>
        <w:t>On February 6, 2018, Global Infrastructure Partners entered into a purchase and sale agreement with NRG for the acquisition of NRG's full ownership interest in the Company and NRG's renewable energy development and operations platform. The transaction is subject to certain closing conditions, including customary legal and regulatory approvals. We expect the transaction to close in the second half of 2018. The closing of the transaction would result in a change in control of the Company. For additional information, see "Certain Relationships and Related Person Transactions—Strategic Sponsorship with Global Infrastructure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58844D"/>
        </w:rPr>
        <w:t>Director and Executive Officer Ownership of NRG Common Stock</w:t>
      </w:r>
    </w:p>
    <w:p>
      <w:pPr>
        <w:spacing w:after="0" w:line="189" w:lineRule="exact"/>
        <w:rPr>
          <w:sz w:val="20"/>
          <w:szCs w:val="20"/>
          <w:color w:val="auto"/>
        </w:rPr>
      </w:pPr>
    </w:p>
    <w:p>
      <w:pPr>
        <w:ind w:right="360"/>
        <w:spacing w:after="0" w:line="239" w:lineRule="auto"/>
        <w:rPr>
          <w:sz w:val="20"/>
          <w:szCs w:val="20"/>
          <w:color w:val="auto"/>
        </w:rPr>
      </w:pPr>
      <w:r>
        <w:rPr>
          <w:rFonts w:ascii="Arial" w:cs="Arial" w:eastAsia="Arial" w:hAnsi="Arial"/>
          <w:sz w:val="15"/>
          <w:szCs w:val="15"/>
          <w:color w:val="auto"/>
        </w:rPr>
        <w:t>NRG holds in the aggregate 55.1% of the voting interest in the Company through its ownership of our Class B common stock and Class D common stock. As a result, the following table sets forth information concerning beneficial ownership of NRG's common stock as of March 1, 2018, for: (a) each Company director and the nominees for director; (b) each NEO; and (c) the Company directors and executive officers as a group. Percentage of beneficial ownership is based on 317,666,137 shares of NRG common stock outstanding as of March 1, 2018 plus shares that such person has the right to acquire within 60 days of March 1, 2018. Unless otherwise indicated, each person has the sole voting and dispositive power with respect to the shares of NRG common stock set forth in the following table.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address of the beneficial owners is NRG Yield, Inc., 804 Carnegie Center, Princeton, New Jersey 08540.</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96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shd w:val="clear" w:color="auto" w:fill="58854E"/>
          </w:tcPr>
          <w:p>
            <w:pPr>
              <w:jc w:val="center"/>
              <w:ind w:left="10"/>
              <w:spacing w:after="0"/>
              <w:rPr>
                <w:sz w:val="20"/>
                <w:szCs w:val="20"/>
                <w:color w:val="auto"/>
              </w:rPr>
            </w:pPr>
            <w:r>
              <w:rPr>
                <w:rFonts w:ascii="Arial" w:cs="Arial" w:eastAsia="Arial" w:hAnsi="Arial"/>
                <w:sz w:val="12"/>
                <w:szCs w:val="12"/>
                <w:b w:val="1"/>
                <w:bCs w:val="1"/>
                <w:color w:val="FFFFFE"/>
                <w:w w:val="99"/>
              </w:rPr>
              <w:t>COMMON</w:t>
            </w:r>
          </w:p>
        </w:tc>
        <w:tc>
          <w:tcPr>
            <w:tcW w:w="140" w:type="dxa"/>
            <w:vAlign w:val="bottom"/>
          </w:tcPr>
          <w:p>
            <w:pPr>
              <w:spacing w:after="0"/>
              <w:rPr>
                <w:sz w:val="12"/>
                <w:szCs w:val="12"/>
                <w:color w:val="auto"/>
              </w:rPr>
            </w:pPr>
          </w:p>
        </w:tc>
        <w:tc>
          <w:tcPr>
            <w:tcW w:w="114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 OF COMMON</w:t>
            </w:r>
          </w:p>
        </w:tc>
      </w:tr>
      <w:tr>
        <w:trPr>
          <w:trHeight w:val="160"/>
        </w:trPr>
        <w:tc>
          <w:tcPr>
            <w:tcW w:w="6960" w:type="dxa"/>
            <w:vAlign w:val="bottom"/>
            <w:shd w:val="clear" w:color="auto" w:fill="58854E"/>
          </w:tcPr>
          <w:p>
            <w:pPr>
              <w:spacing w:after="0"/>
              <w:rPr>
                <w:sz w:val="20"/>
                <w:szCs w:val="20"/>
                <w:color w:val="auto"/>
              </w:rPr>
            </w:pPr>
            <w:r>
              <w:rPr>
                <w:rFonts w:ascii="Arial" w:cs="Arial" w:eastAsia="Arial" w:hAnsi="Arial"/>
                <w:sz w:val="12"/>
                <w:szCs w:val="12"/>
                <w:b w:val="1"/>
                <w:bCs w:val="1"/>
                <w:color w:val="FFFFFE"/>
              </w:rPr>
              <w:t>NAME OF BENEFICIAL OWNER</w:t>
            </w:r>
          </w:p>
        </w:tc>
        <w:tc>
          <w:tcPr>
            <w:tcW w:w="140" w:type="dxa"/>
            <w:vAlign w:val="bottom"/>
          </w:tcPr>
          <w:p>
            <w:pPr>
              <w:spacing w:after="0"/>
              <w:rPr>
                <w:sz w:val="13"/>
                <w:szCs w:val="13"/>
                <w:color w:val="auto"/>
              </w:rPr>
            </w:pPr>
          </w:p>
        </w:tc>
        <w:tc>
          <w:tcPr>
            <w:tcW w:w="760" w:type="dxa"/>
            <w:vAlign w:val="bottom"/>
            <w:shd w:val="clear" w:color="auto" w:fill="58854E"/>
          </w:tcPr>
          <w:p>
            <w:pPr>
              <w:jc w:val="center"/>
              <w:ind w:left="10"/>
              <w:spacing w:after="0" w:line="160" w:lineRule="exact"/>
              <w:rPr>
                <w:sz w:val="20"/>
                <w:szCs w:val="20"/>
                <w:color w:val="auto"/>
              </w:rPr>
            </w:pPr>
            <w:r>
              <w:rPr>
                <w:rFonts w:ascii="Arial" w:cs="Arial" w:eastAsia="Arial" w:hAnsi="Arial"/>
                <w:sz w:val="12"/>
                <w:szCs w:val="12"/>
                <w:b w:val="1"/>
                <w:bCs w:val="1"/>
                <w:color w:val="FFFFFE"/>
                <w:w w:val="98"/>
              </w:rPr>
              <w:t>STOCK</w:t>
            </w:r>
            <w:r>
              <w:rPr>
                <w:rFonts w:ascii="Arial" w:cs="Arial" w:eastAsia="Arial" w:hAnsi="Arial"/>
                <w:sz w:val="18"/>
                <w:szCs w:val="18"/>
                <w:color w:val="FFFFFE"/>
                <w:w w:val="98"/>
                <w:vertAlign w:val="superscript"/>
              </w:rPr>
              <w:t>1</w:t>
            </w:r>
          </w:p>
        </w:tc>
        <w:tc>
          <w:tcPr>
            <w:tcW w:w="140" w:type="dxa"/>
            <w:vAlign w:val="bottom"/>
          </w:tcPr>
          <w:p>
            <w:pPr>
              <w:spacing w:after="0"/>
              <w:rPr>
                <w:sz w:val="13"/>
                <w:szCs w:val="13"/>
                <w:color w:val="auto"/>
              </w:rPr>
            </w:pPr>
          </w:p>
        </w:tc>
        <w:tc>
          <w:tcPr>
            <w:tcW w:w="114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STOCK</w:t>
            </w:r>
          </w:p>
        </w:tc>
      </w:tr>
      <w:tr>
        <w:trPr>
          <w:trHeight w:val="182"/>
        </w:trPr>
        <w:tc>
          <w:tcPr>
            <w:tcW w:w="696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Mauricio Gutierrez</w:t>
            </w:r>
          </w:p>
        </w:tc>
        <w:tc>
          <w:tcPr>
            <w:tcW w:w="1040" w:type="dxa"/>
            <w:vAlign w:val="bottom"/>
            <w:tcBorders>
              <w:bottom w:val="single" w:sz="8" w:color="58854E"/>
            </w:tcBorders>
            <w:gridSpan w:val="3"/>
          </w:tcPr>
          <w:p>
            <w:pPr>
              <w:jc w:val="right"/>
              <w:ind w:right="80"/>
              <w:spacing w:after="0"/>
              <w:rPr>
                <w:sz w:val="20"/>
                <w:szCs w:val="20"/>
                <w:color w:val="auto"/>
              </w:rPr>
            </w:pPr>
            <w:r>
              <w:rPr>
                <w:rFonts w:ascii="Arial" w:cs="Arial" w:eastAsia="Arial" w:hAnsi="Arial"/>
                <w:sz w:val="15"/>
                <w:szCs w:val="15"/>
                <w:color w:val="auto"/>
              </w:rPr>
              <w:t>216,560</w:t>
            </w:r>
            <w:r>
              <w:rPr>
                <w:rFonts w:ascii="Arial" w:cs="Arial" w:eastAsia="Arial" w:hAnsi="Arial"/>
                <w:sz w:val="9"/>
                <w:szCs w:val="9"/>
                <w:color w:val="58844D"/>
              </w:rPr>
              <w:t>2</w:t>
            </w:r>
          </w:p>
        </w:tc>
        <w:tc>
          <w:tcPr>
            <w:tcW w:w="114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r>
        <w:trPr>
          <w:trHeight w:val="174"/>
        </w:trPr>
        <w:tc>
          <w:tcPr>
            <w:tcW w:w="696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Christopher S. Sotos</w:t>
            </w:r>
          </w:p>
        </w:tc>
        <w:tc>
          <w:tcPr>
            <w:tcW w:w="140" w:type="dxa"/>
            <w:vAlign w:val="bottom"/>
            <w:tcBorders>
              <w:bottom w:val="single" w:sz="8" w:color="58854E"/>
            </w:tcBorders>
          </w:tcPr>
          <w:p>
            <w:pPr>
              <w:spacing w:after="0"/>
              <w:rPr>
                <w:sz w:val="15"/>
                <w:szCs w:val="15"/>
                <w:color w:val="auto"/>
              </w:rPr>
            </w:pPr>
          </w:p>
        </w:tc>
        <w:tc>
          <w:tcPr>
            <w:tcW w:w="900" w:type="dxa"/>
            <w:vAlign w:val="bottom"/>
            <w:tcBorders>
              <w:bottom w:val="single" w:sz="8" w:color="58854E"/>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r>
        <w:trPr>
          <w:trHeight w:val="174"/>
        </w:trPr>
        <w:tc>
          <w:tcPr>
            <w:tcW w:w="696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Chad Plotkin</w:t>
            </w:r>
          </w:p>
        </w:tc>
        <w:tc>
          <w:tcPr>
            <w:tcW w:w="140" w:type="dxa"/>
            <w:vAlign w:val="bottom"/>
            <w:tcBorders>
              <w:bottom w:val="single" w:sz="8" w:color="58854E"/>
            </w:tcBorders>
          </w:tcPr>
          <w:p>
            <w:pPr>
              <w:spacing w:after="0"/>
              <w:rPr>
                <w:sz w:val="15"/>
                <w:szCs w:val="15"/>
                <w:color w:val="auto"/>
              </w:rPr>
            </w:pPr>
          </w:p>
        </w:tc>
        <w:tc>
          <w:tcPr>
            <w:tcW w:w="900" w:type="dxa"/>
            <w:vAlign w:val="bottom"/>
            <w:tcBorders>
              <w:bottom w:val="single" w:sz="8" w:color="58854E"/>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r>
        <w:trPr>
          <w:trHeight w:val="174"/>
        </w:trPr>
        <w:tc>
          <w:tcPr>
            <w:tcW w:w="696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Kirkland B. Andrews</w:t>
            </w:r>
          </w:p>
        </w:tc>
        <w:tc>
          <w:tcPr>
            <w:tcW w:w="1040" w:type="dxa"/>
            <w:vAlign w:val="bottom"/>
            <w:tcBorders>
              <w:bottom w:val="single" w:sz="8" w:color="58854E"/>
            </w:tcBorders>
            <w:gridSpan w:val="3"/>
          </w:tcPr>
          <w:p>
            <w:pPr>
              <w:jc w:val="right"/>
              <w:ind w:right="80"/>
              <w:spacing w:after="0"/>
              <w:rPr>
                <w:sz w:val="20"/>
                <w:szCs w:val="20"/>
                <w:color w:val="auto"/>
              </w:rPr>
            </w:pPr>
            <w:r>
              <w:rPr>
                <w:rFonts w:ascii="Arial" w:cs="Arial" w:eastAsia="Arial" w:hAnsi="Arial"/>
                <w:sz w:val="15"/>
                <w:szCs w:val="15"/>
                <w:color w:val="auto"/>
              </w:rPr>
              <w:t>190,035</w:t>
            </w:r>
            <w:r>
              <w:rPr>
                <w:rFonts w:ascii="Arial" w:cs="Arial" w:eastAsia="Arial" w:hAnsi="Arial"/>
                <w:sz w:val="9"/>
                <w:szCs w:val="9"/>
                <w:color w:val="58844D"/>
              </w:rPr>
              <w:t>3</w:t>
            </w:r>
          </w:p>
        </w:tc>
        <w:tc>
          <w:tcPr>
            <w:tcW w:w="114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r>
        <w:trPr>
          <w:trHeight w:val="174"/>
        </w:trPr>
        <w:tc>
          <w:tcPr>
            <w:tcW w:w="696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John Chillemi</w:t>
            </w:r>
          </w:p>
        </w:tc>
        <w:tc>
          <w:tcPr>
            <w:tcW w:w="1040" w:type="dxa"/>
            <w:vAlign w:val="bottom"/>
            <w:tcBorders>
              <w:bottom w:val="single" w:sz="8" w:color="58854E"/>
            </w:tcBorders>
            <w:gridSpan w:val="3"/>
          </w:tcPr>
          <w:p>
            <w:pPr>
              <w:jc w:val="right"/>
              <w:ind w:right="80"/>
              <w:spacing w:after="0"/>
              <w:rPr>
                <w:sz w:val="20"/>
                <w:szCs w:val="20"/>
                <w:color w:val="auto"/>
              </w:rPr>
            </w:pPr>
            <w:r>
              <w:rPr>
                <w:rFonts w:ascii="Arial" w:cs="Arial" w:eastAsia="Arial" w:hAnsi="Arial"/>
                <w:sz w:val="15"/>
                <w:szCs w:val="15"/>
                <w:color w:val="auto"/>
              </w:rPr>
              <w:t>43,530</w:t>
            </w:r>
            <w:r>
              <w:rPr>
                <w:rFonts w:ascii="Arial" w:cs="Arial" w:eastAsia="Arial" w:hAnsi="Arial"/>
                <w:sz w:val="9"/>
                <w:szCs w:val="9"/>
                <w:color w:val="58844D"/>
              </w:rPr>
              <w:t>4</w:t>
            </w:r>
          </w:p>
        </w:tc>
        <w:tc>
          <w:tcPr>
            <w:tcW w:w="114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r>
        <w:trPr>
          <w:trHeight w:val="174"/>
        </w:trPr>
        <w:tc>
          <w:tcPr>
            <w:tcW w:w="696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John F. Chlebowski</w:t>
            </w:r>
          </w:p>
        </w:tc>
        <w:tc>
          <w:tcPr>
            <w:tcW w:w="140" w:type="dxa"/>
            <w:vAlign w:val="bottom"/>
            <w:tcBorders>
              <w:bottom w:val="single" w:sz="8" w:color="58854E"/>
            </w:tcBorders>
          </w:tcPr>
          <w:p>
            <w:pPr>
              <w:spacing w:after="0"/>
              <w:rPr>
                <w:sz w:val="15"/>
                <w:szCs w:val="15"/>
                <w:color w:val="auto"/>
              </w:rPr>
            </w:pPr>
          </w:p>
        </w:tc>
        <w:tc>
          <w:tcPr>
            <w:tcW w:w="900" w:type="dxa"/>
            <w:vAlign w:val="bottom"/>
            <w:tcBorders>
              <w:bottom w:val="single" w:sz="8" w:color="58854E"/>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r>
        <w:trPr>
          <w:trHeight w:val="174"/>
        </w:trPr>
        <w:tc>
          <w:tcPr>
            <w:tcW w:w="696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Ferrell P. McClean</w:t>
            </w:r>
          </w:p>
        </w:tc>
        <w:tc>
          <w:tcPr>
            <w:tcW w:w="140" w:type="dxa"/>
            <w:vAlign w:val="bottom"/>
            <w:tcBorders>
              <w:bottom w:val="single" w:sz="8" w:color="58854E"/>
            </w:tcBorders>
          </w:tcPr>
          <w:p>
            <w:pPr>
              <w:spacing w:after="0"/>
              <w:rPr>
                <w:sz w:val="15"/>
                <w:szCs w:val="15"/>
                <w:color w:val="auto"/>
              </w:rPr>
            </w:pPr>
          </w:p>
        </w:tc>
        <w:tc>
          <w:tcPr>
            <w:tcW w:w="900" w:type="dxa"/>
            <w:vAlign w:val="bottom"/>
            <w:tcBorders>
              <w:bottom w:val="single" w:sz="8" w:color="58854E"/>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r>
        <w:trPr>
          <w:trHeight w:val="174"/>
        </w:trPr>
        <w:tc>
          <w:tcPr>
            <w:tcW w:w="696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Brian R. Ford</w:t>
            </w:r>
          </w:p>
        </w:tc>
        <w:tc>
          <w:tcPr>
            <w:tcW w:w="1040" w:type="dxa"/>
            <w:vAlign w:val="bottom"/>
            <w:tcBorders>
              <w:bottom w:val="single" w:sz="8" w:color="58854E"/>
            </w:tcBorders>
            <w:gridSpan w:val="3"/>
          </w:tcPr>
          <w:p>
            <w:pPr>
              <w:jc w:val="right"/>
              <w:ind w:right="140"/>
              <w:spacing w:after="0"/>
              <w:rPr>
                <w:sz w:val="20"/>
                <w:szCs w:val="20"/>
                <w:color w:val="auto"/>
              </w:rPr>
            </w:pPr>
            <w:r>
              <w:rPr>
                <w:rFonts w:ascii="Arial" w:cs="Arial" w:eastAsia="Arial" w:hAnsi="Arial"/>
                <w:sz w:val="15"/>
                <w:szCs w:val="15"/>
                <w:color w:val="auto"/>
              </w:rPr>
              <w:t>700</w:t>
            </w:r>
          </w:p>
        </w:tc>
        <w:tc>
          <w:tcPr>
            <w:tcW w:w="1140" w:type="dxa"/>
            <w:vAlign w:val="bottom"/>
            <w:tcBorders>
              <w:bottom w:val="single" w:sz="8" w:color="58854E"/>
            </w:tcBorders>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r>
        <w:trPr>
          <w:trHeight w:val="181"/>
        </w:trPr>
        <w:tc>
          <w:tcPr>
            <w:tcW w:w="6960" w:type="dxa"/>
            <w:vAlign w:val="bottom"/>
          </w:tcPr>
          <w:p>
            <w:pPr>
              <w:spacing w:after="0"/>
              <w:rPr>
                <w:sz w:val="20"/>
                <w:szCs w:val="20"/>
                <w:color w:val="auto"/>
              </w:rPr>
            </w:pPr>
            <w:r>
              <w:rPr>
                <w:rFonts w:ascii="Arial" w:cs="Arial" w:eastAsia="Arial" w:hAnsi="Arial"/>
                <w:sz w:val="15"/>
                <w:szCs w:val="15"/>
                <w:color w:val="auto"/>
              </w:rPr>
              <w:t>All Directors and Executive Officers as a group (10 people)</w:t>
            </w:r>
          </w:p>
        </w:tc>
        <w:tc>
          <w:tcPr>
            <w:tcW w:w="1040" w:type="dxa"/>
            <w:vAlign w:val="bottom"/>
            <w:gridSpan w:val="3"/>
          </w:tcPr>
          <w:p>
            <w:pPr>
              <w:jc w:val="right"/>
              <w:ind w:right="80"/>
              <w:spacing w:after="0"/>
              <w:rPr>
                <w:sz w:val="20"/>
                <w:szCs w:val="20"/>
                <w:color w:val="auto"/>
              </w:rPr>
            </w:pPr>
            <w:r>
              <w:rPr>
                <w:rFonts w:ascii="Arial" w:cs="Arial" w:eastAsia="Arial" w:hAnsi="Arial"/>
                <w:sz w:val="15"/>
                <w:szCs w:val="15"/>
                <w:color w:val="auto"/>
              </w:rPr>
              <w:t>538,339</w:t>
            </w:r>
            <w:r>
              <w:rPr>
                <w:rFonts w:ascii="Arial" w:cs="Arial" w:eastAsia="Arial" w:hAnsi="Arial"/>
                <w:sz w:val="9"/>
                <w:szCs w:val="9"/>
                <w:color w:val="58844D"/>
              </w:rPr>
              <w:t>5</w:t>
            </w:r>
          </w:p>
        </w:tc>
        <w:tc>
          <w:tcPr>
            <w:tcW w:w="1140" w:type="dxa"/>
            <w:vAlign w:val="bottom"/>
          </w:tcPr>
          <w:p>
            <w:pPr>
              <w:jc w:val="center"/>
              <w:spacing w:after="0" w:line="151" w:lineRule="exact"/>
              <w:rPr>
                <w:sz w:val="20"/>
                <w:szCs w:val="20"/>
                <w:color w:val="auto"/>
              </w:rPr>
            </w:pPr>
            <w:r>
              <w:rPr>
                <w:rFonts w:ascii="MS PGothic" w:cs="MS PGothic" w:eastAsia="MS PGothic" w:hAnsi="MS PGothic"/>
                <w:sz w:val="15"/>
                <w:szCs w:val="15"/>
                <w:color w:val="58844D"/>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-4445</wp:posOffset>
            </wp:positionV>
            <wp:extent cx="581279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12790" cy="6985"/>
                    </a:xfrm>
                    <a:prstGeom prst="rect">
                      <a:avLst/>
                    </a:prstGeom>
                    <a:noFill/>
                  </pic:spPr>
                </pic:pic>
              </a:graphicData>
            </a:graphic>
          </wp:anchor>
        </w:drawing>
      </w:r>
    </w:p>
    <w:p>
      <w:pPr>
        <w:ind w:left="1200"/>
        <w:spacing w:after="0" w:line="191" w:lineRule="auto"/>
        <w:tabs>
          <w:tab w:leader="none" w:pos="1480" w:val="left"/>
        </w:tabs>
        <w:rPr>
          <w:sz w:val="20"/>
          <w:szCs w:val="20"/>
          <w:color w:val="auto"/>
        </w:rPr>
      </w:pPr>
      <w:r>
        <w:rPr>
          <w:rFonts w:ascii="MS PGothic" w:cs="MS PGothic" w:eastAsia="MS PGothic" w:hAnsi="MS PGothic"/>
          <w:sz w:val="12"/>
          <w:szCs w:val="12"/>
          <w:color w:val="58844D"/>
        </w:rPr>
        <w:t>★</w:t>
      </w:r>
      <w:r>
        <w:rPr>
          <w:sz w:val="20"/>
          <w:szCs w:val="20"/>
          <w:color w:val="auto"/>
        </w:rPr>
        <w:tab/>
      </w:r>
      <w:r>
        <w:rPr>
          <w:rFonts w:ascii="Arial" w:cs="Arial" w:eastAsia="Arial" w:hAnsi="Arial"/>
          <w:sz w:val="12"/>
          <w:szCs w:val="12"/>
          <w:color w:val="auto"/>
        </w:rPr>
        <w:t>Less than one percent of the outstanding common stock of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5812790" cy="130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12790" cy="1303020"/>
                    </a:xfrm>
                    <a:prstGeom prst="rect">
                      <a:avLst/>
                    </a:prstGeom>
                    <a:noFill/>
                  </pic:spPr>
                </pic:pic>
              </a:graphicData>
            </a:graphic>
          </wp:anchor>
        </w:drawing>
      </w:r>
    </w:p>
    <w:p>
      <w:pPr>
        <w:ind w:left="1500" w:right="1220" w:hanging="299"/>
        <w:spacing w:after="0" w:line="200" w:lineRule="auto"/>
        <w:tabs>
          <w:tab w:leader="none" w:pos="1480" w:val="left"/>
        </w:tabs>
        <w:rPr>
          <w:sz w:val="20"/>
          <w:szCs w:val="20"/>
          <w:color w:val="auto"/>
        </w:rPr>
      </w:pPr>
      <w:r>
        <w:rPr>
          <w:rFonts w:ascii="Arial" w:cs="Arial" w:eastAsia="Arial" w:hAnsi="Arial"/>
          <w:sz w:val="18"/>
          <w:szCs w:val="18"/>
          <w:color w:val="58844D"/>
          <w:vertAlign w:val="superscript"/>
        </w:rPr>
        <w:t>1</w:t>
      </w:r>
      <w:r>
        <w:rPr>
          <w:sz w:val="20"/>
          <w:szCs w:val="20"/>
          <w:color w:val="auto"/>
        </w:rPr>
        <w:tab/>
      </w:r>
      <w:r>
        <w:rPr>
          <w:rFonts w:ascii="Arial" w:cs="Arial" w:eastAsia="Arial" w:hAnsi="Arial"/>
          <w:sz w:val="12"/>
          <w:szCs w:val="12"/>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 through the exercise of stock options or similar rights.</w:t>
      </w:r>
    </w:p>
    <w:p>
      <w:pPr>
        <w:spacing w:after="0" w:line="57" w:lineRule="exact"/>
        <w:rPr>
          <w:sz w:val="20"/>
          <w:szCs w:val="20"/>
          <w:color w:val="auto"/>
        </w:rPr>
      </w:pPr>
    </w:p>
    <w:p>
      <w:pPr>
        <w:ind w:left="1500" w:right="1380" w:hanging="302"/>
        <w:spacing w:after="0" w:line="211" w:lineRule="auto"/>
        <w:tabs>
          <w:tab w:leader="none" w:pos="1500" w:val="left"/>
        </w:tabs>
        <w:numPr>
          <w:ilvl w:val="0"/>
          <w:numId w:val="34"/>
        </w:numPr>
        <w:rPr>
          <w:rFonts w:ascii="Arial" w:cs="Arial" w:eastAsia="Arial" w:hAnsi="Arial"/>
          <w:sz w:val="18"/>
          <w:szCs w:val="18"/>
          <w:color w:val="58844D"/>
          <w:vertAlign w:val="superscript"/>
        </w:rPr>
      </w:pPr>
      <w:r>
        <w:rPr>
          <w:rFonts w:ascii="Arial" w:cs="Arial" w:eastAsia="Arial" w:hAnsi="Arial"/>
          <w:sz w:val="12"/>
          <w:szCs w:val="12"/>
          <w:color w:val="auto"/>
        </w:rPr>
        <w:t>Includes 12,409 DERs. Excludes 290,085 RSUs, 318,056 RPSUs and 217,625 market stock units (MSUs). DERs become exercisable proportionately with the deferred stock units (DSUs) or RSUs to which they relate. Each DER is the right to receive one share of NRG common stock and becomes exercisable proportionately with the DSUs, RSUs or RPSUs to which they relate. Each RSU represents the right to receive one share of NRG common stock upon vesting. Each RPSU represents the potential to receive NRG common stock based upon NRG achieving a certain level of total stockholder return relative to NRG's peer</w:t>
      </w:r>
    </w:p>
    <w:tbl>
      <w:tblPr>
        <w:tblLayout w:type="fixed"/>
        <w:tblInd w:w="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10060" w:type="dxa"/>
            <w:vAlign w:val="bottom"/>
          </w:tcPr>
          <w:p>
            <w:pPr>
              <w:ind w:left="120"/>
              <w:spacing w:after="0"/>
              <w:rPr>
                <w:sz w:val="20"/>
                <w:szCs w:val="20"/>
                <w:color w:val="auto"/>
              </w:rPr>
            </w:pPr>
            <w:r>
              <w:rPr>
                <w:rFonts w:ascii="Arial" w:cs="Arial" w:eastAsia="Arial" w:hAnsi="Arial"/>
                <w:sz w:val="12"/>
                <w:szCs w:val="12"/>
                <w:color w:val="auto"/>
              </w:rPr>
              <w:t>group over a three-year performance period. Each MSU represents the potential to receive NRG common stock after the completion of three years of service from</w:t>
            </w:r>
          </w:p>
        </w:tc>
        <w:tc>
          <w:tcPr>
            <w:tcW w:w="0" w:type="dxa"/>
            <w:vAlign w:val="bottom"/>
          </w:tcPr>
          <w:p>
            <w:pPr>
              <w:spacing w:after="0"/>
              <w:rPr>
                <w:sz w:val="1"/>
                <w:szCs w:val="1"/>
                <w:color w:val="auto"/>
              </w:rPr>
            </w:pPr>
          </w:p>
        </w:tc>
      </w:tr>
      <w:tr>
        <w:trPr>
          <w:trHeight w:val="137"/>
        </w:trPr>
        <w:tc>
          <w:tcPr>
            <w:tcW w:w="1380" w:type="dxa"/>
            <w:vAlign w:val="bottom"/>
            <w:vMerge w:val="restart"/>
          </w:tcPr>
          <w:p>
            <w:pPr>
              <w:jc w:val="right"/>
              <w:ind w:right="94"/>
              <w:spacing w:after="0"/>
              <w:rPr>
                <w:sz w:val="20"/>
                <w:szCs w:val="20"/>
                <w:color w:val="auto"/>
              </w:rPr>
            </w:pPr>
            <w:r>
              <w:rPr>
                <w:rFonts w:ascii="Arial" w:cs="Arial" w:eastAsia="Arial" w:hAnsi="Arial"/>
                <w:sz w:val="9"/>
                <w:szCs w:val="9"/>
                <w:color w:val="58844D"/>
              </w:rPr>
              <w:t>3</w:t>
            </w:r>
          </w:p>
        </w:tc>
        <w:tc>
          <w:tcPr>
            <w:tcW w:w="10060" w:type="dxa"/>
            <w:vAlign w:val="bottom"/>
          </w:tcPr>
          <w:p>
            <w:pPr>
              <w:ind w:left="120"/>
              <w:spacing w:after="0" w:line="137" w:lineRule="exact"/>
              <w:rPr>
                <w:sz w:val="20"/>
                <w:szCs w:val="20"/>
                <w:color w:val="auto"/>
              </w:rPr>
            </w:pPr>
            <w:r>
              <w:rPr>
                <w:rFonts w:ascii="Arial" w:cs="Arial" w:eastAsia="Arial" w:hAnsi="Arial"/>
                <w:sz w:val="12"/>
                <w:szCs w:val="12"/>
                <w:color w:val="auto"/>
              </w:rPr>
              <w:t>the date of grant based on absolute NRG stock price change (plus dividends) versus the baseline.</w:t>
            </w:r>
          </w:p>
        </w:tc>
        <w:tc>
          <w:tcPr>
            <w:tcW w:w="0" w:type="dxa"/>
            <w:vAlign w:val="bottom"/>
          </w:tcPr>
          <w:p>
            <w:pPr>
              <w:spacing w:after="0"/>
              <w:rPr>
                <w:sz w:val="1"/>
                <w:szCs w:val="1"/>
                <w:color w:val="auto"/>
              </w:rPr>
            </w:pPr>
          </w:p>
        </w:tc>
      </w:tr>
      <w:tr>
        <w:trPr>
          <w:trHeight w:val="79"/>
        </w:trPr>
        <w:tc>
          <w:tcPr>
            <w:tcW w:w="1380" w:type="dxa"/>
            <w:vAlign w:val="bottom"/>
            <w:vMerge w:val="continue"/>
          </w:tcPr>
          <w:p>
            <w:pPr>
              <w:spacing w:after="0"/>
              <w:rPr>
                <w:sz w:val="6"/>
                <w:szCs w:val="6"/>
                <w:color w:val="auto"/>
              </w:rPr>
            </w:pPr>
          </w:p>
        </w:tc>
        <w:tc>
          <w:tcPr>
            <w:tcW w:w="10060" w:type="dxa"/>
            <w:vAlign w:val="bottom"/>
            <w:vMerge w:val="restart"/>
          </w:tcPr>
          <w:p>
            <w:pPr>
              <w:ind w:left="120"/>
              <w:spacing w:after="0" w:line="137" w:lineRule="exact"/>
              <w:rPr>
                <w:sz w:val="20"/>
                <w:szCs w:val="20"/>
                <w:color w:val="auto"/>
              </w:rPr>
            </w:pPr>
            <w:r>
              <w:rPr>
                <w:rFonts w:ascii="Arial" w:cs="Arial" w:eastAsia="Arial" w:hAnsi="Arial"/>
                <w:sz w:val="12"/>
                <w:szCs w:val="12"/>
                <w:color w:val="auto"/>
              </w:rPr>
              <w:t>Includes 2,764 DERs. Excludes 68,573 RSUs, 81,082 RPSUs and 46,824 MSUs.</w:t>
            </w:r>
          </w:p>
        </w:tc>
        <w:tc>
          <w:tcPr>
            <w:tcW w:w="0" w:type="dxa"/>
            <w:vAlign w:val="bottom"/>
          </w:tcPr>
          <w:p>
            <w:pPr>
              <w:spacing w:after="0"/>
              <w:rPr>
                <w:sz w:val="1"/>
                <w:szCs w:val="1"/>
                <w:color w:val="auto"/>
              </w:rPr>
            </w:pPr>
          </w:p>
        </w:tc>
      </w:tr>
      <w:tr>
        <w:trPr>
          <w:trHeight w:val="58"/>
        </w:trPr>
        <w:tc>
          <w:tcPr>
            <w:tcW w:w="1380" w:type="dxa"/>
            <w:vAlign w:val="bottom"/>
            <w:vMerge w:val="restart"/>
          </w:tcPr>
          <w:p>
            <w:pPr>
              <w:jc w:val="right"/>
              <w:ind w:right="94"/>
              <w:spacing w:after="0"/>
              <w:rPr>
                <w:sz w:val="20"/>
                <w:szCs w:val="20"/>
                <w:color w:val="auto"/>
              </w:rPr>
            </w:pPr>
            <w:r>
              <w:rPr>
                <w:rFonts w:ascii="Arial" w:cs="Arial" w:eastAsia="Arial" w:hAnsi="Arial"/>
                <w:sz w:val="9"/>
                <w:szCs w:val="9"/>
                <w:color w:val="58844D"/>
              </w:rPr>
              <w:t>4</w:t>
            </w:r>
          </w:p>
        </w:tc>
        <w:tc>
          <w:tcPr>
            <w:tcW w:w="10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380" w:type="dxa"/>
            <w:vAlign w:val="bottom"/>
            <w:vMerge w:val="continue"/>
          </w:tcPr>
          <w:p>
            <w:pPr>
              <w:spacing w:after="0"/>
              <w:rPr>
                <w:sz w:val="6"/>
                <w:szCs w:val="6"/>
                <w:color w:val="auto"/>
              </w:rPr>
            </w:pPr>
          </w:p>
        </w:tc>
        <w:tc>
          <w:tcPr>
            <w:tcW w:w="10060" w:type="dxa"/>
            <w:vAlign w:val="bottom"/>
            <w:vMerge w:val="restart"/>
          </w:tcPr>
          <w:p>
            <w:pPr>
              <w:ind w:left="120"/>
              <w:spacing w:after="0" w:line="137" w:lineRule="exact"/>
              <w:rPr>
                <w:sz w:val="20"/>
                <w:szCs w:val="20"/>
                <w:color w:val="auto"/>
              </w:rPr>
            </w:pPr>
            <w:r>
              <w:rPr>
                <w:rFonts w:ascii="Arial" w:cs="Arial" w:eastAsia="Arial" w:hAnsi="Arial"/>
                <w:sz w:val="12"/>
                <w:szCs w:val="12"/>
                <w:color w:val="auto"/>
              </w:rPr>
              <w:t>Includes 2,041 DERs and 15,495 shares that may be acquired at or within 60 days of March 1, 2018 pursuant to the exercise of options. Excludes 50,660 RSUs,</w:t>
            </w:r>
          </w:p>
        </w:tc>
        <w:tc>
          <w:tcPr>
            <w:tcW w:w="0" w:type="dxa"/>
            <w:vAlign w:val="bottom"/>
          </w:tcPr>
          <w:p>
            <w:pPr>
              <w:spacing w:after="0"/>
              <w:rPr>
                <w:sz w:val="1"/>
                <w:szCs w:val="1"/>
                <w:color w:val="auto"/>
              </w:rPr>
            </w:pPr>
          </w:p>
        </w:tc>
      </w:tr>
      <w:tr>
        <w:trPr>
          <w:trHeight w:val="58"/>
        </w:trPr>
        <w:tc>
          <w:tcPr>
            <w:tcW w:w="1380" w:type="dxa"/>
            <w:vAlign w:val="bottom"/>
          </w:tcPr>
          <w:p>
            <w:pPr>
              <w:spacing w:after="0"/>
              <w:rPr>
                <w:sz w:val="5"/>
                <w:szCs w:val="5"/>
                <w:color w:val="auto"/>
              </w:rPr>
            </w:pPr>
          </w:p>
        </w:tc>
        <w:tc>
          <w:tcPr>
            <w:tcW w:w="10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380" w:type="dxa"/>
            <w:vAlign w:val="bottom"/>
            <w:vMerge w:val="restart"/>
          </w:tcPr>
          <w:p>
            <w:pPr>
              <w:jc w:val="right"/>
              <w:ind w:right="94"/>
              <w:spacing w:after="0"/>
              <w:rPr>
                <w:sz w:val="20"/>
                <w:szCs w:val="20"/>
                <w:color w:val="auto"/>
              </w:rPr>
            </w:pPr>
            <w:r>
              <w:rPr>
                <w:rFonts w:ascii="Arial" w:cs="Arial" w:eastAsia="Arial" w:hAnsi="Arial"/>
                <w:sz w:val="9"/>
                <w:szCs w:val="9"/>
                <w:color w:val="58844D"/>
              </w:rPr>
              <w:t>5</w:t>
            </w:r>
          </w:p>
        </w:tc>
        <w:tc>
          <w:tcPr>
            <w:tcW w:w="10060" w:type="dxa"/>
            <w:vAlign w:val="bottom"/>
          </w:tcPr>
          <w:p>
            <w:pPr>
              <w:ind w:left="120"/>
              <w:spacing w:after="0" w:line="137" w:lineRule="exact"/>
              <w:rPr>
                <w:sz w:val="20"/>
                <w:szCs w:val="20"/>
                <w:color w:val="auto"/>
              </w:rPr>
            </w:pPr>
            <w:r>
              <w:rPr>
                <w:rFonts w:ascii="Arial" w:cs="Arial" w:eastAsia="Arial" w:hAnsi="Arial"/>
                <w:sz w:val="12"/>
                <w:szCs w:val="12"/>
                <w:color w:val="auto"/>
              </w:rPr>
              <w:t>59,902 RPSUs and 34,593 MSUs.</w:t>
            </w:r>
          </w:p>
        </w:tc>
        <w:tc>
          <w:tcPr>
            <w:tcW w:w="0" w:type="dxa"/>
            <w:vAlign w:val="bottom"/>
          </w:tcPr>
          <w:p>
            <w:pPr>
              <w:spacing w:after="0"/>
              <w:rPr>
                <w:sz w:val="1"/>
                <w:szCs w:val="1"/>
                <w:color w:val="auto"/>
              </w:rPr>
            </w:pPr>
          </w:p>
        </w:tc>
      </w:tr>
      <w:tr>
        <w:trPr>
          <w:trHeight w:val="79"/>
        </w:trPr>
        <w:tc>
          <w:tcPr>
            <w:tcW w:w="1380" w:type="dxa"/>
            <w:vAlign w:val="bottom"/>
            <w:vMerge w:val="continue"/>
          </w:tcPr>
          <w:p>
            <w:pPr>
              <w:spacing w:after="0"/>
              <w:rPr>
                <w:sz w:val="6"/>
                <w:szCs w:val="6"/>
                <w:color w:val="auto"/>
              </w:rPr>
            </w:pPr>
          </w:p>
        </w:tc>
        <w:tc>
          <w:tcPr>
            <w:tcW w:w="10060" w:type="dxa"/>
            <w:vAlign w:val="bottom"/>
            <w:vMerge w:val="restart"/>
          </w:tcPr>
          <w:p>
            <w:pPr>
              <w:ind w:left="120"/>
              <w:spacing w:after="0"/>
              <w:rPr>
                <w:sz w:val="20"/>
                <w:szCs w:val="20"/>
                <w:color w:val="auto"/>
              </w:rPr>
            </w:pPr>
            <w:r>
              <w:rPr>
                <w:rFonts w:ascii="Arial" w:cs="Arial" w:eastAsia="Arial" w:hAnsi="Arial"/>
                <w:sz w:val="12"/>
                <w:szCs w:val="12"/>
                <w:color w:val="auto"/>
              </w:rPr>
              <w:t>Consists of the total holdings of directors and all executive officers as a group.</w:t>
            </w:r>
          </w:p>
        </w:tc>
        <w:tc>
          <w:tcPr>
            <w:tcW w:w="0" w:type="dxa"/>
            <w:vAlign w:val="bottom"/>
          </w:tcPr>
          <w:p>
            <w:pPr>
              <w:spacing w:after="0"/>
              <w:rPr>
                <w:sz w:val="1"/>
                <w:szCs w:val="1"/>
                <w:color w:val="auto"/>
              </w:rPr>
            </w:pPr>
          </w:p>
        </w:tc>
      </w:tr>
      <w:tr>
        <w:trPr>
          <w:trHeight w:val="67"/>
        </w:trPr>
        <w:tc>
          <w:tcPr>
            <w:tcW w:w="1380" w:type="dxa"/>
            <w:vAlign w:val="bottom"/>
          </w:tcPr>
          <w:p>
            <w:pPr>
              <w:spacing w:after="0"/>
              <w:rPr>
                <w:sz w:val="5"/>
                <w:szCs w:val="5"/>
                <w:color w:val="auto"/>
              </w:rPr>
            </w:pPr>
          </w:p>
        </w:tc>
        <w:tc>
          <w:tcPr>
            <w:tcW w:w="10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380" w:type="dxa"/>
            <w:vAlign w:val="bottom"/>
            <w:tcBorders>
              <w:bottom w:val="single" w:sz="8" w:color="808080"/>
            </w:tcBorders>
          </w:tcPr>
          <w:p>
            <w:pPr>
              <w:spacing w:after="0"/>
              <w:rPr>
                <w:sz w:val="7"/>
                <w:szCs w:val="7"/>
                <w:color w:val="auto"/>
              </w:rPr>
            </w:pPr>
          </w:p>
        </w:tc>
        <w:tc>
          <w:tcPr>
            <w:tcW w:w="100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240"/>
        <w:spacing w:after="0"/>
        <w:rPr>
          <w:sz w:val="20"/>
          <w:szCs w:val="20"/>
          <w:color w:val="auto"/>
        </w:rPr>
      </w:pPr>
      <w:r>
        <w:rPr>
          <w:rFonts w:ascii="Arial" w:cs="Arial" w:eastAsia="Arial" w:hAnsi="Arial"/>
          <w:sz w:val="12"/>
          <w:szCs w:val="12"/>
          <w:color w:val="FFFFFE"/>
        </w:rPr>
        <w:t xml:space="preserve">CERTAIN RELATIONSHIPS AND RELATED PERSON TRANSACTIONS </w:t>
      </w:r>
      <w:r>
        <w:rPr>
          <w:rFonts w:ascii="Arial" w:cs="Arial" w:eastAsia="Arial" w:hAnsi="Arial"/>
          <w:sz w:val="12"/>
          <w:szCs w:val="12"/>
          <w:b w:val="1"/>
          <w:bCs w:val="1"/>
          <w:color w:val="FFFFFE"/>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Certain Relationships and Related</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Person Transactions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58844D"/>
        </w:rPr>
        <w:t>Relationship with NRG</w:t>
      </w:r>
    </w:p>
    <w:p>
      <w:pPr>
        <w:spacing w:after="0" w:line="189"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NRG formed the Company to own and operate a portfolio of contracted generation assets and thermal infrastructure assets that have historically been owned and/or operated by NRG and its subsidiaries.</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NRG, through its ownership of our Class B common stock and our Class D common stock, holds, in the aggregate, 55.1% of the voting interest in our stock and receives distributions from Yield LLC through its ownership of Class B and Class D units of Yield LLC. Holders of our Class A common stock and Class C common stock hold, in the aggregate, the remaining 44.9% of the voting interest in our stock. Each holder of Class A or Class B common stock is entitled to one vote for each share held. Each holder of Class C or Class D common stock is entitled to 1/100th of one vote for each share held. The holders of our outstanding shares of Class A and Class C common stock are entitled to dividends as declared.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diagram below depicts our organizational structure as of March 1, 2018. Yield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113030</wp:posOffset>
            </wp:positionV>
            <wp:extent cx="7273290" cy="382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3290" cy="382460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0" w:name="page31"/>
    <w:bookmarkEnd w:id="30"/>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
        <w:spacing w:after="0"/>
        <w:rPr>
          <w:sz w:val="20"/>
          <w:szCs w:val="20"/>
          <w:color w:val="auto"/>
        </w:rPr>
      </w:pPr>
      <w:r>
        <w:rPr>
          <w:rFonts w:ascii="Arial" w:cs="Arial" w:eastAsia="Arial" w:hAnsi="Arial"/>
          <w:sz w:val="18"/>
          <w:szCs w:val="18"/>
          <w:color w:val="58844D"/>
        </w:rPr>
        <w:t>Strategic Sponsorship with Global Infrastructure Partners</w:t>
      </w:r>
    </w:p>
    <w:p>
      <w:pPr>
        <w:spacing w:after="0" w:line="187" w:lineRule="exact"/>
        <w:rPr>
          <w:sz w:val="20"/>
          <w:szCs w:val="20"/>
          <w:color w:val="auto"/>
        </w:rPr>
      </w:pPr>
    </w:p>
    <w:p>
      <w:pPr>
        <w:ind w:left="9"/>
        <w:spacing w:after="0"/>
        <w:rPr>
          <w:sz w:val="20"/>
          <w:szCs w:val="20"/>
          <w:color w:val="auto"/>
        </w:rPr>
      </w:pPr>
      <w:r>
        <w:rPr>
          <w:rFonts w:ascii="Arial" w:cs="Arial" w:eastAsia="Arial" w:hAnsi="Arial"/>
          <w:sz w:val="15"/>
          <w:szCs w:val="15"/>
          <w:color w:val="auto"/>
        </w:rPr>
        <w:t>On February 6, 2018, Global Infrastructure Partners (GIP) entered into a</w:t>
      </w:r>
    </w:p>
    <w:p>
      <w:pPr>
        <w:ind w:left="9"/>
        <w:spacing w:after="0"/>
        <w:rPr>
          <w:sz w:val="20"/>
          <w:szCs w:val="20"/>
          <w:color w:val="auto"/>
        </w:rPr>
      </w:pPr>
      <w:r>
        <w:rPr>
          <w:rFonts w:ascii="Arial" w:cs="Arial" w:eastAsia="Arial" w:hAnsi="Arial"/>
          <w:sz w:val="14"/>
          <w:szCs w:val="14"/>
          <w:color w:val="auto"/>
        </w:rPr>
        <w:t>purchase and sale agreement with NRG (NRG Transaction) for the acquisition of</w:t>
      </w:r>
    </w:p>
    <w:p>
      <w:pPr>
        <w:spacing w:after="0" w:line="9" w:lineRule="exact"/>
        <w:rPr>
          <w:sz w:val="20"/>
          <w:szCs w:val="20"/>
          <w:color w:val="auto"/>
        </w:rPr>
      </w:pPr>
    </w:p>
    <w:p>
      <w:pPr>
        <w:ind w:left="9"/>
        <w:spacing w:after="0"/>
        <w:rPr>
          <w:sz w:val="20"/>
          <w:szCs w:val="20"/>
          <w:color w:val="auto"/>
        </w:rPr>
      </w:pPr>
      <w:r>
        <w:rPr>
          <w:rFonts w:ascii="Arial" w:cs="Arial" w:eastAsia="Arial" w:hAnsi="Arial"/>
          <w:sz w:val="15"/>
          <w:szCs w:val="15"/>
          <w:color w:val="auto"/>
        </w:rPr>
        <w:t>NRG's full ownership interest in the Company and NRG's renewable energy</w:t>
      </w:r>
    </w:p>
    <w:p>
      <w:pPr>
        <w:ind w:left="9"/>
        <w:spacing w:after="0" w:line="237" w:lineRule="auto"/>
        <w:rPr>
          <w:sz w:val="20"/>
          <w:szCs w:val="20"/>
          <w:color w:val="auto"/>
        </w:rPr>
      </w:pPr>
      <w:r>
        <w:rPr>
          <w:rFonts w:ascii="Arial" w:cs="Arial" w:eastAsia="Arial" w:hAnsi="Arial"/>
          <w:sz w:val="15"/>
          <w:szCs w:val="15"/>
          <w:color w:val="auto"/>
        </w:rPr>
        <w:t>development and operations platform. The aggregate purchase price to be paid</w:t>
      </w:r>
    </w:p>
    <w:p>
      <w:pPr>
        <w:ind w:left="9"/>
        <w:spacing w:after="0"/>
        <w:rPr>
          <w:sz w:val="20"/>
          <w:szCs w:val="20"/>
          <w:color w:val="auto"/>
        </w:rPr>
      </w:pPr>
      <w:r>
        <w:rPr>
          <w:rFonts w:ascii="Arial" w:cs="Arial" w:eastAsia="Arial" w:hAnsi="Arial"/>
          <w:sz w:val="15"/>
          <w:szCs w:val="15"/>
          <w:color w:val="auto"/>
        </w:rPr>
        <w:t>by GIP to NRG under the purchase and sale agreement is approximately</w:t>
      </w:r>
    </w:p>
    <w:p>
      <w:pPr>
        <w:ind w:left="9"/>
        <w:spacing w:after="0"/>
        <w:rPr>
          <w:sz w:val="20"/>
          <w:szCs w:val="20"/>
          <w:color w:val="auto"/>
        </w:rPr>
      </w:pPr>
      <w:r>
        <w:rPr>
          <w:rFonts w:ascii="Arial" w:cs="Arial" w:eastAsia="Arial" w:hAnsi="Arial"/>
          <w:sz w:val="14"/>
          <w:szCs w:val="14"/>
          <w:color w:val="auto"/>
        </w:rPr>
        <w:t>$1.375 billion, subject to certain adjustments. The NRG Transaction is subject to</w:t>
      </w:r>
    </w:p>
    <w:p>
      <w:pPr>
        <w:spacing w:after="0" w:line="9" w:lineRule="exact"/>
        <w:rPr>
          <w:sz w:val="20"/>
          <w:szCs w:val="20"/>
          <w:color w:val="auto"/>
        </w:rPr>
      </w:pPr>
    </w:p>
    <w:p>
      <w:pPr>
        <w:ind w:left="9"/>
        <w:spacing w:after="0"/>
        <w:rPr>
          <w:sz w:val="20"/>
          <w:szCs w:val="20"/>
          <w:color w:val="auto"/>
        </w:rPr>
      </w:pPr>
      <w:r>
        <w:rPr>
          <w:rFonts w:ascii="Arial" w:cs="Arial" w:eastAsia="Arial" w:hAnsi="Arial"/>
          <w:sz w:val="15"/>
          <w:szCs w:val="15"/>
          <w:color w:val="auto"/>
        </w:rPr>
        <w:t>certain closing conditions, including customary legal and regulatory approvals.</w:t>
      </w:r>
    </w:p>
    <w:p>
      <w:pPr>
        <w:ind w:left="9"/>
        <w:spacing w:after="0"/>
        <w:rPr>
          <w:sz w:val="20"/>
          <w:szCs w:val="20"/>
          <w:color w:val="auto"/>
        </w:rPr>
      </w:pPr>
      <w:r>
        <w:rPr>
          <w:rFonts w:ascii="Arial" w:cs="Arial" w:eastAsia="Arial" w:hAnsi="Arial"/>
          <w:sz w:val="15"/>
          <w:szCs w:val="15"/>
          <w:color w:val="auto"/>
        </w:rPr>
        <w:t>The Company expects the NRG Transaction to close in the second half of 2018.</w:t>
      </w:r>
    </w:p>
    <w:p>
      <w:pPr>
        <w:spacing w:after="0" w:line="181" w:lineRule="exact"/>
        <w:rPr>
          <w:sz w:val="20"/>
          <w:szCs w:val="20"/>
          <w:color w:val="auto"/>
        </w:rPr>
      </w:pPr>
    </w:p>
    <w:p>
      <w:pPr>
        <w:ind w:left="9" w:right="137"/>
        <w:spacing w:after="0"/>
        <w:rPr>
          <w:sz w:val="20"/>
          <w:szCs w:val="20"/>
          <w:color w:val="auto"/>
        </w:rPr>
      </w:pPr>
      <w:r>
        <w:rPr>
          <w:rFonts w:ascii="Arial" w:cs="Arial" w:eastAsia="Arial" w:hAnsi="Arial"/>
          <w:sz w:val="15"/>
          <w:szCs w:val="15"/>
          <w:color w:val="auto"/>
        </w:rPr>
        <w:t>In connection with the NRG Transaction, the Company entered into a Consent and Indemnity Agreement with NRG and GIP setting forth key terms and conditions of the Company's consent to the NRG Transaction. Key provisions of the Consent and Indemnity Agreement include:</w:t>
      </w:r>
    </w:p>
    <w:p>
      <w:pPr>
        <w:spacing w:after="0" w:line="160" w:lineRule="exact"/>
        <w:rPr>
          <w:sz w:val="20"/>
          <w:szCs w:val="20"/>
          <w:color w:val="auto"/>
        </w:rPr>
      </w:pPr>
    </w:p>
    <w:p>
      <w:pPr>
        <w:ind w:left="9" w:right="37"/>
        <w:spacing w:after="0" w:line="247" w:lineRule="auto"/>
        <w:rPr>
          <w:sz w:val="20"/>
          <w:szCs w:val="20"/>
          <w:color w:val="auto"/>
        </w:rPr>
      </w:pPr>
      <w:r>
        <w:rPr>
          <w:rFonts w:ascii="Arial" w:cs="Arial" w:eastAsia="Arial" w:hAnsi="Arial"/>
          <w:sz w:val="15"/>
          <w:szCs w:val="15"/>
          <w:i w:val="1"/>
          <w:iCs w:val="1"/>
          <w:color w:val="auto"/>
        </w:rPr>
        <w:t xml:space="preserve">Minimized impact to cash available for distribution (CAFD) from potential change in control costs </w:t>
      </w:r>
      <w:r>
        <w:rPr>
          <w:rFonts w:ascii="Arial" w:cs="Arial" w:eastAsia="Arial" w:hAnsi="Arial"/>
          <w:sz w:val="15"/>
          <w:szCs w:val="15"/>
          <w:color w:val="auto"/>
        </w:rPr>
        <w:t>— No more than $10 million in reduced annual CAFD on a</w:t>
      </w:r>
      <w:r>
        <w:rPr>
          <w:rFonts w:ascii="Arial" w:cs="Arial" w:eastAsia="Arial" w:hAnsi="Arial"/>
          <w:sz w:val="15"/>
          <w:szCs w:val="15"/>
          <w:i w:val="1"/>
          <w:iCs w:val="1"/>
          <w:color w:val="auto"/>
        </w:rPr>
        <w:t xml:space="preserve"> </w:t>
      </w:r>
      <w:r>
        <w:rPr>
          <w:rFonts w:ascii="Arial" w:cs="Arial" w:eastAsia="Arial" w:hAnsi="Arial"/>
          <w:sz w:val="15"/>
          <w:szCs w:val="15"/>
          <w:color w:val="auto"/>
        </w:rPr>
        <w:t>recurring basis that would result from changes in the Company's cost structure or any impact from various consents.</w:t>
      </w:r>
    </w:p>
    <w:p>
      <w:pPr>
        <w:spacing w:after="0" w:line="156" w:lineRule="exact"/>
        <w:rPr>
          <w:sz w:val="20"/>
          <w:szCs w:val="20"/>
          <w:color w:val="auto"/>
        </w:rPr>
      </w:pPr>
    </w:p>
    <w:p>
      <w:pPr>
        <w:ind w:left="9" w:right="17"/>
        <w:spacing w:after="0" w:line="267" w:lineRule="auto"/>
        <w:rPr>
          <w:sz w:val="20"/>
          <w:szCs w:val="20"/>
          <w:color w:val="auto"/>
        </w:rPr>
      </w:pPr>
      <w:r>
        <w:rPr>
          <w:rFonts w:ascii="Arial" w:cs="Arial" w:eastAsia="Arial" w:hAnsi="Arial"/>
          <w:sz w:val="14"/>
          <w:szCs w:val="14"/>
          <w:i w:val="1"/>
          <w:iCs w:val="1"/>
          <w:color w:val="auto"/>
        </w:rPr>
        <w:t xml:space="preserve">Enhanced ROFO pipeline </w:t>
      </w:r>
      <w:r>
        <w:rPr>
          <w:rFonts w:ascii="Arial" w:cs="Arial" w:eastAsia="Arial" w:hAnsi="Arial"/>
          <w:sz w:val="14"/>
          <w:szCs w:val="14"/>
          <w:color w:val="auto"/>
        </w:rPr>
        <w:t>— Upon closing of the NRG Transaction,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will enter into a new right of first offer agreement with GIP 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42" w:lineRule="exact"/>
        <w:rPr>
          <w:sz w:val="20"/>
          <w:szCs w:val="20"/>
          <w:color w:val="auto"/>
        </w:rPr>
      </w:pPr>
    </w:p>
    <w:p>
      <w:pPr>
        <w:ind w:left="9" w:right="57"/>
        <w:spacing w:after="0" w:line="245" w:lineRule="auto"/>
        <w:rPr>
          <w:sz w:val="20"/>
          <w:szCs w:val="20"/>
          <w:color w:val="auto"/>
        </w:rPr>
      </w:pPr>
      <w:r>
        <w:rPr>
          <w:rFonts w:ascii="Arial" w:cs="Arial" w:eastAsia="Arial" w:hAnsi="Arial"/>
          <w:sz w:val="15"/>
          <w:szCs w:val="15"/>
          <w:i w:val="1"/>
          <w:iCs w:val="1"/>
          <w:color w:val="auto"/>
        </w:rPr>
        <w:t xml:space="preserve">Financial cooperation and support </w:t>
      </w:r>
      <w:r>
        <w:rPr>
          <w:rFonts w:ascii="Arial" w:cs="Arial" w:eastAsia="Arial" w:hAnsi="Arial"/>
          <w:sz w:val="15"/>
          <w:szCs w:val="15"/>
          <w:color w:val="auto"/>
        </w:rPr>
        <w:t>— GIP has arranged a $1.5 billion backstop</w:t>
      </w:r>
      <w:r>
        <w:rPr>
          <w:rFonts w:ascii="Arial" w:cs="Arial" w:eastAsia="Arial" w:hAnsi="Arial"/>
          <w:sz w:val="15"/>
          <w:szCs w:val="15"/>
          <w:i w:val="1"/>
          <w:iCs w:val="1"/>
          <w:color w:val="auto"/>
        </w:rPr>
        <w:t xml:space="preserve"> </w:t>
      </w:r>
      <w:r>
        <w:rPr>
          <w:rFonts w:ascii="Arial" w:cs="Arial" w:eastAsia="Arial" w:hAnsi="Arial"/>
          <w:sz w:val="15"/>
          <w:szCs w:val="15"/>
          <w:color w:val="auto"/>
        </w:rPr>
        <w:t>credit facility to manage any change of control costs associated with the Company's corporate debt. GIP has also committed to provide up to $400 million in financial support, if necessary, for the Company's purchase of the Carlsbad Energy Center.</w:t>
      </w:r>
    </w:p>
    <w:p>
      <w:pPr>
        <w:spacing w:after="0" w:line="157" w:lineRule="exact"/>
        <w:rPr>
          <w:sz w:val="20"/>
          <w:szCs w:val="20"/>
          <w:color w:val="auto"/>
        </w:rPr>
      </w:pPr>
    </w:p>
    <w:p>
      <w:pPr>
        <w:ind w:left="9" w:right="337"/>
        <w:spacing w:after="0" w:line="252" w:lineRule="auto"/>
        <w:rPr>
          <w:sz w:val="20"/>
          <w:szCs w:val="20"/>
          <w:color w:val="auto"/>
        </w:rPr>
      </w:pPr>
      <w:r>
        <w:rPr>
          <w:rFonts w:ascii="Arial" w:cs="Arial" w:eastAsia="Arial" w:hAnsi="Arial"/>
          <w:sz w:val="15"/>
          <w:szCs w:val="15"/>
          <w:i w:val="1"/>
          <w:iCs w:val="1"/>
          <w:color w:val="auto"/>
        </w:rPr>
        <w:t xml:space="preserve">Voting and Governance Agreement </w:t>
      </w:r>
      <w:r>
        <w:rPr>
          <w:rFonts w:ascii="Arial" w:cs="Arial" w:eastAsia="Arial" w:hAnsi="Arial"/>
          <w:sz w:val="15"/>
          <w:szCs w:val="15"/>
          <w:color w:val="auto"/>
        </w:rPr>
        <w:t>— As part of the NRG Transaction,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parties have agreed to enter into a voting and governance agreement, which would provide that:</w:t>
      </w:r>
    </w:p>
    <w:p>
      <w:pPr>
        <w:spacing w:after="0" w:line="168" w:lineRule="exact"/>
        <w:rPr>
          <w:sz w:val="20"/>
          <w:szCs w:val="20"/>
          <w:color w:val="auto"/>
        </w:rPr>
      </w:pPr>
    </w:p>
    <w:p>
      <w:pPr>
        <w:ind w:left="449" w:right="177" w:hanging="449"/>
        <w:spacing w:after="0" w:line="245" w:lineRule="auto"/>
        <w:tabs>
          <w:tab w:leader="none" w:pos="449" w:val="left"/>
        </w:tabs>
        <w:numPr>
          <w:ilvl w:val="0"/>
          <w:numId w:val="35"/>
        </w:numPr>
        <w:rPr>
          <w:rFonts w:ascii="Arial" w:cs="Arial" w:eastAsia="Arial" w:hAnsi="Arial"/>
          <w:sz w:val="15"/>
          <w:szCs w:val="15"/>
          <w:color w:val="58844D"/>
        </w:rPr>
      </w:pPr>
      <w:r>
        <w:rPr>
          <w:rFonts w:ascii="Arial" w:cs="Arial" w:eastAsia="Arial" w:hAnsi="Arial"/>
          <w:sz w:val="15"/>
          <w:szCs w:val="15"/>
          <w:color w:val="auto"/>
        </w:rPr>
        <w:t>the CEO will at all times be a full-time Company employee appointed by the Board;</w:t>
      </w:r>
    </w:p>
    <w:p>
      <w:pPr>
        <w:spacing w:after="0" w:line="172" w:lineRule="exact"/>
        <w:rPr>
          <w:rFonts w:ascii="Arial" w:cs="Arial" w:eastAsia="Arial" w:hAnsi="Arial"/>
          <w:sz w:val="15"/>
          <w:szCs w:val="15"/>
          <w:color w:val="58844D"/>
        </w:rPr>
      </w:pPr>
    </w:p>
    <w:p>
      <w:pPr>
        <w:jc w:val="both"/>
        <w:ind w:left="449" w:right="57" w:hanging="449"/>
        <w:spacing w:after="0" w:line="239" w:lineRule="auto"/>
        <w:tabs>
          <w:tab w:leader="none" w:pos="449" w:val="left"/>
        </w:tabs>
        <w:numPr>
          <w:ilvl w:val="0"/>
          <w:numId w:val="35"/>
        </w:numPr>
        <w:rPr>
          <w:rFonts w:ascii="Arial" w:cs="Arial" w:eastAsia="Arial" w:hAnsi="Arial"/>
          <w:sz w:val="15"/>
          <w:szCs w:val="15"/>
          <w:color w:val="58844D"/>
        </w:rPr>
      </w:pPr>
      <w:r>
        <w:rPr>
          <w:rFonts w:ascii="Arial" w:cs="Arial" w:eastAsia="Arial" w:hAnsi="Arial"/>
          <w:sz w:val="15"/>
          <w:szCs w:val="15"/>
          <w:color w:val="auto"/>
        </w:rPr>
        <w:t>the parties thereto will use their commercially reasonable efforts to submit to the Company's stockholders at the Company's 2019 Annual Meeting of Stockholders a charter amendment to classify the Board into two classes (with the independent directors and directors designated by an affiliate of GIP allocated across the two classes); and</w:t>
      </w:r>
    </w:p>
    <w:p>
      <w:pPr>
        <w:spacing w:after="0" w:line="167" w:lineRule="exact"/>
        <w:rPr>
          <w:rFonts w:ascii="Arial" w:cs="Arial" w:eastAsia="Arial" w:hAnsi="Arial"/>
          <w:sz w:val="15"/>
          <w:szCs w:val="15"/>
          <w:color w:val="58844D"/>
        </w:rPr>
      </w:pPr>
    </w:p>
    <w:p>
      <w:pPr>
        <w:jc w:val="both"/>
        <w:ind w:left="449" w:right="237" w:hanging="449"/>
        <w:spacing w:after="0" w:line="241" w:lineRule="auto"/>
        <w:tabs>
          <w:tab w:leader="none" w:pos="449" w:val="left"/>
        </w:tabs>
        <w:numPr>
          <w:ilvl w:val="0"/>
          <w:numId w:val="35"/>
        </w:numPr>
        <w:rPr>
          <w:rFonts w:ascii="Arial" w:cs="Arial" w:eastAsia="Arial" w:hAnsi="Arial"/>
          <w:sz w:val="15"/>
          <w:szCs w:val="15"/>
          <w:color w:val="58844D"/>
        </w:rPr>
      </w:pPr>
      <w:r>
        <w:rPr>
          <w:rFonts w:ascii="Arial" w:cs="Arial" w:eastAsia="Arial" w:hAnsi="Arial"/>
          <w:sz w:val="15"/>
          <w:szCs w:val="15"/>
          <w:color w:val="auto"/>
        </w:rPr>
        <w:t>the Board will be expanded to nine members at the closing of the NRG Transaction, comprised at that date of five directors designated by GIP, three independent directors and the CEO.</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26</w:t>
      </w:r>
    </w:p>
    <w:p>
      <w:pPr>
        <w:spacing w:after="0" w:line="368" w:lineRule="exact"/>
        <w:rPr>
          <w:sz w:val="20"/>
          <w:szCs w:val="20"/>
          <w:color w:val="auto"/>
        </w:rPr>
      </w:pPr>
    </w:p>
    <w:p>
      <w:pPr>
        <w:ind w:left="3"/>
        <w:spacing w:after="0"/>
        <w:rPr>
          <w:sz w:val="20"/>
          <w:szCs w:val="20"/>
          <w:color w:val="auto"/>
        </w:rPr>
      </w:pPr>
      <w:r>
        <w:rPr>
          <w:rFonts w:ascii="Arial" w:cs="Arial" w:eastAsia="Arial" w:hAnsi="Arial"/>
          <w:sz w:val="18"/>
          <w:szCs w:val="18"/>
          <w:color w:val="58844D"/>
        </w:rPr>
        <w:t>Management Services Agreement</w:t>
      </w:r>
    </w:p>
    <w:p>
      <w:pPr>
        <w:spacing w:after="0" w:line="189" w:lineRule="exact"/>
        <w:rPr>
          <w:sz w:val="20"/>
          <w:szCs w:val="20"/>
          <w:color w:val="auto"/>
        </w:rPr>
      </w:pPr>
    </w:p>
    <w:p>
      <w:pPr>
        <w:ind w:left="3" w:right="80"/>
        <w:spacing w:after="0" w:line="239" w:lineRule="auto"/>
        <w:rPr>
          <w:sz w:val="20"/>
          <w:szCs w:val="20"/>
          <w:color w:val="auto"/>
        </w:rPr>
      </w:pPr>
      <w:r>
        <w:rPr>
          <w:rFonts w:ascii="Arial" w:cs="Arial" w:eastAsia="Arial" w:hAnsi="Arial"/>
          <w:sz w:val="15"/>
          <w:szCs w:val="15"/>
          <w:color w:val="auto"/>
        </w:rPr>
        <w:t>The Company entered into a Management Services Agreement (Management Services Agreement) with NRG pursuant to which NRG has agreed to provide or arrange for other service providers to provide management and administration services to the Company. Under the Management Services Agreement, the Company pays a base management fee and reimburses NRG for certain expenses as described below. For the year ended December 31, 2017, the Company incurred a total of approximately $12 million consisting of management fees of approximately $8.5 million and reimbursement for expenses under the Management Services Agreement.</w:t>
      </w:r>
    </w:p>
    <w:p>
      <w:pPr>
        <w:spacing w:after="0" w:line="176" w:lineRule="exact"/>
        <w:rPr>
          <w:sz w:val="20"/>
          <w:szCs w:val="20"/>
          <w:color w:val="auto"/>
        </w:rPr>
      </w:pPr>
    </w:p>
    <w:p>
      <w:pPr>
        <w:jc w:val="both"/>
        <w:ind w:left="3" w:right="260"/>
        <w:spacing w:after="0" w:line="241" w:lineRule="auto"/>
        <w:rPr>
          <w:sz w:val="20"/>
          <w:szCs w:val="20"/>
          <w:color w:val="auto"/>
        </w:rPr>
      </w:pPr>
      <w:r>
        <w:rPr>
          <w:rFonts w:ascii="Arial" w:cs="Arial" w:eastAsia="Arial" w:hAnsi="Arial"/>
          <w:sz w:val="15"/>
          <w:szCs w:val="15"/>
          <w:color w:val="auto"/>
        </w:rPr>
        <w:t>The following is a summary of certain provisions of the Management Services Agreement and is qualified in its entirety by reference to all of the provisions of such agreement.</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SERVICES RENDERED</w:t>
      </w:r>
    </w:p>
    <w:p>
      <w:pPr>
        <w:spacing w:after="0" w:line="199" w:lineRule="exact"/>
        <w:rPr>
          <w:sz w:val="20"/>
          <w:szCs w:val="20"/>
          <w:color w:val="auto"/>
        </w:rPr>
      </w:pPr>
    </w:p>
    <w:p>
      <w:pPr>
        <w:jc w:val="both"/>
        <w:ind w:left="3" w:right="380"/>
        <w:spacing w:after="0" w:line="241" w:lineRule="auto"/>
        <w:rPr>
          <w:sz w:val="20"/>
          <w:szCs w:val="20"/>
          <w:color w:val="auto"/>
        </w:rPr>
      </w:pPr>
      <w:r>
        <w:rPr>
          <w:rFonts w:ascii="Arial" w:cs="Arial" w:eastAsia="Arial" w:hAnsi="Arial"/>
          <w:sz w:val="15"/>
          <w:szCs w:val="15"/>
          <w:color w:val="auto"/>
        </w:rPr>
        <w:t>Under the Management Services Agreement, NRG or certain of its affiliates provide or arrange for the provision by an appropriate service provider of the following services:</w:t>
      </w:r>
    </w:p>
    <w:p>
      <w:pPr>
        <w:spacing w:after="0" w:line="176" w:lineRule="exact"/>
        <w:rPr>
          <w:sz w:val="20"/>
          <w:szCs w:val="20"/>
          <w:color w:val="auto"/>
        </w:rPr>
      </w:pPr>
    </w:p>
    <w:p>
      <w:pPr>
        <w:ind w:left="463" w:right="340" w:hanging="463"/>
        <w:spacing w:after="0" w:line="267" w:lineRule="auto"/>
        <w:tabs>
          <w:tab w:leader="none" w:pos="463" w:val="left"/>
        </w:tabs>
        <w:numPr>
          <w:ilvl w:val="0"/>
          <w:numId w:val="36"/>
        </w:numPr>
        <w:rPr>
          <w:rFonts w:ascii="Arial" w:cs="Arial" w:eastAsia="Arial" w:hAnsi="Arial"/>
          <w:sz w:val="14"/>
          <w:szCs w:val="14"/>
          <w:color w:val="58844D"/>
        </w:rPr>
      </w:pPr>
      <w:r>
        <w:rPr>
          <w:rFonts w:ascii="Arial" w:cs="Arial" w:eastAsia="Arial" w:hAnsi="Arial"/>
          <w:sz w:val="14"/>
          <w:szCs w:val="14"/>
          <w:color w:val="auto"/>
        </w:rPr>
        <w:t>causing or supervising the carrying out of all day-to-day management, secretarial, accounting, banking, treasury, administrative, liaison, representative, regulatory and reporting functions and obligations;</w:t>
      </w:r>
    </w:p>
    <w:p>
      <w:pPr>
        <w:spacing w:after="0" w:line="158" w:lineRule="exact"/>
        <w:rPr>
          <w:rFonts w:ascii="Arial" w:cs="Arial" w:eastAsia="Arial" w:hAnsi="Arial"/>
          <w:sz w:val="14"/>
          <w:szCs w:val="14"/>
          <w:color w:val="58844D"/>
        </w:rPr>
      </w:pPr>
    </w:p>
    <w:p>
      <w:pPr>
        <w:ind w:left="463" w:right="600" w:hanging="463"/>
        <w:spacing w:after="0" w:line="245" w:lineRule="auto"/>
        <w:tabs>
          <w:tab w:leader="none" w:pos="463" w:val="left"/>
        </w:tabs>
        <w:numPr>
          <w:ilvl w:val="0"/>
          <w:numId w:val="36"/>
        </w:numPr>
        <w:rPr>
          <w:rFonts w:ascii="Arial" w:cs="Arial" w:eastAsia="Arial" w:hAnsi="Arial"/>
          <w:sz w:val="15"/>
          <w:szCs w:val="15"/>
          <w:color w:val="58844D"/>
        </w:rPr>
      </w:pPr>
      <w:r>
        <w:rPr>
          <w:rFonts w:ascii="Arial" w:cs="Arial" w:eastAsia="Arial" w:hAnsi="Arial"/>
          <w:sz w:val="15"/>
          <w:szCs w:val="15"/>
          <w:color w:val="auto"/>
        </w:rPr>
        <w:t>establishing and maintaining or supervising the establishment and maintenance of books and records;</w:t>
      </w:r>
    </w:p>
    <w:p>
      <w:pPr>
        <w:spacing w:after="0" w:line="160" w:lineRule="exact"/>
        <w:rPr>
          <w:rFonts w:ascii="Arial" w:cs="Arial" w:eastAsia="Arial" w:hAnsi="Arial"/>
          <w:sz w:val="15"/>
          <w:szCs w:val="15"/>
          <w:color w:val="58844D"/>
        </w:rPr>
      </w:pPr>
    </w:p>
    <w:p>
      <w:pPr>
        <w:ind w:left="463" w:right="20" w:hanging="463"/>
        <w:spacing w:after="0" w:line="241" w:lineRule="auto"/>
        <w:tabs>
          <w:tab w:leader="none" w:pos="463" w:val="left"/>
        </w:tabs>
        <w:numPr>
          <w:ilvl w:val="0"/>
          <w:numId w:val="36"/>
        </w:numPr>
        <w:rPr>
          <w:rFonts w:ascii="Arial" w:cs="Arial" w:eastAsia="Arial" w:hAnsi="Arial"/>
          <w:sz w:val="15"/>
          <w:szCs w:val="15"/>
          <w:color w:val="58844D"/>
        </w:rPr>
      </w:pPr>
      <w:r>
        <w:rPr>
          <w:rFonts w:ascii="Arial" w:cs="Arial" w:eastAsia="Arial" w:hAnsi="Arial"/>
          <w:sz w:val="15"/>
          <w:szCs w:val="15"/>
          <w:color w:val="auto"/>
        </w:rPr>
        <w:t>identifying, evaluating and recommending to us acquisitions or dispositions from time-to-time and, where requested to do so, assisting in negotiating the terms of such acquisitions or dispositions;</w:t>
      </w:r>
    </w:p>
    <w:p>
      <w:pPr>
        <w:spacing w:after="0" w:line="164" w:lineRule="exact"/>
        <w:rPr>
          <w:rFonts w:ascii="Arial" w:cs="Arial" w:eastAsia="Arial" w:hAnsi="Arial"/>
          <w:sz w:val="15"/>
          <w:szCs w:val="15"/>
          <w:color w:val="58844D"/>
        </w:rPr>
      </w:pPr>
    </w:p>
    <w:p>
      <w:pPr>
        <w:ind w:left="463" w:right="200" w:hanging="463"/>
        <w:spacing w:after="0" w:line="239" w:lineRule="auto"/>
        <w:tabs>
          <w:tab w:leader="none" w:pos="463" w:val="left"/>
        </w:tabs>
        <w:numPr>
          <w:ilvl w:val="0"/>
          <w:numId w:val="36"/>
        </w:numPr>
        <w:rPr>
          <w:rFonts w:ascii="Arial" w:cs="Arial" w:eastAsia="Arial" w:hAnsi="Arial"/>
          <w:sz w:val="15"/>
          <w:szCs w:val="15"/>
          <w:color w:val="58844D"/>
        </w:rPr>
      </w:pPr>
      <w:r>
        <w:rPr>
          <w:rFonts w:ascii="Arial" w:cs="Arial" w:eastAsia="Arial" w:hAnsi="Arial"/>
          <w:sz w:val="15"/>
          <w:szCs w:val="15"/>
          <w:color w:val="auto"/>
        </w:rPr>
        <w:t>recommending and, where requested to do so, assisting in the raising of funds whether by way of debt, equity or otherwise, including the preparation, review or distribution of any prospectus or offering memorandum in respect thereof and assisting with communications support in connection therewith;</w:t>
      </w:r>
    </w:p>
    <w:p>
      <w:pPr>
        <w:spacing w:after="0" w:line="178" w:lineRule="exact"/>
        <w:rPr>
          <w:rFonts w:ascii="Arial" w:cs="Arial" w:eastAsia="Arial" w:hAnsi="Arial"/>
          <w:sz w:val="15"/>
          <w:szCs w:val="15"/>
          <w:color w:val="58844D"/>
        </w:rPr>
      </w:pPr>
    </w:p>
    <w:p>
      <w:pPr>
        <w:ind w:left="463" w:right="300" w:hanging="463"/>
        <w:spacing w:after="0" w:line="245" w:lineRule="auto"/>
        <w:tabs>
          <w:tab w:leader="none" w:pos="463" w:val="left"/>
        </w:tabs>
        <w:numPr>
          <w:ilvl w:val="0"/>
          <w:numId w:val="36"/>
        </w:numPr>
        <w:rPr>
          <w:rFonts w:ascii="Arial" w:cs="Arial" w:eastAsia="Arial" w:hAnsi="Arial"/>
          <w:sz w:val="15"/>
          <w:szCs w:val="15"/>
          <w:color w:val="58844D"/>
        </w:rPr>
      </w:pPr>
      <w:r>
        <w:rPr>
          <w:rFonts w:ascii="Arial" w:cs="Arial" w:eastAsia="Arial" w:hAnsi="Arial"/>
          <w:sz w:val="15"/>
          <w:szCs w:val="15"/>
          <w:color w:val="auto"/>
        </w:rPr>
        <w:t>recommending to us suitable candidates to serve on our Board or their equivalents of our subsidiaries;</w:t>
      </w:r>
    </w:p>
    <w:p>
      <w:pPr>
        <w:spacing w:after="0" w:line="160" w:lineRule="exact"/>
        <w:rPr>
          <w:rFonts w:ascii="Arial" w:cs="Arial" w:eastAsia="Arial" w:hAnsi="Arial"/>
          <w:sz w:val="15"/>
          <w:szCs w:val="15"/>
          <w:color w:val="58844D"/>
        </w:rPr>
      </w:pPr>
    </w:p>
    <w:p>
      <w:pPr>
        <w:ind w:left="463" w:right="100" w:hanging="463"/>
        <w:spacing w:after="0" w:line="245" w:lineRule="auto"/>
        <w:tabs>
          <w:tab w:leader="none" w:pos="463" w:val="left"/>
        </w:tabs>
        <w:numPr>
          <w:ilvl w:val="0"/>
          <w:numId w:val="36"/>
        </w:numPr>
        <w:rPr>
          <w:rFonts w:ascii="Arial" w:cs="Arial" w:eastAsia="Arial" w:hAnsi="Arial"/>
          <w:sz w:val="15"/>
          <w:szCs w:val="15"/>
          <w:color w:val="58844D"/>
        </w:rPr>
      </w:pPr>
      <w:r>
        <w:rPr>
          <w:rFonts w:ascii="Arial" w:cs="Arial" w:eastAsia="Arial" w:hAnsi="Arial"/>
          <w:sz w:val="15"/>
          <w:szCs w:val="15"/>
          <w:color w:val="auto"/>
        </w:rPr>
        <w:t>making recommendations with respect to the exercise of any voting rights to which we are entitled in respect of our subsidiaries;</w:t>
      </w:r>
    </w:p>
    <w:p>
      <w:pPr>
        <w:spacing w:after="0" w:line="160" w:lineRule="exact"/>
        <w:rPr>
          <w:rFonts w:ascii="Arial" w:cs="Arial" w:eastAsia="Arial" w:hAnsi="Arial"/>
          <w:sz w:val="15"/>
          <w:szCs w:val="15"/>
          <w:color w:val="58844D"/>
        </w:rPr>
      </w:pPr>
    </w:p>
    <w:p>
      <w:pPr>
        <w:ind w:left="463" w:right="140" w:hanging="463"/>
        <w:spacing w:after="0" w:line="241" w:lineRule="auto"/>
        <w:tabs>
          <w:tab w:leader="none" w:pos="463" w:val="left"/>
        </w:tabs>
        <w:numPr>
          <w:ilvl w:val="0"/>
          <w:numId w:val="36"/>
        </w:numPr>
        <w:rPr>
          <w:rFonts w:ascii="Arial" w:cs="Arial" w:eastAsia="Arial" w:hAnsi="Arial"/>
          <w:sz w:val="15"/>
          <w:szCs w:val="15"/>
          <w:color w:val="58844D"/>
        </w:rPr>
      </w:pPr>
      <w:r>
        <w:rPr>
          <w:rFonts w:ascii="Arial" w:cs="Arial" w:eastAsia="Arial" w:hAnsi="Arial"/>
          <w:sz w:val="15"/>
          <w:szCs w:val="15"/>
          <w:color w:val="auto"/>
        </w:rPr>
        <w:t>making recommendations with respect to the payment of dividends by us or any other distributions by us, including distributions to holders of our common stock;</w:t>
      </w:r>
    </w:p>
    <w:p>
      <w:pPr>
        <w:spacing w:after="0" w:line="175" w:lineRule="exact"/>
        <w:rPr>
          <w:rFonts w:ascii="Arial" w:cs="Arial" w:eastAsia="Arial" w:hAnsi="Arial"/>
          <w:sz w:val="15"/>
          <w:szCs w:val="15"/>
          <w:color w:val="58844D"/>
        </w:rPr>
      </w:pPr>
    </w:p>
    <w:p>
      <w:pPr>
        <w:ind w:left="463" w:right="220" w:hanging="463"/>
        <w:spacing w:after="0" w:line="239" w:lineRule="auto"/>
        <w:tabs>
          <w:tab w:leader="none" w:pos="463" w:val="left"/>
        </w:tabs>
        <w:numPr>
          <w:ilvl w:val="0"/>
          <w:numId w:val="36"/>
        </w:numPr>
        <w:rPr>
          <w:rFonts w:ascii="Arial" w:cs="Arial" w:eastAsia="Arial" w:hAnsi="Arial"/>
          <w:sz w:val="15"/>
          <w:szCs w:val="15"/>
          <w:color w:val="58844D"/>
        </w:rPr>
      </w:pPr>
      <w:r>
        <w:rPr>
          <w:rFonts w:ascii="Arial" w:cs="Arial" w:eastAsia="Arial" w:hAnsi="Arial"/>
          <w:sz w:val="15"/>
          <w:szCs w:val="15"/>
          <w:color w:val="auto"/>
        </w:rPr>
        <w:t>monitoring and/or oversight of the applicable accountants, legal counsel and other accounting, financial or legal advisors and technical, commercial, marketing and other independent experts, and managing litigation in which we are sued or commencing litigation after consulting with, and subject to the approval of, the relevant board of directors or its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166370</wp:posOffset>
            </wp:positionV>
            <wp:extent cx="7273290"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6" w:space="720"/>
            <w:col w:w="5383"/>
          </w:cols>
          <w:pgMar w:left="231" w:top="142" w:right="219" w:bottom="1440" w:gutter="0" w:footer="0" w:header="0"/>
        </w:sectPr>
      </w:pPr>
    </w:p>
    <w:bookmarkStart w:id="31" w:name="page32"/>
    <w:bookmarkEnd w:id="31"/>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9" w:right="60" w:hanging="449"/>
        <w:spacing w:after="0" w:line="241" w:lineRule="auto"/>
        <w:tabs>
          <w:tab w:leader="none" w:pos="449" w:val="left"/>
        </w:tabs>
        <w:numPr>
          <w:ilvl w:val="0"/>
          <w:numId w:val="37"/>
        </w:numPr>
        <w:rPr>
          <w:rFonts w:ascii="Arial" w:cs="Arial" w:eastAsia="Arial" w:hAnsi="Arial"/>
          <w:sz w:val="15"/>
          <w:szCs w:val="15"/>
          <w:color w:val="58844D"/>
        </w:rPr>
      </w:pPr>
      <w:r>
        <w:rPr>
          <w:rFonts w:ascii="Arial" w:cs="Arial" w:eastAsia="Arial" w:hAnsi="Arial"/>
          <w:sz w:val="15"/>
          <w:szCs w:val="15"/>
          <w:color w:val="auto"/>
        </w:rPr>
        <w:t>attending to all matters necessary for any reorganization, bankruptcy proceedings, dissolution or winding up involving us, subject to approval by the relevant board of directors or its equivalent;</w:t>
      </w:r>
    </w:p>
    <w:p>
      <w:pPr>
        <w:spacing w:after="0" w:line="175" w:lineRule="exact"/>
        <w:rPr>
          <w:rFonts w:ascii="Arial" w:cs="Arial" w:eastAsia="Arial" w:hAnsi="Arial"/>
          <w:sz w:val="15"/>
          <w:szCs w:val="15"/>
          <w:color w:val="58844D"/>
        </w:rPr>
      </w:pPr>
    </w:p>
    <w:p>
      <w:pPr>
        <w:ind w:left="449" w:right="160" w:hanging="449"/>
        <w:spacing w:after="0" w:line="245" w:lineRule="auto"/>
        <w:tabs>
          <w:tab w:leader="none" w:pos="449" w:val="left"/>
        </w:tabs>
        <w:numPr>
          <w:ilvl w:val="0"/>
          <w:numId w:val="37"/>
        </w:numPr>
        <w:rPr>
          <w:rFonts w:ascii="Arial" w:cs="Arial" w:eastAsia="Arial" w:hAnsi="Arial"/>
          <w:sz w:val="15"/>
          <w:szCs w:val="15"/>
          <w:color w:val="58844D"/>
        </w:rPr>
      </w:pPr>
      <w:r>
        <w:rPr>
          <w:rFonts w:ascii="Arial" w:cs="Arial" w:eastAsia="Arial" w:hAnsi="Arial"/>
          <w:sz w:val="15"/>
          <w:szCs w:val="15"/>
          <w:color w:val="auto"/>
        </w:rPr>
        <w:t>supervising the timely calculation and payment of taxes payable, and the filing of all tax returns;</w:t>
      </w:r>
    </w:p>
    <w:p>
      <w:pPr>
        <w:spacing w:after="0" w:line="160" w:lineRule="exact"/>
        <w:rPr>
          <w:rFonts w:ascii="Arial" w:cs="Arial" w:eastAsia="Arial" w:hAnsi="Arial"/>
          <w:sz w:val="15"/>
          <w:szCs w:val="15"/>
          <w:color w:val="58844D"/>
        </w:rPr>
      </w:pPr>
    </w:p>
    <w:p>
      <w:pPr>
        <w:ind w:left="449" w:right="200" w:hanging="449"/>
        <w:spacing w:after="0" w:line="260" w:lineRule="auto"/>
        <w:tabs>
          <w:tab w:leader="none" w:pos="449" w:val="left"/>
        </w:tabs>
        <w:numPr>
          <w:ilvl w:val="0"/>
          <w:numId w:val="37"/>
        </w:numPr>
        <w:rPr>
          <w:rFonts w:ascii="Arial" w:cs="Arial" w:eastAsia="Arial" w:hAnsi="Arial"/>
          <w:sz w:val="14"/>
          <w:szCs w:val="14"/>
          <w:color w:val="58844D"/>
        </w:rPr>
      </w:pPr>
      <w:r>
        <w:rPr>
          <w:rFonts w:ascii="Arial" w:cs="Arial" w:eastAsia="Arial" w:hAnsi="Arial"/>
          <w:sz w:val="14"/>
          <w:szCs w:val="14"/>
          <w:color w:val="auto"/>
        </w:rPr>
        <w:t>causing our annual combined financial statements and quarterly interim financial statements to be: (a) prepared in accordance with generally accepted accounting principles or other applicable accounting principles for review and audit at least to such extent and with such frequency as may be required by law or regulation; and (b) submitted to the relevant board of directors or its equivalent for its prior approval;</w:t>
      </w:r>
    </w:p>
    <w:p>
      <w:pPr>
        <w:spacing w:after="0" w:line="150" w:lineRule="exact"/>
        <w:rPr>
          <w:rFonts w:ascii="Arial" w:cs="Arial" w:eastAsia="Arial" w:hAnsi="Arial"/>
          <w:sz w:val="14"/>
          <w:szCs w:val="14"/>
          <w:color w:val="58844D"/>
        </w:rPr>
      </w:pPr>
    </w:p>
    <w:p>
      <w:pPr>
        <w:ind w:left="449" w:right="340" w:hanging="449"/>
        <w:spacing w:after="0" w:line="239" w:lineRule="auto"/>
        <w:tabs>
          <w:tab w:leader="none" w:pos="449" w:val="left"/>
        </w:tabs>
        <w:numPr>
          <w:ilvl w:val="0"/>
          <w:numId w:val="37"/>
        </w:numPr>
        <w:rPr>
          <w:rFonts w:ascii="Arial" w:cs="Arial" w:eastAsia="Arial" w:hAnsi="Arial"/>
          <w:sz w:val="15"/>
          <w:szCs w:val="15"/>
          <w:color w:val="58844D"/>
        </w:rPr>
      </w:pPr>
      <w:r>
        <w:rPr>
          <w:rFonts w:ascii="Arial" w:cs="Arial" w:eastAsia="Arial" w:hAnsi="Arial"/>
          <w:sz w:val="15"/>
          <w:szCs w:val="15"/>
          <w:color w:val="auto"/>
        </w:rPr>
        <w:t>making recommendations in relation to and effecting the entry into insurance policies covering our assets, together with other insurances against other risks, including directors and officers insurance as the relevant service provider and the relevant board of directors or its equivalent may from time to time agree;</w:t>
      </w:r>
    </w:p>
    <w:p>
      <w:pPr>
        <w:spacing w:after="0" w:line="178" w:lineRule="exact"/>
        <w:rPr>
          <w:rFonts w:ascii="Arial" w:cs="Arial" w:eastAsia="Arial" w:hAnsi="Arial"/>
          <w:sz w:val="15"/>
          <w:szCs w:val="15"/>
          <w:color w:val="58844D"/>
        </w:rPr>
      </w:pPr>
    </w:p>
    <w:p>
      <w:pPr>
        <w:ind w:left="449" w:right="20" w:hanging="449"/>
        <w:spacing w:after="0" w:line="280" w:lineRule="auto"/>
        <w:tabs>
          <w:tab w:leader="none" w:pos="449" w:val="left"/>
        </w:tabs>
        <w:numPr>
          <w:ilvl w:val="0"/>
          <w:numId w:val="37"/>
        </w:numPr>
        <w:rPr>
          <w:rFonts w:ascii="Arial" w:cs="Arial" w:eastAsia="Arial" w:hAnsi="Arial"/>
          <w:sz w:val="14"/>
          <w:szCs w:val="14"/>
          <w:color w:val="58844D"/>
        </w:rPr>
      </w:pPr>
      <w:r>
        <w:rPr>
          <w:rFonts w:ascii="Arial" w:cs="Arial" w:eastAsia="Arial" w:hAnsi="Arial"/>
          <w:sz w:val="14"/>
          <w:szCs w:val="14"/>
          <w:color w:val="auto"/>
        </w:rPr>
        <w:t>arranging for individuals to carry out the functions of principal executive, accounting and financial officers for purposes of applicable securities laws;</w:t>
      </w:r>
    </w:p>
    <w:p>
      <w:pPr>
        <w:spacing w:after="0" w:line="137" w:lineRule="exact"/>
        <w:rPr>
          <w:rFonts w:ascii="Arial" w:cs="Arial" w:eastAsia="Arial" w:hAnsi="Arial"/>
          <w:sz w:val="14"/>
          <w:szCs w:val="14"/>
          <w:color w:val="58844D"/>
        </w:rPr>
      </w:pPr>
    </w:p>
    <w:p>
      <w:pPr>
        <w:jc w:val="both"/>
        <w:ind w:left="449" w:right="120" w:hanging="449"/>
        <w:spacing w:after="0" w:line="280" w:lineRule="auto"/>
        <w:tabs>
          <w:tab w:leader="none" w:pos="449" w:val="left"/>
        </w:tabs>
        <w:numPr>
          <w:ilvl w:val="0"/>
          <w:numId w:val="37"/>
        </w:numPr>
        <w:rPr>
          <w:rFonts w:ascii="Arial" w:cs="Arial" w:eastAsia="Arial" w:hAnsi="Arial"/>
          <w:sz w:val="14"/>
          <w:szCs w:val="14"/>
          <w:color w:val="58844D"/>
        </w:rPr>
      </w:pPr>
      <w:r>
        <w:rPr>
          <w:rFonts w:ascii="Arial" w:cs="Arial" w:eastAsia="Arial" w:hAnsi="Arial"/>
          <w:sz w:val="14"/>
          <w:szCs w:val="14"/>
          <w:color w:val="auto"/>
        </w:rPr>
        <w:t>providing individuals to act as senior officers as agreed from time-to-time, subject to the approval of the relevant board of directors or its equivalent;</w:t>
      </w:r>
    </w:p>
    <w:p>
      <w:pPr>
        <w:spacing w:after="0" w:line="137" w:lineRule="exact"/>
        <w:rPr>
          <w:rFonts w:ascii="Arial" w:cs="Arial" w:eastAsia="Arial" w:hAnsi="Arial"/>
          <w:sz w:val="14"/>
          <w:szCs w:val="14"/>
          <w:color w:val="58844D"/>
        </w:rPr>
      </w:pPr>
    </w:p>
    <w:p>
      <w:pPr>
        <w:ind w:left="449" w:right="60" w:hanging="449"/>
        <w:spacing w:after="0" w:line="245" w:lineRule="auto"/>
        <w:tabs>
          <w:tab w:leader="none" w:pos="449" w:val="left"/>
        </w:tabs>
        <w:numPr>
          <w:ilvl w:val="0"/>
          <w:numId w:val="37"/>
        </w:numPr>
        <w:rPr>
          <w:rFonts w:ascii="Arial" w:cs="Arial" w:eastAsia="Arial" w:hAnsi="Arial"/>
          <w:sz w:val="15"/>
          <w:szCs w:val="15"/>
          <w:color w:val="58844D"/>
        </w:rPr>
      </w:pPr>
      <w:r>
        <w:rPr>
          <w:rFonts w:ascii="Arial" w:cs="Arial" w:eastAsia="Arial" w:hAnsi="Arial"/>
          <w:sz w:val="15"/>
          <w:szCs w:val="15"/>
          <w:color w:val="auto"/>
        </w:rPr>
        <w:t>advising us regarding the maintenance of compliance with applicable laws and other obligations; and</w:t>
      </w:r>
    </w:p>
    <w:p>
      <w:pPr>
        <w:spacing w:after="0" w:line="172" w:lineRule="exact"/>
        <w:rPr>
          <w:rFonts w:ascii="Arial" w:cs="Arial" w:eastAsia="Arial" w:hAnsi="Arial"/>
          <w:sz w:val="15"/>
          <w:szCs w:val="15"/>
          <w:color w:val="58844D"/>
        </w:rPr>
      </w:pPr>
    </w:p>
    <w:p>
      <w:pPr>
        <w:ind w:left="449" w:right="220" w:hanging="449"/>
        <w:spacing w:after="0" w:line="245" w:lineRule="auto"/>
        <w:tabs>
          <w:tab w:leader="none" w:pos="449" w:val="left"/>
        </w:tabs>
        <w:numPr>
          <w:ilvl w:val="0"/>
          <w:numId w:val="37"/>
        </w:numPr>
        <w:rPr>
          <w:rFonts w:ascii="Arial" w:cs="Arial" w:eastAsia="Arial" w:hAnsi="Arial"/>
          <w:sz w:val="15"/>
          <w:szCs w:val="15"/>
          <w:color w:val="58844D"/>
        </w:rPr>
      </w:pPr>
      <w:r>
        <w:rPr>
          <w:rFonts w:ascii="Arial" w:cs="Arial" w:eastAsia="Arial" w:hAnsi="Arial"/>
          <w:sz w:val="15"/>
          <w:szCs w:val="15"/>
          <w:color w:val="auto"/>
        </w:rPr>
        <w:t>providing all such other services as may from time-to-time be agreed by the parties that are reasonably related to our day-to-day operations.</w:t>
      </w:r>
    </w:p>
    <w:p>
      <w:pPr>
        <w:spacing w:after="0" w:line="172" w:lineRule="exact"/>
        <w:rPr>
          <w:sz w:val="20"/>
          <w:szCs w:val="20"/>
          <w:color w:val="auto"/>
        </w:rPr>
      </w:pPr>
    </w:p>
    <w:p>
      <w:pPr>
        <w:ind w:left="9" w:right="400"/>
        <w:spacing w:after="0" w:line="245" w:lineRule="auto"/>
        <w:rPr>
          <w:sz w:val="20"/>
          <w:szCs w:val="20"/>
          <w:color w:val="auto"/>
        </w:rPr>
      </w:pPr>
      <w:r>
        <w:rPr>
          <w:rFonts w:ascii="Arial" w:cs="Arial" w:eastAsia="Arial" w:hAnsi="Arial"/>
          <w:sz w:val="15"/>
          <w:szCs w:val="15"/>
          <w:color w:val="auto"/>
        </w:rPr>
        <w:t>These activities are subject to the supervision of our Board and the board of directors of each of our subsidiaries or their equivalent, as applicable.</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58844D"/>
        </w:rPr>
        <w:t>MANAGEMENT FEE</w:t>
      </w:r>
    </w:p>
    <w:p>
      <w:pPr>
        <w:spacing w:after="0" w:line="199" w:lineRule="exact"/>
        <w:rPr>
          <w:sz w:val="20"/>
          <w:szCs w:val="20"/>
          <w:color w:val="auto"/>
        </w:rPr>
      </w:pPr>
    </w:p>
    <w:p>
      <w:pPr>
        <w:ind w:left="9"/>
        <w:spacing w:after="0" w:line="238" w:lineRule="auto"/>
        <w:rPr>
          <w:sz w:val="20"/>
          <w:szCs w:val="20"/>
          <w:color w:val="auto"/>
        </w:rPr>
      </w:pPr>
      <w:r>
        <w:rPr>
          <w:rFonts w:ascii="Arial" w:cs="Arial" w:eastAsia="Arial" w:hAnsi="Arial"/>
          <w:sz w:val="15"/>
          <w:szCs w:val="15"/>
          <w:color w:val="auto"/>
        </w:rPr>
        <w:t>Pursuant to the Management Services Agreement, the Company pays a base management fee of approximately $2.125 million per quarter. The base management fee is adjusted for inflation annually at an inflation factor based on year-over-year Consumer Price Index. The base management fee is also increased in connection with the completion of any future acquisitions by the Company (including any NRG ROFO Assets described below in "— Right of First Offer") by an amount equal to 0.05% of the enterprise value of the acquired assets as of the acquisition closing date. The base management fee is subject to adjustments following the consummation of future acquisitions and as a result of a change in the scope of services provided under the Management Services Agreement.</w:t>
      </w:r>
    </w:p>
    <w:p>
      <w:pPr>
        <w:spacing w:after="0" w:line="182" w:lineRule="exact"/>
        <w:rPr>
          <w:sz w:val="20"/>
          <w:szCs w:val="20"/>
          <w:color w:val="auto"/>
        </w:rPr>
      </w:pPr>
    </w:p>
    <w:p>
      <w:pPr>
        <w:ind w:left="9" w:right="440"/>
        <w:spacing w:after="0" w:line="267" w:lineRule="auto"/>
        <w:rPr>
          <w:sz w:val="20"/>
          <w:szCs w:val="20"/>
          <w:color w:val="auto"/>
        </w:rPr>
      </w:pPr>
      <w:r>
        <w:rPr>
          <w:rFonts w:ascii="Arial" w:cs="Arial" w:eastAsia="Arial" w:hAnsi="Arial"/>
          <w:sz w:val="14"/>
          <w:szCs w:val="14"/>
          <w:color w:val="auto"/>
        </w:rPr>
        <w:t>We may amend the scope of the services to be provided by NRG under the Management Services Agreement, including reducing the number of our subsidiaries that receive services or otherwise, by providing 180 days' prior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27</w:t>
      </w:r>
    </w:p>
    <w:p>
      <w:pPr>
        <w:spacing w:after="0" w:line="376"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written notice to NRG; provided that the services to be provided by NRG under the Management Services Agreement cannot be increased without NRG's prior written consent. Furthermore, we and NRG must consent to any related change in the base management fee resulting from a change in the scope of services. If the parties are unable to agree on a revised base management fee, we may terminate the agreement after the end of such 180-day period by providing</w:t>
      </w:r>
    </w:p>
    <w:p>
      <w:pPr>
        <w:spacing w:after="0" w:line="4" w:lineRule="exact"/>
        <w:rPr>
          <w:sz w:val="20"/>
          <w:szCs w:val="20"/>
          <w:color w:val="auto"/>
        </w:rPr>
      </w:pPr>
    </w:p>
    <w:p>
      <w:pPr>
        <w:ind w:right="540"/>
        <w:spacing w:after="0" w:line="241" w:lineRule="auto"/>
        <w:rPr>
          <w:sz w:val="20"/>
          <w:szCs w:val="20"/>
          <w:color w:val="auto"/>
        </w:rPr>
      </w:pPr>
      <w:r>
        <w:rPr>
          <w:rFonts w:ascii="Arial" w:cs="Arial" w:eastAsia="Arial" w:hAnsi="Arial"/>
          <w:sz w:val="15"/>
          <w:szCs w:val="15"/>
          <w:color w:val="auto"/>
        </w:rPr>
        <w:t>30 days' prior written notice to NRG; provided, that any decision by us to terminate the Management Services Agreement in such an event must be approved by a majority of our independent directors.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REIMBURSEMENT OF EXPENSES AND CERTAIN TAXES</w:t>
      </w:r>
    </w:p>
    <w:p>
      <w:pPr>
        <w:spacing w:after="0" w:line="199"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We also reimburse NRG for any out-of-pocket fees, costs and expenses incurred in the provision of the management and administration services. However, we are not required to reimburse NRG for the salaries and other remuneration of its management, personnel or support staff who carry out any services or functions for us or overhead for such persons. We are required to pay NRG all other out-of-pocket fees, costs and expenses incurred in connection with the provision of the services including those of any third party and to reimburse NRG for any such fees, costs and expenses.</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In addition, we are required to pay all fees, expenses and costs incurred in connection with the investigation, acquisition, holding or disposal of any acquisition that is made or that is proposed to be made by us. Where the acquisition or proposed acquisition involves a joint acquisition that is made alongside one or more other persons, NRG will be required to allocate such fees, costs and expenses in proportion to the notional amount of the acquisition made (or that would have been made in the case of an unconsummated acquisition) among all joint investors. Such additional fees, expenses and costs represent out-of-pocket costs associated with investment activities that will be undertaken pursuant to the Management Services Agreement.</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We are also required to pay or reimburse NRG for all sales, use, value added, withholding or other taxes or customs duties or other governmental charges levied or imposed by reason of the Management Services Agreement or any agreement it contemplates, other than income taxes, corporation taxes, capital gains taxes or other similar taxes payable by NRG, which are personal to NRG.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TERMINATION</w:t>
      </w:r>
    </w:p>
    <w:p>
      <w:pPr>
        <w:spacing w:after="0" w:line="199"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The Management Services Agreement does not have a fixed term. However, we will be able to terminate the Management Services Agreement upon 30 days' prior written notice, and NRG will be able to terminate the Management Services Agreement upon 180 days' prior written notice, if (a) the other party defaults in its obligations resulting in material harm and remaining unremedied for 30 days after notice of breach is given; (b) the other party engages in fraud, misappropriation or the like resulting in material harm; or (c) certain events occur relating to the bankruptcy or insolvency of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607060</wp:posOffset>
            </wp:positionV>
            <wp:extent cx="727329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700"/>
            <w:col w:w="5380"/>
          </w:cols>
          <w:pgMar w:left="231" w:top="142"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party. Except as set forth above in "— Management Fee," we do not have a right to terminate for any other reason, including if NRG experiences a change of control. We will only be able to terminate the Management Services Agreement with the prior unanimous approval of our independent directors. The Management Services Agreement expressly provides that the agreement may not be terminated by us due solely to the poor performance or the underperformance of any of our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INDEMNIFICATION AND LIMITATIONS ON LIABILITY</w:t>
      </w:r>
    </w:p>
    <w:p>
      <w:pPr>
        <w:spacing w:after="0" w:line="19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Under the Management Services Agreement, NRG does not assume any responsibility other than to provide or arrange for the provision of the services called for thereunder in good faith and is not responsible for any action that we take in following or declining to follow the advice or recommendations of NRG. The maximum amount of the aggregate liability of NRG or any of its affiliates or agents will be equal to the base management fee previously paid by us in the two most recent calendar years pursuant to the Management Services Agreement. We have also agreed to indemnify each of NRG and its affiliates or agents to the fullest extent permitted by law from and against any losses incurred by an indemnified person or threatened in connection with our respective businesses, investments and activities or related to the Management Services Agreement or the services provided by NRG, subject to certain exceptions. In addition, under the Management Services Agreement, the indemnified persons will not be liable to us to the fullest extent permitted by law, subject to certain exceptions.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OUTSIDE ACTIVITIES</w:t>
      </w:r>
    </w:p>
    <w:p>
      <w:pPr>
        <w:spacing w:after="0" w:line="199"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 Management Services Agreement does not prohibit NRG or its affiliates from pursuing other business activities or providing services to third parties that compete directly or indirectly with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58844D"/>
        </w:rPr>
        <w:t>Right of First Offer</w:t>
      </w:r>
    </w:p>
    <w:p>
      <w:pPr>
        <w:spacing w:after="0" w:line="189" w:lineRule="exact"/>
        <w:rPr>
          <w:sz w:val="20"/>
          <w:szCs w:val="20"/>
          <w:color w:val="auto"/>
        </w:rPr>
      </w:pPr>
    </w:p>
    <w:p>
      <w:pPr>
        <w:ind w:right="60"/>
        <w:spacing w:after="0"/>
        <w:rPr>
          <w:sz w:val="20"/>
          <w:szCs w:val="20"/>
          <w:color w:val="auto"/>
        </w:rPr>
      </w:pPr>
      <w:r>
        <w:rPr>
          <w:rFonts w:ascii="Arial" w:cs="Arial" w:eastAsia="Arial" w:hAnsi="Arial"/>
          <w:sz w:val="15"/>
          <w:szCs w:val="15"/>
          <w:color w:val="auto"/>
        </w:rPr>
        <w:t>We have entered into a Second Amended and Restated Right of First Offer Agreement, dated as of February 24, 2017 (ROFO Agreement) with NRG. Under the ROFO Agreement, NRG has granted us and our affiliates a right of first offer on any proposed sale, transfer or other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28</w:t>
      </w:r>
    </w:p>
    <w:p>
      <w:pPr>
        <w:spacing w:after="0" w:line="376" w:lineRule="exact"/>
        <w:rPr>
          <w:sz w:val="20"/>
          <w:szCs w:val="20"/>
          <w:color w:val="auto"/>
        </w:rPr>
      </w:pPr>
    </w:p>
    <w:p>
      <w:pPr>
        <w:ind w:right="260"/>
        <w:spacing w:after="0" w:line="245" w:lineRule="auto"/>
        <w:rPr>
          <w:sz w:val="20"/>
          <w:szCs w:val="20"/>
          <w:color w:val="auto"/>
        </w:rPr>
      </w:pPr>
      <w:r>
        <w:rPr>
          <w:rFonts w:ascii="Arial" w:cs="Arial" w:eastAsia="Arial" w:hAnsi="Arial"/>
          <w:sz w:val="15"/>
          <w:szCs w:val="15"/>
          <w:color w:val="auto"/>
        </w:rPr>
        <w:t>disposition of certain assets of NRG listed in the table below until February 24, 2022 (NRG ROFO Assets).</w:t>
      </w:r>
    </w:p>
    <w:p>
      <w:pPr>
        <w:spacing w:after="0" w:line="158"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168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6"/>
              </w:rPr>
              <w:t>RATED</w:t>
            </w:r>
          </w:p>
        </w:tc>
        <w:tc>
          <w:tcPr>
            <w:tcW w:w="140" w:type="dxa"/>
            <w:vAlign w:val="bottom"/>
          </w:tcPr>
          <w:p>
            <w:pPr>
              <w:spacing w:after="0"/>
              <w:rPr>
                <w:sz w:val="12"/>
                <w:szCs w:val="12"/>
                <w:color w:val="auto"/>
              </w:rPr>
            </w:pPr>
          </w:p>
        </w:tc>
        <w:tc>
          <w:tcPr>
            <w:tcW w:w="720" w:type="dxa"/>
            <w:vAlign w:val="bottom"/>
            <w:shd w:val="clear" w:color="auto" w:fill="58854E"/>
          </w:tcPr>
          <w:p>
            <w:pPr>
              <w:spacing w:after="0"/>
              <w:rPr>
                <w:sz w:val="12"/>
                <w:szCs w:val="12"/>
                <w:color w:val="auto"/>
              </w:rPr>
            </w:pPr>
          </w:p>
        </w:tc>
      </w:tr>
      <w:tr>
        <w:trPr>
          <w:trHeight w:val="135"/>
        </w:trPr>
        <w:tc>
          <w:tcPr>
            <w:tcW w:w="168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shd w:val="clear" w:color="auto" w:fill="58854E"/>
          </w:tcPr>
          <w:p>
            <w:pPr>
              <w:jc w:val="center"/>
              <w:spacing w:after="0" w:line="136" w:lineRule="exact"/>
              <w:rPr>
                <w:sz w:val="20"/>
                <w:szCs w:val="20"/>
                <w:color w:val="auto"/>
              </w:rPr>
            </w:pPr>
            <w:r>
              <w:rPr>
                <w:rFonts w:ascii="Arial" w:cs="Arial" w:eastAsia="Arial" w:hAnsi="Arial"/>
                <w:sz w:val="12"/>
                <w:szCs w:val="12"/>
                <w:b w:val="1"/>
                <w:bCs w:val="1"/>
                <w:color w:val="FFFFFE"/>
              </w:rPr>
              <w:t>FUEL TYPE</w:t>
            </w:r>
          </w:p>
        </w:tc>
        <w:tc>
          <w:tcPr>
            <w:tcW w:w="140" w:type="dxa"/>
            <w:vAlign w:val="bottom"/>
          </w:tcPr>
          <w:p>
            <w:pPr>
              <w:spacing w:after="0"/>
              <w:rPr>
                <w:sz w:val="11"/>
                <w:szCs w:val="11"/>
                <w:color w:val="auto"/>
              </w:rPr>
            </w:pPr>
          </w:p>
        </w:tc>
        <w:tc>
          <w:tcPr>
            <w:tcW w:w="620" w:type="dxa"/>
            <w:vAlign w:val="bottom"/>
            <w:shd w:val="clear" w:color="auto" w:fill="58854E"/>
          </w:tcPr>
          <w:p>
            <w:pPr>
              <w:jc w:val="center"/>
              <w:spacing w:after="0" w:line="136" w:lineRule="exact"/>
              <w:rPr>
                <w:sz w:val="20"/>
                <w:szCs w:val="20"/>
                <w:color w:val="auto"/>
              </w:rPr>
            </w:pPr>
            <w:r>
              <w:rPr>
                <w:rFonts w:ascii="Arial" w:cs="Arial" w:eastAsia="Arial" w:hAnsi="Arial"/>
                <w:sz w:val="12"/>
                <w:szCs w:val="12"/>
                <w:b w:val="1"/>
                <w:bCs w:val="1"/>
                <w:color w:val="FFFFFE"/>
                <w:w w:val="97"/>
              </w:rPr>
              <w:t>CAPACITY</w:t>
            </w:r>
          </w:p>
        </w:tc>
        <w:tc>
          <w:tcPr>
            <w:tcW w:w="140" w:type="dxa"/>
            <w:vAlign w:val="bottom"/>
          </w:tcPr>
          <w:p>
            <w:pPr>
              <w:spacing w:after="0"/>
              <w:rPr>
                <w:sz w:val="11"/>
                <w:szCs w:val="11"/>
                <w:color w:val="auto"/>
              </w:rPr>
            </w:pPr>
          </w:p>
        </w:tc>
        <w:tc>
          <w:tcPr>
            <w:tcW w:w="720" w:type="dxa"/>
            <w:vAlign w:val="bottom"/>
            <w:shd w:val="clear" w:color="auto" w:fill="58854E"/>
          </w:tcPr>
          <w:p>
            <w:pPr>
              <w:jc w:val="center"/>
              <w:spacing w:after="0" w:line="136" w:lineRule="exact"/>
              <w:rPr>
                <w:sz w:val="20"/>
                <w:szCs w:val="20"/>
                <w:color w:val="auto"/>
              </w:rPr>
            </w:pPr>
            <w:r>
              <w:rPr>
                <w:rFonts w:ascii="Arial" w:cs="Arial" w:eastAsia="Arial" w:hAnsi="Arial"/>
                <w:sz w:val="12"/>
                <w:szCs w:val="12"/>
                <w:b w:val="1"/>
                <w:bCs w:val="1"/>
                <w:color w:val="FFFFFE"/>
                <w:w w:val="97"/>
              </w:rPr>
              <w:t>COD</w:t>
            </w:r>
          </w:p>
        </w:tc>
      </w:tr>
      <w:tr>
        <w:trPr>
          <w:trHeight w:val="171"/>
        </w:trPr>
        <w:tc>
          <w:tcPr>
            <w:tcW w:w="1680" w:type="dxa"/>
            <w:vAlign w:val="bottom"/>
            <w:shd w:val="clear" w:color="auto" w:fill="58854E"/>
          </w:tcPr>
          <w:p>
            <w:pPr>
              <w:spacing w:after="0"/>
              <w:rPr>
                <w:sz w:val="20"/>
                <w:szCs w:val="20"/>
                <w:color w:val="auto"/>
              </w:rPr>
            </w:pPr>
            <w:r>
              <w:rPr>
                <w:rFonts w:ascii="Arial" w:cs="Arial" w:eastAsia="Arial" w:hAnsi="Arial"/>
                <w:sz w:val="12"/>
                <w:szCs w:val="12"/>
                <w:b w:val="1"/>
                <w:bCs w:val="1"/>
                <w:color w:val="FFFFFE"/>
              </w:rPr>
              <w:t>ASSET</w:t>
            </w:r>
          </w:p>
        </w:tc>
        <w:tc>
          <w:tcPr>
            <w:tcW w:w="140" w:type="dxa"/>
            <w:vAlign w:val="bottom"/>
          </w:tcPr>
          <w:p>
            <w:pPr>
              <w:spacing w:after="0"/>
              <w:rPr>
                <w:sz w:val="14"/>
                <w:szCs w:val="14"/>
                <w:color w:val="auto"/>
              </w:rPr>
            </w:pPr>
          </w:p>
        </w:tc>
        <w:tc>
          <w:tcPr>
            <w:tcW w:w="860" w:type="dxa"/>
            <w:vAlign w:val="bottom"/>
            <w:shd w:val="clear" w:color="auto" w:fill="58854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shd w:val="clear" w:color="auto" w:fill="58854E"/>
          </w:tcPr>
          <w:p>
            <w:pPr>
              <w:jc w:val="center"/>
              <w:spacing w:after="0" w:line="171" w:lineRule="exact"/>
              <w:rPr>
                <w:sz w:val="20"/>
                <w:szCs w:val="20"/>
                <w:color w:val="auto"/>
              </w:rPr>
            </w:pPr>
            <w:r>
              <w:rPr>
                <w:rFonts w:ascii="Arial" w:cs="Arial" w:eastAsia="Arial" w:hAnsi="Arial"/>
                <w:sz w:val="12"/>
                <w:szCs w:val="12"/>
                <w:b w:val="1"/>
                <w:bCs w:val="1"/>
                <w:color w:val="FFFFFE"/>
                <w:w w:val="99"/>
              </w:rPr>
              <w:t>(MW)</w:t>
            </w:r>
            <w:r>
              <w:rPr>
                <w:rFonts w:ascii="Arial" w:cs="Arial" w:eastAsia="Arial" w:hAnsi="Arial"/>
                <w:sz w:val="18"/>
                <w:szCs w:val="18"/>
                <w:b w:val="1"/>
                <w:bCs w:val="1"/>
                <w:color w:val="FFFFFE"/>
                <w:w w:val="99"/>
                <w:vertAlign w:val="superscript"/>
              </w:rPr>
              <w:t>a</w:t>
            </w:r>
          </w:p>
        </w:tc>
        <w:tc>
          <w:tcPr>
            <w:tcW w:w="140" w:type="dxa"/>
            <w:vAlign w:val="bottom"/>
          </w:tcPr>
          <w:p>
            <w:pPr>
              <w:spacing w:after="0"/>
              <w:rPr>
                <w:sz w:val="14"/>
                <w:szCs w:val="14"/>
                <w:color w:val="auto"/>
              </w:rPr>
            </w:pPr>
          </w:p>
        </w:tc>
        <w:tc>
          <w:tcPr>
            <w:tcW w:w="720" w:type="dxa"/>
            <w:vAlign w:val="bottom"/>
            <w:shd w:val="clear" w:color="auto" w:fill="58854E"/>
          </w:tcPr>
          <w:p>
            <w:pPr>
              <w:spacing w:after="0"/>
              <w:rPr>
                <w:sz w:val="14"/>
                <w:szCs w:val="14"/>
                <w:color w:val="auto"/>
              </w:rPr>
            </w:pPr>
          </w:p>
        </w:tc>
      </w:tr>
      <w:tr>
        <w:trPr>
          <w:trHeight w:val="174"/>
        </w:trPr>
        <w:tc>
          <w:tcPr>
            <w:tcW w:w="1680" w:type="dxa"/>
            <w:vAlign w:val="bottom"/>
          </w:tcPr>
          <w:p>
            <w:pPr>
              <w:spacing w:after="0"/>
              <w:rPr>
                <w:sz w:val="20"/>
                <w:szCs w:val="20"/>
                <w:color w:val="auto"/>
              </w:rPr>
            </w:pPr>
            <w:r>
              <w:rPr>
                <w:rFonts w:ascii="Arial" w:cs="Arial" w:eastAsia="Arial" w:hAnsi="Arial"/>
                <w:sz w:val="15"/>
                <w:szCs w:val="15"/>
                <w:color w:val="auto"/>
              </w:rPr>
              <w:t>Agua Caliente</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6"/>
              </w:rPr>
              <w:t>Solar</w:t>
            </w:r>
          </w:p>
        </w:tc>
        <w:tc>
          <w:tcPr>
            <w:tcW w:w="760" w:type="dxa"/>
            <w:vAlign w:val="bottom"/>
            <w:gridSpan w:val="2"/>
          </w:tcPr>
          <w:p>
            <w:pPr>
              <w:jc w:val="center"/>
              <w:ind w:left="46"/>
              <w:spacing w:after="0"/>
              <w:rPr>
                <w:sz w:val="20"/>
                <w:szCs w:val="20"/>
                <w:color w:val="auto"/>
              </w:rPr>
            </w:pPr>
            <w:r>
              <w:rPr>
                <w:rFonts w:ascii="Arial" w:cs="Arial" w:eastAsia="Arial" w:hAnsi="Arial"/>
                <w:sz w:val="15"/>
                <w:szCs w:val="15"/>
                <w:color w:val="auto"/>
                <w:w w:val="95"/>
              </w:rPr>
              <w:t>102</w:t>
            </w:r>
          </w:p>
        </w:tc>
        <w:tc>
          <w:tcPr>
            <w:tcW w:w="860" w:type="dxa"/>
            <w:vAlign w:val="bottom"/>
            <w:gridSpan w:val="2"/>
          </w:tcPr>
          <w:p>
            <w:pPr>
              <w:jc w:val="center"/>
              <w:ind w:left="46"/>
              <w:spacing w:after="0"/>
              <w:rPr>
                <w:sz w:val="20"/>
                <w:szCs w:val="20"/>
                <w:color w:val="auto"/>
              </w:rPr>
            </w:pPr>
            <w:r>
              <w:rPr>
                <w:rFonts w:ascii="Arial" w:cs="Arial" w:eastAsia="Arial" w:hAnsi="Arial"/>
                <w:sz w:val="15"/>
                <w:szCs w:val="15"/>
                <w:color w:val="auto"/>
              </w:rPr>
              <w:t>2014</w:t>
            </w:r>
          </w:p>
        </w:tc>
      </w:tr>
      <w:tr>
        <w:trPr>
          <w:trHeight w:val="171"/>
        </w:trPr>
        <w:tc>
          <w:tcPr>
            <w:tcW w:w="1680" w:type="dxa"/>
            <w:vAlign w:val="bottom"/>
          </w:tcPr>
          <w:p>
            <w:pPr>
              <w:spacing w:after="0" w:line="171" w:lineRule="exact"/>
              <w:rPr>
                <w:sz w:val="20"/>
                <w:szCs w:val="20"/>
                <w:color w:val="auto"/>
              </w:rPr>
            </w:pPr>
            <w:r>
              <w:rPr>
                <w:rFonts w:ascii="Arial" w:cs="Arial" w:eastAsia="Arial" w:hAnsi="Arial"/>
                <w:sz w:val="15"/>
                <w:szCs w:val="15"/>
                <w:color w:val="auto"/>
              </w:rPr>
              <w:t>Ivanpah</w:t>
            </w:r>
          </w:p>
        </w:tc>
        <w:tc>
          <w:tcPr>
            <w:tcW w:w="140" w:type="dxa"/>
            <w:vAlign w:val="bottom"/>
          </w:tcPr>
          <w:p>
            <w:pPr>
              <w:spacing w:after="0"/>
              <w:rPr>
                <w:sz w:val="14"/>
                <w:szCs w:val="14"/>
                <w:color w:val="auto"/>
              </w:rPr>
            </w:pPr>
          </w:p>
        </w:tc>
        <w:tc>
          <w:tcPr>
            <w:tcW w:w="860" w:type="dxa"/>
            <w:vAlign w:val="bottom"/>
          </w:tcPr>
          <w:p>
            <w:pPr>
              <w:jc w:val="center"/>
              <w:spacing w:after="0" w:line="171" w:lineRule="exact"/>
              <w:rPr>
                <w:sz w:val="20"/>
                <w:szCs w:val="20"/>
                <w:color w:val="auto"/>
              </w:rPr>
            </w:pPr>
            <w:r>
              <w:rPr>
                <w:rFonts w:ascii="Arial" w:cs="Arial" w:eastAsia="Arial" w:hAnsi="Arial"/>
                <w:sz w:val="15"/>
                <w:szCs w:val="15"/>
                <w:color w:val="auto"/>
                <w:w w:val="96"/>
              </w:rPr>
              <w:t>Solar</w:t>
            </w:r>
          </w:p>
        </w:tc>
        <w:tc>
          <w:tcPr>
            <w:tcW w:w="760" w:type="dxa"/>
            <w:vAlign w:val="bottom"/>
            <w:gridSpan w:val="2"/>
          </w:tcPr>
          <w:p>
            <w:pPr>
              <w:jc w:val="center"/>
              <w:ind w:left="46"/>
              <w:spacing w:after="0" w:line="171" w:lineRule="exact"/>
              <w:rPr>
                <w:sz w:val="20"/>
                <w:szCs w:val="20"/>
                <w:color w:val="auto"/>
              </w:rPr>
            </w:pPr>
            <w:r>
              <w:rPr>
                <w:rFonts w:ascii="Arial" w:cs="Arial" w:eastAsia="Arial" w:hAnsi="Arial"/>
                <w:sz w:val="15"/>
                <w:szCs w:val="15"/>
                <w:color w:val="auto"/>
                <w:w w:val="95"/>
              </w:rPr>
              <w:t>195</w:t>
            </w:r>
          </w:p>
        </w:tc>
        <w:tc>
          <w:tcPr>
            <w:tcW w:w="860" w:type="dxa"/>
            <w:vAlign w:val="bottom"/>
            <w:gridSpan w:val="2"/>
          </w:tcPr>
          <w:p>
            <w:pPr>
              <w:jc w:val="center"/>
              <w:ind w:left="46"/>
              <w:spacing w:after="0" w:line="171" w:lineRule="exact"/>
              <w:rPr>
                <w:sz w:val="20"/>
                <w:szCs w:val="20"/>
                <w:color w:val="auto"/>
              </w:rPr>
            </w:pPr>
            <w:r>
              <w:rPr>
                <w:rFonts w:ascii="Arial" w:cs="Arial" w:eastAsia="Arial" w:hAnsi="Arial"/>
                <w:sz w:val="15"/>
                <w:szCs w:val="15"/>
                <w:color w:val="auto"/>
              </w:rPr>
              <w:t>2013</w:t>
            </w:r>
          </w:p>
        </w:tc>
      </w:tr>
      <w:tr>
        <w:trPr>
          <w:trHeight w:val="182"/>
        </w:trPr>
        <w:tc>
          <w:tcPr>
            <w:tcW w:w="1680" w:type="dxa"/>
            <w:vAlign w:val="bottom"/>
          </w:tcPr>
          <w:p>
            <w:pPr>
              <w:spacing w:after="0"/>
              <w:rPr>
                <w:sz w:val="20"/>
                <w:szCs w:val="20"/>
                <w:color w:val="auto"/>
              </w:rPr>
            </w:pPr>
            <w:r>
              <w:rPr>
                <w:rFonts w:ascii="Arial" w:cs="Arial" w:eastAsia="Arial" w:hAnsi="Arial"/>
                <w:sz w:val="15"/>
                <w:szCs w:val="15"/>
                <w:color w:val="auto"/>
              </w:rPr>
              <w:t>Hawaii</w:t>
            </w:r>
            <w:r>
              <w:rPr>
                <w:rFonts w:ascii="Arial" w:cs="Arial" w:eastAsia="Arial" w:hAnsi="Arial"/>
                <w:sz w:val="9"/>
                <w:szCs w:val="9"/>
                <w:color w:val="58844D"/>
              </w:rPr>
              <w:t>b</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6"/>
              </w:rPr>
              <w:t>Solar</w:t>
            </w:r>
          </w:p>
        </w:tc>
        <w:tc>
          <w:tcPr>
            <w:tcW w:w="760" w:type="dxa"/>
            <w:vAlign w:val="bottom"/>
            <w:gridSpan w:val="2"/>
          </w:tcPr>
          <w:p>
            <w:pPr>
              <w:jc w:val="center"/>
              <w:ind w:left="46"/>
              <w:spacing w:after="0"/>
              <w:rPr>
                <w:sz w:val="20"/>
                <w:szCs w:val="20"/>
                <w:color w:val="auto"/>
              </w:rPr>
            </w:pPr>
            <w:r>
              <w:rPr>
                <w:rFonts w:ascii="Arial" w:cs="Arial" w:eastAsia="Arial" w:hAnsi="Arial"/>
                <w:sz w:val="15"/>
                <w:szCs w:val="15"/>
                <w:color w:val="auto"/>
                <w:w w:val="95"/>
              </w:rPr>
              <w:t>80</w:t>
            </w:r>
          </w:p>
        </w:tc>
        <w:tc>
          <w:tcPr>
            <w:tcW w:w="860" w:type="dxa"/>
            <w:vAlign w:val="bottom"/>
            <w:gridSpan w:val="2"/>
          </w:tcPr>
          <w:p>
            <w:pPr>
              <w:jc w:val="center"/>
              <w:ind w:left="46"/>
              <w:spacing w:after="0"/>
              <w:rPr>
                <w:sz w:val="20"/>
                <w:szCs w:val="20"/>
                <w:color w:val="auto"/>
              </w:rPr>
            </w:pPr>
            <w:r>
              <w:rPr>
                <w:rFonts w:ascii="Arial" w:cs="Arial" w:eastAsia="Arial" w:hAnsi="Arial"/>
                <w:sz w:val="15"/>
                <w:szCs w:val="15"/>
                <w:color w:val="auto"/>
              </w:rPr>
              <w:t>2019</w:t>
            </w:r>
          </w:p>
        </w:tc>
      </w:tr>
      <w:tr>
        <w:trPr>
          <w:trHeight w:val="171"/>
        </w:trPr>
        <w:tc>
          <w:tcPr>
            <w:tcW w:w="1680" w:type="dxa"/>
            <w:vAlign w:val="bottom"/>
          </w:tcPr>
          <w:p>
            <w:pPr>
              <w:spacing w:after="0" w:line="171" w:lineRule="exact"/>
              <w:rPr>
                <w:sz w:val="20"/>
                <w:szCs w:val="20"/>
                <w:color w:val="auto"/>
              </w:rPr>
            </w:pPr>
            <w:r>
              <w:rPr>
                <w:rFonts w:ascii="Arial" w:cs="Arial" w:eastAsia="Arial" w:hAnsi="Arial"/>
                <w:sz w:val="15"/>
                <w:szCs w:val="15"/>
                <w:color w:val="auto"/>
              </w:rPr>
              <w:t>Distributed Solar (up to</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680" w:type="dxa"/>
            <w:vAlign w:val="bottom"/>
          </w:tcPr>
          <w:p>
            <w:pPr>
              <w:ind w:left="160"/>
              <w:spacing w:after="0" w:line="171" w:lineRule="exact"/>
              <w:rPr>
                <w:sz w:val="20"/>
                <w:szCs w:val="20"/>
                <w:color w:val="auto"/>
              </w:rPr>
            </w:pPr>
            <w:r>
              <w:rPr>
                <w:rFonts w:ascii="Arial" w:cs="Arial" w:eastAsia="Arial" w:hAnsi="Arial"/>
                <w:sz w:val="15"/>
                <w:szCs w:val="15"/>
                <w:color w:val="auto"/>
              </w:rPr>
              <w:t>$190 million of equity</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680" w:type="dxa"/>
            <w:vAlign w:val="bottom"/>
          </w:tcPr>
          <w:p>
            <w:pPr>
              <w:ind w:left="160"/>
              <w:spacing w:after="0" w:line="171" w:lineRule="exact"/>
              <w:rPr>
                <w:sz w:val="20"/>
                <w:szCs w:val="20"/>
                <w:color w:val="auto"/>
              </w:rPr>
            </w:pPr>
            <w:r>
              <w:rPr>
                <w:rFonts w:ascii="Arial" w:cs="Arial" w:eastAsia="Arial" w:hAnsi="Arial"/>
                <w:sz w:val="15"/>
                <w:szCs w:val="15"/>
                <w:color w:val="auto"/>
              </w:rPr>
              <w:t>in distributed solar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680" w:type="dxa"/>
            <w:vAlign w:val="bottom"/>
          </w:tcPr>
          <w:p>
            <w:pPr>
              <w:ind w:left="160"/>
              <w:spacing w:after="0" w:line="171" w:lineRule="exact"/>
              <w:rPr>
                <w:sz w:val="20"/>
                <w:szCs w:val="20"/>
                <w:color w:val="auto"/>
              </w:rPr>
            </w:pPr>
            <w:r>
              <w:rPr>
                <w:rFonts w:ascii="Arial" w:cs="Arial" w:eastAsia="Arial" w:hAnsi="Arial"/>
                <w:sz w:val="15"/>
                <w:szCs w:val="15"/>
                <w:color w:val="auto"/>
              </w:rPr>
              <w:t>generation</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2"/>
        </w:trPr>
        <w:tc>
          <w:tcPr>
            <w:tcW w:w="1680" w:type="dxa"/>
            <w:vAlign w:val="bottom"/>
          </w:tcPr>
          <w:p>
            <w:pPr>
              <w:ind w:left="160"/>
              <w:spacing w:after="0"/>
              <w:rPr>
                <w:sz w:val="20"/>
                <w:szCs w:val="20"/>
                <w:color w:val="auto"/>
              </w:rPr>
            </w:pPr>
            <w:r>
              <w:rPr>
                <w:rFonts w:ascii="Arial" w:cs="Arial" w:eastAsia="Arial" w:hAnsi="Arial"/>
                <w:sz w:val="15"/>
                <w:szCs w:val="15"/>
                <w:color w:val="auto"/>
              </w:rPr>
              <w:t>portfolio(s))</w:t>
            </w:r>
            <w:r>
              <w:rPr>
                <w:rFonts w:ascii="Arial" w:cs="Arial" w:eastAsia="Arial" w:hAnsi="Arial"/>
                <w:sz w:val="9"/>
                <w:szCs w:val="9"/>
                <w:color w:val="58844D"/>
              </w:rPr>
              <w:t>b</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6"/>
              </w:rPr>
              <w:t>Solar</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9"/>
              </w:rPr>
              <w:t>various</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9"/>
              </w:rPr>
              <w:t>various</w:t>
            </w:r>
          </w:p>
        </w:tc>
      </w:tr>
      <w:tr>
        <w:trPr>
          <w:trHeight w:val="182"/>
        </w:trPr>
        <w:tc>
          <w:tcPr>
            <w:tcW w:w="1680" w:type="dxa"/>
            <w:vAlign w:val="bottom"/>
          </w:tcPr>
          <w:p>
            <w:pPr>
              <w:spacing w:after="0"/>
              <w:rPr>
                <w:sz w:val="20"/>
                <w:szCs w:val="20"/>
                <w:color w:val="auto"/>
              </w:rPr>
            </w:pPr>
            <w:r>
              <w:rPr>
                <w:rFonts w:ascii="Arial" w:cs="Arial" w:eastAsia="Arial" w:hAnsi="Arial"/>
                <w:sz w:val="15"/>
                <w:szCs w:val="15"/>
                <w:color w:val="auto"/>
              </w:rPr>
              <w:t>Buckthorn Solar</w:t>
            </w:r>
            <w:r>
              <w:rPr>
                <w:rFonts w:ascii="Arial" w:cs="Arial" w:eastAsia="Arial" w:hAnsi="Arial"/>
                <w:sz w:val="9"/>
                <w:szCs w:val="9"/>
                <w:color w:val="58844D"/>
              </w:rPr>
              <w:t>c</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6"/>
              </w:rPr>
              <w:t>Solar</w:t>
            </w:r>
          </w:p>
        </w:tc>
        <w:tc>
          <w:tcPr>
            <w:tcW w:w="760" w:type="dxa"/>
            <w:vAlign w:val="bottom"/>
            <w:gridSpan w:val="2"/>
          </w:tcPr>
          <w:p>
            <w:pPr>
              <w:jc w:val="center"/>
              <w:ind w:left="46"/>
              <w:spacing w:after="0"/>
              <w:rPr>
                <w:sz w:val="20"/>
                <w:szCs w:val="20"/>
                <w:color w:val="auto"/>
              </w:rPr>
            </w:pPr>
            <w:r>
              <w:rPr>
                <w:rFonts w:ascii="Arial" w:cs="Arial" w:eastAsia="Arial" w:hAnsi="Arial"/>
                <w:sz w:val="15"/>
                <w:szCs w:val="15"/>
                <w:color w:val="auto"/>
                <w:w w:val="95"/>
              </w:rPr>
              <w:t>154</w:t>
            </w:r>
          </w:p>
        </w:tc>
        <w:tc>
          <w:tcPr>
            <w:tcW w:w="860" w:type="dxa"/>
            <w:vAlign w:val="bottom"/>
            <w:gridSpan w:val="2"/>
          </w:tcPr>
          <w:p>
            <w:pPr>
              <w:jc w:val="center"/>
              <w:ind w:left="46"/>
              <w:spacing w:after="0"/>
              <w:rPr>
                <w:sz w:val="20"/>
                <w:szCs w:val="20"/>
                <w:color w:val="auto"/>
              </w:rPr>
            </w:pPr>
            <w:r>
              <w:rPr>
                <w:rFonts w:ascii="Arial" w:cs="Arial" w:eastAsia="Arial" w:hAnsi="Arial"/>
                <w:sz w:val="15"/>
                <w:szCs w:val="15"/>
                <w:color w:val="auto"/>
              </w:rPr>
              <w:t>2018</w:t>
            </w:r>
          </w:p>
        </w:tc>
      </w:tr>
      <w:tr>
        <w:trPr>
          <w:trHeight w:val="166"/>
        </w:trPr>
        <w:tc>
          <w:tcPr>
            <w:tcW w:w="1680" w:type="dxa"/>
            <w:vAlign w:val="bottom"/>
          </w:tcPr>
          <w:p>
            <w:pPr>
              <w:spacing w:after="0" w:line="166" w:lineRule="exact"/>
              <w:rPr>
                <w:sz w:val="20"/>
                <w:szCs w:val="20"/>
                <w:color w:val="auto"/>
              </w:rPr>
            </w:pPr>
            <w:r>
              <w:rPr>
                <w:rFonts w:ascii="Arial" w:cs="Arial" w:eastAsia="Arial" w:hAnsi="Arial"/>
                <w:sz w:val="15"/>
                <w:szCs w:val="15"/>
                <w:color w:val="auto"/>
              </w:rPr>
              <w:t>Carlsbad</w:t>
            </w:r>
            <w:r>
              <w:rPr>
                <w:rFonts w:ascii="Arial" w:cs="Arial" w:eastAsia="Arial" w:hAnsi="Arial"/>
                <w:sz w:val="9"/>
                <w:szCs w:val="9"/>
                <w:color w:val="58844D"/>
              </w:rPr>
              <w:t>d</w:t>
            </w:r>
          </w:p>
        </w:tc>
        <w:tc>
          <w:tcPr>
            <w:tcW w:w="1000" w:type="dxa"/>
            <w:vAlign w:val="bottom"/>
            <w:gridSpan w:val="2"/>
          </w:tcPr>
          <w:p>
            <w:pPr>
              <w:jc w:val="center"/>
              <w:ind w:left="66"/>
              <w:spacing w:after="0" w:line="166" w:lineRule="exact"/>
              <w:rPr>
                <w:sz w:val="20"/>
                <w:szCs w:val="20"/>
                <w:color w:val="auto"/>
              </w:rPr>
            </w:pPr>
            <w:r>
              <w:rPr>
                <w:rFonts w:ascii="Arial" w:cs="Arial" w:eastAsia="Arial" w:hAnsi="Arial"/>
                <w:sz w:val="15"/>
                <w:szCs w:val="15"/>
                <w:color w:val="auto"/>
                <w:w w:val="98"/>
              </w:rPr>
              <w:t>Conventional</w:t>
            </w:r>
          </w:p>
        </w:tc>
        <w:tc>
          <w:tcPr>
            <w:tcW w:w="760" w:type="dxa"/>
            <w:vAlign w:val="bottom"/>
            <w:gridSpan w:val="2"/>
          </w:tcPr>
          <w:p>
            <w:pPr>
              <w:jc w:val="center"/>
              <w:ind w:left="46"/>
              <w:spacing w:after="0" w:line="166" w:lineRule="exact"/>
              <w:rPr>
                <w:sz w:val="20"/>
                <w:szCs w:val="20"/>
                <w:color w:val="auto"/>
              </w:rPr>
            </w:pPr>
            <w:r>
              <w:rPr>
                <w:rFonts w:ascii="Arial" w:cs="Arial" w:eastAsia="Arial" w:hAnsi="Arial"/>
                <w:sz w:val="15"/>
                <w:szCs w:val="15"/>
                <w:color w:val="auto"/>
                <w:w w:val="95"/>
              </w:rPr>
              <w:t>527</w:t>
            </w:r>
          </w:p>
        </w:tc>
        <w:tc>
          <w:tcPr>
            <w:tcW w:w="860" w:type="dxa"/>
            <w:vAlign w:val="bottom"/>
            <w:gridSpan w:val="2"/>
          </w:tcPr>
          <w:p>
            <w:pPr>
              <w:jc w:val="center"/>
              <w:ind w:left="46"/>
              <w:spacing w:after="0" w:line="166" w:lineRule="exact"/>
              <w:rPr>
                <w:sz w:val="20"/>
                <w:szCs w:val="20"/>
                <w:color w:val="auto"/>
              </w:rPr>
            </w:pPr>
            <w:r>
              <w:rPr>
                <w:rFonts w:ascii="Arial" w:cs="Arial" w:eastAsia="Arial" w:hAnsi="Arial"/>
                <w:sz w:val="15"/>
                <w:szCs w:val="15"/>
                <w:color w:val="auto"/>
              </w:rPr>
              <w:t>2018</w:t>
            </w:r>
          </w:p>
        </w:tc>
      </w:tr>
    </w:tbl>
    <w:p>
      <w:pPr>
        <w:ind w:left="900" w:hanging="301"/>
        <w:spacing w:after="0" w:line="192" w:lineRule="auto"/>
        <w:tabs>
          <w:tab w:leader="none" w:pos="900" w:val="left"/>
        </w:tabs>
        <w:numPr>
          <w:ilvl w:val="0"/>
          <w:numId w:val="38"/>
        </w:numPr>
        <w:rPr>
          <w:rFonts w:ascii="Arial" w:cs="Arial" w:eastAsia="Arial" w:hAnsi="Arial"/>
          <w:sz w:val="18"/>
          <w:szCs w:val="18"/>
          <w:color w:val="58844D"/>
          <w:vertAlign w:val="superscript"/>
        </w:rPr>
      </w:pPr>
      <w:r>
        <w:rPr>
          <w:rFonts w:ascii="Arial" w:cs="Arial" w:eastAsia="Arial" w:hAnsi="Arial"/>
          <w:sz w:val="12"/>
          <w:szCs w:val="12"/>
          <w:color w:val="auto"/>
        </w:rPr>
        <w:t>Represents the maximum, or rated, electricity generating capacity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-95250</wp:posOffset>
            </wp:positionV>
            <wp:extent cx="2729230" cy="789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29230" cy="789305"/>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38"/>
        </w:trPr>
        <w:tc>
          <w:tcPr>
            <w:tcW w:w="180" w:type="dxa"/>
            <w:vAlign w:val="bottom"/>
          </w:tcPr>
          <w:p>
            <w:pPr>
              <w:spacing w:after="0"/>
              <w:rPr>
                <w:sz w:val="11"/>
                <w:szCs w:val="11"/>
                <w:color w:val="auto"/>
              </w:rPr>
            </w:pPr>
          </w:p>
        </w:tc>
        <w:tc>
          <w:tcPr>
            <w:tcW w:w="4060" w:type="dxa"/>
            <w:vAlign w:val="bottom"/>
            <w:gridSpan w:val="2"/>
          </w:tcPr>
          <w:p>
            <w:pPr>
              <w:ind w:left="120"/>
              <w:spacing w:after="0"/>
              <w:rPr>
                <w:sz w:val="20"/>
                <w:szCs w:val="20"/>
                <w:color w:val="auto"/>
              </w:rPr>
            </w:pPr>
            <w:r>
              <w:rPr>
                <w:rFonts w:ascii="Arial" w:cs="Arial" w:eastAsia="Arial" w:hAnsi="Arial"/>
                <w:sz w:val="12"/>
                <w:szCs w:val="12"/>
                <w:color w:val="auto"/>
              </w:rPr>
              <w:t>facility in MW multiplied by NRG's percentage ownership interest in the</w:t>
            </w:r>
          </w:p>
        </w:tc>
        <w:tc>
          <w:tcPr>
            <w:tcW w:w="0" w:type="dxa"/>
            <w:vAlign w:val="bottom"/>
          </w:tcPr>
          <w:p>
            <w:pPr>
              <w:spacing w:after="0"/>
              <w:rPr>
                <w:sz w:val="1"/>
                <w:szCs w:val="1"/>
                <w:color w:val="auto"/>
              </w:rPr>
            </w:pPr>
          </w:p>
        </w:tc>
      </w:tr>
      <w:tr>
        <w:trPr>
          <w:trHeight w:val="133"/>
        </w:trPr>
        <w:tc>
          <w:tcPr>
            <w:tcW w:w="180" w:type="dxa"/>
            <w:vAlign w:val="bottom"/>
            <w:vMerge w:val="restart"/>
          </w:tcPr>
          <w:p>
            <w:pPr>
              <w:spacing w:after="0"/>
              <w:rPr>
                <w:sz w:val="20"/>
                <w:szCs w:val="20"/>
                <w:color w:val="auto"/>
              </w:rPr>
            </w:pPr>
            <w:r>
              <w:rPr>
                <w:rFonts w:ascii="Arial" w:cs="Arial" w:eastAsia="Arial" w:hAnsi="Arial"/>
                <w:sz w:val="9"/>
                <w:szCs w:val="9"/>
                <w:color w:val="58844D"/>
              </w:rPr>
              <w:t>b</w:t>
            </w:r>
          </w:p>
        </w:tc>
        <w:tc>
          <w:tcPr>
            <w:tcW w:w="406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facility as of December 31, 2017.</w:t>
            </w:r>
          </w:p>
        </w:tc>
        <w:tc>
          <w:tcPr>
            <w:tcW w:w="0" w:type="dxa"/>
            <w:vAlign w:val="bottom"/>
          </w:tcPr>
          <w:p>
            <w:pPr>
              <w:spacing w:after="0"/>
              <w:rPr>
                <w:sz w:val="1"/>
                <w:szCs w:val="1"/>
                <w:color w:val="auto"/>
              </w:rPr>
            </w:pPr>
          </w:p>
        </w:tc>
      </w:tr>
      <w:tr>
        <w:trPr>
          <w:trHeight w:val="83"/>
        </w:trPr>
        <w:tc>
          <w:tcPr>
            <w:tcW w:w="180" w:type="dxa"/>
            <w:vAlign w:val="bottom"/>
            <w:vMerge w:val="continue"/>
          </w:tcPr>
          <w:p>
            <w:pPr>
              <w:spacing w:after="0"/>
              <w:rPr>
                <w:sz w:val="7"/>
                <w:szCs w:val="7"/>
                <w:color w:val="auto"/>
              </w:rPr>
            </w:pPr>
          </w:p>
        </w:tc>
        <w:tc>
          <w:tcPr>
            <w:tcW w:w="120" w:type="dxa"/>
            <w:vAlign w:val="bottom"/>
            <w:shd w:val="clear" w:color="auto" w:fill="E9EEE6"/>
          </w:tcPr>
          <w:p>
            <w:pPr>
              <w:spacing w:after="0"/>
              <w:rPr>
                <w:sz w:val="7"/>
                <w:szCs w:val="7"/>
                <w:color w:val="auto"/>
              </w:rPr>
            </w:pPr>
          </w:p>
        </w:tc>
        <w:tc>
          <w:tcPr>
            <w:tcW w:w="3940" w:type="dxa"/>
            <w:vAlign w:val="bottom"/>
            <w:vMerge w:val="restart"/>
            <w:shd w:val="clear" w:color="auto" w:fill="E9EEE6"/>
          </w:tcPr>
          <w:p>
            <w:pPr>
              <w:spacing w:after="0"/>
              <w:rPr>
                <w:sz w:val="20"/>
                <w:szCs w:val="20"/>
                <w:color w:val="auto"/>
              </w:rPr>
            </w:pPr>
            <w:r>
              <w:rPr>
                <w:rFonts w:ascii="Arial" w:cs="Arial" w:eastAsia="Arial" w:hAnsi="Arial"/>
                <w:sz w:val="12"/>
                <w:szCs w:val="12"/>
                <w:color w:val="auto"/>
              </w:rPr>
              <w:t>Hawaii and Distributed Solar are part of the ROFO Agreement. These</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20" w:type="dxa"/>
            <w:vAlign w:val="bottom"/>
            <w:shd w:val="clear" w:color="auto" w:fill="E9EEE6"/>
          </w:tcPr>
          <w:p>
            <w:pPr>
              <w:spacing w:after="0"/>
              <w:rPr>
                <w:sz w:val="5"/>
                <w:szCs w:val="5"/>
                <w:color w:val="auto"/>
              </w:rPr>
            </w:pPr>
          </w:p>
        </w:tc>
        <w:tc>
          <w:tcPr>
            <w:tcW w:w="3940" w:type="dxa"/>
            <w:vAlign w:val="bottom"/>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3940" w:type="dxa"/>
            <w:vAlign w:val="bottom"/>
            <w:shd w:val="clear" w:color="auto" w:fill="E9EEE6"/>
          </w:tcPr>
          <w:p>
            <w:pPr>
              <w:spacing w:after="0" w:line="137" w:lineRule="exact"/>
              <w:rPr>
                <w:sz w:val="20"/>
                <w:szCs w:val="20"/>
                <w:color w:val="auto"/>
              </w:rPr>
            </w:pPr>
            <w:r>
              <w:rPr>
                <w:rFonts w:ascii="Arial" w:cs="Arial" w:eastAsia="Arial" w:hAnsi="Arial"/>
                <w:sz w:val="12"/>
                <w:szCs w:val="12"/>
                <w:color w:val="auto"/>
              </w:rPr>
              <w:t>are not expected to be offered by NRG prior to consummation of the</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3940" w:type="dxa"/>
            <w:vAlign w:val="bottom"/>
            <w:shd w:val="clear" w:color="auto" w:fill="E9EEE6"/>
          </w:tcPr>
          <w:p>
            <w:pPr>
              <w:spacing w:after="0" w:line="137" w:lineRule="exact"/>
              <w:rPr>
                <w:sz w:val="20"/>
                <w:szCs w:val="20"/>
                <w:color w:val="auto"/>
              </w:rPr>
            </w:pPr>
            <w:r>
              <w:rPr>
                <w:rFonts w:ascii="Arial" w:cs="Arial" w:eastAsia="Arial" w:hAnsi="Arial"/>
                <w:sz w:val="12"/>
                <w:szCs w:val="12"/>
                <w:color w:val="auto"/>
              </w:rPr>
              <w:t>NRG Transaction and, at that time, would become part of a new right of</w:t>
            </w:r>
          </w:p>
        </w:tc>
        <w:tc>
          <w:tcPr>
            <w:tcW w:w="0" w:type="dxa"/>
            <w:vAlign w:val="bottom"/>
          </w:tcPr>
          <w:p>
            <w:pPr>
              <w:spacing w:after="0"/>
              <w:rPr>
                <w:sz w:val="1"/>
                <w:szCs w:val="1"/>
                <w:color w:val="auto"/>
              </w:rPr>
            </w:pPr>
          </w:p>
        </w:tc>
      </w:tr>
      <w:tr>
        <w:trPr>
          <w:trHeight w:val="133"/>
        </w:trPr>
        <w:tc>
          <w:tcPr>
            <w:tcW w:w="180" w:type="dxa"/>
            <w:vAlign w:val="bottom"/>
            <w:vMerge w:val="restart"/>
          </w:tcPr>
          <w:p>
            <w:pPr>
              <w:spacing w:after="0"/>
              <w:rPr>
                <w:sz w:val="20"/>
                <w:szCs w:val="20"/>
                <w:color w:val="auto"/>
              </w:rPr>
            </w:pPr>
            <w:r>
              <w:rPr>
                <w:rFonts w:ascii="Arial" w:cs="Arial" w:eastAsia="Arial" w:hAnsi="Arial"/>
                <w:sz w:val="9"/>
                <w:szCs w:val="9"/>
                <w:color w:val="58844D"/>
              </w:rPr>
              <w:t>c</w:t>
            </w:r>
          </w:p>
        </w:tc>
        <w:tc>
          <w:tcPr>
            <w:tcW w:w="120" w:type="dxa"/>
            <w:vAlign w:val="bottom"/>
            <w:shd w:val="clear" w:color="auto" w:fill="E9EEE6"/>
          </w:tcPr>
          <w:p>
            <w:pPr>
              <w:spacing w:after="0"/>
              <w:rPr>
                <w:sz w:val="11"/>
                <w:szCs w:val="11"/>
                <w:color w:val="auto"/>
              </w:rPr>
            </w:pPr>
          </w:p>
        </w:tc>
        <w:tc>
          <w:tcPr>
            <w:tcW w:w="3940" w:type="dxa"/>
            <w:vAlign w:val="bottom"/>
            <w:shd w:val="clear" w:color="auto" w:fill="E9EEE6"/>
          </w:tcPr>
          <w:p>
            <w:pPr>
              <w:spacing w:after="0" w:line="133" w:lineRule="exact"/>
              <w:rPr>
                <w:sz w:val="20"/>
                <w:szCs w:val="20"/>
                <w:color w:val="auto"/>
              </w:rPr>
            </w:pPr>
            <w:r>
              <w:rPr>
                <w:rFonts w:ascii="Arial" w:cs="Arial" w:eastAsia="Arial" w:hAnsi="Arial"/>
                <w:sz w:val="12"/>
                <w:szCs w:val="12"/>
                <w:color w:val="auto"/>
              </w:rPr>
              <w:t>first offer agreement with GIP.</w:t>
            </w:r>
          </w:p>
        </w:tc>
        <w:tc>
          <w:tcPr>
            <w:tcW w:w="0" w:type="dxa"/>
            <w:vAlign w:val="bottom"/>
          </w:tcPr>
          <w:p>
            <w:pPr>
              <w:spacing w:after="0"/>
              <w:rPr>
                <w:sz w:val="1"/>
                <w:szCs w:val="1"/>
                <w:color w:val="auto"/>
              </w:rPr>
            </w:pPr>
          </w:p>
        </w:tc>
      </w:tr>
      <w:tr>
        <w:trPr>
          <w:trHeight w:val="83"/>
        </w:trPr>
        <w:tc>
          <w:tcPr>
            <w:tcW w:w="180" w:type="dxa"/>
            <w:vAlign w:val="bottom"/>
            <w:vMerge w:val="continue"/>
          </w:tcPr>
          <w:p>
            <w:pPr>
              <w:spacing w:after="0"/>
              <w:rPr>
                <w:sz w:val="7"/>
                <w:szCs w:val="7"/>
                <w:color w:val="auto"/>
              </w:rPr>
            </w:pPr>
          </w:p>
        </w:tc>
        <w:tc>
          <w:tcPr>
            <w:tcW w:w="120" w:type="dxa"/>
            <w:vAlign w:val="bottom"/>
            <w:shd w:val="clear" w:color="auto" w:fill="E9EEE6"/>
          </w:tcPr>
          <w:p>
            <w:pPr>
              <w:spacing w:after="0"/>
              <w:rPr>
                <w:sz w:val="7"/>
                <w:szCs w:val="7"/>
                <w:color w:val="auto"/>
              </w:rPr>
            </w:pPr>
          </w:p>
        </w:tc>
        <w:tc>
          <w:tcPr>
            <w:tcW w:w="3940" w:type="dxa"/>
            <w:vAlign w:val="bottom"/>
            <w:vMerge w:val="restart"/>
            <w:shd w:val="clear" w:color="auto" w:fill="E9EEE6"/>
          </w:tcPr>
          <w:p>
            <w:pPr>
              <w:spacing w:after="0"/>
              <w:rPr>
                <w:sz w:val="20"/>
                <w:szCs w:val="20"/>
                <w:color w:val="auto"/>
              </w:rPr>
            </w:pPr>
            <w:r>
              <w:rPr>
                <w:rFonts w:ascii="Arial" w:cs="Arial" w:eastAsia="Arial" w:hAnsi="Arial"/>
                <w:sz w:val="12"/>
                <w:szCs w:val="12"/>
                <w:color w:val="auto"/>
              </w:rPr>
              <w:t>See "Purchase of NRG ROFO Assets" for further information.</w:t>
            </w:r>
          </w:p>
        </w:tc>
        <w:tc>
          <w:tcPr>
            <w:tcW w:w="0" w:type="dxa"/>
            <w:vAlign w:val="bottom"/>
          </w:tcPr>
          <w:p>
            <w:pPr>
              <w:spacing w:after="0"/>
              <w:rPr>
                <w:sz w:val="1"/>
                <w:szCs w:val="1"/>
                <w:color w:val="auto"/>
              </w:rPr>
            </w:pPr>
          </w:p>
        </w:tc>
      </w:tr>
      <w:tr>
        <w:trPr>
          <w:trHeight w:val="58"/>
        </w:trPr>
        <w:tc>
          <w:tcPr>
            <w:tcW w:w="180" w:type="dxa"/>
            <w:vAlign w:val="bottom"/>
            <w:vMerge w:val="restart"/>
          </w:tcPr>
          <w:p>
            <w:pPr>
              <w:spacing w:after="0"/>
              <w:rPr>
                <w:sz w:val="20"/>
                <w:szCs w:val="20"/>
                <w:color w:val="auto"/>
              </w:rPr>
            </w:pPr>
            <w:r>
              <w:rPr>
                <w:rFonts w:ascii="Arial" w:cs="Arial" w:eastAsia="Arial" w:hAnsi="Arial"/>
                <w:sz w:val="9"/>
                <w:szCs w:val="9"/>
                <w:color w:val="58844D"/>
              </w:rPr>
              <w:t>d</w:t>
            </w:r>
          </w:p>
        </w:tc>
        <w:tc>
          <w:tcPr>
            <w:tcW w:w="120" w:type="dxa"/>
            <w:vAlign w:val="bottom"/>
            <w:shd w:val="clear" w:color="auto" w:fill="E9EEE6"/>
          </w:tcPr>
          <w:p>
            <w:pPr>
              <w:spacing w:after="0"/>
              <w:rPr>
                <w:sz w:val="5"/>
                <w:szCs w:val="5"/>
                <w:color w:val="auto"/>
              </w:rPr>
            </w:pPr>
          </w:p>
        </w:tc>
        <w:tc>
          <w:tcPr>
            <w:tcW w:w="3940" w:type="dxa"/>
            <w:vAlign w:val="bottom"/>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80" w:type="dxa"/>
            <w:vAlign w:val="bottom"/>
            <w:vMerge w:val="continue"/>
          </w:tcPr>
          <w:p>
            <w:pPr>
              <w:spacing w:after="0"/>
              <w:rPr>
                <w:sz w:val="6"/>
                <w:szCs w:val="6"/>
                <w:color w:val="auto"/>
              </w:rPr>
            </w:pPr>
          </w:p>
        </w:tc>
        <w:tc>
          <w:tcPr>
            <w:tcW w:w="120" w:type="dxa"/>
            <w:vAlign w:val="bottom"/>
            <w:shd w:val="clear" w:color="auto" w:fill="E9EEE6"/>
          </w:tcPr>
          <w:p>
            <w:pPr>
              <w:spacing w:after="0"/>
              <w:rPr>
                <w:sz w:val="6"/>
                <w:szCs w:val="6"/>
                <w:color w:val="auto"/>
              </w:rPr>
            </w:pPr>
          </w:p>
        </w:tc>
        <w:tc>
          <w:tcPr>
            <w:tcW w:w="3940" w:type="dxa"/>
            <w:vAlign w:val="bottom"/>
            <w:vMerge w:val="restart"/>
            <w:shd w:val="clear" w:color="auto" w:fill="E9EEE6"/>
          </w:tcPr>
          <w:p>
            <w:pPr>
              <w:spacing w:after="0" w:line="133" w:lineRule="exact"/>
              <w:rPr>
                <w:sz w:val="20"/>
                <w:szCs w:val="20"/>
                <w:color w:val="auto"/>
              </w:rPr>
            </w:pPr>
            <w:r>
              <w:rPr>
                <w:rFonts w:ascii="Arial" w:cs="Arial" w:eastAsia="Arial" w:hAnsi="Arial"/>
                <w:sz w:val="12"/>
                <w:szCs w:val="12"/>
                <w:color w:val="auto"/>
              </w:rPr>
              <w:t>See "Purchase of NRG ROFO Assets" for further information.</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20" w:type="dxa"/>
            <w:vAlign w:val="bottom"/>
            <w:shd w:val="clear" w:color="auto" w:fill="E9EEE6"/>
          </w:tcPr>
          <w:p>
            <w:pPr>
              <w:spacing w:after="0"/>
              <w:rPr>
                <w:sz w:val="4"/>
                <w:szCs w:val="4"/>
                <w:color w:val="auto"/>
              </w:rPr>
            </w:pPr>
          </w:p>
        </w:tc>
        <w:tc>
          <w:tcPr>
            <w:tcW w:w="3940" w:type="dxa"/>
            <w:vAlign w:val="bottom"/>
            <w:vMerge w:val="continue"/>
            <w:shd w:val="clear" w:color="auto" w:fill="E9EEE6"/>
          </w:tcPr>
          <w:p>
            <w:pPr>
              <w:spacing w:after="0"/>
              <w:rPr>
                <w:sz w:val="4"/>
                <w:szCs w:val="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auto"/>
        </w:rPr>
        <w:t>Prior to engaging in any negotiation regarding any disposition, sale or other transfer of any of the remaining NRG ROFO Assets, NRG will deliver a written notice to us setting forth the material terms and conditions of the proposed transaction. During the 30-day period after the delivery of such notice, we will negotiate with NRG in good faith to reach an agreement on the transaction. If the parties do not reach an agreement within such 30-day period, NRG will be able within the next 180 calendar days to sell, transfer, dispose or recontract such NRG ROFO Asset to a third party (or to agree in writing to undertake such transaction with a third party) on terms generally no less favorable to NRG than those offered pursuant to the written notice.</w:t>
      </w:r>
    </w:p>
    <w:p>
      <w:pPr>
        <w:spacing w:after="0" w:line="182" w:lineRule="exact"/>
        <w:rPr>
          <w:sz w:val="20"/>
          <w:szCs w:val="20"/>
          <w:color w:val="auto"/>
        </w:rPr>
      </w:pPr>
    </w:p>
    <w:p>
      <w:pPr>
        <w:jc w:val="both"/>
        <w:ind w:right="140"/>
        <w:spacing w:after="0" w:line="237" w:lineRule="auto"/>
        <w:rPr>
          <w:sz w:val="20"/>
          <w:szCs w:val="20"/>
          <w:color w:val="auto"/>
        </w:rPr>
      </w:pPr>
      <w:r>
        <w:rPr>
          <w:rFonts w:ascii="Arial" w:cs="Arial" w:eastAsia="Arial" w:hAnsi="Arial"/>
          <w:sz w:val="15"/>
          <w:szCs w:val="15"/>
          <w:color w:val="auto"/>
        </w:rPr>
        <w:t>Under the ROFO Agreement, NRG is not obligated to sell the remaining NRG ROFO Assets. In addition, any offer to sell under the ROFO Agreement will be subject to an inherent conflict of interest because the same professionals within NRG's organization that are involved in acquisitions that are suitable for us have responsibilities within NRG's broader asset management business.</w:t>
      </w:r>
    </w:p>
    <w:p>
      <w:pPr>
        <w:spacing w:after="0" w:line="3"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Notwithstanding the significance of the services to be rendered by NRG or its designated affiliates on our behalf or of the assets which we may elect to acquire from NRG in accordance with the terms of the ROFO Agreement or otherwise, NRG does not owe fiduciary duties to us or our stockholders. Any material transaction with NRG (including the proposed acquisition of any NRG ROFO Asset) will be subject to our related person transaction policy, which will require prior approval of such transaction by our Corporate Governance, Conflicts and Nominating Committee. Those of our executive officers who have economic interests in NRG may be conflicted when advising our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165100</wp:posOffset>
            </wp:positionV>
            <wp:extent cx="7273290"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0" w:space="720"/>
            <w:col w:w="5380"/>
          </w:cols>
          <w:pgMar w:left="240" w:top="142" w:right="2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45" w:lineRule="auto"/>
        <w:rPr>
          <w:sz w:val="20"/>
          <w:szCs w:val="20"/>
          <w:color w:val="auto"/>
        </w:rPr>
      </w:pPr>
      <w:r>
        <w:rPr>
          <w:rFonts w:ascii="Arial" w:cs="Arial" w:eastAsia="Arial" w:hAnsi="Arial"/>
          <w:sz w:val="15"/>
          <w:szCs w:val="15"/>
          <w:color w:val="auto"/>
        </w:rPr>
        <w:t>Governance, Conflicts and Nominating Committee or otherwise participating in the negotiation or approval of such transactions.</w:t>
      </w: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Upon closing of the NRG Transaction, the Company will enter into a right of first offer agreement with GIP 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58844D"/>
        </w:rPr>
        <w:t>Purchase of NRG ROFO Assets</w:t>
      </w:r>
    </w:p>
    <w:p>
      <w:pPr>
        <w:spacing w:after="0" w:line="189"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On February 6, 2018, the Company entered into an agreement with NRG to purchase its interest in Carlsbad Energy Holdings LLC, which owns 100% of Carlsbad Energy Center LLC, which indirectly owns the Carlsbad project, a 527 MW natural gas fired project in Carlsbad, CA, pursuant to the ROFO Agreement. The purchase price for the transaction is $365 million in cash consideration, subject to customary working capital and other adjustments. The transaction is expected to close in the fourth quarter of 2018 and is contingent upon the consummation of the NRG Transaction.</w:t>
      </w:r>
    </w:p>
    <w:p>
      <w:pPr>
        <w:spacing w:after="0" w:line="176"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On January 24, 2018, the Company entered into an agreement with NRG to purchase 100% of NRG's ownership interest in Buckthorn Solar for total consideration of $42 million plus working capital adjustments and is expected to close in the first quarter of 2018.</w:t>
      </w:r>
    </w:p>
    <w:p>
      <w:pPr>
        <w:spacing w:after="0" w:line="176"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On November 1, 2017, the Company acquired a 38 MW solar portfolio primarily comprised of assets from NRG's Solar Power Partners (SPP) funds and other projects developed by NRG, for cash consideration of $74 million plus assumed non-recourse debt of $26 million.</w:t>
      </w:r>
    </w:p>
    <w:p>
      <w:pPr>
        <w:spacing w:after="0" w:line="176" w:lineRule="exact"/>
        <w:rPr>
          <w:sz w:val="20"/>
          <w:szCs w:val="20"/>
          <w:color w:val="auto"/>
        </w:rPr>
      </w:pPr>
    </w:p>
    <w:p>
      <w:pPr>
        <w:ind w:right="140"/>
        <w:spacing w:after="0" w:line="239" w:lineRule="auto"/>
        <w:rPr>
          <w:sz w:val="20"/>
          <w:szCs w:val="20"/>
          <w:color w:val="auto"/>
        </w:rPr>
      </w:pPr>
      <w:r>
        <w:rPr>
          <w:rFonts w:ascii="Arial" w:cs="Arial" w:eastAsia="Arial" w:hAnsi="Arial"/>
          <w:sz w:val="15"/>
          <w:szCs w:val="15"/>
          <w:color w:val="auto"/>
        </w:rPr>
        <w:t>On August 1, 2017, the Company acquired the remaining 25% interest in NRG Wind TE Holdco, a portfolio of 12 wind projects, from NRG for total cash consideration of $44 million, including working capital adjustment of $3 million. The purchase agreement also included potential additional payments to NRG dependent upon actual energy prices for merchant periods beginning in 2027, which were estimated and accrued as contingent consideration in the amount of $8 million as of September 30, 2017.</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On March 27, 2017, the Company acquired the following interests from NRG (March 2017 Drop Down Assets): (i) Agua Caliente Borrower 2 LLC, which owns a 16% interest (approximately 31% of NRG's 51% interest) in the Agua Caliente solar farm, one of the ROFO Assets, representing ownership of approximately 46 net MW of capacity and (ii) NRG's interests in the Utah Solar Portfolio (defined below). Agua Caliente is located in Yuma County, AZ and sells power subject to a 25-year Power Purchase Agreement (PPA) with Pacific Gas and Electric, with 22 years remaining on that contract. The seven utility-scale solar farms in the Utah Solar Portfolio are owned by the following entities: Four Brothers</w:t>
      </w:r>
    </w:p>
    <w:p>
      <w:pPr>
        <w:spacing w:after="0" w:line="6" w:lineRule="exact"/>
        <w:rPr>
          <w:sz w:val="20"/>
          <w:szCs w:val="20"/>
          <w:color w:val="auto"/>
        </w:rPr>
      </w:pPr>
    </w:p>
    <w:p>
      <w:pPr>
        <w:ind w:right="420"/>
        <w:spacing w:after="0" w:line="245" w:lineRule="auto"/>
        <w:rPr>
          <w:sz w:val="20"/>
          <w:szCs w:val="20"/>
          <w:color w:val="auto"/>
        </w:rPr>
      </w:pPr>
      <w:r>
        <w:rPr>
          <w:rFonts w:ascii="Arial" w:cs="Arial" w:eastAsia="Arial" w:hAnsi="Arial"/>
          <w:sz w:val="15"/>
          <w:szCs w:val="15"/>
          <w:color w:val="auto"/>
        </w:rPr>
        <w:t>Capital, LLC, Iron Springs Capital, LLC, and Granite Mountain Capital, LLC. These utility- scale solar farms achieved commercial operations in</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29</w:t>
      </w:r>
    </w:p>
    <w:p>
      <w:pPr>
        <w:spacing w:after="0" w:line="376"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2016, sell power subject to 20-year PPAs with PacifiCorp, a subsidiary of Berkshire Hathaway and are part of a tax equity structure with Dominion Solar Projects III, Inc., through which the Company is entitled to receive 50% of cash to be distributed. The Company paid cash consideration of $130 million, plus</w:t>
      </w:r>
    </w:p>
    <w:p>
      <w:pPr>
        <w:spacing w:after="0" w:line="3" w:lineRule="exact"/>
        <w:rPr>
          <w:sz w:val="20"/>
          <w:szCs w:val="20"/>
          <w:color w:val="auto"/>
        </w:rPr>
      </w:pPr>
    </w:p>
    <w:p>
      <w:pPr>
        <w:ind w:right="180"/>
        <w:spacing w:after="0" w:line="239" w:lineRule="auto"/>
        <w:rPr>
          <w:sz w:val="20"/>
          <w:szCs w:val="20"/>
          <w:color w:val="auto"/>
        </w:rPr>
      </w:pPr>
      <w:r>
        <w:rPr>
          <w:rFonts w:ascii="Arial" w:cs="Arial" w:eastAsia="Arial" w:hAnsi="Arial"/>
          <w:sz w:val="15"/>
          <w:szCs w:val="15"/>
          <w:color w:val="auto"/>
        </w:rPr>
        <w:t>$2 million of working capital.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The Utah Solar Portfolio consists of Four Brothers Solar, LLC, Granite Mountain Holdings, LLC, and Iron Springs Holdings, LLC, which are equity investments owned by Four Brothers Holdings, LLC, Granite Mountain Renewables, LLC, and Iron Springs Renewables, LLC,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58844D"/>
        </w:rPr>
        <w:t>Partnerships with NRG</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NRG DGPV HOLDCO 1 LLC</w:t>
      </w:r>
    </w:p>
    <w:p>
      <w:pPr>
        <w:spacing w:after="0" w:line="19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On May 8, 2015, NRG Yield DGPV Holding LLC, our wholly-owned subsidiary, and NRG entered into a partnership by forming NRG DGPV Holdco 1 LLC (DGPV Holdco 1), the purpose of which is to own or purchase solar power generation projects and other ancillary related assets from NRG Renew LLC or its subsidiaries, via intermediate funds. The Company owns approximately 47 MW of distributed solar capacity, based on cash to be distributed, with a weighted average contract life of 18 years. All of these investments relate to the Company's $100 million commitment to distributed solar projects in partnership with NRG.</w:t>
      </w:r>
    </w:p>
    <w:p>
      <w:pPr>
        <w:spacing w:after="0" w:line="166" w:lineRule="exact"/>
        <w:rPr>
          <w:sz w:val="20"/>
          <w:szCs w:val="20"/>
          <w:color w:val="auto"/>
        </w:rPr>
      </w:pPr>
    </w:p>
    <w:p>
      <w:pPr>
        <w:ind w:right="340"/>
        <w:spacing w:after="0" w:line="245" w:lineRule="auto"/>
        <w:rPr>
          <w:sz w:val="20"/>
          <w:szCs w:val="20"/>
          <w:color w:val="auto"/>
        </w:rPr>
      </w:pPr>
      <w:r>
        <w:rPr>
          <w:rFonts w:ascii="Arial" w:cs="Arial" w:eastAsia="Arial" w:hAnsi="Arial"/>
          <w:sz w:val="15"/>
          <w:szCs w:val="15"/>
          <w:color w:val="auto"/>
        </w:rPr>
        <w:t>The Company's maximum exposure to loss is limited to its equity investment, which was $75 million as of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NRG DGPV HOLDCO 2 LLC</w:t>
      </w:r>
    </w:p>
    <w:p>
      <w:pPr>
        <w:spacing w:after="0" w:line="199" w:lineRule="exact"/>
        <w:rPr>
          <w:sz w:val="20"/>
          <w:szCs w:val="20"/>
          <w:color w:val="auto"/>
        </w:rPr>
      </w:pPr>
    </w:p>
    <w:p>
      <w:pPr>
        <w:ind w:right="160"/>
        <w:spacing w:after="0" w:line="254" w:lineRule="auto"/>
        <w:rPr>
          <w:sz w:val="20"/>
          <w:szCs w:val="20"/>
          <w:color w:val="auto"/>
        </w:rPr>
      </w:pPr>
      <w:r>
        <w:rPr>
          <w:rFonts w:ascii="Arial" w:cs="Arial" w:eastAsia="Arial" w:hAnsi="Arial"/>
          <w:sz w:val="14"/>
          <w:szCs w:val="14"/>
          <w:color w:val="auto"/>
        </w:rPr>
        <w:t>On February 29, 2016, NRG Yield DGPV Holding LLC, our wholly-owned subsidiary, and NRG entered into a partnership by forming NRG DGPV Holdco 2 LLC (DGPV Holdco 2), to own or purchase solar power generation projects as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well as other ancillary related assets from NRG Renew LLC or its subsidiaries, via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intermediate funds. The Company owns approximately 113 MW of distributed</w:t>
      </w:r>
    </w:p>
    <w:p>
      <w:pPr>
        <w:spacing w:after="0" w:line="237" w:lineRule="auto"/>
        <w:rPr>
          <w:sz w:val="20"/>
          <w:szCs w:val="20"/>
          <w:color w:val="auto"/>
        </w:rPr>
      </w:pPr>
      <w:r>
        <w:rPr>
          <w:rFonts w:ascii="Arial" w:cs="Arial" w:eastAsia="Arial" w:hAnsi="Arial"/>
          <w:sz w:val="15"/>
          <w:szCs w:val="15"/>
          <w:color w:val="auto"/>
        </w:rPr>
        <w:t>solar capacity, based on cash to be distributed, with a weighted average contract</w:t>
      </w:r>
    </w:p>
    <w:p>
      <w:pPr>
        <w:spacing w:after="0"/>
        <w:rPr>
          <w:sz w:val="20"/>
          <w:szCs w:val="20"/>
          <w:color w:val="auto"/>
        </w:rPr>
      </w:pPr>
      <w:r>
        <w:rPr>
          <w:rFonts w:ascii="Arial" w:cs="Arial" w:eastAsia="Arial" w:hAnsi="Arial"/>
          <w:sz w:val="15"/>
          <w:szCs w:val="15"/>
          <w:color w:val="auto"/>
        </w:rPr>
        <w:t>life of 21 years. Under this partnership, the Company committed to fund up to</w:t>
      </w:r>
    </w:p>
    <w:p>
      <w:pPr>
        <w:spacing w:after="0" w:line="237" w:lineRule="auto"/>
        <w:rPr>
          <w:sz w:val="20"/>
          <w:szCs w:val="20"/>
          <w:color w:val="auto"/>
        </w:rPr>
      </w:pPr>
      <w:r>
        <w:rPr>
          <w:rFonts w:ascii="Arial" w:cs="Arial" w:eastAsia="Arial" w:hAnsi="Arial"/>
          <w:sz w:val="15"/>
          <w:szCs w:val="15"/>
          <w:color w:val="auto"/>
        </w:rPr>
        <w:t>$60 million of capital. The Company's maximum exposure to loss is limited to its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equity investment, which was $62 million as of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NRG DGPV HOLDCO 3 LLC</w:t>
      </w:r>
    </w:p>
    <w:p>
      <w:pPr>
        <w:spacing w:after="0" w:line="199" w:lineRule="exact"/>
        <w:rPr>
          <w:sz w:val="20"/>
          <w:szCs w:val="20"/>
          <w:color w:val="auto"/>
        </w:rPr>
      </w:pPr>
    </w:p>
    <w:p>
      <w:pPr>
        <w:ind w:right="220"/>
        <w:spacing w:after="0" w:line="254" w:lineRule="auto"/>
        <w:rPr>
          <w:sz w:val="20"/>
          <w:szCs w:val="20"/>
          <w:color w:val="auto"/>
        </w:rPr>
      </w:pPr>
      <w:r>
        <w:rPr>
          <w:rFonts w:ascii="Arial" w:cs="Arial" w:eastAsia="Arial" w:hAnsi="Arial"/>
          <w:sz w:val="14"/>
          <w:szCs w:val="14"/>
          <w:color w:val="auto"/>
        </w:rPr>
        <w:t>On September 26, 2017, NRG Yield DGPV Holding LLC, our wholly-owned subsidiary, and NRG entered into a partnership by forming NRG DGPV Holdco</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5"/>
          <w:szCs w:val="15"/>
          <w:color w:val="auto"/>
        </w:rPr>
        <w:t>3 LLC (DGPV Holdco 3), in which the Company would invest up to $50 million in an operating portfolio of distributed solar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264160</wp:posOffset>
            </wp:positionV>
            <wp:extent cx="7273290"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0" w:space="700"/>
            <w:col w:w="5380"/>
          </w:cols>
          <w:pgMar w:left="240" w:top="142"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assets, primarily comprised of community solar projects, developed by NRG. The Company owns approximately 43 MW of distributed solar capacity, based on cash to be distributed, with a weighted average contract life of approximately 20 years as of December 31, 2017. The Company's maximum exposure to loss is limited to its equity investment, which was $39 million as of December 31, 2017.</w:t>
      </w:r>
    </w:p>
    <w:p>
      <w:pPr>
        <w:spacing w:after="0" w:line="162"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 Company's maximum exposure to loss is limited to its equity investment in DGPV Holdco 1, DGPV Holdco 2 and DGPV Holdco 3, which was $176 million on a combined basis.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NRG RPV HOLDCO 1 LLC</w:t>
      </w:r>
    </w:p>
    <w:p>
      <w:pPr>
        <w:spacing w:after="0" w:line="199"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On April 9, 2015, NRG Yield RPV Holding LLC, our wholly-owned subsidiary, and NRG Residential Solar Solutions LLC, a subsidiary of NRG, entered into a partnership by forming</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30</w:t>
      </w:r>
    </w:p>
    <w:p>
      <w:pPr>
        <w:spacing w:after="0" w:line="376"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NRG RPV Holdco 1 LLC (RPV Holdco), that holds operating portfolios of residential solar assets developed by NRG Home Solar, a subsidiary of NRG, including: (i) an existing, unlevered portfolio of over 2,200 leases across nine states representing approximately 14 MW, based on cash to be distributed, with a weighted average remaining lease term of approximately 15 years that was acquired outside the partnership; and (ii) a tax equity-financed portfolios of approximately 5,400 leases representing approximately 30 MW, based on cash to be distributed, with an average lease term for the existing and new leases of approximately 18 years. The Company has fully funded the partnership as of December 31, 2017.</w:t>
      </w:r>
    </w:p>
    <w:p>
      <w:pPr>
        <w:spacing w:after="0" w:line="182" w:lineRule="exact"/>
        <w:rPr>
          <w:sz w:val="20"/>
          <w:szCs w:val="20"/>
          <w:color w:val="auto"/>
        </w:rPr>
      </w:pPr>
    </w:p>
    <w:p>
      <w:pPr>
        <w:ind w:right="340"/>
        <w:spacing w:after="0" w:line="245" w:lineRule="auto"/>
        <w:rPr>
          <w:sz w:val="20"/>
          <w:szCs w:val="20"/>
          <w:color w:val="auto"/>
        </w:rPr>
      </w:pPr>
      <w:r>
        <w:rPr>
          <w:rFonts w:ascii="Arial" w:cs="Arial" w:eastAsia="Arial" w:hAnsi="Arial"/>
          <w:sz w:val="15"/>
          <w:szCs w:val="15"/>
          <w:color w:val="auto"/>
        </w:rPr>
        <w:t>The Company's maximum exposure to loss is limited to its equity investment, which was $58 million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394335</wp:posOffset>
            </wp:positionV>
            <wp:extent cx="7273290"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0" w:space="700"/>
            <w:col w:w="5380"/>
          </w:cols>
          <w:pgMar w:left="240" w:top="142"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31</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58844D"/>
        </w:rPr>
        <w:t>Operations and Maintenance Agreements</w:t>
      </w:r>
    </w:p>
    <w:p>
      <w:pPr>
        <w:spacing w:after="0" w:line="189" w:lineRule="exact"/>
        <w:rPr>
          <w:sz w:val="20"/>
          <w:szCs w:val="20"/>
          <w:color w:val="auto"/>
        </w:rPr>
      </w:pPr>
    </w:p>
    <w:p>
      <w:pPr>
        <w:ind w:right="80"/>
        <w:spacing w:after="0"/>
        <w:rPr>
          <w:sz w:val="20"/>
          <w:szCs w:val="20"/>
          <w:color w:val="auto"/>
        </w:rPr>
      </w:pPr>
      <w:r>
        <w:rPr>
          <w:rFonts w:ascii="Arial" w:cs="Arial" w:eastAsia="Arial" w:hAnsi="Arial"/>
          <w:sz w:val="15"/>
          <w:szCs w:val="15"/>
          <w:color w:val="auto"/>
        </w:rPr>
        <w:t>Affiliates of NRG provide day-to-day operational and management support to certain of our project-level entities in accordance with operations and maintenance (O&amp;M) agreements. The O&amp;M agreements for which the amount involved exceeded $120,000 during fiscal year 2017 are described in the table below. Under these O&amp;M agreements, we generally pay an annual or monthly fee, which may be subject to annual adjustment, plus any reimbursable expenses. Each of the counterparties to the O&amp;M agreements is an indirect wholly-owned subsidiary of NRG.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3380" w:type="dxa"/>
            <w:vAlign w:val="bottom"/>
            <w:shd w:val="clear" w:color="auto" w:fill="58854E"/>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9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APPROXIMATE</w:t>
            </w:r>
          </w:p>
        </w:tc>
        <w:tc>
          <w:tcPr>
            <w:tcW w:w="1260" w:type="dxa"/>
            <w:vAlign w:val="bottom"/>
          </w:tcPr>
          <w:p>
            <w:pPr>
              <w:spacing w:after="0"/>
              <w:rPr>
                <w:sz w:val="12"/>
                <w:szCs w:val="12"/>
                <w:color w:val="auto"/>
              </w:rPr>
            </w:pPr>
          </w:p>
        </w:tc>
      </w:tr>
      <w:tr>
        <w:trPr>
          <w:trHeight w:val="137"/>
        </w:trPr>
        <w:tc>
          <w:tcPr>
            <w:tcW w:w="1140" w:type="dxa"/>
            <w:vAlign w:val="bottom"/>
          </w:tcPr>
          <w:p>
            <w:pPr>
              <w:spacing w:after="0"/>
              <w:rPr>
                <w:sz w:val="11"/>
                <w:szCs w:val="11"/>
                <w:color w:val="auto"/>
              </w:rPr>
            </w:pPr>
          </w:p>
        </w:tc>
        <w:tc>
          <w:tcPr>
            <w:tcW w:w="3380" w:type="dxa"/>
            <w:vAlign w:val="bottom"/>
            <w:shd w:val="clear" w:color="auto" w:fill="58854E"/>
          </w:tcPr>
          <w:p>
            <w:pPr>
              <w:spacing w:after="0" w:line="137" w:lineRule="exact"/>
              <w:rPr>
                <w:sz w:val="20"/>
                <w:szCs w:val="20"/>
                <w:color w:val="auto"/>
              </w:rPr>
            </w:pPr>
            <w:r>
              <w:rPr>
                <w:rFonts w:ascii="Arial" w:cs="Arial" w:eastAsia="Arial" w:hAnsi="Arial"/>
                <w:sz w:val="12"/>
                <w:szCs w:val="12"/>
                <w:b w:val="1"/>
                <w:bCs w:val="1"/>
                <w:color w:val="FFFFFE"/>
              </w:rPr>
              <w:t>PROJECT</w:t>
            </w:r>
          </w:p>
        </w:tc>
        <w:tc>
          <w:tcPr>
            <w:tcW w:w="100" w:type="dxa"/>
            <w:vAlign w:val="bottom"/>
          </w:tcPr>
          <w:p>
            <w:pPr>
              <w:spacing w:after="0"/>
              <w:rPr>
                <w:sz w:val="11"/>
                <w:szCs w:val="11"/>
                <w:color w:val="auto"/>
              </w:rPr>
            </w:pPr>
          </w:p>
        </w:tc>
        <w:tc>
          <w:tcPr>
            <w:tcW w:w="4380" w:type="dxa"/>
            <w:vAlign w:val="bottom"/>
            <w:shd w:val="clear" w:color="auto" w:fill="58854E"/>
          </w:tcPr>
          <w:p>
            <w:pPr>
              <w:ind w:left="1380"/>
              <w:spacing w:after="0" w:line="137" w:lineRule="exact"/>
              <w:rPr>
                <w:sz w:val="20"/>
                <w:szCs w:val="20"/>
                <w:color w:val="auto"/>
              </w:rPr>
            </w:pPr>
            <w:r>
              <w:rPr>
                <w:rFonts w:ascii="Arial" w:cs="Arial" w:eastAsia="Arial" w:hAnsi="Arial"/>
                <w:sz w:val="12"/>
                <w:szCs w:val="12"/>
                <w:b w:val="1"/>
                <w:bCs w:val="1"/>
                <w:color w:val="FFFFFE"/>
              </w:rPr>
              <w:t>AGREEMENT DESCRIPTION</w:t>
            </w:r>
          </w:p>
        </w:tc>
        <w:tc>
          <w:tcPr>
            <w:tcW w:w="12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9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AMOUNT</w:t>
            </w:r>
          </w:p>
        </w:tc>
        <w:tc>
          <w:tcPr>
            <w:tcW w:w="1260" w:type="dxa"/>
            <w:vAlign w:val="bottom"/>
          </w:tcPr>
          <w:p>
            <w:pPr>
              <w:spacing w:after="0"/>
              <w:rPr>
                <w:sz w:val="11"/>
                <w:szCs w:val="11"/>
                <w:color w:val="auto"/>
              </w:rPr>
            </w:pPr>
          </w:p>
        </w:tc>
      </w:tr>
      <w:tr>
        <w:trPr>
          <w:trHeight w:val="147"/>
        </w:trPr>
        <w:tc>
          <w:tcPr>
            <w:tcW w:w="1140" w:type="dxa"/>
            <w:vAlign w:val="bottom"/>
          </w:tcPr>
          <w:p>
            <w:pPr>
              <w:spacing w:after="0"/>
              <w:rPr>
                <w:sz w:val="12"/>
                <w:szCs w:val="12"/>
                <w:color w:val="auto"/>
              </w:rPr>
            </w:pPr>
          </w:p>
        </w:tc>
        <w:tc>
          <w:tcPr>
            <w:tcW w:w="3380" w:type="dxa"/>
            <w:vAlign w:val="bottom"/>
            <w:shd w:val="clear" w:color="auto" w:fill="58854E"/>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9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INVOLVED</w:t>
            </w:r>
          </w:p>
        </w:tc>
        <w:tc>
          <w:tcPr>
            <w:tcW w:w="1260" w:type="dxa"/>
            <w:vAlign w:val="bottom"/>
          </w:tcPr>
          <w:p>
            <w:pPr>
              <w:spacing w:after="0"/>
              <w:rPr>
                <w:sz w:val="12"/>
                <w:szCs w:val="12"/>
                <w:color w:val="auto"/>
              </w:rPr>
            </w:pPr>
          </w:p>
        </w:tc>
      </w:tr>
      <w:tr>
        <w:trPr>
          <w:trHeight w:val="171"/>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71" w:lineRule="exact"/>
              <w:rPr>
                <w:sz w:val="20"/>
                <w:szCs w:val="20"/>
                <w:color w:val="auto"/>
              </w:rPr>
            </w:pPr>
            <w:r>
              <w:rPr>
                <w:rFonts w:ascii="Arial" w:cs="Arial" w:eastAsia="Arial" w:hAnsi="Arial"/>
                <w:sz w:val="15"/>
                <w:szCs w:val="15"/>
                <w:b w:val="1"/>
                <w:bCs w:val="1"/>
                <w:color w:val="auto"/>
              </w:rPr>
              <w:t>Conventional</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rPr>
                <w:sz w:val="14"/>
                <w:szCs w:val="14"/>
                <w:color w:val="auto"/>
              </w:rPr>
            </w:pPr>
          </w:p>
        </w:tc>
        <w:tc>
          <w:tcPr>
            <w:tcW w:w="120" w:type="dxa"/>
            <w:vAlign w:val="bottom"/>
            <w:tcBorders>
              <w:bottom w:val="single" w:sz="8" w:color="58854E"/>
            </w:tcBorders>
          </w:tcPr>
          <w:p>
            <w:pPr>
              <w:spacing w:after="0"/>
              <w:rPr>
                <w:sz w:val="14"/>
                <w:szCs w:val="14"/>
                <w:color w:val="auto"/>
              </w:rPr>
            </w:pPr>
          </w:p>
        </w:tc>
        <w:tc>
          <w:tcPr>
            <w:tcW w:w="100" w:type="dxa"/>
            <w:vAlign w:val="bottom"/>
            <w:tcBorders>
              <w:bottom w:val="single" w:sz="8" w:color="58854E"/>
            </w:tcBorders>
          </w:tcPr>
          <w:p>
            <w:pPr>
              <w:spacing w:after="0"/>
              <w:rPr>
                <w:sz w:val="14"/>
                <w:szCs w:val="14"/>
                <w:color w:val="auto"/>
              </w:rPr>
            </w:pPr>
          </w:p>
        </w:tc>
        <w:tc>
          <w:tcPr>
            <w:tcW w:w="960" w:type="dxa"/>
            <w:vAlign w:val="bottom"/>
            <w:tcBorders>
              <w:bottom w:val="single" w:sz="8" w:color="58854E"/>
            </w:tcBorders>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GenConn Devon</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April 24, 2009</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2,868,000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GenConn Middletown</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April 24, 2009</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2,494,000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El Segundo Energy Center</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Management Agreement, dated March 31, 2011</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4,868,000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Walnut Creek</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July 1, 2011</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3,076,000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b w:val="1"/>
                <w:bCs w:val="1"/>
                <w:color w:val="auto"/>
              </w:rPr>
              <w:t>Thermal</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rPr>
                <w:sz w:val="14"/>
                <w:szCs w:val="14"/>
                <w:color w:val="auto"/>
              </w:rPr>
            </w:pPr>
          </w:p>
        </w:tc>
        <w:tc>
          <w:tcPr>
            <w:tcW w:w="120" w:type="dxa"/>
            <w:vAlign w:val="bottom"/>
            <w:tcBorders>
              <w:bottom w:val="single" w:sz="8" w:color="58854E"/>
            </w:tcBorders>
          </w:tcPr>
          <w:p>
            <w:pPr>
              <w:spacing w:after="0"/>
              <w:rPr>
                <w:sz w:val="14"/>
                <w:szCs w:val="14"/>
                <w:color w:val="auto"/>
              </w:rPr>
            </w:pPr>
          </w:p>
        </w:tc>
        <w:tc>
          <w:tcPr>
            <w:tcW w:w="100" w:type="dxa"/>
            <w:vAlign w:val="bottom"/>
            <w:tcBorders>
              <w:bottom w:val="single" w:sz="8" w:color="58854E"/>
            </w:tcBorders>
          </w:tcPr>
          <w:p>
            <w:pPr>
              <w:spacing w:after="0"/>
              <w:rPr>
                <w:sz w:val="14"/>
                <w:szCs w:val="14"/>
                <w:color w:val="auto"/>
              </w:rPr>
            </w:pPr>
          </w:p>
        </w:tc>
        <w:tc>
          <w:tcPr>
            <w:tcW w:w="960" w:type="dxa"/>
            <w:vAlign w:val="bottom"/>
            <w:tcBorders>
              <w:bottom w:val="single" w:sz="8" w:color="58854E"/>
            </w:tcBorders>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Dover</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2,310,000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Harrisburg</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3,064,000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HCEC</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1,611,000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Minneapolis</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6,898,000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Omaha</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3,834,000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Phoenix</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3,300,000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Pittsburgh</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2,809,000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Princeton</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1,070,000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San Diego</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533,000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San Francisco</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4,319,000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Smyrna</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413,000</w:t>
            </w:r>
          </w:p>
        </w:tc>
        <w:tc>
          <w:tcPr>
            <w:tcW w:w="12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Energy Center Tucson</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Plant O&amp;M Agreement, dated October 1, 2014</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340,000</w:t>
            </w:r>
          </w:p>
        </w:tc>
        <w:tc>
          <w:tcPr>
            <w:tcW w:w="1260" w:type="dxa"/>
            <w:vAlign w:val="bottom"/>
          </w:tcPr>
          <w:p>
            <w:pPr>
              <w:spacing w:after="0"/>
              <w:rPr>
                <w:sz w:val="14"/>
                <w:szCs w:val="14"/>
                <w:color w:val="auto"/>
              </w:rPr>
            </w:pPr>
          </w:p>
        </w:tc>
      </w:tr>
      <w:tr>
        <w:trPr>
          <w:trHeight w:val="90"/>
        </w:trPr>
        <w:tc>
          <w:tcPr>
            <w:tcW w:w="1140" w:type="dxa"/>
            <w:vAlign w:val="bottom"/>
            <w:tcBorders>
              <w:bottom w:val="single" w:sz="8" w:color="808080"/>
            </w:tcBorders>
          </w:tcPr>
          <w:p>
            <w:pPr>
              <w:spacing w:after="0"/>
              <w:rPr>
                <w:sz w:val="7"/>
                <w:szCs w:val="7"/>
                <w:color w:val="auto"/>
              </w:rPr>
            </w:pPr>
          </w:p>
        </w:tc>
        <w:tc>
          <w:tcPr>
            <w:tcW w:w="33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gridSpan w:val="6"/>
          </w:tcPr>
          <w:p>
            <w:pPr>
              <w:ind w:left="2720"/>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32</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3380" w:type="dxa"/>
            <w:vAlign w:val="bottom"/>
            <w:shd w:val="clear" w:color="auto" w:fill="58854E"/>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shd w:val="clear" w:color="auto" w:fill="58854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960" w:type="dxa"/>
            <w:vAlign w:val="bottom"/>
            <w:shd w:val="clear" w:color="auto" w:fill="58854E"/>
          </w:tcPr>
          <w:p>
            <w:pPr>
              <w:jc w:val="center"/>
              <w:spacing w:after="0" w:line="127" w:lineRule="exact"/>
              <w:rPr>
                <w:sz w:val="20"/>
                <w:szCs w:val="20"/>
                <w:color w:val="auto"/>
              </w:rPr>
            </w:pPr>
            <w:r>
              <w:rPr>
                <w:rFonts w:ascii="Arial" w:cs="Arial" w:eastAsia="Arial" w:hAnsi="Arial"/>
                <w:sz w:val="12"/>
                <w:szCs w:val="12"/>
                <w:b w:val="1"/>
                <w:bCs w:val="1"/>
                <w:color w:val="FFFFFE"/>
                <w:w w:val="99"/>
              </w:rPr>
              <w:t>APPROXIMATE</w:t>
            </w:r>
          </w:p>
        </w:tc>
        <w:tc>
          <w:tcPr>
            <w:tcW w:w="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380" w:type="dxa"/>
            <w:vAlign w:val="bottom"/>
            <w:shd w:val="clear" w:color="auto" w:fill="58854E"/>
          </w:tcPr>
          <w:p>
            <w:pPr>
              <w:spacing w:after="0" w:line="137" w:lineRule="exact"/>
              <w:rPr>
                <w:sz w:val="20"/>
                <w:szCs w:val="20"/>
                <w:color w:val="auto"/>
              </w:rPr>
            </w:pPr>
            <w:r>
              <w:rPr>
                <w:rFonts w:ascii="Arial" w:cs="Arial" w:eastAsia="Arial" w:hAnsi="Arial"/>
                <w:sz w:val="12"/>
                <w:szCs w:val="12"/>
                <w:b w:val="1"/>
                <w:bCs w:val="1"/>
                <w:color w:val="FFFFFE"/>
              </w:rPr>
              <w:t>PROJECT</w:t>
            </w:r>
          </w:p>
        </w:tc>
        <w:tc>
          <w:tcPr>
            <w:tcW w:w="100" w:type="dxa"/>
            <w:vAlign w:val="bottom"/>
          </w:tcPr>
          <w:p>
            <w:pPr>
              <w:spacing w:after="0"/>
              <w:rPr>
                <w:sz w:val="11"/>
                <w:szCs w:val="11"/>
                <w:color w:val="auto"/>
              </w:rPr>
            </w:pPr>
          </w:p>
        </w:tc>
        <w:tc>
          <w:tcPr>
            <w:tcW w:w="4380" w:type="dxa"/>
            <w:vAlign w:val="bottom"/>
            <w:shd w:val="clear" w:color="auto" w:fill="58854E"/>
          </w:tcPr>
          <w:p>
            <w:pPr>
              <w:ind w:left="1380"/>
              <w:spacing w:after="0" w:line="137" w:lineRule="exact"/>
              <w:rPr>
                <w:sz w:val="20"/>
                <w:szCs w:val="20"/>
                <w:color w:val="auto"/>
              </w:rPr>
            </w:pPr>
            <w:r>
              <w:rPr>
                <w:rFonts w:ascii="Arial" w:cs="Arial" w:eastAsia="Arial" w:hAnsi="Arial"/>
                <w:sz w:val="12"/>
                <w:szCs w:val="12"/>
                <w:b w:val="1"/>
                <w:bCs w:val="1"/>
                <w:color w:val="FFFFFE"/>
              </w:rPr>
              <w:t>AGREEMENT DESCRIPTION</w:t>
            </w:r>
          </w:p>
        </w:tc>
        <w:tc>
          <w:tcPr>
            <w:tcW w:w="12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9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AMOUNT</w:t>
            </w: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380" w:type="dxa"/>
            <w:vAlign w:val="bottom"/>
            <w:shd w:val="clear" w:color="auto" w:fill="58854E"/>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9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INVOLVED</w:t>
            </w: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71" w:lineRule="exact"/>
              <w:rPr>
                <w:sz w:val="20"/>
                <w:szCs w:val="20"/>
                <w:color w:val="auto"/>
              </w:rPr>
            </w:pPr>
            <w:r>
              <w:rPr>
                <w:rFonts w:ascii="Arial" w:cs="Arial" w:eastAsia="Arial" w:hAnsi="Arial"/>
                <w:sz w:val="15"/>
                <w:szCs w:val="15"/>
                <w:b w:val="1"/>
                <w:bCs w:val="1"/>
                <w:color w:val="auto"/>
              </w:rPr>
              <w:t>Utility-Scale Solar</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rPr>
                <w:sz w:val="14"/>
                <w:szCs w:val="14"/>
                <w:color w:val="auto"/>
              </w:rPr>
            </w:pPr>
          </w:p>
        </w:tc>
        <w:tc>
          <w:tcPr>
            <w:tcW w:w="120" w:type="dxa"/>
            <w:vAlign w:val="bottom"/>
            <w:tcBorders>
              <w:bottom w:val="single" w:sz="8" w:color="58854E"/>
            </w:tcBorders>
          </w:tcPr>
          <w:p>
            <w:pPr>
              <w:spacing w:after="0"/>
              <w:rPr>
                <w:sz w:val="14"/>
                <w:szCs w:val="14"/>
                <w:color w:val="auto"/>
              </w:rPr>
            </w:pPr>
          </w:p>
        </w:tc>
        <w:tc>
          <w:tcPr>
            <w:tcW w:w="100" w:type="dxa"/>
            <w:vAlign w:val="bottom"/>
            <w:tcBorders>
              <w:bottom w:val="single" w:sz="8" w:color="58854E"/>
            </w:tcBorders>
          </w:tcPr>
          <w:p>
            <w:pPr>
              <w:spacing w:after="0"/>
              <w:rPr>
                <w:sz w:val="14"/>
                <w:szCs w:val="14"/>
                <w:color w:val="auto"/>
              </w:rPr>
            </w:pPr>
          </w:p>
        </w:tc>
        <w:tc>
          <w:tcPr>
            <w:tcW w:w="960" w:type="dxa"/>
            <w:vAlign w:val="bottom"/>
            <w:tcBorders>
              <w:bottom w:val="single" w:sz="8" w:color="58854E"/>
            </w:tcBorders>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Avenal</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January 31, 2011</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448,000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Borrego</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August 1, 2012</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375,000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CVSR</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September 30, 2011</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3,860,000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Kansas South</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June 13, 2017</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395,000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Pr>
          <w:p>
            <w:pPr>
              <w:spacing w:after="0" w:line="162" w:lineRule="exact"/>
              <w:rPr>
                <w:sz w:val="20"/>
                <w:szCs w:val="20"/>
                <w:color w:val="auto"/>
              </w:rPr>
            </w:pPr>
            <w:r>
              <w:rPr>
                <w:rFonts w:ascii="Arial" w:cs="Arial" w:eastAsia="Arial" w:hAnsi="Arial"/>
                <w:sz w:val="15"/>
                <w:szCs w:val="15"/>
                <w:i w:val="1"/>
                <w:iCs w:val="1"/>
                <w:color w:val="auto"/>
              </w:rPr>
              <w:t>TA High Desert</w:t>
            </w:r>
          </w:p>
        </w:tc>
        <w:tc>
          <w:tcPr>
            <w:tcW w:w="100" w:type="dxa"/>
            <w:vAlign w:val="bottom"/>
          </w:tcPr>
          <w:p>
            <w:pPr>
              <w:spacing w:after="0"/>
              <w:rPr>
                <w:sz w:val="14"/>
                <w:szCs w:val="14"/>
                <w:color w:val="auto"/>
              </w:rPr>
            </w:pPr>
          </w:p>
        </w:tc>
        <w:tc>
          <w:tcPr>
            <w:tcW w:w="4380" w:type="dxa"/>
            <w:vAlign w:val="bottom"/>
          </w:tcPr>
          <w:p>
            <w:pPr>
              <w:spacing w:after="0" w:line="162" w:lineRule="exact"/>
              <w:rPr>
                <w:sz w:val="20"/>
                <w:szCs w:val="20"/>
                <w:color w:val="auto"/>
              </w:rPr>
            </w:pPr>
            <w:r>
              <w:rPr>
                <w:rFonts w:ascii="Arial" w:cs="Arial" w:eastAsia="Arial" w:hAnsi="Arial"/>
                <w:sz w:val="15"/>
                <w:szCs w:val="15"/>
                <w:color w:val="auto"/>
              </w:rPr>
              <w:t>O&amp;M Agreement, dated June 9, 2017</w:t>
            </w:r>
          </w:p>
        </w:tc>
        <w:tc>
          <w:tcPr>
            <w:tcW w:w="2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296,000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top w:val="single" w:sz="8" w:color="58854E"/>
              <w:bottom w:val="single" w:sz="8" w:color="58854E"/>
            </w:tcBorders>
          </w:tcPr>
          <w:p>
            <w:pPr>
              <w:spacing w:after="0" w:line="162" w:lineRule="exact"/>
              <w:rPr>
                <w:sz w:val="20"/>
                <w:szCs w:val="20"/>
                <w:color w:val="auto"/>
              </w:rPr>
            </w:pPr>
            <w:r>
              <w:rPr>
                <w:rFonts w:ascii="Arial" w:cs="Arial" w:eastAsia="Arial" w:hAnsi="Arial"/>
                <w:sz w:val="15"/>
                <w:szCs w:val="15"/>
                <w:b w:val="1"/>
                <w:bCs w:val="1"/>
                <w:color w:val="auto"/>
              </w:rPr>
              <w:t>Wind</w:t>
            </w:r>
          </w:p>
        </w:tc>
        <w:tc>
          <w:tcPr>
            <w:tcW w:w="100" w:type="dxa"/>
            <w:vAlign w:val="bottom"/>
            <w:tcBorders>
              <w:top w:val="single" w:sz="8" w:color="58854E"/>
              <w:bottom w:val="single" w:sz="8" w:color="58854E"/>
            </w:tcBorders>
          </w:tcPr>
          <w:p>
            <w:pPr>
              <w:spacing w:after="0"/>
              <w:rPr>
                <w:sz w:val="14"/>
                <w:szCs w:val="14"/>
                <w:color w:val="auto"/>
              </w:rPr>
            </w:pPr>
          </w:p>
        </w:tc>
        <w:tc>
          <w:tcPr>
            <w:tcW w:w="4380" w:type="dxa"/>
            <w:vAlign w:val="bottom"/>
            <w:tcBorders>
              <w:top w:val="single" w:sz="8" w:color="58854E"/>
              <w:bottom w:val="single" w:sz="8" w:color="58854E"/>
            </w:tcBorders>
          </w:tcPr>
          <w:p>
            <w:pPr>
              <w:spacing w:after="0"/>
              <w:rPr>
                <w:sz w:val="14"/>
                <w:szCs w:val="14"/>
                <w:color w:val="auto"/>
              </w:rPr>
            </w:pPr>
          </w:p>
        </w:tc>
        <w:tc>
          <w:tcPr>
            <w:tcW w:w="120" w:type="dxa"/>
            <w:vAlign w:val="bottom"/>
            <w:tcBorders>
              <w:top w:val="single" w:sz="8" w:color="58854E"/>
              <w:bottom w:val="single" w:sz="8" w:color="58854E"/>
            </w:tcBorders>
          </w:tcPr>
          <w:p>
            <w:pPr>
              <w:spacing w:after="0"/>
              <w:rPr>
                <w:sz w:val="14"/>
                <w:szCs w:val="14"/>
                <w:color w:val="auto"/>
              </w:rPr>
            </w:pPr>
          </w:p>
        </w:tc>
        <w:tc>
          <w:tcPr>
            <w:tcW w:w="100" w:type="dxa"/>
            <w:vAlign w:val="bottom"/>
            <w:tcBorders>
              <w:top w:val="single" w:sz="8" w:color="58854E"/>
              <w:bottom w:val="single" w:sz="8" w:color="58854E"/>
            </w:tcBorders>
          </w:tcPr>
          <w:p>
            <w:pPr>
              <w:spacing w:after="0"/>
              <w:rPr>
                <w:sz w:val="14"/>
                <w:szCs w:val="14"/>
                <w:color w:val="auto"/>
              </w:rPr>
            </w:pPr>
          </w:p>
        </w:tc>
        <w:tc>
          <w:tcPr>
            <w:tcW w:w="960" w:type="dxa"/>
            <w:vAlign w:val="bottom"/>
            <w:tcBorders>
              <w:top w:val="single" w:sz="8" w:color="58854E"/>
              <w:bottom w:val="single" w:sz="8" w:color="58854E"/>
            </w:tcBorders>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Alta</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December 12,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3,936,000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Buffalo Bear</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May 1,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265,000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Crosswinds</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May 1,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516,000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Elbow Creek</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December 5, 2012</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1,385,000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Elkhorn Ridge</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May 9, 2008</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362,000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Forward</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October 20,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495,000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Goat Wind</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February 18, 2008</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2,051,000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Hardin</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May 1,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358,000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Laredo Ridge</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December 24, 2015</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1,350,000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Lookout</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February 11, 2008</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698,000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Odin</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September 16,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444,000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Pinnacle</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December 1,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1,292,000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San Juan Mesa</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December 27, 2005</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681,000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Sleeping Bear</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May 1,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1,365,000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Spanish Fork</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September 16,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430,000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South Trent</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Management O&amp;M Agreement, dated October 1, 2015</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941,000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Taloga</w:t>
            </w:r>
          </w:p>
        </w:tc>
        <w:tc>
          <w:tcPr>
            <w:tcW w:w="100" w:type="dxa"/>
            <w:vAlign w:val="bottom"/>
            <w:tcBorders>
              <w:bottom w:val="single" w:sz="8" w:color="58854E"/>
            </w:tcBorders>
          </w:tcPr>
          <w:p>
            <w:pPr>
              <w:spacing w:after="0"/>
              <w:rPr>
                <w:sz w:val="14"/>
                <w:szCs w:val="14"/>
                <w:color w:val="auto"/>
              </w:rPr>
            </w:pPr>
          </w:p>
        </w:tc>
        <w:tc>
          <w:tcPr>
            <w:tcW w:w="438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O&amp;M Agreement, dated July 1, 2016</w:t>
            </w:r>
          </w:p>
        </w:tc>
        <w:tc>
          <w:tcPr>
            <w:tcW w:w="22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2,276,000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Pr>
          <w:p>
            <w:pPr>
              <w:spacing w:after="0" w:line="162" w:lineRule="exact"/>
              <w:rPr>
                <w:sz w:val="20"/>
                <w:szCs w:val="20"/>
                <w:color w:val="auto"/>
              </w:rPr>
            </w:pPr>
            <w:r>
              <w:rPr>
                <w:rFonts w:ascii="Arial" w:cs="Arial" w:eastAsia="Arial" w:hAnsi="Arial"/>
                <w:sz w:val="15"/>
                <w:szCs w:val="15"/>
                <w:i w:val="1"/>
                <w:iCs w:val="1"/>
                <w:color w:val="auto"/>
              </w:rPr>
              <w:t>Wildorado</w:t>
            </w:r>
          </w:p>
        </w:tc>
        <w:tc>
          <w:tcPr>
            <w:tcW w:w="100" w:type="dxa"/>
            <w:vAlign w:val="bottom"/>
          </w:tcPr>
          <w:p>
            <w:pPr>
              <w:spacing w:after="0"/>
              <w:rPr>
                <w:sz w:val="14"/>
                <w:szCs w:val="14"/>
                <w:color w:val="auto"/>
              </w:rPr>
            </w:pPr>
          </w:p>
        </w:tc>
        <w:tc>
          <w:tcPr>
            <w:tcW w:w="4380" w:type="dxa"/>
            <w:vAlign w:val="bottom"/>
          </w:tcPr>
          <w:p>
            <w:pPr>
              <w:spacing w:after="0" w:line="162" w:lineRule="exact"/>
              <w:rPr>
                <w:sz w:val="20"/>
                <w:szCs w:val="20"/>
                <w:color w:val="auto"/>
              </w:rPr>
            </w:pPr>
            <w:r>
              <w:rPr>
                <w:rFonts w:ascii="Arial" w:cs="Arial" w:eastAsia="Arial" w:hAnsi="Arial"/>
                <w:sz w:val="15"/>
                <w:szCs w:val="15"/>
                <w:color w:val="auto"/>
              </w:rPr>
              <w:t>O&amp;M Agreement, dated February 11, 2008</w:t>
            </w:r>
          </w:p>
        </w:tc>
        <w:tc>
          <w:tcPr>
            <w:tcW w:w="2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2,064,000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140" w:type="dxa"/>
            <w:vAlign w:val="bottom"/>
            <w:tcBorders>
              <w:bottom w:val="single" w:sz="8" w:color="808080"/>
            </w:tcBorders>
          </w:tcPr>
          <w:p>
            <w:pPr>
              <w:spacing w:after="0"/>
              <w:rPr>
                <w:sz w:val="7"/>
                <w:szCs w:val="7"/>
                <w:color w:val="auto"/>
              </w:rPr>
            </w:pPr>
          </w:p>
        </w:tc>
        <w:tc>
          <w:tcPr>
            <w:tcW w:w="3380" w:type="dxa"/>
            <w:vAlign w:val="bottom"/>
            <w:tcBorders>
              <w:top w:val="single" w:sz="8" w:color="58854E"/>
              <w:bottom w:val="single" w:sz="8" w:color="808080"/>
            </w:tcBorders>
          </w:tcPr>
          <w:p>
            <w:pPr>
              <w:spacing w:after="0"/>
              <w:rPr>
                <w:sz w:val="7"/>
                <w:szCs w:val="7"/>
                <w:color w:val="auto"/>
              </w:rPr>
            </w:pPr>
          </w:p>
        </w:tc>
        <w:tc>
          <w:tcPr>
            <w:tcW w:w="100" w:type="dxa"/>
            <w:vAlign w:val="bottom"/>
            <w:tcBorders>
              <w:top w:val="single" w:sz="8" w:color="58854E"/>
              <w:bottom w:val="single" w:sz="8" w:color="808080"/>
            </w:tcBorders>
          </w:tcPr>
          <w:p>
            <w:pPr>
              <w:spacing w:after="0"/>
              <w:rPr>
                <w:sz w:val="7"/>
                <w:szCs w:val="7"/>
                <w:color w:val="auto"/>
              </w:rPr>
            </w:pPr>
          </w:p>
        </w:tc>
        <w:tc>
          <w:tcPr>
            <w:tcW w:w="4380" w:type="dxa"/>
            <w:vAlign w:val="bottom"/>
            <w:tcBorders>
              <w:top w:val="single" w:sz="8" w:color="58854E"/>
              <w:bottom w:val="single" w:sz="8" w:color="808080"/>
            </w:tcBorders>
          </w:tcPr>
          <w:p>
            <w:pPr>
              <w:spacing w:after="0"/>
              <w:rPr>
                <w:sz w:val="7"/>
                <w:szCs w:val="7"/>
                <w:color w:val="auto"/>
              </w:rPr>
            </w:pPr>
          </w:p>
        </w:tc>
        <w:tc>
          <w:tcPr>
            <w:tcW w:w="120" w:type="dxa"/>
            <w:vAlign w:val="bottom"/>
            <w:tcBorders>
              <w:top w:val="single" w:sz="8" w:color="58854E"/>
              <w:bottom w:val="single" w:sz="8" w:color="808080"/>
            </w:tcBorders>
          </w:tcPr>
          <w:p>
            <w:pPr>
              <w:spacing w:after="0"/>
              <w:rPr>
                <w:sz w:val="7"/>
                <w:szCs w:val="7"/>
                <w:color w:val="auto"/>
              </w:rPr>
            </w:pPr>
          </w:p>
        </w:tc>
        <w:tc>
          <w:tcPr>
            <w:tcW w:w="100" w:type="dxa"/>
            <w:vAlign w:val="bottom"/>
            <w:tcBorders>
              <w:top w:val="single" w:sz="8" w:color="58854E"/>
              <w:bottom w:val="single" w:sz="8" w:color="808080"/>
            </w:tcBorders>
          </w:tcPr>
          <w:p>
            <w:pPr>
              <w:spacing w:after="0"/>
              <w:rPr>
                <w:sz w:val="7"/>
                <w:szCs w:val="7"/>
                <w:color w:val="auto"/>
              </w:rPr>
            </w:pPr>
          </w:p>
        </w:tc>
        <w:tc>
          <w:tcPr>
            <w:tcW w:w="960" w:type="dxa"/>
            <w:vAlign w:val="bottom"/>
            <w:tcBorders>
              <w:top w:val="single" w:sz="8" w:color="58854E"/>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33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58844D"/>
        </w:rPr>
        <w:t>Asset Management and Administrative Services Agreements</w:t>
      </w:r>
    </w:p>
    <w:p>
      <w:pPr>
        <w:spacing w:after="0" w:line="189" w:lineRule="exact"/>
        <w:rPr>
          <w:sz w:val="20"/>
          <w:szCs w:val="20"/>
          <w:color w:val="auto"/>
        </w:rPr>
      </w:pPr>
    </w:p>
    <w:p>
      <w:pPr>
        <w:ind w:right="360"/>
        <w:spacing w:after="0"/>
        <w:rPr>
          <w:sz w:val="20"/>
          <w:szCs w:val="20"/>
          <w:color w:val="auto"/>
        </w:rPr>
      </w:pPr>
      <w:r>
        <w:rPr>
          <w:rFonts w:ascii="Arial" w:cs="Arial" w:eastAsia="Arial" w:hAnsi="Arial"/>
          <w:sz w:val="15"/>
          <w:szCs w:val="15"/>
          <w:color w:val="auto"/>
        </w:rPr>
        <w:t>Affiliates of NRG provide day-to-day administrative support to certain of our project-level entities in accordance with asset management and administrative services agreements (ASAs). The ASAs for which the amount involved exceeded $120,000 during fiscal year 2017 are described in the table below. Under these agreements, we generally pay an annual or monthly fee, which may be subject to annual adjustment, plus any reimbursable expenses. Each of the counterparties to the agreements is an indirect wholly-owned subsidiary of NRG.</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920" w:type="dxa"/>
            <w:vAlign w:val="bottom"/>
            <w:shd w:val="clear" w:color="auto" w:fill="58854E"/>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shd w:val="clear" w:color="auto" w:fill="58854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92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APPROXIMATE</w:t>
            </w:r>
          </w:p>
        </w:tc>
      </w:tr>
      <w:tr>
        <w:trPr>
          <w:trHeight w:val="137"/>
        </w:trPr>
        <w:tc>
          <w:tcPr>
            <w:tcW w:w="3920" w:type="dxa"/>
            <w:vAlign w:val="bottom"/>
            <w:shd w:val="clear" w:color="auto" w:fill="58854E"/>
          </w:tcPr>
          <w:p>
            <w:pPr>
              <w:spacing w:after="0" w:line="137" w:lineRule="exact"/>
              <w:rPr>
                <w:sz w:val="20"/>
                <w:szCs w:val="20"/>
                <w:color w:val="auto"/>
              </w:rPr>
            </w:pPr>
            <w:r>
              <w:rPr>
                <w:rFonts w:ascii="Arial" w:cs="Arial" w:eastAsia="Arial" w:hAnsi="Arial"/>
                <w:sz w:val="12"/>
                <w:szCs w:val="12"/>
                <w:b w:val="1"/>
                <w:bCs w:val="1"/>
                <w:color w:val="FFFFFE"/>
              </w:rPr>
              <w:t>PROJECT</w:t>
            </w:r>
          </w:p>
        </w:tc>
        <w:tc>
          <w:tcPr>
            <w:tcW w:w="80" w:type="dxa"/>
            <w:vAlign w:val="bottom"/>
          </w:tcPr>
          <w:p>
            <w:pPr>
              <w:spacing w:after="0"/>
              <w:rPr>
                <w:sz w:val="11"/>
                <w:szCs w:val="11"/>
                <w:color w:val="auto"/>
              </w:rPr>
            </w:pPr>
          </w:p>
        </w:tc>
        <w:tc>
          <w:tcPr>
            <w:tcW w:w="3940" w:type="dxa"/>
            <w:vAlign w:val="bottom"/>
            <w:shd w:val="clear" w:color="auto" w:fill="58854E"/>
          </w:tcPr>
          <w:p>
            <w:pPr>
              <w:ind w:left="1160"/>
              <w:spacing w:after="0" w:line="137" w:lineRule="exact"/>
              <w:rPr>
                <w:sz w:val="20"/>
                <w:szCs w:val="20"/>
                <w:color w:val="auto"/>
              </w:rPr>
            </w:pPr>
            <w:r>
              <w:rPr>
                <w:rFonts w:ascii="Arial" w:cs="Arial" w:eastAsia="Arial" w:hAnsi="Arial"/>
                <w:sz w:val="12"/>
                <w:szCs w:val="12"/>
                <w:b w:val="1"/>
                <w:bCs w:val="1"/>
                <w:color w:val="FFFFFE"/>
              </w:rPr>
              <w:t>AGREEMENT DESCRIPTION</w:t>
            </w:r>
          </w:p>
        </w:tc>
        <w:tc>
          <w:tcPr>
            <w:tcW w:w="80" w:type="dxa"/>
            <w:vAlign w:val="bottom"/>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92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AMOUNT</w:t>
            </w:r>
          </w:p>
        </w:tc>
      </w:tr>
      <w:tr>
        <w:trPr>
          <w:trHeight w:val="147"/>
        </w:trPr>
        <w:tc>
          <w:tcPr>
            <w:tcW w:w="3920" w:type="dxa"/>
            <w:vAlign w:val="bottom"/>
            <w:shd w:val="clear" w:color="auto" w:fill="58854E"/>
          </w:tcPr>
          <w:p>
            <w:pPr>
              <w:spacing w:after="0"/>
              <w:rPr>
                <w:sz w:val="12"/>
                <w:szCs w:val="12"/>
                <w:color w:val="auto"/>
              </w:rPr>
            </w:pPr>
          </w:p>
        </w:tc>
        <w:tc>
          <w:tcPr>
            <w:tcW w:w="80" w:type="dxa"/>
            <w:vAlign w:val="bottom"/>
          </w:tcPr>
          <w:p>
            <w:pPr>
              <w:spacing w:after="0"/>
              <w:rPr>
                <w:sz w:val="12"/>
                <w:szCs w:val="12"/>
                <w:color w:val="auto"/>
              </w:rPr>
            </w:pPr>
          </w:p>
        </w:tc>
        <w:tc>
          <w:tcPr>
            <w:tcW w:w="3940" w:type="dxa"/>
            <w:vAlign w:val="bottom"/>
            <w:shd w:val="clear" w:color="auto" w:fill="58854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92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INVOLVED</w:t>
            </w:r>
          </w:p>
        </w:tc>
      </w:tr>
      <w:tr>
        <w:trPr>
          <w:trHeight w:val="171"/>
        </w:trPr>
        <w:tc>
          <w:tcPr>
            <w:tcW w:w="3920" w:type="dxa"/>
            <w:vAlign w:val="bottom"/>
            <w:tcBorders>
              <w:bottom w:val="single" w:sz="8" w:color="58854E"/>
            </w:tcBorders>
          </w:tcPr>
          <w:p>
            <w:pPr>
              <w:spacing w:after="0" w:line="171" w:lineRule="exact"/>
              <w:rPr>
                <w:sz w:val="20"/>
                <w:szCs w:val="20"/>
                <w:color w:val="auto"/>
              </w:rPr>
            </w:pPr>
            <w:r>
              <w:rPr>
                <w:rFonts w:ascii="Arial" w:cs="Arial" w:eastAsia="Arial" w:hAnsi="Arial"/>
                <w:sz w:val="15"/>
                <w:szCs w:val="15"/>
                <w:b w:val="1"/>
                <w:bCs w:val="1"/>
                <w:color w:val="auto"/>
              </w:rPr>
              <w:t>Conventional</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120" w:type="dxa"/>
            <w:vAlign w:val="bottom"/>
            <w:tcBorders>
              <w:bottom w:val="single" w:sz="8" w:color="58854E"/>
            </w:tcBorders>
          </w:tcPr>
          <w:p>
            <w:pPr>
              <w:spacing w:after="0"/>
              <w:rPr>
                <w:sz w:val="14"/>
                <w:szCs w:val="14"/>
                <w:color w:val="auto"/>
              </w:rPr>
            </w:pPr>
          </w:p>
        </w:tc>
        <w:tc>
          <w:tcPr>
            <w:tcW w:w="920" w:type="dxa"/>
            <w:vAlign w:val="bottom"/>
            <w:tcBorders>
              <w:bottom w:val="single" w:sz="8" w:color="58854E"/>
            </w:tcBorders>
          </w:tcPr>
          <w:p>
            <w:pPr>
              <w:spacing w:after="0"/>
              <w:rPr>
                <w:sz w:val="14"/>
                <w:szCs w:val="14"/>
                <w:color w:val="auto"/>
              </w:rPr>
            </w:pPr>
          </w:p>
        </w:tc>
      </w:tr>
      <w:tr>
        <w:trPr>
          <w:trHeight w:val="165"/>
        </w:trPr>
        <w:tc>
          <w:tcPr>
            <w:tcW w:w="3920" w:type="dxa"/>
            <w:vAlign w:val="bottom"/>
          </w:tcPr>
          <w:p>
            <w:pPr>
              <w:spacing w:after="0" w:line="165" w:lineRule="exact"/>
              <w:rPr>
                <w:sz w:val="20"/>
                <w:szCs w:val="20"/>
                <w:color w:val="auto"/>
              </w:rPr>
            </w:pPr>
            <w:r>
              <w:rPr>
                <w:rFonts w:ascii="Arial" w:cs="Arial" w:eastAsia="Arial" w:hAnsi="Arial"/>
                <w:sz w:val="15"/>
                <w:szCs w:val="15"/>
                <w:i w:val="1"/>
                <w:iCs w:val="1"/>
                <w:color w:val="auto"/>
              </w:rPr>
              <w:t>El Segundo Energy Center</w:t>
            </w:r>
          </w:p>
        </w:tc>
        <w:tc>
          <w:tcPr>
            <w:tcW w:w="80" w:type="dxa"/>
            <w:vAlign w:val="bottom"/>
          </w:tcPr>
          <w:p>
            <w:pPr>
              <w:spacing w:after="0"/>
              <w:rPr>
                <w:sz w:val="14"/>
                <w:szCs w:val="14"/>
                <w:color w:val="auto"/>
              </w:rPr>
            </w:pPr>
          </w:p>
        </w:tc>
        <w:tc>
          <w:tcPr>
            <w:tcW w:w="3940" w:type="dxa"/>
            <w:vAlign w:val="bottom"/>
          </w:tcPr>
          <w:p>
            <w:pPr>
              <w:spacing w:after="0" w:line="165" w:lineRule="exact"/>
              <w:rPr>
                <w:sz w:val="20"/>
                <w:szCs w:val="20"/>
                <w:color w:val="auto"/>
              </w:rPr>
            </w:pPr>
            <w:r>
              <w:rPr>
                <w:rFonts w:ascii="Arial" w:cs="Arial" w:eastAsia="Arial" w:hAnsi="Arial"/>
                <w:sz w:val="15"/>
                <w:szCs w:val="15"/>
                <w:color w:val="auto"/>
              </w:rPr>
              <w:t>Project Administration Services Agreement, dated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392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3940" w:type="dxa"/>
            <w:vAlign w:val="bottom"/>
            <w:tcBorders>
              <w:bottom w:val="single" w:sz="8" w:color="58854E"/>
            </w:tcBorders>
          </w:tcPr>
          <w:p>
            <w:pPr>
              <w:spacing w:after="0"/>
              <w:rPr>
                <w:sz w:val="20"/>
                <w:szCs w:val="20"/>
                <w:color w:val="auto"/>
              </w:rPr>
            </w:pPr>
            <w:r>
              <w:rPr>
                <w:rFonts w:ascii="Arial" w:cs="Arial" w:eastAsia="Arial" w:hAnsi="Arial"/>
                <w:sz w:val="15"/>
                <w:szCs w:val="15"/>
                <w:color w:val="auto"/>
              </w:rPr>
              <w:t>March 31, 2011</w:t>
            </w:r>
            <w:r>
              <w:rPr>
                <w:rFonts w:ascii="Arial" w:cs="Arial" w:eastAsia="Arial" w:hAnsi="Arial"/>
                <w:sz w:val="9"/>
                <w:szCs w:val="9"/>
                <w:color w:val="58844D"/>
              </w:rPr>
              <w:t>1</w:t>
            </w:r>
          </w:p>
        </w:tc>
        <w:tc>
          <w:tcPr>
            <w:tcW w:w="200" w:type="dxa"/>
            <w:vAlign w:val="bottom"/>
            <w:tcBorders>
              <w:bottom w:val="single" w:sz="8" w:color="58854E"/>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rPr>
                <w:sz w:val="20"/>
                <w:szCs w:val="20"/>
                <w:color w:val="auto"/>
              </w:rPr>
            </w:pPr>
            <w:r>
              <w:rPr>
                <w:rFonts w:ascii="Arial" w:cs="Arial" w:eastAsia="Arial" w:hAnsi="Arial"/>
                <w:sz w:val="15"/>
                <w:szCs w:val="15"/>
                <w:color w:val="auto"/>
              </w:rPr>
              <w:t>325,000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Walnut Creek</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Asset Services Agreement, dated July 1, 2011</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212,000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b w:val="1"/>
                <w:bCs w:val="1"/>
                <w:color w:val="auto"/>
              </w:rPr>
              <w:t>Utility-Scale Solar</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120" w:type="dxa"/>
            <w:vAlign w:val="bottom"/>
            <w:tcBorders>
              <w:bottom w:val="single" w:sz="8" w:color="58854E"/>
            </w:tcBorders>
          </w:tcPr>
          <w:p>
            <w:pPr>
              <w:spacing w:after="0"/>
              <w:rPr>
                <w:sz w:val="14"/>
                <w:szCs w:val="14"/>
                <w:color w:val="auto"/>
              </w:rPr>
            </w:pPr>
          </w:p>
        </w:tc>
        <w:tc>
          <w:tcPr>
            <w:tcW w:w="920" w:type="dxa"/>
            <w:vAlign w:val="bottom"/>
            <w:tcBorders>
              <w:bottom w:val="single" w:sz="8" w:color="58854E"/>
            </w:tcBorders>
          </w:tcPr>
          <w:p>
            <w:pPr>
              <w:spacing w:after="0"/>
              <w:rPr>
                <w:sz w:val="14"/>
                <w:szCs w:val="14"/>
                <w:color w:val="auto"/>
              </w:rPr>
            </w:pP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Alpine</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Asset Management Agreement, dated March 15, 2012</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136,000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CVSR Holdco</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Asset Management Agreement, dated April 26, 2016</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205,000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Yield Utah Solar Holdings LLC</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Master Management Agreement, dated March 27, 2017</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156,000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SPP Fund III</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Asset Management Agreement, dated October 31, 2017</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131,000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SPP P-IV Master Lessee</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Asset Management Agreement, dated July 12, 2012</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170,000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b w:val="1"/>
                <w:bCs w:val="1"/>
                <w:color w:val="auto"/>
              </w:rPr>
              <w:t>Wind</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120" w:type="dxa"/>
            <w:vAlign w:val="bottom"/>
            <w:tcBorders>
              <w:bottom w:val="single" w:sz="8" w:color="58854E"/>
            </w:tcBorders>
          </w:tcPr>
          <w:p>
            <w:pPr>
              <w:spacing w:after="0"/>
              <w:rPr>
                <w:sz w:val="14"/>
                <w:szCs w:val="14"/>
                <w:color w:val="auto"/>
              </w:rPr>
            </w:pPr>
          </w:p>
        </w:tc>
        <w:tc>
          <w:tcPr>
            <w:tcW w:w="920" w:type="dxa"/>
            <w:vAlign w:val="bottom"/>
            <w:tcBorders>
              <w:bottom w:val="single" w:sz="8" w:color="58854E"/>
            </w:tcBorders>
          </w:tcPr>
          <w:p>
            <w:pPr>
              <w:spacing w:after="0"/>
              <w:rPr>
                <w:sz w:val="14"/>
                <w:szCs w:val="14"/>
                <w:color w:val="auto"/>
              </w:rPr>
            </w:pPr>
          </w:p>
        </w:tc>
      </w:tr>
      <w:tr>
        <w:trPr>
          <w:trHeight w:val="165"/>
        </w:trPr>
        <w:tc>
          <w:tcPr>
            <w:tcW w:w="3920" w:type="dxa"/>
            <w:vAlign w:val="bottom"/>
          </w:tcPr>
          <w:p>
            <w:pPr>
              <w:spacing w:after="0" w:line="165" w:lineRule="exact"/>
              <w:rPr>
                <w:sz w:val="20"/>
                <w:szCs w:val="20"/>
                <w:color w:val="auto"/>
              </w:rPr>
            </w:pPr>
            <w:r>
              <w:rPr>
                <w:rFonts w:ascii="Arial" w:cs="Arial" w:eastAsia="Arial" w:hAnsi="Arial"/>
                <w:sz w:val="15"/>
                <w:szCs w:val="15"/>
                <w:i w:val="1"/>
                <w:iCs w:val="1"/>
                <w:color w:val="auto"/>
              </w:rPr>
              <w:t>Alta</w:t>
            </w:r>
          </w:p>
        </w:tc>
        <w:tc>
          <w:tcPr>
            <w:tcW w:w="80" w:type="dxa"/>
            <w:vAlign w:val="bottom"/>
          </w:tcPr>
          <w:p>
            <w:pPr>
              <w:spacing w:after="0"/>
              <w:rPr>
                <w:sz w:val="14"/>
                <w:szCs w:val="14"/>
                <w:color w:val="auto"/>
              </w:rPr>
            </w:pPr>
          </w:p>
        </w:tc>
        <w:tc>
          <w:tcPr>
            <w:tcW w:w="3940" w:type="dxa"/>
            <w:vAlign w:val="bottom"/>
          </w:tcPr>
          <w:p>
            <w:pPr>
              <w:spacing w:after="0" w:line="165" w:lineRule="exact"/>
              <w:rPr>
                <w:sz w:val="20"/>
                <w:szCs w:val="20"/>
                <w:color w:val="auto"/>
              </w:rPr>
            </w:pPr>
            <w:r>
              <w:rPr>
                <w:rFonts w:ascii="Arial" w:cs="Arial" w:eastAsia="Arial" w:hAnsi="Arial"/>
                <w:sz w:val="15"/>
                <w:szCs w:val="15"/>
                <w:color w:val="auto"/>
              </w:rPr>
              <w:t>Amended and Restated Services Agreement, dated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2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9" w:lineRule="exact"/>
              <w:rPr>
                <w:sz w:val="20"/>
                <w:szCs w:val="20"/>
                <w:color w:val="auto"/>
              </w:rPr>
            </w:pPr>
            <w:r>
              <w:rPr>
                <w:rFonts w:ascii="Arial" w:cs="Arial" w:eastAsia="Arial" w:hAnsi="Arial"/>
                <w:sz w:val="15"/>
                <w:szCs w:val="15"/>
                <w:color w:val="auto"/>
              </w:rPr>
              <w:t>December 12, 2016</w:t>
            </w:r>
          </w:p>
        </w:tc>
        <w:tc>
          <w:tcPr>
            <w:tcW w:w="200" w:type="dxa"/>
            <w:vAlign w:val="bottom"/>
            <w:tcBorders>
              <w:bottom w:val="single" w:sz="8" w:color="58854E"/>
            </w:tcBorders>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9" w:lineRule="exact"/>
              <w:rPr>
                <w:sz w:val="20"/>
                <w:szCs w:val="20"/>
                <w:color w:val="auto"/>
              </w:rPr>
            </w:pPr>
            <w:r>
              <w:rPr>
                <w:rFonts w:ascii="Arial" w:cs="Arial" w:eastAsia="Arial" w:hAnsi="Arial"/>
                <w:sz w:val="15"/>
                <w:szCs w:val="15"/>
                <w:color w:val="auto"/>
              </w:rPr>
              <w:t>399,000</w:t>
            </w:r>
          </w:p>
        </w:tc>
      </w:tr>
      <w:tr>
        <w:trPr>
          <w:trHeight w:val="165"/>
        </w:trPr>
        <w:tc>
          <w:tcPr>
            <w:tcW w:w="3920" w:type="dxa"/>
            <w:vAlign w:val="bottom"/>
          </w:tcPr>
          <w:p>
            <w:pPr>
              <w:spacing w:after="0" w:line="165" w:lineRule="exact"/>
              <w:rPr>
                <w:sz w:val="20"/>
                <w:szCs w:val="20"/>
                <w:color w:val="auto"/>
              </w:rPr>
            </w:pPr>
            <w:r>
              <w:rPr>
                <w:rFonts w:ascii="Arial" w:cs="Arial" w:eastAsia="Arial" w:hAnsi="Arial"/>
                <w:sz w:val="15"/>
                <w:szCs w:val="15"/>
                <w:i w:val="1"/>
                <w:iCs w:val="1"/>
                <w:color w:val="auto"/>
              </w:rPr>
              <w:t>Buffalo Bear</w:t>
            </w:r>
          </w:p>
        </w:tc>
        <w:tc>
          <w:tcPr>
            <w:tcW w:w="80" w:type="dxa"/>
            <w:vAlign w:val="bottom"/>
          </w:tcPr>
          <w:p>
            <w:pPr>
              <w:spacing w:after="0"/>
              <w:rPr>
                <w:sz w:val="14"/>
                <w:szCs w:val="14"/>
                <w:color w:val="auto"/>
              </w:rPr>
            </w:pPr>
          </w:p>
        </w:tc>
        <w:tc>
          <w:tcPr>
            <w:tcW w:w="3940" w:type="dxa"/>
            <w:vAlign w:val="bottom"/>
          </w:tcPr>
          <w:p>
            <w:pPr>
              <w:spacing w:after="0" w:line="165" w:lineRule="exact"/>
              <w:rPr>
                <w:sz w:val="20"/>
                <w:szCs w:val="20"/>
                <w:color w:val="auto"/>
              </w:rPr>
            </w:pPr>
            <w:r>
              <w:rPr>
                <w:rFonts w:ascii="Arial" w:cs="Arial" w:eastAsia="Arial" w:hAnsi="Arial"/>
                <w:sz w:val="15"/>
                <w:szCs w:val="15"/>
                <w:color w:val="auto"/>
              </w:rPr>
              <w:t>Amended and Restated Services Agreement, dated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2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9" w:lineRule="exact"/>
              <w:rPr>
                <w:sz w:val="20"/>
                <w:szCs w:val="20"/>
                <w:color w:val="auto"/>
              </w:rPr>
            </w:pPr>
            <w:r>
              <w:rPr>
                <w:rFonts w:ascii="Arial" w:cs="Arial" w:eastAsia="Arial" w:hAnsi="Arial"/>
                <w:sz w:val="15"/>
                <w:szCs w:val="15"/>
                <w:color w:val="auto"/>
              </w:rPr>
              <w:t>September 15, 2011</w:t>
            </w:r>
          </w:p>
        </w:tc>
        <w:tc>
          <w:tcPr>
            <w:tcW w:w="200" w:type="dxa"/>
            <w:vAlign w:val="bottom"/>
            <w:tcBorders>
              <w:bottom w:val="single" w:sz="8" w:color="58854E"/>
            </w:tcBorders>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9" w:lineRule="exact"/>
              <w:rPr>
                <w:sz w:val="20"/>
                <w:szCs w:val="20"/>
                <w:color w:val="auto"/>
              </w:rPr>
            </w:pPr>
            <w:r>
              <w:rPr>
                <w:rFonts w:ascii="Arial" w:cs="Arial" w:eastAsia="Arial" w:hAnsi="Arial"/>
                <w:sz w:val="15"/>
                <w:szCs w:val="15"/>
                <w:color w:val="auto"/>
              </w:rPr>
              <w:t>158,000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Forward</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Services Agreement, dated January 1, 2012</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199,000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Laredo Ridge</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Support Services Agreement, dated May 27, 2010</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156,000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Lookout</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Services Agreement, dated January 1, 2012</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199,000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NRG Wind TE Holdco LLC</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Services Agreement, dated November 3, 2014</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1,036,000</w:t>
            </w:r>
          </w:p>
        </w:tc>
      </w:tr>
      <w:tr>
        <w:trPr>
          <w:trHeight w:val="165"/>
        </w:trPr>
        <w:tc>
          <w:tcPr>
            <w:tcW w:w="3920" w:type="dxa"/>
            <w:vAlign w:val="bottom"/>
          </w:tcPr>
          <w:p>
            <w:pPr>
              <w:spacing w:after="0" w:line="165" w:lineRule="exact"/>
              <w:rPr>
                <w:sz w:val="20"/>
                <w:szCs w:val="20"/>
                <w:color w:val="auto"/>
              </w:rPr>
            </w:pPr>
            <w:r>
              <w:rPr>
                <w:rFonts w:ascii="Arial" w:cs="Arial" w:eastAsia="Arial" w:hAnsi="Arial"/>
                <w:sz w:val="15"/>
                <w:szCs w:val="15"/>
                <w:i w:val="1"/>
                <w:iCs w:val="1"/>
                <w:color w:val="auto"/>
              </w:rPr>
              <w:t>Pinnacle</w:t>
            </w:r>
          </w:p>
        </w:tc>
        <w:tc>
          <w:tcPr>
            <w:tcW w:w="80" w:type="dxa"/>
            <w:vAlign w:val="bottom"/>
          </w:tcPr>
          <w:p>
            <w:pPr>
              <w:spacing w:after="0"/>
              <w:rPr>
                <w:sz w:val="14"/>
                <w:szCs w:val="14"/>
                <w:color w:val="auto"/>
              </w:rPr>
            </w:pPr>
          </w:p>
        </w:tc>
        <w:tc>
          <w:tcPr>
            <w:tcW w:w="3940" w:type="dxa"/>
            <w:vAlign w:val="bottom"/>
          </w:tcPr>
          <w:p>
            <w:pPr>
              <w:spacing w:after="0" w:line="165" w:lineRule="exact"/>
              <w:rPr>
                <w:sz w:val="20"/>
                <w:szCs w:val="20"/>
                <w:color w:val="auto"/>
              </w:rPr>
            </w:pPr>
            <w:r>
              <w:rPr>
                <w:rFonts w:ascii="Arial" w:cs="Arial" w:eastAsia="Arial" w:hAnsi="Arial"/>
                <w:sz w:val="15"/>
                <w:szCs w:val="15"/>
                <w:color w:val="auto"/>
              </w:rPr>
              <w:t>Amended and Restated Services Agreement, dated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20" w:type="dxa"/>
            <w:vAlign w:val="bottom"/>
            <w:tcBorders>
              <w:bottom w:val="single" w:sz="8" w:color="58854E"/>
            </w:tcBorders>
          </w:tcPr>
          <w:p>
            <w:pPr>
              <w:spacing w:after="0"/>
              <w:rPr>
                <w:sz w:val="14"/>
                <w:szCs w:val="14"/>
                <w:color w:val="auto"/>
              </w:rPr>
            </w:pP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9" w:lineRule="exact"/>
              <w:rPr>
                <w:sz w:val="20"/>
                <w:szCs w:val="20"/>
                <w:color w:val="auto"/>
              </w:rPr>
            </w:pPr>
            <w:r>
              <w:rPr>
                <w:rFonts w:ascii="Arial" w:cs="Arial" w:eastAsia="Arial" w:hAnsi="Arial"/>
                <w:sz w:val="15"/>
                <w:szCs w:val="15"/>
                <w:color w:val="auto"/>
              </w:rPr>
              <w:t>September 15, 2011</w:t>
            </w:r>
          </w:p>
        </w:tc>
        <w:tc>
          <w:tcPr>
            <w:tcW w:w="200" w:type="dxa"/>
            <w:vAlign w:val="bottom"/>
            <w:tcBorders>
              <w:bottom w:val="single" w:sz="8" w:color="58854E"/>
            </w:tcBorders>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9" w:lineRule="exact"/>
              <w:rPr>
                <w:sz w:val="20"/>
                <w:szCs w:val="20"/>
                <w:color w:val="auto"/>
              </w:rPr>
            </w:pPr>
            <w:r>
              <w:rPr>
                <w:rFonts w:ascii="Arial" w:cs="Arial" w:eastAsia="Arial" w:hAnsi="Arial"/>
                <w:sz w:val="15"/>
                <w:szCs w:val="15"/>
                <w:color w:val="auto"/>
              </w:rPr>
              <w:t>170,000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Sleeping Bear</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Services Agreement, dated January 1, 2012</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199,000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South Trent</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Project Administration Agreement, dated October 1, 2015</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220,000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Spanish Fork</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Services Agreement, dated February 1, 2012</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199,000</w:t>
            </w:r>
          </w:p>
        </w:tc>
      </w:tr>
      <w:tr>
        <w:trPr>
          <w:trHeight w:val="162"/>
        </w:trPr>
        <w:tc>
          <w:tcPr>
            <w:tcW w:w="392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i w:val="1"/>
                <w:iCs w:val="1"/>
                <w:color w:val="auto"/>
              </w:rPr>
              <w:t>Taloga</w:t>
            </w:r>
          </w:p>
        </w:tc>
        <w:tc>
          <w:tcPr>
            <w:tcW w:w="80" w:type="dxa"/>
            <w:vAlign w:val="bottom"/>
            <w:tcBorders>
              <w:bottom w:val="single" w:sz="8" w:color="58854E"/>
            </w:tcBorders>
          </w:tcPr>
          <w:p>
            <w:pPr>
              <w:spacing w:after="0"/>
              <w:rPr>
                <w:sz w:val="14"/>
                <w:szCs w:val="14"/>
                <w:color w:val="auto"/>
              </w:rPr>
            </w:pPr>
          </w:p>
        </w:tc>
        <w:tc>
          <w:tcPr>
            <w:tcW w:w="39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auto"/>
              </w:rPr>
              <w:t>Services Agreement, dated November 20, 2012</w:t>
            </w:r>
          </w:p>
        </w:tc>
        <w:tc>
          <w:tcPr>
            <w:tcW w:w="200" w:type="dxa"/>
            <w:vAlign w:val="bottom"/>
            <w:tcBorders>
              <w:bottom w:val="single" w:sz="8" w:color="58854E"/>
            </w:tcBorders>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58854E"/>
            </w:tcBorders>
          </w:tcPr>
          <w:p>
            <w:pPr>
              <w:jc w:val="right"/>
              <w:spacing w:after="0" w:line="162" w:lineRule="exact"/>
              <w:rPr>
                <w:sz w:val="20"/>
                <w:szCs w:val="20"/>
                <w:color w:val="auto"/>
              </w:rPr>
            </w:pPr>
            <w:r>
              <w:rPr>
                <w:rFonts w:ascii="Arial" w:cs="Arial" w:eastAsia="Arial" w:hAnsi="Arial"/>
                <w:sz w:val="15"/>
                <w:szCs w:val="15"/>
                <w:color w:val="auto"/>
              </w:rPr>
              <w:t>158,000</w:t>
            </w:r>
          </w:p>
        </w:tc>
      </w:tr>
      <w:tr>
        <w:trPr>
          <w:trHeight w:val="165"/>
        </w:trPr>
        <w:tc>
          <w:tcPr>
            <w:tcW w:w="3920" w:type="dxa"/>
            <w:vAlign w:val="bottom"/>
          </w:tcPr>
          <w:p>
            <w:pPr>
              <w:spacing w:after="0" w:line="165" w:lineRule="exact"/>
              <w:rPr>
                <w:sz w:val="20"/>
                <w:szCs w:val="20"/>
                <w:color w:val="auto"/>
              </w:rPr>
            </w:pPr>
            <w:r>
              <w:rPr>
                <w:rFonts w:ascii="Arial" w:cs="Arial" w:eastAsia="Arial" w:hAnsi="Arial"/>
                <w:sz w:val="15"/>
                <w:szCs w:val="15"/>
                <w:i w:val="1"/>
                <w:iCs w:val="1"/>
                <w:color w:val="auto"/>
              </w:rPr>
              <w:t>Viento Funding II, Inc</w:t>
            </w: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3940" w:type="dxa"/>
            <w:vAlign w:val="bottom"/>
          </w:tcPr>
          <w:p>
            <w:pPr>
              <w:spacing w:after="0" w:line="165" w:lineRule="exact"/>
              <w:rPr>
                <w:sz w:val="20"/>
                <w:szCs w:val="20"/>
                <w:color w:val="auto"/>
              </w:rPr>
            </w:pPr>
            <w:r>
              <w:rPr>
                <w:rFonts w:ascii="Arial" w:cs="Arial" w:eastAsia="Arial" w:hAnsi="Arial"/>
                <w:sz w:val="15"/>
                <w:szCs w:val="15"/>
                <w:color w:val="auto"/>
              </w:rPr>
              <w:t>Management and Administration Agreement, dated July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54"/>
        </w:trPr>
        <w:tc>
          <w:tcPr>
            <w:tcW w:w="3920" w:type="dxa"/>
            <w:vAlign w:val="bottom"/>
          </w:tcPr>
          <w:p>
            <w:pPr>
              <w:spacing w:after="0"/>
              <w:rPr>
                <w:sz w:val="13"/>
                <w:szCs w:val="13"/>
                <w:color w:val="auto"/>
              </w:rPr>
            </w:pPr>
          </w:p>
        </w:tc>
        <w:tc>
          <w:tcPr>
            <w:tcW w:w="4020" w:type="dxa"/>
            <w:vAlign w:val="bottom"/>
            <w:gridSpan w:val="2"/>
          </w:tcPr>
          <w:p>
            <w:pPr>
              <w:ind w:left="80"/>
              <w:spacing w:after="0" w:line="154" w:lineRule="exact"/>
              <w:rPr>
                <w:sz w:val="20"/>
                <w:szCs w:val="20"/>
                <w:color w:val="auto"/>
              </w:rPr>
            </w:pPr>
            <w:r>
              <w:rPr>
                <w:rFonts w:ascii="Arial" w:cs="Arial" w:eastAsia="Arial" w:hAnsi="Arial"/>
                <w:sz w:val="15"/>
                <w:szCs w:val="15"/>
                <w:color w:val="auto"/>
              </w:rPr>
              <w:t>2013</w:t>
            </w:r>
          </w:p>
        </w:tc>
        <w:tc>
          <w:tcPr>
            <w:tcW w:w="20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54" w:lineRule="exact"/>
              <w:rPr>
                <w:sz w:val="20"/>
                <w:szCs w:val="20"/>
                <w:color w:val="auto"/>
              </w:rPr>
            </w:pPr>
            <w:r>
              <w:rPr>
                <w:rFonts w:ascii="Arial" w:cs="Arial" w:eastAsia="Arial" w:hAnsi="Arial"/>
                <w:sz w:val="15"/>
                <w:szCs w:val="15"/>
                <w:color w:val="auto"/>
              </w:rPr>
              <w:t>269,000</w:t>
            </w:r>
          </w:p>
        </w:tc>
      </w:tr>
    </w:tbl>
    <w:p>
      <w:pPr>
        <w:ind w:left="1500" w:hanging="303"/>
        <w:spacing w:after="0" w:line="203" w:lineRule="auto"/>
        <w:tabs>
          <w:tab w:leader="none" w:pos="1500" w:val="left"/>
        </w:tabs>
        <w:numPr>
          <w:ilvl w:val="0"/>
          <w:numId w:val="39"/>
        </w:numPr>
        <w:rPr>
          <w:rFonts w:ascii="Arial" w:cs="Arial" w:eastAsia="Arial" w:hAnsi="Arial"/>
          <w:sz w:val="18"/>
          <w:szCs w:val="18"/>
          <w:color w:val="58844D"/>
          <w:vertAlign w:val="superscript"/>
        </w:rPr>
      </w:pPr>
      <w:r>
        <w:rPr>
          <w:rFonts w:ascii="Arial" w:cs="Arial" w:eastAsia="Arial" w:hAnsi="Arial"/>
          <w:sz w:val="12"/>
          <w:szCs w:val="12"/>
          <w:color w:val="auto"/>
        </w:rPr>
        <w:t>NRG West Holdings LLC, our wholly-owned subsidiary and the owner of El Segundo Energy Center, is also a 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wp:posOffset>
            </wp:positionV>
            <wp:extent cx="7273290"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3290" cy="1968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-101600</wp:posOffset>
            </wp:positionV>
            <wp:extent cx="5812790" cy="939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12790" cy="9398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8" w:name="page39"/>
    <w:bookmarkEnd w:id="38"/>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58844D"/>
        </w:rPr>
        <w:t>MARSH LANDING AGREEMENT</w:t>
      </w:r>
    </w:p>
    <w:p>
      <w:pPr>
        <w:spacing w:after="0" w:line="199" w:lineRule="exact"/>
        <w:rPr>
          <w:sz w:val="20"/>
          <w:szCs w:val="20"/>
          <w:color w:val="auto"/>
        </w:rPr>
      </w:pPr>
    </w:p>
    <w:p>
      <w:pPr>
        <w:ind w:left="9" w:right="20"/>
        <w:spacing w:after="0" w:line="239" w:lineRule="auto"/>
        <w:rPr>
          <w:sz w:val="20"/>
          <w:szCs w:val="20"/>
          <w:color w:val="auto"/>
        </w:rPr>
      </w:pPr>
      <w:r>
        <w:rPr>
          <w:rFonts w:ascii="Arial" w:cs="Arial" w:eastAsia="Arial" w:hAnsi="Arial"/>
          <w:sz w:val="15"/>
          <w:szCs w:val="15"/>
          <w:color w:val="auto"/>
        </w:rPr>
        <w:t>NRG Marsh Landing LLC (Marsh Landing), one of our wholly-owned subsidiaries, is a party to an administrative services agreement with NRG West Coast LLC, a wholly-owned subsidiary of NRG. Under the agreement, NRG West Coast LLC provides labor and invoice processing and payment services on behalf of Marsh Landing. Marsh Landing reimbursed NRG West Coast LLC for the amounts paid. For the year ended December 31, 2017, Marsh Landing reimbursed costs of approximately $15 million under this agreement.</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8"/>
          <w:szCs w:val="18"/>
          <w:color w:val="58844D"/>
        </w:rPr>
        <w:t>Power Sales and Energy Marketing Services Agreements</w:t>
      </w:r>
    </w:p>
    <w:p>
      <w:pPr>
        <w:spacing w:after="0" w:line="17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58844D"/>
        </w:rPr>
        <w:t>NRG DOVER AGREEMENTS</w:t>
      </w:r>
    </w:p>
    <w:p>
      <w:pPr>
        <w:spacing w:after="0" w:line="199" w:lineRule="exact"/>
        <w:rPr>
          <w:sz w:val="20"/>
          <w:szCs w:val="20"/>
          <w:color w:val="auto"/>
        </w:rPr>
      </w:pPr>
    </w:p>
    <w:p>
      <w:pPr>
        <w:ind w:left="9" w:right="20"/>
        <w:spacing w:after="0" w:line="237" w:lineRule="auto"/>
        <w:rPr>
          <w:sz w:val="20"/>
          <w:szCs w:val="20"/>
          <w:color w:val="auto"/>
        </w:rPr>
      </w:pPr>
      <w:r>
        <w:rPr>
          <w:rFonts w:ascii="Arial" w:cs="Arial" w:eastAsia="Arial" w:hAnsi="Arial"/>
          <w:sz w:val="15"/>
          <w:szCs w:val="15"/>
          <w:color w:val="auto"/>
        </w:rPr>
        <w:t>NRG Energy Center Dover LLC (NRG Dover), a subsidiary of the Company, is party to a Power Sales and Services Agreement with NRG Power Marketing. The agreement is automatically renewed on a month-to-month basis unless terminated by either party upon at least 30 days written notice. Under the agreement, NRG Power Marketing has the exclusive right to (i) manage, market and sell power, (ii) procure fuel and fuel transportation for operation of the Dover generating facility, to include for purposes other than generating power,</w:t>
      </w:r>
    </w:p>
    <w:p>
      <w:pPr>
        <w:spacing w:after="0" w:line="5" w:lineRule="exact"/>
        <w:rPr>
          <w:sz w:val="20"/>
          <w:szCs w:val="20"/>
          <w:color w:val="auto"/>
        </w:rPr>
      </w:pPr>
    </w:p>
    <w:p>
      <w:pPr>
        <w:ind w:left="9" w:right="100" w:hanging="9"/>
        <w:spacing w:after="0" w:line="280" w:lineRule="auto"/>
        <w:tabs>
          <w:tab w:leader="none" w:pos="2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procure transmission services required for the sale of power and (iv) procure and market emissions credits for operation of the Dover generating facility.</w:t>
      </w:r>
    </w:p>
    <w:p>
      <w:pPr>
        <w:spacing w:after="0" w:line="149" w:lineRule="exact"/>
        <w:rPr>
          <w:sz w:val="20"/>
          <w:szCs w:val="20"/>
          <w:color w:val="auto"/>
        </w:rPr>
      </w:pPr>
    </w:p>
    <w:p>
      <w:pPr>
        <w:ind w:left="9" w:right="20"/>
        <w:spacing w:after="0" w:line="239" w:lineRule="auto"/>
        <w:rPr>
          <w:sz w:val="20"/>
          <w:szCs w:val="20"/>
          <w:color w:val="auto"/>
        </w:rPr>
      </w:pPr>
      <w:r>
        <w:rPr>
          <w:rFonts w:ascii="Arial" w:cs="Arial" w:eastAsia="Arial" w:hAnsi="Arial"/>
          <w:sz w:val="15"/>
          <w:szCs w:val="15"/>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NRG Dover gross receipts generated through sales, less costs incurred by NRG Power Marketing related to providing such services as transmission and delivery costs, as well as fuel costs. For the year ended December 31, 2017, NRG Dover purchased approximately $539,000 of natural gas from NRG Power Marketing under the Power Sales and Services Agreement.</w:t>
      </w:r>
    </w:p>
    <w:p>
      <w:pPr>
        <w:spacing w:after="0" w:line="176" w:lineRule="exact"/>
        <w:rPr>
          <w:sz w:val="20"/>
          <w:szCs w:val="20"/>
          <w:color w:val="auto"/>
        </w:rPr>
      </w:pPr>
    </w:p>
    <w:p>
      <w:pPr>
        <w:ind w:left="9" w:right="20"/>
        <w:spacing w:after="0" w:line="239" w:lineRule="auto"/>
        <w:rPr>
          <w:sz w:val="20"/>
          <w:szCs w:val="20"/>
          <w:color w:val="auto"/>
        </w:rPr>
      </w:pPr>
      <w:r>
        <w:rPr>
          <w:rFonts w:ascii="Arial" w:cs="Arial" w:eastAsia="Arial" w:hAnsi="Arial"/>
          <w:sz w:val="15"/>
          <w:szCs w:val="15"/>
          <w:color w:val="auto"/>
        </w:rPr>
        <w:t>In February 2016, NRG Dover entered into a Power Purchase Agreement with NRG Power Marketing for the sale of energy and environmental attributes with an effective date of February 1, 2016 and expiration date of December 31, 2018. NRG Dover generated revenues of $4 million for the year ended December 31, 2017. The agreement in place is in addition to the existing Power Sales and Services Agreement described above.</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58844D"/>
        </w:rPr>
        <w:t>NRG MINNEAPOLIS AGREEMENT</w:t>
      </w:r>
    </w:p>
    <w:p>
      <w:pPr>
        <w:spacing w:after="0" w:line="199" w:lineRule="exact"/>
        <w:rPr>
          <w:sz w:val="20"/>
          <w:szCs w:val="20"/>
          <w:color w:val="auto"/>
        </w:rPr>
      </w:pPr>
    </w:p>
    <w:p>
      <w:pPr>
        <w:ind w:left="9" w:right="60"/>
        <w:spacing w:after="0" w:line="239" w:lineRule="auto"/>
        <w:rPr>
          <w:sz w:val="20"/>
          <w:szCs w:val="20"/>
          <w:color w:val="auto"/>
        </w:rPr>
      </w:pPr>
      <w:r>
        <w:rPr>
          <w:rFonts w:ascii="Arial" w:cs="Arial" w:eastAsia="Arial" w:hAnsi="Arial"/>
          <w:sz w:val="15"/>
          <w:szCs w:val="15"/>
          <w:color w:val="auto"/>
        </w:rPr>
        <w:t>NRG Energy Center Minneapolis LLC (NRG Minneapolis), one of our wholly-owned subsidiaries, is a party to an Energy Marketing Services Agreement (Minneapolis Agreement) with NRG Power Marketing, a wholly-owned subsidiary of NRG. The Minneapolis Agreement commenced in August 2014 and is automatically renewed annually unless terminated by either party upon at least 90 days' written notice prior to the end of any term. Under the Minneapolis Agreement, NRG Power Marketing has the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34</w:t>
      </w:r>
    </w:p>
    <w:p>
      <w:pPr>
        <w:spacing w:after="0" w:line="200" w:lineRule="exact"/>
        <w:rPr>
          <w:sz w:val="20"/>
          <w:szCs w:val="20"/>
          <w:color w:val="auto"/>
        </w:rPr>
      </w:pPr>
    </w:p>
    <w:p>
      <w:pPr>
        <w:spacing w:after="0" w:line="381"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exclusive right to procure fuel and fuel transportation for the operation of the Minneapolis generating facility. Fuel procured by NRG Power Marketing is sold to NRG Minneapolis upon delivery. For the year ended December 31, 2017, NRG Minneapolis purchased approximately $8.4 million of natural gas from NRG Power Marketing.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ELBOW CREEK POWER PURCHASE AGREEMENT</w:t>
      </w:r>
    </w:p>
    <w:p>
      <w:pPr>
        <w:spacing w:after="0" w:line="199"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In October 2015, Elbow Creek, one of our wholly-owned subsidiaries, entered into a Power Purchase Agreement with NRG Power Marketing for the sale of energy and environmental attributes with the effective date of November 1, 2015, and an expiration date of October 31, 2022. Elbow Creek generated revenues of $8 million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58844D"/>
        </w:rPr>
        <w:t>Additional El Segundo Agreements</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El Segundo Energy Center LLC (ESEC), one of our wholly-owned subsidiaries, entered into an Amended and Restated Easement Agreement, effective as of March 31, 2011, with El Segundo Power II LLC, a wholly-owned subsidiary of NRG, for a parcel of real property located in the city of El Segundo, California. The easement is for the construction, operation and maintenance of sewer lines, as well as for the construction, operations and maintenance of right of way and facilities for lay down and staging areas for the project. The term of the agreement is over the life of the project. Under the agreement, ESEC is required to pay an annual fee, subject to adjustment. For the year ended December 31, 2017, ESEC paid approximately $279,000 under this agreement.</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ESEC has entered into an Amended and Restated Ground Lease and Easement Agreement, effective as of March 31, 2011, with El Segundo Power, LLC, a wholly-owned subsidiary of NRG, for a parcel of real property in the city of El Segundo, California. The non-exclusive easements are for the construction, operation and maintenance of support infrastructure for the project. The initial term of the agreement is over the construction of the project through the twentieth anniversary of the commercial operations date. Under the agreement, ESEC is required to pay rent monthly, subject to annual adjustment. For the year ended December 31, 2017, ESEC paid approximately $1.2 million under this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8844D"/>
        </w:rPr>
        <w:t>Elbow Creek QSE Services Agreement</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Elbow Creek, one of our wholly-owned subsidiaries, entered into a QSE Services Agreement, effective as of March 25, 2015, with Boston Energy Trading and Marketing LLC (BETM), a wholly-owned subsidiary of NRG. Under the agreement, BETM serves as a qualified scheduling entity for Elbow Creek and acts as Elbow Creek's sole point of contact with ERCOT on matters related to scheduling, forecasting and settlement services. Elbow Creek pays a monthly fee, recurring charges, plus reimbursements, for the services. For the year ended December 31, 2017, Elbow Creek paid approximately $150,000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367665</wp:posOffset>
            </wp:positionV>
            <wp:extent cx="7273290"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9" w:space="720"/>
            <w:col w:w="5380"/>
          </w:cols>
          <w:pgMar w:left="231" w:top="142"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58844D"/>
        </w:rPr>
        <w:t>EPC Agreement by and between NECP and NRG</w:t>
      </w:r>
    </w:p>
    <w:p>
      <w:pPr>
        <w:spacing w:after="0" w:line="189" w:lineRule="exact"/>
        <w:rPr>
          <w:sz w:val="20"/>
          <w:szCs w:val="20"/>
          <w:color w:val="auto"/>
        </w:rPr>
      </w:pPr>
    </w:p>
    <w:p>
      <w:pPr>
        <w:ind w:right="180"/>
        <w:spacing w:after="0" w:line="254" w:lineRule="auto"/>
        <w:rPr>
          <w:sz w:val="20"/>
          <w:szCs w:val="20"/>
          <w:color w:val="auto"/>
        </w:rPr>
      </w:pPr>
      <w:r>
        <w:rPr>
          <w:rFonts w:ascii="Arial" w:cs="Arial" w:eastAsia="Arial" w:hAnsi="Arial"/>
          <w:sz w:val="14"/>
          <w:szCs w:val="14"/>
          <w:color w:val="auto"/>
        </w:rPr>
        <w:t>On October 31, 2016, NRG Business Services LLC, a subsidiary of NRG, and NRG Energy Center Pittsburgh LLC (NECP), a wholly owned subsidiary of the Company, entered into an Engineering, Procurement and Construction Agreement (EPC Agreement) for the construction of a 73 MWt district energy system for NECP to provide 150 kpph of steam, 6,750 tons of chilled water and</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7.5 MW of emergency backup power service to University of Pittsburgh Medical Center (UPMC Mercy). The initial term of the energy services agreement with UPMC Mercy will be for a period of twenty years from the service commencement date. Pursuant to the terms of the EPC Agreement, NECP agreed to pay NRG Business Services LLC $79 million, subject to adjustment based upon certain conditions in the EPC Agreement, upon substantial completion of the project. The project is expected to reach COD in the first quarter of 2018. On January 5, 2017, the parties amended the EPC Agreement, based on a customer change order, to increase the capacity of the district energy system from 73 MWt to 80 MWt, which also increased the payment from $79 million to $88 million.</w:t>
      </w:r>
    </w:p>
    <w:p>
      <w:pPr>
        <w:spacing w:after="0" w:line="160" w:lineRule="exact"/>
        <w:rPr>
          <w:sz w:val="20"/>
          <w:szCs w:val="20"/>
          <w:color w:val="auto"/>
        </w:rPr>
      </w:pPr>
    </w:p>
    <w:p>
      <w:pPr>
        <w:ind w:right="860"/>
        <w:spacing w:after="0" w:line="251" w:lineRule="auto"/>
        <w:rPr>
          <w:sz w:val="20"/>
          <w:szCs w:val="20"/>
          <w:color w:val="auto"/>
        </w:rPr>
      </w:pPr>
      <w:r>
        <w:rPr>
          <w:rFonts w:ascii="Arial" w:cs="Arial" w:eastAsia="Arial" w:hAnsi="Arial"/>
          <w:sz w:val="18"/>
          <w:szCs w:val="18"/>
          <w:color w:val="58844D"/>
        </w:rPr>
        <w:t>Third Amended and Restated Limited Liability Company Agreement of Yield LLC</w:t>
      </w:r>
    </w:p>
    <w:p>
      <w:pPr>
        <w:spacing w:after="0" w:line="168"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The following is a description of the material terms of Yield LLC's Third Amended and Restated Limited Liability Company Agreement (LLC Agreement).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GOVERNANCE</w:t>
      </w:r>
    </w:p>
    <w:p>
      <w:pPr>
        <w:spacing w:after="0" w:line="199"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serve as the sole managing member of Yield LLC. As such, we and effectively our Board, control the business and affairs of Yield LLC and are responsible for the management of its business.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VOTING AND ECONOMIC RIGHTS OF MEMBERS</w:t>
      </w:r>
    </w:p>
    <w:p>
      <w:pPr>
        <w:spacing w:after="0" w:line="199"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Yield LLC has four classes of Units: Class A units, Class B units, Class C units and Class D units. Class A units and Class C units may be issued only to us as the sole managing member, and Class B units and Class D units may be issued only to NRG and held by NRG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w:t>
      </w:r>
    </w:p>
    <w:p>
      <w:pPr>
        <w:spacing w:after="0" w:line="182"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Net profits and net losses and distributions by Yield LLC are allocated and made to holders of units in accordance with the respective number of membership units of Yield LLC held. Generally, Yield LLC will make distributions to us and NRG for the purpose of funding tax obligations in respect of income of Yield LLC that is allocated to the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35</w:t>
      </w:r>
    </w:p>
    <w:p>
      <w:pPr>
        <w:spacing w:after="0" w:line="376" w:lineRule="exact"/>
        <w:rPr>
          <w:sz w:val="20"/>
          <w:szCs w:val="20"/>
          <w:color w:val="auto"/>
        </w:rPr>
      </w:pPr>
    </w:p>
    <w:p>
      <w:pPr>
        <w:ind w:left="3" w:right="20"/>
        <w:spacing w:after="0" w:line="241" w:lineRule="auto"/>
        <w:rPr>
          <w:sz w:val="20"/>
          <w:szCs w:val="20"/>
          <w:color w:val="auto"/>
        </w:rPr>
      </w:pPr>
      <w:r>
        <w:rPr>
          <w:rFonts w:ascii="Arial" w:cs="Arial" w:eastAsia="Arial" w:hAnsi="Arial"/>
          <w:sz w:val="15"/>
          <w:szCs w:val="15"/>
          <w:color w:val="auto"/>
        </w:rPr>
        <w:t>members of Yield LLC. For the year ended December 31, 2017, Yield LLC made approximately $108.1 million in distributions to us and approximately $93.9 million in distributions to NRG.</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COORDINATION WITH YIELD LLC</w:t>
      </w:r>
    </w:p>
    <w:p>
      <w:pPr>
        <w:spacing w:after="0" w:line="199" w:lineRule="exact"/>
        <w:rPr>
          <w:sz w:val="20"/>
          <w:szCs w:val="20"/>
          <w:color w:val="auto"/>
        </w:rPr>
      </w:pPr>
    </w:p>
    <w:p>
      <w:pPr>
        <w:ind w:left="3" w:right="20"/>
        <w:spacing w:after="0" w:line="241" w:lineRule="auto"/>
        <w:rPr>
          <w:sz w:val="20"/>
          <w:szCs w:val="20"/>
          <w:color w:val="auto"/>
        </w:rPr>
      </w:pPr>
      <w:r>
        <w:rPr>
          <w:rFonts w:ascii="Arial" w:cs="Arial" w:eastAsia="Arial" w:hAnsi="Arial"/>
          <w:sz w:val="15"/>
          <w:szCs w:val="15"/>
          <w:color w:val="auto"/>
        </w:rPr>
        <w:t>Any time we issue a share of Class A common stock or a share of our Class C common stock for cash, the net proceeds therefrom will promptly be transferred to Yield LLC and Yield LLC will either:</w:t>
      </w:r>
    </w:p>
    <w:p>
      <w:pPr>
        <w:spacing w:after="0" w:line="176" w:lineRule="exact"/>
        <w:rPr>
          <w:sz w:val="20"/>
          <w:szCs w:val="20"/>
          <w:color w:val="auto"/>
        </w:rPr>
      </w:pPr>
    </w:p>
    <w:p>
      <w:pPr>
        <w:ind w:left="463" w:right="140" w:hanging="463"/>
        <w:spacing w:after="0"/>
        <w:tabs>
          <w:tab w:leader="none" w:pos="463" w:val="left"/>
        </w:tabs>
        <w:numPr>
          <w:ilvl w:val="0"/>
          <w:numId w:val="41"/>
        </w:numPr>
        <w:rPr>
          <w:rFonts w:ascii="Arial" w:cs="Arial" w:eastAsia="Arial" w:hAnsi="Arial"/>
          <w:sz w:val="15"/>
          <w:szCs w:val="15"/>
          <w:color w:val="58844D"/>
        </w:rPr>
      </w:pPr>
      <w:r>
        <w:rPr>
          <w:rFonts w:ascii="Arial" w:cs="Arial" w:eastAsia="Arial" w:hAnsi="Arial"/>
          <w:sz w:val="15"/>
          <w:szCs w:val="15"/>
          <w:color w:val="auto"/>
        </w:rPr>
        <w:t>transfer a newly issued Class A unit of Yield LLC to us in the case of the issuance of a share of Class A common stock, or a newly issued Class C unit of Yield LLC to us in the case of the issuance of a share of Class C common stock; or</w:t>
      </w:r>
    </w:p>
    <w:p>
      <w:pPr>
        <w:spacing w:after="0" w:line="176" w:lineRule="exact"/>
        <w:rPr>
          <w:rFonts w:ascii="Arial" w:cs="Arial" w:eastAsia="Arial" w:hAnsi="Arial"/>
          <w:sz w:val="15"/>
          <w:szCs w:val="15"/>
          <w:color w:val="58844D"/>
        </w:rPr>
      </w:pPr>
    </w:p>
    <w:p>
      <w:pPr>
        <w:ind w:left="463" w:right="60" w:hanging="463"/>
        <w:spacing w:after="0" w:line="239" w:lineRule="auto"/>
        <w:tabs>
          <w:tab w:leader="none" w:pos="463" w:val="left"/>
        </w:tabs>
        <w:numPr>
          <w:ilvl w:val="0"/>
          <w:numId w:val="41"/>
        </w:numPr>
        <w:rPr>
          <w:rFonts w:ascii="Arial" w:cs="Arial" w:eastAsia="Arial" w:hAnsi="Arial"/>
          <w:sz w:val="15"/>
          <w:szCs w:val="15"/>
          <w:color w:val="58844D"/>
        </w:rPr>
      </w:pPr>
      <w:r>
        <w:rPr>
          <w:rFonts w:ascii="Arial" w:cs="Arial" w:eastAsia="Arial" w:hAnsi="Arial"/>
          <w:sz w:val="15"/>
          <w:szCs w:val="15"/>
          <w:color w:val="auto"/>
        </w:rPr>
        <w:t>use the net proceeds to purchase a Class B unit of Yield LLC from NRG in the case of the issuance of a share of Class A common stock, which Class B unit will automatically convert into a Class A unit of Yield LLC when transferred to us, or a Class D unit of Yield LLC from NRG in the case of the issuance of a share of Class C common stock, which Class D unit will automatically convert into a Class C unit of Yield LLC when transferred to us.</w:t>
      </w:r>
    </w:p>
    <w:p>
      <w:pPr>
        <w:spacing w:after="0" w:line="177" w:lineRule="exact"/>
        <w:rPr>
          <w:sz w:val="20"/>
          <w:szCs w:val="20"/>
          <w:color w:val="auto"/>
        </w:rPr>
      </w:pPr>
    </w:p>
    <w:p>
      <w:pPr>
        <w:ind w:left="3" w:right="60"/>
        <w:spacing w:after="0" w:line="239" w:lineRule="auto"/>
        <w:rPr>
          <w:sz w:val="20"/>
          <w:szCs w:val="20"/>
          <w:color w:val="auto"/>
        </w:rPr>
      </w:pPr>
      <w:r>
        <w:rPr>
          <w:rFonts w:ascii="Arial" w:cs="Arial" w:eastAsia="Arial" w:hAnsi="Arial"/>
          <w:sz w:val="15"/>
          <w:szCs w:val="15"/>
          <w:color w:val="auto"/>
        </w:rPr>
        <w:t>If we elect to redeem any shares of our Class A common stock or Class C common stock for cash, Yield LLC will, immediately prior to such redemption, redeem an equal number of Class A units or Class C units, as applicable, held by us upon the same terms and for the same price, as the shares of Class A common stock so redeemed.</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8"/>
          <w:szCs w:val="18"/>
          <w:color w:val="58844D"/>
        </w:rPr>
        <w:t>Exchange Agreement</w:t>
      </w:r>
    </w:p>
    <w:p>
      <w:pPr>
        <w:spacing w:after="0" w:line="189" w:lineRule="exact"/>
        <w:rPr>
          <w:sz w:val="20"/>
          <w:szCs w:val="20"/>
          <w:color w:val="auto"/>
        </w:rPr>
      </w:pPr>
    </w:p>
    <w:p>
      <w:pPr>
        <w:ind w:left="3" w:right="100"/>
        <w:spacing w:after="0" w:line="239" w:lineRule="auto"/>
        <w:rPr>
          <w:sz w:val="20"/>
          <w:szCs w:val="20"/>
          <w:color w:val="auto"/>
        </w:rPr>
      </w:pPr>
      <w:r>
        <w:rPr>
          <w:rFonts w:ascii="Arial" w:cs="Arial" w:eastAsia="Arial" w:hAnsi="Arial"/>
          <w:sz w:val="15"/>
          <w:szCs w:val="15"/>
          <w:color w:val="auto"/>
        </w:rPr>
        <w:t>We entered into an Amended and Restated Exchange Agreement with NRG (Exchange Agreement). Under the Exchange Agreement, NRG (and certain permitted assignees and permitted transferees who acquire Class B units or Class D units of Yield LLC) may from time to time cause Yield LLC to exchange their Class B units for shares of our Class A common stock on a one-for-one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176" w:lineRule="exact"/>
        <w:rPr>
          <w:sz w:val="20"/>
          <w:szCs w:val="20"/>
          <w:color w:val="auto"/>
        </w:rPr>
      </w:pPr>
    </w:p>
    <w:p>
      <w:pPr>
        <w:ind w:left="3" w:right="60"/>
        <w:spacing w:after="0" w:line="238" w:lineRule="auto"/>
        <w:rPr>
          <w:sz w:val="20"/>
          <w:szCs w:val="20"/>
          <w:color w:val="auto"/>
        </w:rPr>
      </w:pPr>
      <w:r>
        <w:rPr>
          <w:rFonts w:ascii="Arial" w:cs="Arial" w:eastAsia="Arial" w:hAnsi="Arial"/>
          <w:sz w:val="15"/>
          <w:szCs w:val="15"/>
          <w:color w:val="auto"/>
        </w:rPr>
        <w:t>When NRG or its permitted transferee exchanges a Class B unit of Yield LLC for a share of our Class A common stock, we will automatically redeem and cancel a corresponding share of our Class B common stock and the Class B unit will automatically convert into a Class A unit when issued to us; similarly, when NRG or its permitted transferee exchanges a Class D unit of Yield LLC for a share of our Class C common stock, we will automatically redeem and cancel a corresponding share of our Class D common stock and the Class D unit will automatically convert into a Class C unit when issued to us. As result, when a holder exchanges its Class B units for shares of our Class A common stock, or its Class D units for shares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168910</wp:posOffset>
            </wp:positionV>
            <wp:extent cx="7273290"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0" w:space="697"/>
            <w:col w:w="5383"/>
          </w:cols>
          <w:pgMar w:left="240" w:top="142" w:right="219" w:bottom="1440" w:gutter="0" w:footer="0" w:header="0"/>
        </w:sectPr>
      </w:pPr>
    </w:p>
    <w:bookmarkStart w:id="40" w:name="page41"/>
    <w:bookmarkEnd w:id="40"/>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right="660"/>
        <w:spacing w:after="0" w:line="245" w:lineRule="auto"/>
        <w:rPr>
          <w:sz w:val="20"/>
          <w:szCs w:val="20"/>
          <w:color w:val="auto"/>
        </w:rPr>
      </w:pPr>
      <w:r>
        <w:rPr>
          <w:rFonts w:ascii="Arial" w:cs="Arial" w:eastAsia="Arial" w:hAnsi="Arial"/>
          <w:sz w:val="15"/>
          <w:szCs w:val="15"/>
          <w:color w:val="auto"/>
        </w:rPr>
        <w:t>Class C common stock, our interest in Yield LLC will be correspondingly increased.</w:t>
      </w:r>
    </w:p>
    <w:p>
      <w:pPr>
        <w:spacing w:after="0" w:line="164" w:lineRule="exact"/>
        <w:rPr>
          <w:sz w:val="20"/>
          <w:szCs w:val="20"/>
          <w:color w:val="auto"/>
        </w:rPr>
      </w:pPr>
    </w:p>
    <w:p>
      <w:pPr>
        <w:ind w:left="9"/>
        <w:spacing w:after="0"/>
        <w:rPr>
          <w:sz w:val="20"/>
          <w:szCs w:val="20"/>
          <w:color w:val="auto"/>
        </w:rPr>
      </w:pPr>
      <w:r>
        <w:rPr>
          <w:rFonts w:ascii="Arial" w:cs="Arial" w:eastAsia="Arial" w:hAnsi="Arial"/>
          <w:sz w:val="18"/>
          <w:szCs w:val="18"/>
          <w:color w:val="58844D"/>
        </w:rPr>
        <w:t>Registration Rights Agreement</w:t>
      </w:r>
    </w:p>
    <w:p>
      <w:pPr>
        <w:spacing w:after="0" w:line="189" w:lineRule="exact"/>
        <w:rPr>
          <w:sz w:val="20"/>
          <w:szCs w:val="20"/>
          <w:color w:val="auto"/>
        </w:rPr>
      </w:pPr>
    </w:p>
    <w:p>
      <w:pPr>
        <w:ind w:left="9" w:right="40"/>
        <w:spacing w:after="0" w:line="239" w:lineRule="auto"/>
        <w:rPr>
          <w:sz w:val="20"/>
          <w:szCs w:val="20"/>
          <w:color w:val="auto"/>
        </w:rPr>
      </w:pPr>
      <w:r>
        <w:rPr>
          <w:rFonts w:ascii="Arial" w:cs="Arial" w:eastAsia="Arial" w:hAnsi="Arial"/>
          <w:sz w:val="15"/>
          <w:szCs w:val="15"/>
          <w:color w:val="auto"/>
        </w:rPr>
        <w:t>We have entered into an Amended and Restated Registration Rights Agreement with NRG (Registration Rights Agreement). Under the Registration Rights Agreement, NRG and its affiliates are entitled to demand registration rights, including the right to demand that a shelf registration statement be filed, and "piggyback" registration rights, for shares of our Class A common stock that are issuable upon exchange of Class B units of Yield LLC that NRG owns and shares of our Class C common stock that are issuable upon exchange of the Class D units of Yield LLC that NRG owns.</w:t>
      </w:r>
    </w:p>
    <w:p>
      <w:pPr>
        <w:spacing w:after="0" w:line="168" w:lineRule="exact"/>
        <w:rPr>
          <w:sz w:val="20"/>
          <w:szCs w:val="20"/>
          <w:color w:val="auto"/>
        </w:rPr>
      </w:pPr>
    </w:p>
    <w:p>
      <w:pPr>
        <w:ind w:left="9" w:right="520"/>
        <w:spacing w:after="0" w:line="251" w:lineRule="auto"/>
        <w:rPr>
          <w:sz w:val="20"/>
          <w:szCs w:val="20"/>
          <w:color w:val="auto"/>
        </w:rPr>
      </w:pPr>
      <w:r>
        <w:rPr>
          <w:rFonts w:ascii="Arial" w:cs="Arial" w:eastAsia="Arial" w:hAnsi="Arial"/>
          <w:sz w:val="18"/>
          <w:szCs w:val="18"/>
          <w:color w:val="58844D"/>
        </w:rPr>
        <w:t>Procedures for Review, Approval and Ratification of Related Person Transactions; Conflicts of Interest</w:t>
      </w:r>
    </w:p>
    <w:p>
      <w:pPr>
        <w:spacing w:after="0" w:line="168" w:lineRule="exact"/>
        <w:rPr>
          <w:sz w:val="20"/>
          <w:szCs w:val="20"/>
          <w:color w:val="auto"/>
        </w:rPr>
      </w:pPr>
    </w:p>
    <w:p>
      <w:pPr>
        <w:ind w:left="9" w:right="60"/>
        <w:spacing w:after="0" w:line="239" w:lineRule="auto"/>
        <w:rPr>
          <w:sz w:val="20"/>
          <w:szCs w:val="20"/>
          <w:color w:val="auto"/>
        </w:rPr>
      </w:pPr>
      <w:r>
        <w:rPr>
          <w:rFonts w:ascii="Arial" w:cs="Arial" w:eastAsia="Arial" w:hAnsi="Arial"/>
          <w:sz w:val="15"/>
          <w:szCs w:val="15"/>
          <w:color w:val="auto"/>
        </w:rPr>
        <w:t>Our Board has adopted a written Related Person Transaction Policy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 — Corporate Governance, Conflicts and Nominating Committee."</w:t>
      </w:r>
    </w:p>
    <w:p>
      <w:pPr>
        <w:spacing w:after="0" w:line="178" w:lineRule="exact"/>
        <w:rPr>
          <w:sz w:val="20"/>
          <w:szCs w:val="20"/>
          <w:color w:val="auto"/>
        </w:rPr>
      </w:pPr>
    </w:p>
    <w:p>
      <w:pPr>
        <w:ind w:left="9" w:right="40"/>
        <w:spacing w:after="0" w:line="241" w:lineRule="auto"/>
        <w:rPr>
          <w:sz w:val="20"/>
          <w:szCs w:val="20"/>
          <w:color w:val="auto"/>
        </w:rPr>
      </w:pPr>
      <w:r>
        <w:rPr>
          <w:rFonts w:ascii="Arial" w:cs="Arial" w:eastAsia="Arial" w:hAnsi="Arial"/>
          <w:sz w:val="15"/>
          <w:szCs w:val="15"/>
          <w:color w:val="auto"/>
        </w:rPr>
        <w:t>The Related Person Policy operates in conjunction with our Code of Conduct and is applicable to all "Related Person Transactions", which are all transactions, arrangements or relationships in which:</w:t>
      </w:r>
    </w:p>
    <w:p>
      <w:pPr>
        <w:spacing w:after="0" w:line="176" w:lineRule="exact"/>
        <w:rPr>
          <w:sz w:val="20"/>
          <w:szCs w:val="20"/>
          <w:color w:val="auto"/>
        </w:rPr>
      </w:pPr>
    </w:p>
    <w:p>
      <w:pPr>
        <w:ind w:left="449" w:right="20" w:hanging="449"/>
        <w:spacing w:after="0" w:line="245" w:lineRule="auto"/>
        <w:tabs>
          <w:tab w:leader="none" w:pos="449" w:val="left"/>
        </w:tabs>
        <w:numPr>
          <w:ilvl w:val="0"/>
          <w:numId w:val="42"/>
        </w:numPr>
        <w:rPr>
          <w:rFonts w:ascii="Arial" w:cs="Arial" w:eastAsia="Arial" w:hAnsi="Arial"/>
          <w:sz w:val="15"/>
          <w:szCs w:val="15"/>
          <w:color w:val="58844D"/>
        </w:rPr>
      </w:pPr>
      <w:r>
        <w:rPr>
          <w:rFonts w:ascii="Arial" w:cs="Arial" w:eastAsia="Arial" w:hAnsi="Arial"/>
          <w:sz w:val="15"/>
          <w:szCs w:val="15"/>
          <w:color w:val="auto"/>
        </w:rPr>
        <w:t>the aggregate amount involved will or may be expected to exceed $50,000 in any calendar year;</w:t>
      </w:r>
    </w:p>
    <w:p>
      <w:pPr>
        <w:spacing w:after="0" w:line="172" w:lineRule="exact"/>
        <w:rPr>
          <w:rFonts w:ascii="Arial" w:cs="Arial" w:eastAsia="Arial" w:hAnsi="Arial"/>
          <w:sz w:val="15"/>
          <w:szCs w:val="15"/>
          <w:color w:val="58844D"/>
        </w:rPr>
      </w:pPr>
    </w:p>
    <w:p>
      <w:pPr>
        <w:ind w:left="449" w:hanging="449"/>
        <w:spacing w:after="0"/>
        <w:tabs>
          <w:tab w:leader="none" w:pos="449" w:val="left"/>
        </w:tabs>
        <w:numPr>
          <w:ilvl w:val="0"/>
          <w:numId w:val="42"/>
        </w:numPr>
        <w:rPr>
          <w:rFonts w:ascii="Arial" w:cs="Arial" w:eastAsia="Arial" w:hAnsi="Arial"/>
          <w:sz w:val="15"/>
          <w:szCs w:val="15"/>
          <w:color w:val="58844D"/>
        </w:rPr>
      </w:pPr>
      <w:r>
        <w:rPr>
          <w:rFonts w:ascii="Arial" w:cs="Arial" w:eastAsia="Arial" w:hAnsi="Arial"/>
          <w:sz w:val="15"/>
          <w:szCs w:val="15"/>
          <w:color w:val="auto"/>
        </w:rPr>
        <w:t>the Company is a participant; and</w:t>
      </w:r>
    </w:p>
    <w:p>
      <w:pPr>
        <w:spacing w:after="0" w:line="169" w:lineRule="exact"/>
        <w:rPr>
          <w:rFonts w:ascii="Arial" w:cs="Arial" w:eastAsia="Arial" w:hAnsi="Arial"/>
          <w:sz w:val="15"/>
          <w:szCs w:val="15"/>
          <w:color w:val="58844D"/>
        </w:rPr>
      </w:pPr>
    </w:p>
    <w:p>
      <w:pPr>
        <w:ind w:left="449" w:hanging="449"/>
        <w:spacing w:after="0" w:line="245" w:lineRule="auto"/>
        <w:tabs>
          <w:tab w:leader="none" w:pos="449" w:val="left"/>
        </w:tabs>
        <w:numPr>
          <w:ilvl w:val="0"/>
          <w:numId w:val="42"/>
        </w:numPr>
        <w:rPr>
          <w:rFonts w:ascii="Arial" w:cs="Arial" w:eastAsia="Arial" w:hAnsi="Arial"/>
          <w:sz w:val="15"/>
          <w:szCs w:val="15"/>
          <w:color w:val="58844D"/>
        </w:rPr>
      </w:pPr>
      <w:r>
        <w:rPr>
          <w:rFonts w:ascii="Arial" w:cs="Arial" w:eastAsia="Arial" w:hAnsi="Arial"/>
          <w:sz w:val="15"/>
          <w:szCs w:val="15"/>
          <w:color w:val="auto"/>
        </w:rPr>
        <w:t>any Related Person (as that term is defined below) has or will have a direct or indirect interest.</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15"/>
          <w:szCs w:val="15"/>
          <w:color w:val="auto"/>
        </w:rPr>
        <w:t>A "Related Person" is:</w:t>
      </w:r>
    </w:p>
    <w:p>
      <w:pPr>
        <w:spacing w:after="0" w:line="181" w:lineRule="exact"/>
        <w:rPr>
          <w:sz w:val="20"/>
          <w:szCs w:val="20"/>
          <w:color w:val="auto"/>
        </w:rPr>
      </w:pPr>
    </w:p>
    <w:p>
      <w:pPr>
        <w:ind w:left="449" w:right="140" w:hanging="449"/>
        <w:spacing w:after="0" w:line="280" w:lineRule="auto"/>
        <w:tabs>
          <w:tab w:leader="none" w:pos="449" w:val="left"/>
        </w:tabs>
        <w:numPr>
          <w:ilvl w:val="0"/>
          <w:numId w:val="43"/>
        </w:numPr>
        <w:rPr>
          <w:rFonts w:ascii="Arial" w:cs="Arial" w:eastAsia="Arial" w:hAnsi="Arial"/>
          <w:sz w:val="14"/>
          <w:szCs w:val="14"/>
          <w:color w:val="58844D"/>
        </w:rPr>
      </w:pPr>
      <w:r>
        <w:rPr>
          <w:rFonts w:ascii="Arial" w:cs="Arial" w:eastAsia="Arial" w:hAnsi="Arial"/>
          <w:sz w:val="14"/>
          <w:szCs w:val="14"/>
          <w:color w:val="auto"/>
        </w:rPr>
        <w:t>any person who is, or at any time during the applicable period was, a director of the Company or a nominee for director or an executive officer;</w:t>
      </w:r>
    </w:p>
    <w:p>
      <w:pPr>
        <w:spacing w:after="0" w:line="148" w:lineRule="exact"/>
        <w:rPr>
          <w:rFonts w:ascii="Arial" w:cs="Arial" w:eastAsia="Arial" w:hAnsi="Arial"/>
          <w:sz w:val="14"/>
          <w:szCs w:val="14"/>
          <w:color w:val="58844D"/>
        </w:rPr>
      </w:pPr>
    </w:p>
    <w:p>
      <w:pPr>
        <w:ind w:left="449" w:right="260" w:hanging="449"/>
        <w:spacing w:after="0" w:line="245" w:lineRule="auto"/>
        <w:tabs>
          <w:tab w:leader="none" w:pos="449" w:val="left"/>
        </w:tabs>
        <w:numPr>
          <w:ilvl w:val="0"/>
          <w:numId w:val="43"/>
        </w:numPr>
        <w:rPr>
          <w:rFonts w:ascii="Arial" w:cs="Arial" w:eastAsia="Arial" w:hAnsi="Arial"/>
          <w:sz w:val="15"/>
          <w:szCs w:val="15"/>
          <w:color w:val="58844D"/>
        </w:rPr>
      </w:pPr>
      <w:r>
        <w:rPr>
          <w:rFonts w:ascii="Arial" w:cs="Arial" w:eastAsia="Arial" w:hAnsi="Arial"/>
          <w:sz w:val="15"/>
          <w:szCs w:val="15"/>
          <w:color w:val="auto"/>
        </w:rPr>
        <w:t>any person who is known to the Company to be the beneficial owner of more than 5% of any class of the Company's voting stock;</w:t>
      </w:r>
    </w:p>
    <w:p>
      <w:pPr>
        <w:spacing w:after="0" w:line="160" w:lineRule="exact"/>
        <w:rPr>
          <w:rFonts w:ascii="Arial" w:cs="Arial" w:eastAsia="Arial" w:hAnsi="Arial"/>
          <w:sz w:val="15"/>
          <w:szCs w:val="15"/>
          <w:color w:val="58844D"/>
        </w:rPr>
      </w:pPr>
    </w:p>
    <w:p>
      <w:pPr>
        <w:ind w:left="449" w:right="40" w:hanging="449"/>
        <w:spacing w:after="0" w:line="259" w:lineRule="auto"/>
        <w:tabs>
          <w:tab w:leader="none" w:pos="449" w:val="left"/>
        </w:tabs>
        <w:numPr>
          <w:ilvl w:val="0"/>
          <w:numId w:val="43"/>
        </w:numPr>
        <w:rPr>
          <w:rFonts w:ascii="Arial" w:cs="Arial" w:eastAsia="Arial" w:hAnsi="Arial"/>
          <w:sz w:val="14"/>
          <w:szCs w:val="14"/>
          <w:color w:val="58844D"/>
        </w:rPr>
      </w:pPr>
      <w:r>
        <w:rPr>
          <w:rFonts w:ascii="Arial" w:cs="Arial" w:eastAsia="Arial" w:hAnsi="Arial"/>
          <w:sz w:val="14"/>
          <w:szCs w:val="14"/>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CERTAIN RELATIONSHIPS AND RELATED PERSON TRANSACTIONS </w:t>
      </w:r>
      <w:r>
        <w:rPr>
          <w:rFonts w:ascii="Arial" w:cs="Arial" w:eastAsia="Arial" w:hAnsi="Arial"/>
          <w:sz w:val="12"/>
          <w:szCs w:val="12"/>
          <w:b w:val="1"/>
          <w:bCs w:val="1"/>
          <w:color w:val="58844D"/>
        </w:rPr>
        <w:t>36</w:t>
      </w:r>
    </w:p>
    <w:p>
      <w:pPr>
        <w:spacing w:after="0" w:line="376" w:lineRule="exact"/>
        <w:rPr>
          <w:sz w:val="20"/>
          <w:szCs w:val="20"/>
          <w:color w:val="auto"/>
        </w:rPr>
      </w:pPr>
    </w:p>
    <w:p>
      <w:pPr>
        <w:ind w:left="3" w:right="60"/>
        <w:spacing w:after="0" w:line="245" w:lineRule="auto"/>
        <w:rPr>
          <w:sz w:val="20"/>
          <w:szCs w:val="20"/>
          <w:color w:val="auto"/>
        </w:rPr>
      </w:pPr>
      <w:r>
        <w:rPr>
          <w:rFonts w:ascii="Arial" w:cs="Arial" w:eastAsia="Arial" w:hAnsi="Arial"/>
          <w:sz w:val="15"/>
          <w:szCs w:val="15"/>
          <w:color w:val="auto"/>
        </w:rPr>
        <w:t>executive officer or more than 5% beneficial owner of any class of the Company's voting stock; and</w:t>
      </w:r>
    </w:p>
    <w:p>
      <w:pPr>
        <w:spacing w:after="0" w:line="172" w:lineRule="exact"/>
        <w:rPr>
          <w:sz w:val="20"/>
          <w:szCs w:val="20"/>
          <w:color w:val="auto"/>
        </w:rPr>
      </w:pPr>
    </w:p>
    <w:p>
      <w:pPr>
        <w:ind w:left="463" w:right="60" w:hanging="463"/>
        <w:spacing w:after="0" w:line="241" w:lineRule="auto"/>
        <w:tabs>
          <w:tab w:leader="none" w:pos="463" w:val="left"/>
        </w:tabs>
        <w:numPr>
          <w:ilvl w:val="0"/>
          <w:numId w:val="44"/>
        </w:numPr>
        <w:rPr>
          <w:rFonts w:ascii="Arial" w:cs="Arial" w:eastAsia="Arial" w:hAnsi="Arial"/>
          <w:sz w:val="15"/>
          <w:szCs w:val="15"/>
          <w:color w:val="58844D"/>
        </w:rPr>
      </w:pPr>
      <w:r>
        <w:rPr>
          <w:rFonts w:ascii="Arial" w:cs="Arial" w:eastAsia="Arial" w:hAnsi="Arial"/>
          <w:sz w:val="15"/>
          <w:szCs w:val="15"/>
          <w:color w:val="auto"/>
        </w:rPr>
        <w:t>any firm, corporation or other entity in which any of the foregoing persons is a partner or principal or in a similar position or in which such person has a 10% or greater beneficial ownership interest.</w:t>
      </w:r>
    </w:p>
    <w:p>
      <w:pPr>
        <w:spacing w:after="0" w:line="176" w:lineRule="exact"/>
        <w:rPr>
          <w:sz w:val="20"/>
          <w:szCs w:val="20"/>
          <w:color w:val="auto"/>
        </w:rPr>
      </w:pPr>
    </w:p>
    <w:p>
      <w:pPr>
        <w:ind w:left="3" w:right="40"/>
        <w:spacing w:after="0" w:line="254" w:lineRule="auto"/>
        <w:rPr>
          <w:sz w:val="20"/>
          <w:szCs w:val="20"/>
          <w:color w:val="auto"/>
        </w:rPr>
      </w:pPr>
      <w:r>
        <w:rPr>
          <w:rFonts w:ascii="Arial" w:cs="Arial" w:eastAsia="Arial" w:hAnsi="Arial"/>
          <w:sz w:val="14"/>
          <w:szCs w:val="14"/>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w:t>
      </w:r>
    </w:p>
    <w:p>
      <w:pPr>
        <w:spacing w:after="0" w:line="5" w:lineRule="exact"/>
        <w:rPr>
          <w:sz w:val="20"/>
          <w:szCs w:val="20"/>
          <w:color w:val="auto"/>
        </w:rPr>
      </w:pPr>
    </w:p>
    <w:p>
      <w:pPr>
        <w:ind w:left="223" w:hanging="223"/>
        <w:spacing w:after="0"/>
        <w:tabs>
          <w:tab w:leader="none" w:pos="223"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availability of other sources for comparable products or services;</w:t>
      </w:r>
    </w:p>
    <w:p>
      <w:pPr>
        <w:ind w:left="183" w:hanging="183"/>
        <w:spacing w:after="0" w:line="237" w:lineRule="auto"/>
        <w:tabs>
          <w:tab w:leader="none" w:pos="183" w:val="left"/>
        </w:tabs>
        <w:numPr>
          <w:ilvl w:val="0"/>
          <w:numId w:val="45"/>
        </w:numPr>
        <w:rPr>
          <w:rFonts w:ascii="Arial" w:cs="Arial" w:eastAsia="Arial" w:hAnsi="Arial"/>
          <w:sz w:val="15"/>
          <w:szCs w:val="15"/>
          <w:color w:val="auto"/>
        </w:rPr>
      </w:pPr>
      <w:r>
        <w:rPr>
          <w:rFonts w:ascii="Arial" w:cs="Arial" w:eastAsia="Arial" w:hAnsi="Arial"/>
          <w:sz w:val="15"/>
          <w:szCs w:val="15"/>
          <w:color w:val="auto"/>
        </w:rPr>
        <w:t>whether it is a single transaction or a series of ongoing, related transactions;</w:t>
      </w:r>
    </w:p>
    <w:p>
      <w:pPr>
        <w:ind w:left="3" w:right="20"/>
        <w:spacing w:after="0" w:line="245" w:lineRule="auto"/>
        <w:rPr>
          <w:rFonts w:ascii="Arial" w:cs="Arial" w:eastAsia="Arial" w:hAnsi="Arial"/>
          <w:sz w:val="15"/>
          <w:szCs w:val="15"/>
          <w:color w:val="auto"/>
        </w:rPr>
      </w:pPr>
      <w:r>
        <w:rPr>
          <w:rFonts w:ascii="Arial" w:cs="Arial" w:eastAsia="Arial" w:hAnsi="Arial"/>
          <w:sz w:val="15"/>
          <w:szCs w:val="15"/>
          <w:color w:val="auto"/>
        </w:rPr>
        <w:t>and (g) whether entering into the transaction would be consistent with the Related Person Transaction Policy.</w:t>
      </w:r>
    </w:p>
    <w:p>
      <w:pPr>
        <w:spacing w:after="0" w:line="172" w:lineRule="exact"/>
        <w:rPr>
          <w:sz w:val="20"/>
          <w:szCs w:val="20"/>
          <w:color w:val="auto"/>
        </w:rPr>
      </w:pPr>
    </w:p>
    <w:p>
      <w:pPr>
        <w:ind w:left="3" w:right="480"/>
        <w:spacing w:after="0" w:line="241" w:lineRule="auto"/>
        <w:rPr>
          <w:sz w:val="20"/>
          <w:szCs w:val="20"/>
          <w:color w:val="auto"/>
        </w:rPr>
      </w:pPr>
      <w:r>
        <w:rPr>
          <w:rFonts w:ascii="Arial" w:cs="Arial" w:eastAsia="Arial" w:hAnsi="Arial"/>
          <w:sz w:val="15"/>
          <w:szCs w:val="15"/>
          <w:color w:val="auto"/>
        </w:rPr>
        <w:t>If the aggregate amount involved is expected to be less than $500,000, the transaction may be approved or ratified by the Chair of the Corporate Governance, Conflicts and Nominating Committee.</w:t>
      </w:r>
    </w:p>
    <w:p>
      <w:pPr>
        <w:spacing w:after="0" w:line="176" w:lineRule="exact"/>
        <w:rPr>
          <w:sz w:val="20"/>
          <w:szCs w:val="20"/>
          <w:color w:val="auto"/>
        </w:rPr>
      </w:pPr>
    </w:p>
    <w:p>
      <w:pPr>
        <w:ind w:left="3" w:right="20"/>
        <w:spacing w:after="0" w:line="239" w:lineRule="auto"/>
        <w:rPr>
          <w:sz w:val="20"/>
          <w:szCs w:val="20"/>
          <w:color w:val="auto"/>
        </w:rPr>
      </w:pPr>
      <w:r>
        <w:rPr>
          <w:rFonts w:ascii="Arial" w:cs="Arial" w:eastAsia="Arial" w:hAnsi="Arial"/>
          <w:sz w:val="15"/>
          <w:szCs w:val="15"/>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76" w:lineRule="exact"/>
        <w:rPr>
          <w:sz w:val="20"/>
          <w:szCs w:val="20"/>
          <w:color w:val="auto"/>
        </w:rPr>
      </w:pPr>
    </w:p>
    <w:p>
      <w:pPr>
        <w:ind w:left="3" w:right="80"/>
        <w:spacing w:after="0" w:line="263" w:lineRule="auto"/>
        <w:rPr>
          <w:sz w:val="20"/>
          <w:szCs w:val="20"/>
          <w:color w:val="auto"/>
        </w:rPr>
      </w:pPr>
      <w:r>
        <w:rPr>
          <w:rFonts w:ascii="Arial" w:cs="Arial" w:eastAsia="Arial" w:hAnsi="Arial"/>
          <w:sz w:val="14"/>
          <w:szCs w:val="14"/>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161" w:lineRule="exact"/>
        <w:rPr>
          <w:sz w:val="20"/>
          <w:szCs w:val="20"/>
          <w:color w:val="auto"/>
        </w:rPr>
      </w:pPr>
    </w:p>
    <w:p>
      <w:pPr>
        <w:ind w:left="3" w:right="20"/>
        <w:spacing w:after="0" w:line="239" w:lineRule="auto"/>
        <w:rPr>
          <w:sz w:val="20"/>
          <w:szCs w:val="20"/>
          <w:color w:val="auto"/>
        </w:rPr>
      </w:pPr>
      <w:r>
        <w:rPr>
          <w:rFonts w:ascii="Arial" w:cs="Arial" w:eastAsia="Arial" w:hAnsi="Arial"/>
          <w:sz w:val="15"/>
          <w:szCs w:val="15"/>
          <w:color w:val="auto"/>
        </w:rPr>
        <w:t>The Committee's activities with respect to the review and approval or ratification of all Related Person Transactions are reported periodically to the Board. Any transaction between us and any Related Person, including NRG, will be subject to the prior review and approval of our Corporate Governance, Conflicts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803910</wp:posOffset>
            </wp:positionV>
            <wp:extent cx="7273290"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697"/>
            <w:col w:w="5383"/>
          </w:cols>
          <w:pgMar w:left="231" w:top="142" w:right="2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460"/>
        <w:spacing w:after="0"/>
        <w:rPr>
          <w:sz w:val="20"/>
          <w:szCs w:val="20"/>
          <w:color w:val="auto"/>
        </w:rPr>
      </w:pPr>
      <w:r>
        <w:rPr>
          <w:rFonts w:ascii="Arial" w:cs="Arial" w:eastAsia="Arial" w:hAnsi="Arial"/>
          <w:sz w:val="12"/>
          <w:szCs w:val="12"/>
          <w:color w:val="FFFFFE"/>
        </w:rPr>
        <w:t xml:space="preserve">EXECUTIVE COMPENSATION </w:t>
      </w:r>
      <w:r>
        <w:rPr>
          <w:rFonts w:ascii="Arial" w:cs="Arial" w:eastAsia="Arial" w:hAnsi="Arial"/>
          <w:sz w:val="12"/>
          <w:szCs w:val="12"/>
          <w:b w:val="1"/>
          <w:bCs w:val="1"/>
          <w:color w:val="FFFFFE"/>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60" w:type="dxa"/>
            <w:vAlign w:val="bottom"/>
            <w:gridSpan w:val="23"/>
          </w:tcPr>
          <w:p>
            <w:pPr>
              <w:ind w:left="840"/>
              <w:spacing w:after="0"/>
              <w:rPr>
                <w:sz w:val="20"/>
                <w:szCs w:val="20"/>
                <w:color w:val="auto"/>
              </w:rPr>
            </w:pPr>
            <w:r>
              <w:rPr>
                <w:rFonts w:ascii="Arial" w:cs="Arial" w:eastAsia="Arial" w:hAnsi="Arial"/>
                <w:sz w:val="15"/>
                <w:szCs w:val="15"/>
                <w:b w:val="1"/>
                <w:bCs w:val="1"/>
                <w:color w:val="58844D"/>
              </w:rPr>
              <w:t>COMPENSATION DISCUSSION AND ANALYSIS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40" w:type="dxa"/>
            <w:vAlign w:val="bottom"/>
            <w:gridSpan w:val="17"/>
          </w:tcPr>
          <w:p>
            <w:pPr>
              <w:spacing w:after="0"/>
              <w:rPr>
                <w:rFonts w:ascii="Arial" w:cs="Arial" w:eastAsia="Arial" w:hAnsi="Arial"/>
                <w:sz w:val="15"/>
                <w:szCs w:val="15"/>
                <w:color w:val="0000EE"/>
              </w:rPr>
            </w:pPr>
            <w:hyperlink w:anchor="page48">
              <w:r>
                <w:rPr>
                  <w:rFonts w:ascii="Arial" w:cs="Arial" w:eastAsia="Arial" w:hAnsi="Arial"/>
                  <w:sz w:val="15"/>
                  <w:szCs w:val="15"/>
                  <w:color w:val="0000EE"/>
                </w:rPr>
                <w:t>Benefits</w:t>
              </w:r>
            </w:hyperlink>
          </w:p>
        </w:tc>
        <w:tc>
          <w:tcPr>
            <w:tcW w:w="180" w:type="dxa"/>
            <w:vAlign w:val="bottom"/>
            <w:gridSpan w:val="2"/>
          </w:tcPr>
          <w:p>
            <w:pPr>
              <w:jc w:val="right"/>
              <w:spacing w:after="0"/>
              <w:rPr>
                <w:rFonts w:ascii="Arial" w:cs="Arial" w:eastAsia="Arial" w:hAnsi="Arial"/>
                <w:sz w:val="15"/>
                <w:szCs w:val="15"/>
                <w:b w:val="1"/>
                <w:bCs w:val="1"/>
                <w:color w:val="58844D"/>
                <w:w w:val="95"/>
              </w:rPr>
            </w:pPr>
            <w:hyperlink w:anchor="page48">
              <w:r>
                <w:rPr>
                  <w:rFonts w:ascii="Arial" w:cs="Arial" w:eastAsia="Arial" w:hAnsi="Arial"/>
                  <w:sz w:val="15"/>
                  <w:szCs w:val="15"/>
                  <w:b w:val="1"/>
                  <w:bCs w:val="1"/>
                  <w:color w:val="58844D"/>
                  <w:w w:val="95"/>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gridSpan w:val="21"/>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gridSpan w:val="5"/>
          </w:tcPr>
          <w:p>
            <w:pPr>
              <w:spacing w:after="0" w:line="140" w:lineRule="exact"/>
              <w:rPr>
                <w:rFonts w:ascii="Arial" w:cs="Arial" w:eastAsia="Arial" w:hAnsi="Arial"/>
                <w:sz w:val="15"/>
                <w:szCs w:val="15"/>
                <w:color w:val="0000EE"/>
                <w:w w:val="97"/>
              </w:rPr>
            </w:pPr>
            <w:hyperlink w:anchor="page43">
              <w:r>
                <w:rPr>
                  <w:rFonts w:ascii="Arial" w:cs="Arial" w:eastAsia="Arial" w:hAnsi="Arial"/>
                  <w:sz w:val="15"/>
                  <w:szCs w:val="15"/>
                  <w:color w:val="0000EE"/>
                  <w:w w:val="97"/>
                </w:rPr>
                <w:t>EXECUTIVE SUMMARY</w:t>
              </w:r>
            </w:hyperlink>
          </w:p>
        </w:tc>
        <w:tc>
          <w:tcPr>
            <w:tcW w:w="3000" w:type="dxa"/>
            <w:vAlign w:val="bottom"/>
            <w:gridSpan w:val="16"/>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gridSpan w:val="2"/>
          </w:tcPr>
          <w:p>
            <w:pPr>
              <w:jc w:val="right"/>
              <w:ind w:right="360"/>
              <w:spacing w:after="0" w:line="140" w:lineRule="exact"/>
              <w:rPr>
                <w:rFonts w:ascii="Arial" w:cs="Arial" w:eastAsia="Arial" w:hAnsi="Arial"/>
                <w:sz w:val="15"/>
                <w:szCs w:val="15"/>
                <w:b w:val="1"/>
                <w:bCs w:val="1"/>
                <w:color w:val="58844D"/>
                <w:w w:val="83"/>
              </w:rPr>
            </w:pPr>
            <w:hyperlink w:anchor="page43">
              <w:r>
                <w:rPr>
                  <w:rFonts w:ascii="Arial" w:cs="Arial" w:eastAsia="Arial" w:hAnsi="Arial"/>
                  <w:sz w:val="15"/>
                  <w:szCs w:val="15"/>
                  <w:b w:val="1"/>
                  <w:bCs w:val="1"/>
                  <w:color w:val="58844D"/>
                  <w:w w:val="83"/>
                </w:rPr>
                <w:t>38</w:t>
              </w:r>
            </w:hyperlink>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gridSpan w:val="17"/>
          </w:tcPr>
          <w:p>
            <w:pPr>
              <w:spacing w:after="0" w:line="140" w:lineRule="exact"/>
              <w:rPr>
                <w:rFonts w:ascii="Arial" w:cs="Arial" w:eastAsia="Arial" w:hAnsi="Arial"/>
                <w:sz w:val="15"/>
                <w:szCs w:val="15"/>
                <w:color w:val="0000EE"/>
              </w:rPr>
            </w:pPr>
            <w:hyperlink w:anchor="page48">
              <w:r>
                <w:rPr>
                  <w:rFonts w:ascii="Arial" w:cs="Arial" w:eastAsia="Arial" w:hAnsi="Arial"/>
                  <w:sz w:val="15"/>
                  <w:szCs w:val="15"/>
                  <w:color w:val="0000EE"/>
                </w:rPr>
                <w:t>Potential Severance and Change-in-Control Benefits</w:t>
              </w:r>
            </w:hyperlink>
          </w:p>
        </w:tc>
        <w:tc>
          <w:tcPr>
            <w:tcW w:w="20" w:type="dxa"/>
            <w:vAlign w:val="bottom"/>
            <w:vMerge w:val="continue"/>
          </w:tcPr>
          <w:p>
            <w:pPr>
              <w:spacing w:after="0"/>
              <w:rPr>
                <w:sz w:val="13"/>
                <w:szCs w:val="13"/>
                <w:color w:val="auto"/>
              </w:rPr>
            </w:pPr>
          </w:p>
        </w:tc>
        <w:tc>
          <w:tcPr>
            <w:tcW w:w="160" w:type="dxa"/>
            <w:vAlign w:val="bottom"/>
          </w:tcPr>
          <w:p>
            <w:pPr>
              <w:jc w:val="right"/>
              <w:spacing w:after="0" w:line="140" w:lineRule="exact"/>
              <w:rPr>
                <w:rFonts w:ascii="Arial" w:cs="Arial" w:eastAsia="Arial" w:hAnsi="Arial"/>
                <w:sz w:val="15"/>
                <w:szCs w:val="15"/>
                <w:b w:val="1"/>
                <w:bCs w:val="1"/>
                <w:color w:val="58844D"/>
                <w:w w:val="83"/>
              </w:rPr>
            </w:pPr>
            <w:hyperlink w:anchor="page48">
              <w:r>
                <w:rPr>
                  <w:rFonts w:ascii="Arial" w:cs="Arial" w:eastAsia="Arial" w:hAnsi="Arial"/>
                  <w:sz w:val="15"/>
                  <w:szCs w:val="15"/>
                  <w:b w:val="1"/>
                  <w:bCs w:val="1"/>
                  <w:color w:val="58844D"/>
                  <w:w w:val="83"/>
                </w:rPr>
                <w:t>43</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58844D"/>
            </w:tcBorders>
            <w:gridSpan w:val="2"/>
            <w:vMerge w:val="restart"/>
          </w:tcPr>
          <w:p>
            <w:pPr>
              <w:jc w:val="right"/>
              <w:spacing w:after="0" w:line="140" w:lineRule="exact"/>
              <w:rPr>
                <w:rFonts w:ascii="Arial" w:cs="Arial" w:eastAsia="Arial" w:hAnsi="Arial"/>
                <w:sz w:val="15"/>
                <w:szCs w:val="15"/>
                <w:b w:val="1"/>
                <w:bCs w:val="1"/>
                <w:color w:val="58844D"/>
                <w:w w:val="95"/>
              </w:rPr>
            </w:pPr>
            <w:hyperlink w:anchor="page49">
              <w:r>
                <w:rPr>
                  <w:rFonts w:ascii="Arial" w:cs="Arial" w:eastAsia="Arial" w:hAnsi="Arial"/>
                  <w:sz w:val="15"/>
                  <w:szCs w:val="15"/>
                  <w:b w:val="1"/>
                  <w:bCs w:val="1"/>
                  <w:color w:val="58844D"/>
                  <w:w w:val="95"/>
                </w:rPr>
                <w:t>44</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40" w:type="dxa"/>
            <w:vAlign w:val="bottom"/>
            <w:gridSpan w:val="21"/>
          </w:tcPr>
          <w:p>
            <w:pPr>
              <w:ind w:left="160"/>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Executive Compensation Program</w:t>
              </w:r>
            </w:hyperlink>
          </w:p>
        </w:tc>
        <w:tc>
          <w:tcPr>
            <w:tcW w:w="560" w:type="dxa"/>
            <w:vAlign w:val="bottom"/>
            <w:vMerge w:val="continue"/>
          </w:tcPr>
          <w:p>
            <w:pPr>
              <w:spacing w:after="0"/>
              <w:rPr>
                <w:sz w:val="11"/>
                <w:szCs w:val="11"/>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3">
              <w:r>
                <w:rPr>
                  <w:rFonts w:ascii="Arial" w:cs="Arial" w:eastAsia="Arial" w:hAnsi="Arial"/>
                  <w:sz w:val="14"/>
                  <w:szCs w:val="14"/>
                  <w:b w:val="1"/>
                  <w:bCs w:val="1"/>
                  <w:color w:val="58844D"/>
                  <w:w w:val="89"/>
                </w:rPr>
                <w:t>38</w:t>
              </w:r>
            </w:hyperlink>
          </w:p>
        </w:tc>
        <w:tc>
          <w:tcPr>
            <w:tcW w:w="360" w:type="dxa"/>
            <w:vAlign w:val="bottom"/>
            <w:vMerge w:val="continue"/>
          </w:tcPr>
          <w:p>
            <w:pPr>
              <w:spacing w:after="0"/>
              <w:rPr>
                <w:sz w:val="11"/>
                <w:szCs w:val="11"/>
                <w:color w:val="auto"/>
              </w:rPr>
            </w:pPr>
          </w:p>
        </w:tc>
        <w:tc>
          <w:tcPr>
            <w:tcW w:w="5540" w:type="dxa"/>
            <w:vAlign w:val="bottom"/>
            <w:gridSpan w:val="19"/>
          </w:tcPr>
          <w:p>
            <w:pPr>
              <w:ind w:left="340"/>
              <w:spacing w:after="0" w:line="129" w:lineRule="exact"/>
              <w:rPr>
                <w:rFonts w:ascii="Arial" w:cs="Arial" w:eastAsia="Arial" w:hAnsi="Arial"/>
                <w:sz w:val="14"/>
                <w:szCs w:val="14"/>
                <w:color w:val="0000EE"/>
              </w:rPr>
            </w:pPr>
            <w:hyperlink w:anchor="page49">
              <w:r>
                <w:rPr>
                  <w:rFonts w:ascii="Arial" w:cs="Arial" w:eastAsia="Arial" w:hAnsi="Arial"/>
                  <w:sz w:val="14"/>
                  <w:szCs w:val="14"/>
                  <w:color w:val="0000EE"/>
                </w:rPr>
                <w:t>OTHER MATTERS</w:t>
              </w:r>
            </w:hyperlink>
          </w:p>
        </w:tc>
        <w:tc>
          <w:tcPr>
            <w:tcW w:w="18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58844D"/>
            </w:tcBorders>
            <w:vMerge w:val="restart"/>
          </w:tcPr>
          <w:p>
            <w:pPr>
              <w:jc w:val="right"/>
              <w:spacing w:after="0" w:line="140" w:lineRule="exact"/>
              <w:rPr>
                <w:rFonts w:ascii="Arial" w:cs="Arial" w:eastAsia="Arial" w:hAnsi="Arial"/>
                <w:sz w:val="15"/>
                <w:szCs w:val="15"/>
                <w:b w:val="1"/>
                <w:bCs w:val="1"/>
                <w:color w:val="58844D"/>
                <w:w w:val="83"/>
              </w:rPr>
            </w:pPr>
            <w:hyperlink w:anchor="page49">
              <w:r>
                <w:rPr>
                  <w:rFonts w:ascii="Arial" w:cs="Arial" w:eastAsia="Arial" w:hAnsi="Arial"/>
                  <w:sz w:val="15"/>
                  <w:szCs w:val="15"/>
                  <w:b w:val="1"/>
                  <w:bCs w:val="1"/>
                  <w:color w:val="58844D"/>
                  <w:w w:val="83"/>
                </w:rPr>
                <w:t>44</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40" w:type="dxa"/>
            <w:vAlign w:val="bottom"/>
            <w:gridSpan w:val="21"/>
          </w:tcPr>
          <w:p>
            <w:pPr>
              <w:ind w:left="160"/>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Key Governance Features of Our Executive Compensation Program</w:t>
              </w:r>
            </w:hyperlink>
          </w:p>
        </w:tc>
        <w:tc>
          <w:tcPr>
            <w:tcW w:w="560" w:type="dxa"/>
            <w:vAlign w:val="bottom"/>
            <w:vMerge w:val="continue"/>
          </w:tcPr>
          <w:p>
            <w:pPr>
              <w:spacing w:after="0"/>
              <w:rPr>
                <w:sz w:val="11"/>
                <w:szCs w:val="11"/>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3">
              <w:r>
                <w:rPr>
                  <w:rFonts w:ascii="Arial" w:cs="Arial" w:eastAsia="Arial" w:hAnsi="Arial"/>
                  <w:sz w:val="14"/>
                  <w:szCs w:val="14"/>
                  <w:b w:val="1"/>
                  <w:bCs w:val="1"/>
                  <w:color w:val="58844D"/>
                  <w:w w:val="89"/>
                </w:rPr>
                <w:t>38</w:t>
              </w:r>
            </w:hyperlink>
          </w:p>
        </w:tc>
        <w:tc>
          <w:tcPr>
            <w:tcW w:w="3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49">
              <w:r>
                <w:rPr>
                  <w:rFonts w:ascii="Arial" w:cs="Arial" w:eastAsia="Arial" w:hAnsi="Arial"/>
                  <w:sz w:val="14"/>
                  <w:szCs w:val="14"/>
                  <w:color w:val="0000EE"/>
                </w:rPr>
                <w:t>Stock Ownership Guidelines</w:t>
              </w:r>
            </w:hyperlink>
          </w:p>
        </w:tc>
        <w:tc>
          <w:tcPr>
            <w:tcW w:w="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58844D"/>
            </w:tcBorders>
            <w:vMerge w:val="restart"/>
          </w:tcPr>
          <w:p>
            <w:pPr>
              <w:jc w:val="right"/>
              <w:spacing w:after="0" w:line="140" w:lineRule="exact"/>
              <w:rPr>
                <w:rFonts w:ascii="Arial" w:cs="Arial" w:eastAsia="Arial" w:hAnsi="Arial"/>
                <w:sz w:val="15"/>
                <w:szCs w:val="15"/>
                <w:b w:val="1"/>
                <w:bCs w:val="1"/>
                <w:color w:val="58844D"/>
                <w:w w:val="83"/>
              </w:rPr>
            </w:pPr>
            <w:hyperlink w:anchor="page49">
              <w:r>
                <w:rPr>
                  <w:rFonts w:ascii="Arial" w:cs="Arial" w:eastAsia="Arial" w:hAnsi="Arial"/>
                  <w:sz w:val="15"/>
                  <w:szCs w:val="15"/>
                  <w:b w:val="1"/>
                  <w:bCs w:val="1"/>
                  <w:color w:val="58844D"/>
                  <w:w w:val="83"/>
                </w:rPr>
                <w:t>44</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40" w:type="dxa"/>
            <w:vAlign w:val="bottom"/>
            <w:gridSpan w:val="21"/>
          </w:tcPr>
          <w:p>
            <w:pPr>
              <w:ind w:left="160"/>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Business Strategy and Company Performance</w:t>
              </w:r>
            </w:hyperlink>
          </w:p>
        </w:tc>
        <w:tc>
          <w:tcPr>
            <w:tcW w:w="560" w:type="dxa"/>
            <w:vAlign w:val="bottom"/>
            <w:vMerge w:val="continue"/>
          </w:tcPr>
          <w:p>
            <w:pPr>
              <w:spacing w:after="0"/>
              <w:rPr>
                <w:sz w:val="13"/>
                <w:szCs w:val="13"/>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4">
              <w:r>
                <w:rPr>
                  <w:rFonts w:ascii="Arial" w:cs="Arial" w:eastAsia="Arial" w:hAnsi="Arial"/>
                  <w:sz w:val="14"/>
                  <w:szCs w:val="14"/>
                  <w:b w:val="1"/>
                  <w:bCs w:val="1"/>
                  <w:color w:val="58844D"/>
                  <w:w w:val="89"/>
                </w:rPr>
                <w:t>39</w:t>
              </w:r>
            </w:hyperlink>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49">
              <w:r>
                <w:rPr>
                  <w:rFonts w:ascii="Arial" w:cs="Arial" w:eastAsia="Arial" w:hAnsi="Arial"/>
                  <w:sz w:val="14"/>
                  <w:szCs w:val="14"/>
                  <w:color w:val="0000EE"/>
                </w:rPr>
                <w:t>Tax and Accounting Considerations</w:t>
              </w:r>
            </w:hyperlink>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80" w:type="dxa"/>
            <w:vAlign w:val="bottom"/>
            <w:tcBorders>
              <w:top w:val="single" w:sz="8" w:color="0000EE"/>
              <w:bottom w:val="single" w:sz="8" w:color="0000EE"/>
            </w:tcBorders>
            <w:gridSpan w:val="18"/>
          </w:tcPr>
          <w:p>
            <w:pPr>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EXECUTIVE COMPENSATION PROGRAM</w:t>
              </w:r>
            </w:hyperlink>
          </w:p>
        </w:tc>
        <w:tc>
          <w:tcPr>
            <w:tcW w:w="320" w:type="dxa"/>
            <w:vAlign w:val="bottom"/>
            <w:tcBorders>
              <w:top w:val="single" w:sz="8" w:color="0000EE"/>
            </w:tcBorders>
            <w:gridSpan w:val="2"/>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58844D"/>
              <w:bottom w:val="single" w:sz="8" w:color="58844D"/>
            </w:tcBorders>
          </w:tcPr>
          <w:p>
            <w:pPr>
              <w:jc w:val="right"/>
              <w:spacing w:after="0" w:line="129" w:lineRule="exact"/>
              <w:rPr>
                <w:rFonts w:ascii="Arial" w:cs="Arial" w:eastAsia="Arial" w:hAnsi="Arial"/>
                <w:sz w:val="14"/>
                <w:szCs w:val="14"/>
                <w:b w:val="1"/>
                <w:bCs w:val="1"/>
                <w:color w:val="58844D"/>
                <w:w w:val="89"/>
              </w:rPr>
            </w:pPr>
            <w:hyperlink w:anchor="page44">
              <w:r>
                <w:rPr>
                  <w:rFonts w:ascii="Arial" w:cs="Arial" w:eastAsia="Arial" w:hAnsi="Arial"/>
                  <w:sz w:val="14"/>
                  <w:szCs w:val="14"/>
                  <w:b w:val="1"/>
                  <w:bCs w:val="1"/>
                  <w:color w:val="58844D"/>
                  <w:w w:val="89"/>
                </w:rPr>
                <w:t>39</w:t>
              </w:r>
            </w:hyperlink>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rPr>
            </w:pPr>
            <w:hyperlink w:anchor="page50">
              <w:r>
                <w:rPr>
                  <w:rFonts w:ascii="Arial" w:cs="Arial" w:eastAsia="Arial" w:hAnsi="Arial"/>
                  <w:sz w:val="14"/>
                  <w:szCs w:val="14"/>
                  <w:color w:val="0000EE"/>
                </w:rPr>
                <w:t>COMPENSATION TABLES</w:t>
              </w:r>
            </w:hyperlink>
          </w:p>
        </w:tc>
        <w:tc>
          <w:tcPr>
            <w:tcW w:w="680" w:type="dxa"/>
            <w:vAlign w:val="bottom"/>
            <w:tcBorders>
              <w:top w:val="single" w:sz="8" w:color="0000EE"/>
            </w:tcBorders>
            <w:gridSpan w:val="4"/>
          </w:tcPr>
          <w:p>
            <w:pPr>
              <w:spacing w:after="0"/>
              <w:rPr>
                <w:sz w:val="13"/>
                <w:szCs w:val="13"/>
                <w:color w:val="auto"/>
              </w:rPr>
            </w:pPr>
          </w:p>
        </w:tc>
        <w:tc>
          <w:tcPr>
            <w:tcW w:w="27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58844D"/>
              <w:bottom w:val="single" w:sz="8" w:color="58844D"/>
            </w:tcBorders>
          </w:tcPr>
          <w:p>
            <w:pPr>
              <w:jc w:val="right"/>
              <w:spacing w:after="0" w:line="120" w:lineRule="exact"/>
              <w:rPr>
                <w:rFonts w:ascii="Arial" w:cs="Arial" w:eastAsia="Arial" w:hAnsi="Arial"/>
                <w:sz w:val="13"/>
                <w:szCs w:val="13"/>
                <w:b w:val="1"/>
                <w:bCs w:val="1"/>
                <w:color w:val="58844D"/>
                <w:w w:val="96"/>
              </w:rPr>
            </w:pPr>
            <w:hyperlink w:anchor="page50">
              <w:r>
                <w:rPr>
                  <w:rFonts w:ascii="Arial" w:cs="Arial" w:eastAsia="Arial" w:hAnsi="Arial"/>
                  <w:sz w:val="13"/>
                  <w:szCs w:val="13"/>
                  <w:b w:val="1"/>
                  <w:bCs w:val="1"/>
                  <w:color w:val="58844D"/>
                  <w:w w:val="96"/>
                </w:rPr>
                <w:t>45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Borders>
              <w:bottom w:val="single" w:sz="8" w:color="0000EE"/>
            </w:tcBorders>
            <w:gridSpan w:val="9"/>
          </w:tcPr>
          <w:p>
            <w:pPr>
              <w:ind w:left="160"/>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2017 Named Executive Officers</w:t>
              </w:r>
            </w:hyperlink>
          </w:p>
        </w:tc>
        <w:tc>
          <w:tcPr>
            <w:tcW w:w="2360" w:type="dxa"/>
            <w:vAlign w:val="bottom"/>
            <w:gridSpan w:val="12"/>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bottom w:val="single" w:sz="8" w:color="58844D"/>
            </w:tcBorders>
          </w:tcPr>
          <w:p>
            <w:pPr>
              <w:jc w:val="right"/>
              <w:spacing w:after="0" w:line="129" w:lineRule="exact"/>
              <w:rPr>
                <w:rFonts w:ascii="Arial" w:cs="Arial" w:eastAsia="Arial" w:hAnsi="Arial"/>
                <w:sz w:val="14"/>
                <w:szCs w:val="14"/>
                <w:b w:val="1"/>
                <w:bCs w:val="1"/>
                <w:color w:val="58844D"/>
                <w:w w:val="89"/>
              </w:rPr>
            </w:pPr>
            <w:hyperlink w:anchor="page44">
              <w:r>
                <w:rPr>
                  <w:rFonts w:ascii="Arial" w:cs="Arial" w:eastAsia="Arial" w:hAnsi="Arial"/>
                  <w:sz w:val="14"/>
                  <w:szCs w:val="14"/>
                  <w:b w:val="1"/>
                  <w:bCs w:val="1"/>
                  <w:color w:val="58844D"/>
                  <w:w w:val="89"/>
                </w:rPr>
                <w:t>39</w:t>
              </w:r>
            </w:hyperlink>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0000EE"/>
            </w:tcBorders>
          </w:tcPr>
          <w:p>
            <w:pPr>
              <w:spacing w:after="0"/>
              <w:rPr>
                <w:sz w:val="13"/>
                <w:szCs w:val="13"/>
                <w:color w:val="auto"/>
              </w:rPr>
            </w:pPr>
          </w:p>
        </w:tc>
        <w:tc>
          <w:tcPr>
            <w:tcW w:w="4620" w:type="dxa"/>
            <w:vAlign w:val="bottom"/>
            <w:tcBorders>
              <w:bottom w:val="single" w:sz="8" w:color="0000EE"/>
            </w:tcBorders>
            <w:gridSpan w:val="16"/>
          </w:tcPr>
          <w:p>
            <w:pPr>
              <w:spacing w:after="0" w:line="129" w:lineRule="exact"/>
              <w:rPr>
                <w:rFonts w:ascii="Arial" w:cs="Arial" w:eastAsia="Arial" w:hAnsi="Arial"/>
                <w:sz w:val="14"/>
                <w:szCs w:val="14"/>
                <w:color w:val="0000EE"/>
              </w:rPr>
            </w:pPr>
            <w:hyperlink w:anchor="page50">
              <w:r>
                <w:rPr>
                  <w:rFonts w:ascii="Arial" w:cs="Arial" w:eastAsia="Arial" w:hAnsi="Arial"/>
                  <w:sz w:val="14"/>
                  <w:szCs w:val="14"/>
                  <w:color w:val="0000EE"/>
                </w:rPr>
                <w:t>Summary Compensation Table Fiscal Year Ended December 31, 2017</w:t>
              </w:r>
            </w:hyperlink>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58844D"/>
            </w:tcBorders>
          </w:tcPr>
          <w:p>
            <w:pPr>
              <w:jc w:val="right"/>
              <w:spacing w:after="0" w:line="120" w:lineRule="exact"/>
              <w:rPr>
                <w:rFonts w:ascii="Arial" w:cs="Arial" w:eastAsia="Arial" w:hAnsi="Arial"/>
                <w:sz w:val="13"/>
                <w:szCs w:val="13"/>
                <w:b w:val="1"/>
                <w:bCs w:val="1"/>
                <w:color w:val="58844D"/>
                <w:w w:val="96"/>
              </w:rPr>
            </w:pPr>
            <w:hyperlink w:anchor="page50">
              <w:r>
                <w:rPr>
                  <w:rFonts w:ascii="Arial" w:cs="Arial" w:eastAsia="Arial" w:hAnsi="Arial"/>
                  <w:sz w:val="13"/>
                  <w:szCs w:val="13"/>
                  <w:b w:val="1"/>
                  <w:bCs w:val="1"/>
                  <w:color w:val="58844D"/>
                  <w:w w:val="96"/>
                </w:rPr>
                <w:t>45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0000EE"/>
            </w:tcBorders>
            <w:gridSpan w:val="15"/>
          </w:tcPr>
          <w:p>
            <w:pPr>
              <w:ind w:left="160"/>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Goals and Objectives of the Program</w:t>
              </w:r>
            </w:hyperlink>
          </w:p>
        </w:tc>
        <w:tc>
          <w:tcPr>
            <w:tcW w:w="2040" w:type="dxa"/>
            <w:vAlign w:val="bottom"/>
            <w:gridSpan w:val="6"/>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58844D"/>
            </w:tcBorders>
          </w:tcPr>
          <w:p>
            <w:pPr>
              <w:jc w:val="right"/>
              <w:spacing w:after="0" w:line="129" w:lineRule="exact"/>
              <w:rPr>
                <w:rFonts w:ascii="Arial" w:cs="Arial" w:eastAsia="Arial" w:hAnsi="Arial"/>
                <w:sz w:val="14"/>
                <w:szCs w:val="14"/>
                <w:b w:val="1"/>
                <w:bCs w:val="1"/>
                <w:color w:val="58844D"/>
                <w:w w:val="89"/>
              </w:rPr>
            </w:pPr>
            <w:hyperlink w:anchor="page44">
              <w:r>
                <w:rPr>
                  <w:rFonts w:ascii="Arial" w:cs="Arial" w:eastAsia="Arial" w:hAnsi="Arial"/>
                  <w:sz w:val="14"/>
                  <w:szCs w:val="14"/>
                  <w:b w:val="1"/>
                  <w:bCs w:val="1"/>
                  <w:color w:val="58844D"/>
                  <w:w w:val="89"/>
                </w:rPr>
                <w:t>39</w:t>
              </w:r>
            </w:hyperlink>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0000EE"/>
            </w:tcBorders>
          </w:tcPr>
          <w:p>
            <w:pPr>
              <w:spacing w:after="0"/>
              <w:rPr>
                <w:sz w:val="11"/>
                <w:szCs w:val="11"/>
                <w:color w:val="auto"/>
              </w:rPr>
            </w:pPr>
          </w:p>
        </w:tc>
        <w:tc>
          <w:tcPr>
            <w:tcW w:w="4540" w:type="dxa"/>
            <w:vAlign w:val="bottom"/>
            <w:tcBorders>
              <w:bottom w:val="single" w:sz="8" w:color="0000EE"/>
            </w:tcBorders>
            <w:gridSpan w:val="15"/>
          </w:tcPr>
          <w:p>
            <w:pPr>
              <w:spacing w:after="0" w:line="129" w:lineRule="exact"/>
              <w:rPr>
                <w:rFonts w:ascii="Arial" w:cs="Arial" w:eastAsia="Arial" w:hAnsi="Arial"/>
                <w:sz w:val="14"/>
                <w:szCs w:val="14"/>
                <w:color w:val="0000EE"/>
              </w:rPr>
            </w:pPr>
            <w:hyperlink w:anchor="page50">
              <w:r>
                <w:rPr>
                  <w:rFonts w:ascii="Arial" w:cs="Arial" w:eastAsia="Arial" w:hAnsi="Arial"/>
                  <w:sz w:val="14"/>
                  <w:szCs w:val="14"/>
                  <w:color w:val="0000EE"/>
                </w:rPr>
                <w:t>Grants of Plan-Based Awards Fiscal Year Ended December 31, 2017</w:t>
              </w:r>
            </w:hyperlink>
          </w:p>
        </w:tc>
        <w:tc>
          <w:tcPr>
            <w:tcW w:w="5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58844D"/>
            </w:tcBorders>
          </w:tcPr>
          <w:p>
            <w:pPr>
              <w:jc w:val="right"/>
              <w:spacing w:after="0" w:line="120" w:lineRule="exact"/>
              <w:rPr>
                <w:rFonts w:ascii="Arial" w:cs="Arial" w:eastAsia="Arial" w:hAnsi="Arial"/>
                <w:sz w:val="13"/>
                <w:szCs w:val="13"/>
                <w:b w:val="1"/>
                <w:bCs w:val="1"/>
                <w:color w:val="58844D"/>
                <w:w w:val="96"/>
              </w:rPr>
            </w:pPr>
            <w:hyperlink w:anchor="page50">
              <w:r>
                <w:rPr>
                  <w:rFonts w:ascii="Arial" w:cs="Arial" w:eastAsia="Arial" w:hAnsi="Arial"/>
                  <w:sz w:val="13"/>
                  <w:szCs w:val="13"/>
                  <w:b w:val="1"/>
                  <w:bCs w:val="1"/>
                  <w:color w:val="58844D"/>
                  <w:w w:val="96"/>
                </w:rPr>
                <w:t>45</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300" w:type="dxa"/>
            <w:vAlign w:val="bottom"/>
            <w:tcBorders>
              <w:bottom w:val="single" w:sz="8" w:color="0000EE"/>
            </w:tcBorders>
            <w:gridSpan w:val="10"/>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THE COMPENSATION PROCESS</w:t>
              </w:r>
            </w:hyperlink>
          </w:p>
        </w:tc>
        <w:tc>
          <w:tcPr>
            <w:tcW w:w="2340" w:type="dxa"/>
            <w:vAlign w:val="bottom"/>
            <w:gridSpan w:val="11"/>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bottom w:val="single" w:sz="8" w:color="58844D"/>
            </w:tcBorders>
          </w:tcPr>
          <w:p>
            <w:pPr>
              <w:jc w:val="right"/>
              <w:spacing w:after="0" w:line="129" w:lineRule="exact"/>
              <w:rPr>
                <w:rFonts w:ascii="Arial" w:cs="Arial" w:eastAsia="Arial" w:hAnsi="Arial"/>
                <w:sz w:val="14"/>
                <w:szCs w:val="14"/>
                <w:b w:val="1"/>
                <w:bCs w:val="1"/>
                <w:color w:val="58844D"/>
                <w:w w:val="89"/>
              </w:rPr>
            </w:pPr>
            <w:hyperlink w:anchor="page45">
              <w:r>
                <w:rPr>
                  <w:rFonts w:ascii="Arial" w:cs="Arial" w:eastAsia="Arial" w:hAnsi="Arial"/>
                  <w:sz w:val="14"/>
                  <w:szCs w:val="14"/>
                  <w:b w:val="1"/>
                  <w:bCs w:val="1"/>
                  <w:color w:val="58844D"/>
                  <w:w w:val="89"/>
                </w:rPr>
                <w:t>40</w:t>
              </w:r>
            </w:hyperlink>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0000EE"/>
            </w:tcBorders>
          </w:tcPr>
          <w:p>
            <w:pPr>
              <w:spacing w:after="0"/>
              <w:rPr>
                <w:sz w:val="13"/>
                <w:szCs w:val="13"/>
                <w:color w:val="auto"/>
              </w:rPr>
            </w:pPr>
          </w:p>
        </w:tc>
        <w:tc>
          <w:tcPr>
            <w:tcW w:w="4280" w:type="dxa"/>
            <w:vAlign w:val="bottom"/>
            <w:tcBorders>
              <w:bottom w:val="single" w:sz="8" w:color="0000EE"/>
            </w:tcBorders>
            <w:gridSpan w:val="14"/>
          </w:tcPr>
          <w:p>
            <w:pPr>
              <w:spacing w:after="0" w:line="129" w:lineRule="exact"/>
              <w:rPr>
                <w:rFonts w:ascii="Arial" w:cs="Arial" w:eastAsia="Arial" w:hAnsi="Arial"/>
                <w:sz w:val="14"/>
                <w:szCs w:val="14"/>
                <w:color w:val="0000EE"/>
              </w:rPr>
            </w:pPr>
            <w:hyperlink w:anchor="page51">
              <w:r>
                <w:rPr>
                  <w:rFonts w:ascii="Arial" w:cs="Arial" w:eastAsia="Arial" w:hAnsi="Arial"/>
                  <w:sz w:val="14"/>
                  <w:szCs w:val="14"/>
                  <w:color w:val="0000EE"/>
                </w:rPr>
                <w:t>Outstanding Equity Awards at Fiscal Year-End Fiscal Year Ended</w:t>
              </w:r>
            </w:hyperlink>
          </w:p>
        </w:tc>
        <w:tc>
          <w:tcPr>
            <w:tcW w:w="760" w:type="dxa"/>
            <w:vAlign w:val="bottom"/>
            <w:gridSpan w:val="3"/>
          </w:tcPr>
          <w:p>
            <w:pPr>
              <w:spacing w:after="0"/>
              <w:rPr>
                <w:sz w:val="13"/>
                <w:szCs w:val="13"/>
                <w:color w:val="auto"/>
              </w:rPr>
            </w:pPr>
          </w:p>
        </w:tc>
        <w:tc>
          <w:tcPr>
            <w:tcW w:w="180" w:type="dxa"/>
            <w:vAlign w:val="bottom"/>
            <w:gridSpan w:val="2"/>
            <w:vMerge w:val="restart"/>
          </w:tcPr>
          <w:p>
            <w:pPr>
              <w:jc w:val="right"/>
              <w:spacing w:after="0"/>
              <w:rPr>
                <w:rFonts w:ascii="Arial" w:cs="Arial" w:eastAsia="Arial" w:hAnsi="Arial"/>
                <w:sz w:val="15"/>
                <w:szCs w:val="15"/>
                <w:b w:val="1"/>
                <w:bCs w:val="1"/>
                <w:color w:val="58844D"/>
                <w:w w:val="95"/>
              </w:rPr>
            </w:pPr>
            <w:hyperlink w:anchor="page51">
              <w:r>
                <w:rPr>
                  <w:rFonts w:ascii="Arial" w:cs="Arial" w:eastAsia="Arial" w:hAnsi="Arial"/>
                  <w:sz w:val="15"/>
                  <w:szCs w:val="15"/>
                  <w:b w:val="1"/>
                  <w:bCs w:val="1"/>
                  <w:color w:val="58844D"/>
                  <w:w w:val="95"/>
                </w:rPr>
                <w:t>46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gridSpan w:val="21"/>
          </w:tcPr>
          <w:p>
            <w:pPr>
              <w:ind w:left="160"/>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Compensation Consultant</w:t>
              </w:r>
            </w:hyperlink>
          </w:p>
        </w:tc>
        <w:tc>
          <w:tcPr>
            <w:tcW w:w="560" w:type="dxa"/>
            <w:vAlign w:val="bottom"/>
          </w:tcPr>
          <w:p>
            <w:pPr>
              <w:spacing w:after="0"/>
              <w:rPr>
                <w:sz w:val="12"/>
                <w:szCs w:val="12"/>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5">
              <w:r>
                <w:rPr>
                  <w:rFonts w:ascii="Arial" w:cs="Arial" w:eastAsia="Arial" w:hAnsi="Arial"/>
                  <w:sz w:val="14"/>
                  <w:szCs w:val="14"/>
                  <w:b w:val="1"/>
                  <w:bCs w:val="1"/>
                  <w:color w:val="58844D"/>
                  <w:w w:val="89"/>
                </w:rPr>
                <w:t>40</w:t>
              </w:r>
            </w:hyperlink>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51">
              <w:r>
                <w:rPr>
                  <w:rFonts w:ascii="Arial" w:cs="Arial" w:eastAsia="Arial" w:hAnsi="Arial"/>
                  <w:sz w:val="14"/>
                  <w:szCs w:val="14"/>
                  <w:color w:val="0000EE"/>
                </w:rPr>
                <w:t>December 31, 2017</w:t>
              </w:r>
            </w:hyperlink>
          </w:p>
        </w:tc>
        <w:tc>
          <w:tcPr>
            <w:tcW w:w="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520" w:type="dxa"/>
            <w:vAlign w:val="bottom"/>
            <w:gridSpan w:val="13"/>
          </w:tcPr>
          <w:p>
            <w:pPr>
              <w:ind w:left="160"/>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Compensation Peer Group Analysis</w:t>
              </w:r>
            </w:hyperlink>
          </w:p>
        </w:tc>
        <w:tc>
          <w:tcPr>
            <w:tcW w:w="2120" w:type="dxa"/>
            <w:vAlign w:val="bottom"/>
            <w:gridSpan w:val="8"/>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5">
              <w:r>
                <w:rPr>
                  <w:rFonts w:ascii="Arial" w:cs="Arial" w:eastAsia="Arial" w:hAnsi="Arial"/>
                  <w:sz w:val="14"/>
                  <w:szCs w:val="14"/>
                  <w:b w:val="1"/>
                  <w:bCs w:val="1"/>
                  <w:color w:val="58844D"/>
                  <w:w w:val="89"/>
                </w:rPr>
                <w:t>40</w:t>
              </w:r>
            </w:hyperlink>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51">
              <w:r>
                <w:rPr>
                  <w:rFonts w:ascii="Arial" w:cs="Arial" w:eastAsia="Arial" w:hAnsi="Arial"/>
                  <w:sz w:val="14"/>
                  <w:szCs w:val="14"/>
                  <w:color w:val="0000EE"/>
                </w:rPr>
                <w:t>Option Exercises and Stocks Vested Fiscal Year Ended Ended</w:t>
              </w:r>
            </w:hyperlink>
          </w:p>
        </w:tc>
        <w:tc>
          <w:tcPr>
            <w:tcW w:w="180" w:type="dxa"/>
            <w:vAlign w:val="bottom"/>
            <w:gridSpan w:val="2"/>
            <w:vMerge w:val="restart"/>
          </w:tcPr>
          <w:p>
            <w:pPr>
              <w:jc w:val="right"/>
              <w:spacing w:after="0"/>
              <w:rPr>
                <w:rFonts w:ascii="Arial" w:cs="Arial" w:eastAsia="Arial" w:hAnsi="Arial"/>
                <w:sz w:val="15"/>
                <w:szCs w:val="15"/>
                <w:b w:val="1"/>
                <w:bCs w:val="1"/>
                <w:color w:val="58844D"/>
                <w:w w:val="95"/>
              </w:rPr>
            </w:pPr>
            <w:hyperlink w:anchor="page51">
              <w:r>
                <w:rPr>
                  <w:rFonts w:ascii="Arial" w:cs="Arial" w:eastAsia="Arial" w:hAnsi="Arial"/>
                  <w:sz w:val="15"/>
                  <w:szCs w:val="15"/>
                  <w:b w:val="1"/>
                  <w:bCs w:val="1"/>
                  <w:color w:val="58844D"/>
                  <w:w w:val="95"/>
                </w:rPr>
                <w:t>46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ELEMENTS OF COMPENSATION</w:t>
              </w:r>
            </w:hyperlink>
          </w:p>
        </w:tc>
        <w:tc>
          <w:tcPr>
            <w:tcW w:w="240" w:type="dxa"/>
            <w:vAlign w:val="bottom"/>
            <w:tcBorders>
              <w:top w:val="single" w:sz="8" w:color="0000EE"/>
            </w:tcBorders>
            <w:gridSpan w:val="4"/>
          </w:tcPr>
          <w:p>
            <w:pPr>
              <w:spacing w:after="0"/>
              <w:rPr>
                <w:sz w:val="12"/>
                <w:szCs w:val="12"/>
                <w:color w:val="auto"/>
              </w:rPr>
            </w:pPr>
          </w:p>
        </w:tc>
        <w:tc>
          <w:tcPr>
            <w:tcW w:w="2120" w:type="dxa"/>
            <w:vAlign w:val="bottom"/>
            <w:gridSpan w:val="8"/>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58844D"/>
            </w:tcBorders>
          </w:tcPr>
          <w:p>
            <w:pPr>
              <w:jc w:val="right"/>
              <w:spacing w:after="0" w:line="129" w:lineRule="exact"/>
              <w:rPr>
                <w:rFonts w:ascii="Arial" w:cs="Arial" w:eastAsia="Arial" w:hAnsi="Arial"/>
                <w:sz w:val="14"/>
                <w:szCs w:val="14"/>
                <w:b w:val="1"/>
                <w:bCs w:val="1"/>
                <w:color w:val="58844D"/>
                <w:w w:val="89"/>
              </w:rPr>
            </w:pPr>
            <w:hyperlink w:anchor="page45">
              <w:r>
                <w:rPr>
                  <w:rFonts w:ascii="Arial" w:cs="Arial" w:eastAsia="Arial" w:hAnsi="Arial"/>
                  <w:sz w:val="14"/>
                  <w:szCs w:val="14"/>
                  <w:b w:val="1"/>
                  <w:bCs w:val="1"/>
                  <w:color w:val="58844D"/>
                  <w:w w:val="89"/>
                </w:rPr>
                <w:t>40</w:t>
              </w:r>
            </w:hyperlink>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3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51">
              <w:r>
                <w:rPr>
                  <w:rFonts w:ascii="Arial" w:cs="Arial" w:eastAsia="Arial" w:hAnsi="Arial"/>
                  <w:sz w:val="14"/>
                  <w:szCs w:val="14"/>
                  <w:color w:val="0000EE"/>
                </w:rPr>
                <w:t>December 31, 2017</w:t>
              </w:r>
            </w:hyperlink>
          </w:p>
        </w:tc>
        <w:tc>
          <w:tcPr>
            <w:tcW w:w="2800" w:type="dxa"/>
            <w:vAlign w:val="bottom"/>
            <w:tcBorders>
              <w:top w:val="single" w:sz="8" w:color="0000EE"/>
            </w:tcBorders>
            <w:gridSpan w:val="10"/>
          </w:tcPr>
          <w:p>
            <w:pPr>
              <w:spacing w:after="0"/>
              <w:rPr>
                <w:sz w:val="12"/>
                <w:szCs w:val="12"/>
                <w:color w:val="auto"/>
              </w:rPr>
            </w:pPr>
          </w:p>
        </w:tc>
        <w:tc>
          <w:tcPr>
            <w:tcW w:w="940" w:type="dxa"/>
            <w:vAlign w:val="bottom"/>
            <w:gridSpan w:val="4"/>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58844D"/>
            </w:tcBorders>
            <w:vMerge w:val="restart"/>
          </w:tcPr>
          <w:p>
            <w:pPr>
              <w:jc w:val="right"/>
              <w:spacing w:after="0" w:line="140" w:lineRule="exact"/>
              <w:rPr>
                <w:rFonts w:ascii="Arial" w:cs="Arial" w:eastAsia="Arial" w:hAnsi="Arial"/>
                <w:sz w:val="15"/>
                <w:szCs w:val="15"/>
                <w:b w:val="1"/>
                <w:bCs w:val="1"/>
                <w:color w:val="58844D"/>
                <w:w w:val="83"/>
              </w:rPr>
            </w:pPr>
            <w:hyperlink w:anchor="page52">
              <w:r>
                <w:rPr>
                  <w:rFonts w:ascii="Arial" w:cs="Arial" w:eastAsia="Arial" w:hAnsi="Arial"/>
                  <w:sz w:val="15"/>
                  <w:szCs w:val="15"/>
                  <w:b w:val="1"/>
                  <w:bCs w:val="1"/>
                  <w:color w:val="58844D"/>
                  <w:w w:val="83"/>
                </w:rPr>
                <w:t>47</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60" w:type="dxa"/>
            <w:vAlign w:val="bottom"/>
            <w:tcBorders>
              <w:bottom w:val="single" w:sz="8" w:color="0000EE"/>
            </w:tcBorders>
            <w:gridSpan w:val="3"/>
          </w:tcPr>
          <w:p>
            <w:pPr>
              <w:ind w:left="160"/>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Base Salary</w:t>
              </w:r>
            </w:hyperlink>
          </w:p>
        </w:tc>
        <w:tc>
          <w:tcPr>
            <w:tcW w:w="1320" w:type="dxa"/>
            <w:vAlign w:val="bottom"/>
            <w:gridSpan w:val="6"/>
          </w:tcPr>
          <w:p>
            <w:pPr>
              <w:spacing w:after="0"/>
              <w:rPr>
                <w:sz w:val="13"/>
                <w:szCs w:val="13"/>
                <w:color w:val="auto"/>
              </w:rPr>
            </w:pPr>
          </w:p>
        </w:tc>
        <w:tc>
          <w:tcPr>
            <w:tcW w:w="2360" w:type="dxa"/>
            <w:vAlign w:val="bottom"/>
            <w:gridSpan w:val="12"/>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tcBorders>
              <w:bottom w:val="single" w:sz="8" w:color="58844D"/>
            </w:tcBorders>
          </w:tcPr>
          <w:p>
            <w:pPr>
              <w:jc w:val="right"/>
              <w:spacing w:after="0" w:line="129" w:lineRule="exact"/>
              <w:rPr>
                <w:rFonts w:ascii="Arial" w:cs="Arial" w:eastAsia="Arial" w:hAnsi="Arial"/>
                <w:sz w:val="14"/>
                <w:szCs w:val="14"/>
                <w:b w:val="1"/>
                <w:bCs w:val="1"/>
                <w:color w:val="58844D"/>
                <w:w w:val="89"/>
              </w:rPr>
            </w:pPr>
            <w:hyperlink w:anchor="page46">
              <w:r>
                <w:rPr>
                  <w:rFonts w:ascii="Arial" w:cs="Arial" w:eastAsia="Arial" w:hAnsi="Arial"/>
                  <w:sz w:val="14"/>
                  <w:szCs w:val="14"/>
                  <w:b w:val="1"/>
                  <w:bCs w:val="1"/>
                  <w:color w:val="58844D"/>
                  <w:w w:val="89"/>
                </w:rPr>
                <w:t>41</w:t>
              </w:r>
            </w:hyperlink>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Borders>
              <w:bottom w:val="single" w:sz="8" w:color="0000EE"/>
            </w:tcBorders>
            <w:gridSpan w:val="8"/>
          </w:tcPr>
          <w:p>
            <w:pPr>
              <w:spacing w:after="0" w:line="129" w:lineRule="exact"/>
              <w:rPr>
                <w:rFonts w:ascii="Arial" w:cs="Arial" w:eastAsia="Arial" w:hAnsi="Arial"/>
                <w:sz w:val="14"/>
                <w:szCs w:val="14"/>
                <w:color w:val="0000EE"/>
              </w:rPr>
            </w:pPr>
            <w:hyperlink w:anchor="page52">
              <w:r>
                <w:rPr>
                  <w:rFonts w:ascii="Arial" w:cs="Arial" w:eastAsia="Arial" w:hAnsi="Arial"/>
                  <w:sz w:val="14"/>
                  <w:szCs w:val="14"/>
                  <w:color w:val="0000EE"/>
                </w:rPr>
                <w:t>EMPLOYMENT AGREEMENTS</w:t>
              </w:r>
            </w:hyperlink>
          </w:p>
        </w:tc>
        <w:tc>
          <w:tcPr>
            <w:tcW w:w="3080" w:type="dxa"/>
            <w:vAlign w:val="bottom"/>
            <w:gridSpan w:val="10"/>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Borders>
              <w:bottom w:val="single" w:sz="8" w:color="58844D"/>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tcBorders>
              <w:bottom w:val="single" w:sz="8" w:color="0000EE"/>
            </w:tcBorders>
            <w:gridSpan w:val="9"/>
          </w:tcPr>
          <w:p>
            <w:pPr>
              <w:ind w:left="160"/>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Annual Incentive Compensation</w:t>
              </w:r>
            </w:hyperlink>
          </w:p>
        </w:tc>
        <w:tc>
          <w:tcPr>
            <w:tcW w:w="2360" w:type="dxa"/>
            <w:vAlign w:val="bottom"/>
            <w:gridSpan w:val="12"/>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bottom w:val="single" w:sz="8" w:color="58844D"/>
            </w:tcBorders>
          </w:tcPr>
          <w:p>
            <w:pPr>
              <w:jc w:val="right"/>
              <w:spacing w:after="0" w:line="129" w:lineRule="exact"/>
              <w:rPr>
                <w:rFonts w:ascii="Arial" w:cs="Arial" w:eastAsia="Arial" w:hAnsi="Arial"/>
                <w:sz w:val="14"/>
                <w:szCs w:val="14"/>
                <w:b w:val="1"/>
                <w:bCs w:val="1"/>
                <w:color w:val="58844D"/>
                <w:w w:val="89"/>
              </w:rPr>
            </w:pPr>
            <w:hyperlink w:anchor="page46">
              <w:r>
                <w:rPr>
                  <w:rFonts w:ascii="Arial" w:cs="Arial" w:eastAsia="Arial" w:hAnsi="Arial"/>
                  <w:sz w:val="14"/>
                  <w:szCs w:val="14"/>
                  <w:b w:val="1"/>
                  <w:bCs w:val="1"/>
                  <w:color w:val="58844D"/>
                  <w:w w:val="89"/>
                </w:rPr>
                <w:t>41</w:t>
              </w:r>
            </w:hyperlink>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tcBorders>
              <w:bottom w:val="single" w:sz="8" w:color="0000EE"/>
            </w:tcBorders>
            <w:gridSpan w:val="11"/>
          </w:tcPr>
          <w:p>
            <w:pPr>
              <w:spacing w:after="0" w:line="129" w:lineRule="exact"/>
              <w:rPr>
                <w:rFonts w:ascii="Arial" w:cs="Arial" w:eastAsia="Arial" w:hAnsi="Arial"/>
                <w:sz w:val="14"/>
                <w:szCs w:val="14"/>
                <w:color w:val="0000EE"/>
              </w:rPr>
            </w:pPr>
            <w:hyperlink w:anchor="page52">
              <w:r>
                <w:rPr>
                  <w:rFonts w:ascii="Arial" w:cs="Arial" w:eastAsia="Arial" w:hAnsi="Arial"/>
                  <w:sz w:val="14"/>
                  <w:szCs w:val="14"/>
                  <w:color w:val="0000EE"/>
                </w:rPr>
                <w:t>SEVERANCE AND CHANGE-IN-CONTROL</w:t>
              </w:r>
            </w:hyperlink>
          </w:p>
        </w:tc>
        <w:tc>
          <w:tcPr>
            <w:tcW w:w="22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58844D"/>
            </w:tcBorders>
          </w:tcPr>
          <w:p>
            <w:pPr>
              <w:jc w:val="right"/>
              <w:spacing w:after="0" w:line="120" w:lineRule="exact"/>
              <w:rPr>
                <w:rFonts w:ascii="Arial" w:cs="Arial" w:eastAsia="Arial" w:hAnsi="Arial"/>
                <w:sz w:val="13"/>
                <w:szCs w:val="13"/>
                <w:b w:val="1"/>
                <w:bCs w:val="1"/>
                <w:color w:val="58844D"/>
                <w:w w:val="96"/>
              </w:rPr>
            </w:pPr>
            <w:hyperlink w:anchor="page52">
              <w:r>
                <w:rPr>
                  <w:rFonts w:ascii="Arial" w:cs="Arial" w:eastAsia="Arial" w:hAnsi="Arial"/>
                  <w:sz w:val="13"/>
                  <w:szCs w:val="13"/>
                  <w:b w:val="1"/>
                  <w:bCs w:val="1"/>
                  <w:color w:val="58844D"/>
                  <w:w w:val="96"/>
                </w:rPr>
                <w:t>47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4340" w:type="dxa"/>
            <w:vAlign w:val="bottom"/>
            <w:gridSpan w:val="20"/>
          </w:tcPr>
          <w:p>
            <w:pPr>
              <w:ind w:left="160"/>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Overview</w:t>
              </w:r>
            </w:hyperlink>
          </w:p>
        </w:tc>
        <w:tc>
          <w:tcPr>
            <w:tcW w:w="560" w:type="dxa"/>
            <w:vAlign w:val="bottom"/>
          </w:tcPr>
          <w:p>
            <w:pPr>
              <w:spacing w:after="0"/>
              <w:rPr>
                <w:sz w:val="11"/>
                <w:szCs w:val="11"/>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6">
              <w:r>
                <w:rPr>
                  <w:rFonts w:ascii="Arial" w:cs="Arial" w:eastAsia="Arial" w:hAnsi="Arial"/>
                  <w:sz w:val="14"/>
                  <w:szCs w:val="14"/>
                  <w:b w:val="1"/>
                  <w:bCs w:val="1"/>
                  <w:color w:val="58844D"/>
                  <w:w w:val="89"/>
                </w:rPr>
                <w:t>41</w:t>
              </w:r>
            </w:hyperlink>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52">
              <w:r>
                <w:rPr>
                  <w:rFonts w:ascii="Arial" w:cs="Arial" w:eastAsia="Arial" w:hAnsi="Arial"/>
                  <w:sz w:val="14"/>
                  <w:szCs w:val="14"/>
                  <w:color w:val="0000EE"/>
                </w:rPr>
                <w:t>Mr. Sotos' Benefits</w:t>
              </w:r>
            </w:hyperlink>
          </w:p>
        </w:tc>
        <w:tc>
          <w:tcPr>
            <w:tcW w:w="20" w:type="dxa"/>
            <w:vAlign w:val="bottom"/>
          </w:tcPr>
          <w:p>
            <w:pPr>
              <w:spacing w:after="0"/>
              <w:rPr>
                <w:sz w:val="11"/>
                <w:szCs w:val="11"/>
                <w:color w:val="auto"/>
              </w:rPr>
            </w:pPr>
          </w:p>
        </w:tc>
        <w:tc>
          <w:tcPr>
            <w:tcW w:w="160" w:type="dxa"/>
            <w:vAlign w:val="bottom"/>
          </w:tcPr>
          <w:p>
            <w:pPr>
              <w:jc w:val="right"/>
              <w:spacing w:after="0" w:line="120" w:lineRule="exact"/>
              <w:rPr>
                <w:rFonts w:ascii="Arial" w:cs="Arial" w:eastAsia="Arial" w:hAnsi="Arial"/>
                <w:sz w:val="13"/>
                <w:szCs w:val="13"/>
                <w:b w:val="1"/>
                <w:bCs w:val="1"/>
                <w:color w:val="58844D"/>
                <w:w w:val="96"/>
              </w:rPr>
            </w:pPr>
            <w:hyperlink w:anchor="page52">
              <w:r>
                <w:rPr>
                  <w:rFonts w:ascii="Arial" w:cs="Arial" w:eastAsia="Arial" w:hAnsi="Arial"/>
                  <w:sz w:val="13"/>
                  <w:szCs w:val="13"/>
                  <w:b w:val="1"/>
                  <w:bCs w:val="1"/>
                  <w:color w:val="58844D"/>
                  <w:w w:val="96"/>
                </w:rPr>
                <w:t>47</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58844D"/>
            </w:tcBorders>
            <w:vMerge w:val="restart"/>
          </w:tcPr>
          <w:p>
            <w:pPr>
              <w:jc w:val="right"/>
              <w:spacing w:after="0" w:line="140" w:lineRule="exact"/>
              <w:rPr>
                <w:rFonts w:ascii="Arial" w:cs="Arial" w:eastAsia="Arial" w:hAnsi="Arial"/>
                <w:sz w:val="15"/>
                <w:szCs w:val="15"/>
                <w:b w:val="1"/>
                <w:bCs w:val="1"/>
                <w:color w:val="58844D"/>
                <w:w w:val="83"/>
              </w:rPr>
            </w:pPr>
            <w:hyperlink w:anchor="page53">
              <w:r>
                <w:rPr>
                  <w:rFonts w:ascii="Arial" w:cs="Arial" w:eastAsia="Arial" w:hAnsi="Arial"/>
                  <w:sz w:val="15"/>
                  <w:szCs w:val="15"/>
                  <w:b w:val="1"/>
                  <w:bCs w:val="1"/>
                  <w:color w:val="58844D"/>
                  <w:w w:val="83"/>
                </w:rPr>
                <w:t>48</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00" w:type="dxa"/>
            <w:vAlign w:val="bottom"/>
          </w:tcPr>
          <w:p>
            <w:pPr>
              <w:spacing w:after="0"/>
              <w:rPr>
                <w:sz w:val="11"/>
                <w:szCs w:val="11"/>
                <w:color w:val="auto"/>
              </w:rPr>
            </w:pPr>
          </w:p>
        </w:tc>
        <w:tc>
          <w:tcPr>
            <w:tcW w:w="4340" w:type="dxa"/>
            <w:vAlign w:val="bottom"/>
            <w:gridSpan w:val="20"/>
          </w:tcPr>
          <w:p>
            <w:pPr>
              <w:ind w:left="160"/>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Annual Incentive Bonus Opportunity</w:t>
              </w:r>
            </w:hyperlink>
          </w:p>
        </w:tc>
        <w:tc>
          <w:tcPr>
            <w:tcW w:w="560" w:type="dxa"/>
            <w:vAlign w:val="bottom"/>
            <w:vMerge w:val="continue"/>
          </w:tcPr>
          <w:p>
            <w:pPr>
              <w:spacing w:after="0"/>
              <w:rPr>
                <w:sz w:val="11"/>
                <w:szCs w:val="11"/>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7">
              <w:r>
                <w:rPr>
                  <w:rFonts w:ascii="Arial" w:cs="Arial" w:eastAsia="Arial" w:hAnsi="Arial"/>
                  <w:sz w:val="14"/>
                  <w:szCs w:val="14"/>
                  <w:b w:val="1"/>
                  <w:bCs w:val="1"/>
                  <w:color w:val="58844D"/>
                  <w:w w:val="89"/>
                </w:rPr>
                <w:t>42</w:t>
              </w:r>
            </w:hyperlink>
          </w:p>
        </w:tc>
        <w:tc>
          <w:tcPr>
            <w:tcW w:w="3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53">
              <w:r>
                <w:rPr>
                  <w:rFonts w:ascii="Arial" w:cs="Arial" w:eastAsia="Arial" w:hAnsi="Arial"/>
                  <w:sz w:val="14"/>
                  <w:szCs w:val="14"/>
                  <w:color w:val="0000EE"/>
                </w:rPr>
                <w:t>Definition of Change-in-Control</w:t>
              </w:r>
            </w:hyperlink>
          </w:p>
        </w:tc>
        <w:tc>
          <w:tcPr>
            <w:tcW w:w="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58844D"/>
            </w:tcBorders>
            <w:vMerge w:val="restart"/>
          </w:tcPr>
          <w:p>
            <w:pPr>
              <w:jc w:val="right"/>
              <w:spacing w:after="0" w:line="140" w:lineRule="exact"/>
              <w:rPr>
                <w:rFonts w:ascii="Arial" w:cs="Arial" w:eastAsia="Arial" w:hAnsi="Arial"/>
                <w:sz w:val="15"/>
                <w:szCs w:val="15"/>
                <w:b w:val="1"/>
                <w:bCs w:val="1"/>
                <w:color w:val="58844D"/>
                <w:w w:val="83"/>
              </w:rPr>
            </w:pPr>
            <w:hyperlink w:anchor="page53">
              <w:r>
                <w:rPr>
                  <w:rFonts w:ascii="Arial" w:cs="Arial" w:eastAsia="Arial" w:hAnsi="Arial"/>
                  <w:sz w:val="15"/>
                  <w:szCs w:val="15"/>
                  <w:b w:val="1"/>
                  <w:bCs w:val="1"/>
                  <w:color w:val="58844D"/>
                  <w:w w:val="83"/>
                </w:rPr>
                <w:t>48</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00" w:type="dxa"/>
            <w:vAlign w:val="bottom"/>
          </w:tcPr>
          <w:p>
            <w:pPr>
              <w:spacing w:after="0"/>
              <w:rPr>
                <w:sz w:val="11"/>
                <w:szCs w:val="11"/>
                <w:color w:val="auto"/>
              </w:rPr>
            </w:pPr>
          </w:p>
        </w:tc>
        <w:tc>
          <w:tcPr>
            <w:tcW w:w="4340" w:type="dxa"/>
            <w:vAlign w:val="bottom"/>
            <w:gridSpan w:val="20"/>
          </w:tcPr>
          <w:p>
            <w:pPr>
              <w:ind w:left="160"/>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2017 AIP Bonus Performance Criteria</w:t>
              </w:r>
            </w:hyperlink>
          </w:p>
        </w:tc>
        <w:tc>
          <w:tcPr>
            <w:tcW w:w="560" w:type="dxa"/>
            <w:vAlign w:val="bottom"/>
            <w:vMerge w:val="continue"/>
          </w:tcPr>
          <w:p>
            <w:pPr>
              <w:spacing w:after="0"/>
              <w:rPr>
                <w:sz w:val="11"/>
                <w:szCs w:val="11"/>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7">
              <w:r>
                <w:rPr>
                  <w:rFonts w:ascii="Arial" w:cs="Arial" w:eastAsia="Arial" w:hAnsi="Arial"/>
                  <w:sz w:val="14"/>
                  <w:szCs w:val="14"/>
                  <w:b w:val="1"/>
                  <w:bCs w:val="1"/>
                  <w:color w:val="58844D"/>
                  <w:w w:val="89"/>
                </w:rPr>
                <w:t>42</w:t>
              </w:r>
            </w:hyperlink>
          </w:p>
        </w:tc>
        <w:tc>
          <w:tcPr>
            <w:tcW w:w="3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53">
              <w:r>
                <w:rPr>
                  <w:rFonts w:ascii="Arial" w:cs="Arial" w:eastAsia="Arial" w:hAnsi="Arial"/>
                  <w:sz w:val="14"/>
                  <w:szCs w:val="14"/>
                  <w:color w:val="0000EE"/>
                </w:rPr>
                <w:t>Mr. Plotkin's Benefits</w:t>
              </w:r>
            </w:hyperlink>
          </w:p>
        </w:tc>
        <w:tc>
          <w:tcPr>
            <w:tcW w:w="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58844D"/>
            </w:tcBorders>
            <w:vMerge w:val="restart"/>
          </w:tcPr>
          <w:p>
            <w:pPr>
              <w:jc w:val="right"/>
              <w:spacing w:after="0" w:line="140" w:lineRule="exact"/>
              <w:rPr>
                <w:rFonts w:ascii="Arial" w:cs="Arial" w:eastAsia="Arial" w:hAnsi="Arial"/>
                <w:sz w:val="15"/>
                <w:szCs w:val="15"/>
                <w:b w:val="1"/>
                <w:bCs w:val="1"/>
                <w:color w:val="58844D"/>
                <w:w w:val="83"/>
              </w:rPr>
            </w:pPr>
            <w:hyperlink w:anchor="page54">
              <w:r>
                <w:rPr>
                  <w:rFonts w:ascii="Arial" w:cs="Arial" w:eastAsia="Arial" w:hAnsi="Arial"/>
                  <w:sz w:val="15"/>
                  <w:szCs w:val="15"/>
                  <w:b w:val="1"/>
                  <w:bCs w:val="1"/>
                  <w:color w:val="58844D"/>
                  <w:w w:val="83"/>
                </w:rPr>
                <w:t>49</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00" w:type="dxa"/>
            <w:vAlign w:val="bottom"/>
          </w:tcPr>
          <w:p>
            <w:pPr>
              <w:spacing w:after="0"/>
              <w:rPr>
                <w:sz w:val="11"/>
                <w:szCs w:val="11"/>
                <w:color w:val="auto"/>
              </w:rPr>
            </w:pPr>
          </w:p>
        </w:tc>
        <w:tc>
          <w:tcPr>
            <w:tcW w:w="2640" w:type="dxa"/>
            <w:vAlign w:val="bottom"/>
            <w:gridSpan w:val="18"/>
          </w:tcPr>
          <w:p>
            <w:pPr>
              <w:ind w:left="160"/>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2017 Annual Incentive Bonuses</w:t>
              </w:r>
            </w:hyperlink>
          </w:p>
        </w:tc>
        <w:tc>
          <w:tcPr>
            <w:tcW w:w="1700" w:type="dxa"/>
            <w:vAlign w:val="bottom"/>
            <w:gridSpan w:val="2"/>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7">
              <w:r>
                <w:rPr>
                  <w:rFonts w:ascii="Arial" w:cs="Arial" w:eastAsia="Arial" w:hAnsi="Arial"/>
                  <w:sz w:val="14"/>
                  <w:szCs w:val="14"/>
                  <w:b w:val="1"/>
                  <w:bCs w:val="1"/>
                  <w:color w:val="58844D"/>
                  <w:w w:val="89"/>
                </w:rPr>
                <w:t>42</w:t>
              </w:r>
            </w:hyperlink>
          </w:p>
        </w:tc>
        <w:tc>
          <w:tcPr>
            <w:tcW w:w="3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54">
              <w:r>
                <w:rPr>
                  <w:rFonts w:ascii="Arial" w:cs="Arial" w:eastAsia="Arial" w:hAnsi="Arial"/>
                  <w:sz w:val="14"/>
                  <w:szCs w:val="14"/>
                  <w:color w:val="0000EE"/>
                </w:rPr>
                <w:t>Potential Payments upon Termination or Change in Control</w:t>
              </w:r>
            </w:hyperlink>
          </w:p>
        </w:tc>
        <w:tc>
          <w:tcPr>
            <w:tcW w:w="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58844D"/>
            </w:tcBorders>
            <w:vMerge w:val="restart"/>
          </w:tcPr>
          <w:p>
            <w:pPr>
              <w:jc w:val="right"/>
              <w:spacing w:after="0" w:line="140" w:lineRule="exact"/>
              <w:rPr>
                <w:rFonts w:ascii="Arial" w:cs="Arial" w:eastAsia="Arial" w:hAnsi="Arial"/>
                <w:sz w:val="15"/>
                <w:szCs w:val="15"/>
                <w:b w:val="1"/>
                <w:bCs w:val="1"/>
                <w:color w:val="58844D"/>
                <w:w w:val="83"/>
              </w:rPr>
            </w:pPr>
            <w:hyperlink w:anchor="page54">
              <w:r>
                <w:rPr>
                  <w:rFonts w:ascii="Arial" w:cs="Arial" w:eastAsia="Arial" w:hAnsi="Arial"/>
                  <w:sz w:val="15"/>
                  <w:szCs w:val="15"/>
                  <w:b w:val="1"/>
                  <w:bCs w:val="1"/>
                  <w:color w:val="58844D"/>
                  <w:w w:val="83"/>
                </w:rPr>
                <w:t>49</w:t>
              </w:r>
            </w:hyperlink>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40" w:type="dxa"/>
            <w:vAlign w:val="bottom"/>
            <w:gridSpan w:val="21"/>
          </w:tcPr>
          <w:p>
            <w:pPr>
              <w:ind w:left="160"/>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Long-Term Incentive Compensation</w:t>
              </w:r>
            </w:hyperlink>
          </w:p>
        </w:tc>
        <w:tc>
          <w:tcPr>
            <w:tcW w:w="560" w:type="dxa"/>
            <w:vAlign w:val="bottom"/>
            <w:vMerge w:val="continue"/>
          </w:tcPr>
          <w:p>
            <w:pPr>
              <w:spacing w:after="0"/>
              <w:rPr>
                <w:sz w:val="11"/>
                <w:szCs w:val="11"/>
                <w:color w:val="auto"/>
              </w:rPr>
            </w:pPr>
          </w:p>
        </w:tc>
        <w:tc>
          <w:tcPr>
            <w:tcW w:w="160" w:type="dxa"/>
            <w:vAlign w:val="bottom"/>
          </w:tcPr>
          <w:p>
            <w:pPr>
              <w:jc w:val="right"/>
              <w:spacing w:after="0" w:line="129" w:lineRule="exact"/>
              <w:rPr>
                <w:rFonts w:ascii="Arial" w:cs="Arial" w:eastAsia="Arial" w:hAnsi="Arial"/>
                <w:sz w:val="14"/>
                <w:szCs w:val="14"/>
                <w:b w:val="1"/>
                <w:bCs w:val="1"/>
                <w:color w:val="58844D"/>
                <w:w w:val="89"/>
              </w:rPr>
            </w:pPr>
            <w:hyperlink w:anchor="page47">
              <w:r>
                <w:rPr>
                  <w:rFonts w:ascii="Arial" w:cs="Arial" w:eastAsia="Arial" w:hAnsi="Arial"/>
                  <w:sz w:val="14"/>
                  <w:szCs w:val="14"/>
                  <w:b w:val="1"/>
                  <w:bCs w:val="1"/>
                  <w:color w:val="58844D"/>
                  <w:w w:val="89"/>
                </w:rPr>
                <w:t>42</w:t>
              </w:r>
            </w:hyperlink>
          </w:p>
        </w:tc>
        <w:tc>
          <w:tcPr>
            <w:tcW w:w="3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gridSpan w:val="17"/>
          </w:tcPr>
          <w:p>
            <w:pPr>
              <w:spacing w:after="0" w:line="129" w:lineRule="exact"/>
              <w:rPr>
                <w:rFonts w:ascii="Arial" w:cs="Arial" w:eastAsia="Arial" w:hAnsi="Arial"/>
                <w:sz w:val="14"/>
                <w:szCs w:val="14"/>
                <w:color w:val="0000EE"/>
              </w:rPr>
            </w:pPr>
            <w:hyperlink w:anchor="page54">
              <w:r>
                <w:rPr>
                  <w:rFonts w:ascii="Arial" w:cs="Arial" w:eastAsia="Arial" w:hAnsi="Arial"/>
                  <w:sz w:val="14"/>
                  <w:szCs w:val="14"/>
                  <w:color w:val="0000EE"/>
                </w:rPr>
                <w:t>CEO PAY RATIO</w:t>
              </w:r>
            </w:hyperlink>
          </w:p>
        </w:tc>
        <w:tc>
          <w:tcPr>
            <w:tcW w:w="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0" w:type="dxa"/>
            <w:vAlign w:val="bottom"/>
          </w:tcPr>
          <w:p>
            <w:pPr>
              <w:spacing w:after="0"/>
              <w:rPr>
                <w:sz w:val="13"/>
                <w:szCs w:val="13"/>
                <w:color w:val="auto"/>
              </w:rPr>
            </w:pPr>
          </w:p>
        </w:tc>
        <w:tc>
          <w:tcPr>
            <w:tcW w:w="4340" w:type="dxa"/>
            <w:vAlign w:val="bottom"/>
            <w:gridSpan w:val="20"/>
          </w:tcPr>
          <w:p>
            <w:pPr>
              <w:ind w:left="160"/>
              <w:spacing w:after="0" w:line="160" w:lineRule="exact"/>
              <w:rPr>
                <w:rFonts w:ascii="Arial" w:cs="Arial" w:eastAsia="Arial" w:hAnsi="Arial"/>
                <w:sz w:val="15"/>
                <w:szCs w:val="15"/>
                <w:color w:val="0000EE"/>
              </w:rPr>
            </w:pPr>
            <w:hyperlink w:anchor="page47">
              <w:r>
                <w:rPr>
                  <w:rFonts w:ascii="Arial" w:cs="Arial" w:eastAsia="Arial" w:hAnsi="Arial"/>
                  <w:sz w:val="15"/>
                  <w:szCs w:val="15"/>
                  <w:color w:val="0000EE"/>
                </w:rPr>
                <w:t>Relative Performance Stock Units</w:t>
              </w:r>
            </w:hyperlink>
          </w:p>
        </w:tc>
        <w:tc>
          <w:tcPr>
            <w:tcW w:w="560" w:type="dxa"/>
            <w:vAlign w:val="bottom"/>
            <w:vMerge w:val="continue"/>
          </w:tcPr>
          <w:p>
            <w:pPr>
              <w:spacing w:after="0"/>
              <w:rPr>
                <w:sz w:val="13"/>
                <w:szCs w:val="13"/>
                <w:color w:val="auto"/>
              </w:rPr>
            </w:pPr>
          </w:p>
        </w:tc>
        <w:tc>
          <w:tcPr>
            <w:tcW w:w="160" w:type="dxa"/>
            <w:vAlign w:val="bottom"/>
          </w:tcPr>
          <w:p>
            <w:pPr>
              <w:jc w:val="right"/>
              <w:spacing w:after="0" w:line="160" w:lineRule="exact"/>
              <w:rPr>
                <w:rFonts w:ascii="Arial" w:cs="Arial" w:eastAsia="Arial" w:hAnsi="Arial"/>
                <w:sz w:val="15"/>
                <w:szCs w:val="15"/>
                <w:b w:val="1"/>
                <w:bCs w:val="1"/>
                <w:color w:val="58844D"/>
                <w:w w:val="83"/>
              </w:rPr>
            </w:pPr>
            <w:hyperlink w:anchor="page47">
              <w:r>
                <w:rPr>
                  <w:rFonts w:ascii="Arial" w:cs="Arial" w:eastAsia="Arial" w:hAnsi="Arial"/>
                  <w:sz w:val="15"/>
                  <w:szCs w:val="15"/>
                  <w:b w:val="1"/>
                  <w:bCs w:val="1"/>
                  <w:color w:val="58844D"/>
                  <w:w w:val="83"/>
                </w:rPr>
                <w:t>42</w:t>
              </w:r>
            </w:hyperlink>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2380" w:type="dxa"/>
            <w:vAlign w:val="bottom"/>
            <w:tcBorders>
              <w:top w:val="single" w:sz="8" w:color="0000EE"/>
            </w:tcBorders>
            <w:gridSpan w:val="15"/>
          </w:tcPr>
          <w:p>
            <w:pPr>
              <w:ind w:left="160"/>
              <w:spacing w:after="0" w:line="151" w:lineRule="exact"/>
              <w:rPr>
                <w:rFonts w:ascii="Arial" w:cs="Arial" w:eastAsia="Arial" w:hAnsi="Arial"/>
                <w:sz w:val="15"/>
                <w:szCs w:val="15"/>
                <w:color w:val="0000EE"/>
              </w:rPr>
            </w:pPr>
            <w:hyperlink w:anchor="page48">
              <w:r>
                <w:rPr>
                  <w:rFonts w:ascii="Arial" w:cs="Arial" w:eastAsia="Arial" w:hAnsi="Arial"/>
                  <w:sz w:val="15"/>
                  <w:szCs w:val="15"/>
                  <w:color w:val="0000EE"/>
                </w:rPr>
                <w:t>Restricted Stock Units</w:t>
              </w:r>
            </w:hyperlink>
          </w:p>
        </w:tc>
        <w:tc>
          <w:tcPr>
            <w:tcW w:w="1960" w:type="dxa"/>
            <w:vAlign w:val="bottom"/>
            <w:gridSpan w:val="5"/>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58844D"/>
            </w:tcBorders>
          </w:tcPr>
          <w:p>
            <w:pPr>
              <w:jc w:val="right"/>
              <w:spacing w:after="0" w:line="151" w:lineRule="exact"/>
              <w:rPr>
                <w:rFonts w:ascii="Arial" w:cs="Arial" w:eastAsia="Arial" w:hAnsi="Arial"/>
                <w:sz w:val="15"/>
                <w:szCs w:val="15"/>
                <w:b w:val="1"/>
                <w:bCs w:val="1"/>
                <w:color w:val="58844D"/>
                <w:w w:val="83"/>
              </w:rPr>
            </w:pPr>
            <w:hyperlink w:anchor="page48">
              <w:r>
                <w:rPr>
                  <w:rFonts w:ascii="Arial" w:cs="Arial" w:eastAsia="Arial" w:hAnsi="Arial"/>
                  <w:sz w:val="15"/>
                  <w:szCs w:val="15"/>
                  <w:b w:val="1"/>
                  <w:bCs w:val="1"/>
                  <w:color w:val="58844D"/>
                  <w:w w:val="83"/>
                </w:rPr>
                <w:t>43</w:t>
              </w:r>
            </w:hyperlink>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60" w:type="dxa"/>
            <w:vAlign w:val="bottom"/>
            <w:shd w:val="clear" w:color="auto" w:fill="58844D"/>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1940" w:type="dxa"/>
            <w:vAlign w:val="bottom"/>
            <w:tcBorders>
              <w:bottom w:val="single" w:sz="8" w:color="0000EE"/>
            </w:tcBorders>
            <w:gridSpan w:val="7"/>
          </w:tcPr>
          <w:p>
            <w:pPr>
              <w:ind w:left="160"/>
              <w:spacing w:after="0" w:line="151" w:lineRule="exact"/>
              <w:rPr>
                <w:rFonts w:ascii="Arial" w:cs="Arial" w:eastAsia="Arial" w:hAnsi="Arial"/>
                <w:sz w:val="15"/>
                <w:szCs w:val="15"/>
                <w:color w:val="0000EE"/>
                <w:w w:val="98"/>
              </w:rPr>
            </w:pPr>
            <w:hyperlink w:anchor="page48">
              <w:r>
                <w:rPr>
                  <w:rFonts w:ascii="Arial" w:cs="Arial" w:eastAsia="Arial" w:hAnsi="Arial"/>
                  <w:sz w:val="15"/>
                  <w:szCs w:val="15"/>
                  <w:color w:val="0000EE"/>
                  <w:w w:val="98"/>
                </w:rPr>
                <w:t>Dividend Equivalent Rights</w:t>
              </w:r>
            </w:hyperlink>
          </w:p>
        </w:tc>
        <w:tc>
          <w:tcPr>
            <w:tcW w:w="2400" w:type="dxa"/>
            <w:vAlign w:val="bottom"/>
            <w:gridSpan w:val="13"/>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tcBorders>
              <w:bottom w:val="single" w:sz="8" w:color="58844D"/>
            </w:tcBorders>
          </w:tcPr>
          <w:p>
            <w:pPr>
              <w:jc w:val="right"/>
              <w:spacing w:after="0" w:line="151" w:lineRule="exact"/>
              <w:rPr>
                <w:rFonts w:ascii="Arial" w:cs="Arial" w:eastAsia="Arial" w:hAnsi="Arial"/>
                <w:sz w:val="15"/>
                <w:szCs w:val="15"/>
                <w:b w:val="1"/>
                <w:bCs w:val="1"/>
                <w:color w:val="58844D"/>
                <w:w w:val="83"/>
              </w:rPr>
            </w:pPr>
            <w:hyperlink w:anchor="page48">
              <w:r>
                <w:rPr>
                  <w:rFonts w:ascii="Arial" w:cs="Arial" w:eastAsia="Arial" w:hAnsi="Arial"/>
                  <w:sz w:val="15"/>
                  <w:szCs w:val="15"/>
                  <w:b w:val="1"/>
                  <w:bCs w:val="1"/>
                  <w:color w:val="58844D"/>
                  <w:w w:val="83"/>
                </w:rPr>
                <w:t>43</w:t>
              </w:r>
            </w:hyperlink>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40" w:type="dxa"/>
            <w:vAlign w:val="bottom"/>
            <w:gridSpan w:val="21"/>
          </w:tcPr>
          <w:p>
            <w:pPr>
              <w:ind w:left="160"/>
              <w:spacing w:after="0" w:line="151" w:lineRule="exact"/>
              <w:rPr>
                <w:rFonts w:ascii="Arial" w:cs="Arial" w:eastAsia="Arial" w:hAnsi="Arial"/>
                <w:sz w:val="15"/>
                <w:szCs w:val="15"/>
                <w:color w:val="0000EE"/>
              </w:rPr>
            </w:pPr>
            <w:hyperlink w:anchor="page48">
              <w:r>
                <w:rPr>
                  <w:rFonts w:ascii="Arial" w:cs="Arial" w:eastAsia="Arial" w:hAnsi="Arial"/>
                  <w:sz w:val="15"/>
                  <w:szCs w:val="15"/>
                  <w:color w:val="0000EE"/>
                </w:rPr>
                <w:t>Clawbacks</w:t>
              </w:r>
            </w:hyperlink>
          </w:p>
        </w:tc>
        <w:tc>
          <w:tcPr>
            <w:tcW w:w="560" w:type="dxa"/>
            <w:vAlign w:val="bottom"/>
          </w:tcPr>
          <w:p>
            <w:pPr>
              <w:spacing w:after="0"/>
              <w:rPr>
                <w:sz w:val="13"/>
                <w:szCs w:val="13"/>
                <w:color w:val="auto"/>
              </w:rPr>
            </w:pPr>
          </w:p>
        </w:tc>
        <w:tc>
          <w:tcPr>
            <w:tcW w:w="160" w:type="dxa"/>
            <w:vAlign w:val="bottom"/>
          </w:tcPr>
          <w:p>
            <w:pPr>
              <w:jc w:val="right"/>
              <w:spacing w:after="0" w:line="151" w:lineRule="exact"/>
              <w:rPr>
                <w:rFonts w:ascii="Arial" w:cs="Arial" w:eastAsia="Arial" w:hAnsi="Arial"/>
                <w:sz w:val="15"/>
                <w:szCs w:val="15"/>
                <w:b w:val="1"/>
                <w:bCs w:val="1"/>
                <w:color w:val="58844D"/>
                <w:w w:val="83"/>
              </w:rPr>
            </w:pPr>
            <w:hyperlink w:anchor="page48">
              <w:r>
                <w:rPr>
                  <w:rFonts w:ascii="Arial" w:cs="Arial" w:eastAsia="Arial" w:hAnsi="Arial"/>
                  <w:sz w:val="15"/>
                  <w:szCs w:val="15"/>
                  <w:b w:val="1"/>
                  <w:bCs w:val="1"/>
                  <w:color w:val="58844D"/>
                  <w:w w:val="83"/>
                </w:rPr>
                <w:t>43</w:t>
              </w:r>
            </w:hyperlink>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00" w:type="dxa"/>
            <w:vAlign w:val="bottom"/>
            <w:tcBorders>
              <w:top w:val="single" w:sz="8" w:color="0000EE"/>
              <w:bottom w:val="single" w:sz="8" w:color="808080"/>
            </w:tcBorders>
          </w:tcPr>
          <w:p>
            <w:pPr>
              <w:spacing w:after="0"/>
              <w:rPr>
                <w:sz w:val="24"/>
                <w:szCs w:val="24"/>
                <w:color w:val="auto"/>
              </w:rPr>
            </w:pPr>
          </w:p>
        </w:tc>
        <w:tc>
          <w:tcPr>
            <w:tcW w:w="580" w:type="dxa"/>
            <w:vAlign w:val="bottom"/>
            <w:tcBorders>
              <w:top w:val="single" w:sz="8" w:color="0000EE"/>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0" w:type="dxa"/>
            <w:vAlign w:val="bottom"/>
            <w:tcBorders>
              <w:top w:val="single" w:sz="8" w:color="58844D"/>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2" w:name="page43"/>
    <w:bookmarkEnd w:id="42"/>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58844D"/>
        </w:rPr>
        <w:t>Executive Summary</w:t>
      </w:r>
    </w:p>
    <w:p>
      <w:pPr>
        <w:spacing w:after="0" w:line="203" w:lineRule="exact"/>
        <w:rPr>
          <w:sz w:val="20"/>
          <w:szCs w:val="20"/>
          <w:color w:val="auto"/>
        </w:rPr>
      </w:pPr>
    </w:p>
    <w:p>
      <w:pPr>
        <w:ind w:left="9"/>
        <w:spacing w:after="0"/>
        <w:rPr>
          <w:sz w:val="20"/>
          <w:szCs w:val="20"/>
          <w:color w:val="auto"/>
        </w:rPr>
      </w:pPr>
      <w:r>
        <w:rPr>
          <w:rFonts w:ascii="Arial" w:cs="Arial" w:eastAsia="Arial" w:hAnsi="Arial"/>
          <w:sz w:val="18"/>
          <w:szCs w:val="18"/>
          <w:color w:val="58844D"/>
        </w:rPr>
        <w:t>Executive Compensation Program</w:t>
      </w:r>
    </w:p>
    <w:p>
      <w:pPr>
        <w:spacing w:after="0" w:line="189" w:lineRule="exact"/>
        <w:rPr>
          <w:sz w:val="20"/>
          <w:szCs w:val="20"/>
          <w:color w:val="auto"/>
        </w:rPr>
      </w:pPr>
    </w:p>
    <w:p>
      <w:pPr>
        <w:ind w:left="9" w:right="80"/>
        <w:spacing w:after="0" w:line="239" w:lineRule="auto"/>
        <w:rPr>
          <w:sz w:val="20"/>
          <w:szCs w:val="20"/>
          <w:color w:val="auto"/>
        </w:rPr>
      </w:pPr>
      <w:r>
        <w:rPr>
          <w:rFonts w:ascii="Arial" w:cs="Arial" w:eastAsia="Arial" w:hAnsi="Arial"/>
          <w:sz w:val="15"/>
          <w:szCs w:val="15"/>
          <w:color w:val="auto"/>
        </w:rPr>
        <w:t>The Company is a dividend growth-oriented company that has historically served as the primary vehicle through which NRG owns, operates and acquires contracted renewable and conventional and thermal infrastructure assets. NRG, through its holdings of our Class B common stock and Class D common stock, has a majority voting interest in the Company. This CD&amp;A describes the philosophy, elements, implementation and results of our executive compensation program for 2017.</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5"/>
          <w:szCs w:val="15"/>
          <w:color w:val="auto"/>
        </w:rPr>
        <w:t>Given that Messrs. Sotos and Plotkin became our first two employees as of</w:t>
      </w:r>
    </w:p>
    <w:p>
      <w:pPr>
        <w:ind w:left="9"/>
        <w:spacing w:after="0" w:line="254" w:lineRule="auto"/>
        <w:rPr>
          <w:sz w:val="20"/>
          <w:szCs w:val="20"/>
          <w:color w:val="auto"/>
        </w:rPr>
      </w:pPr>
      <w:r>
        <w:rPr>
          <w:rFonts w:ascii="Arial" w:cs="Arial" w:eastAsia="Arial" w:hAnsi="Arial"/>
          <w:sz w:val="14"/>
          <w:szCs w:val="14"/>
          <w:color w:val="auto"/>
        </w:rPr>
        <w:t>May 6, 2016 and November 7, 2016, respectively, the Compensation Committee's objectives in 2016 were to design a simple yet competitive program that aligned with the interests of our stockholders. For 2017, however, the Compensation Committee undertook a full review of our compensation practices to determine the appropriate combination of long-term and short-term compensation features to align pay with the Company's performance and TSR. Our 2017 compensation program for our NEOs, Messrs. Sotos and Plotkin, consisted of (i) base salary,</w:t>
      </w:r>
    </w:p>
    <w:p>
      <w:pPr>
        <w:spacing w:after="0" w:line="4" w:lineRule="exact"/>
        <w:rPr>
          <w:sz w:val="20"/>
          <w:szCs w:val="20"/>
          <w:color w:val="auto"/>
        </w:rPr>
      </w:pPr>
    </w:p>
    <w:p>
      <w:pPr>
        <w:ind w:left="9" w:hanging="9"/>
        <w:spacing w:after="0" w:line="245" w:lineRule="auto"/>
        <w:tabs>
          <w:tab w:leader="none" w:pos="215" w:val="left"/>
        </w:tabs>
        <w:numPr>
          <w:ilvl w:val="0"/>
          <w:numId w:val="46"/>
        </w:numPr>
        <w:rPr>
          <w:rFonts w:ascii="Arial" w:cs="Arial" w:eastAsia="Arial" w:hAnsi="Arial"/>
          <w:sz w:val="15"/>
          <w:szCs w:val="15"/>
          <w:color w:val="auto"/>
        </w:rPr>
      </w:pPr>
      <w:r>
        <w:rPr>
          <w:rFonts w:ascii="Arial" w:cs="Arial" w:eastAsia="Arial" w:hAnsi="Arial"/>
          <w:sz w:val="15"/>
          <w:szCs w:val="15"/>
          <w:color w:val="auto"/>
        </w:rPr>
        <w:t>long-term incentive compensation under our LTIP in the form of RSUs that vest over three years</w:t>
      </w:r>
    </w:p>
    <w:p>
      <w:pPr>
        <w:spacing w:after="0" w:line="199" w:lineRule="exact"/>
        <w:rPr>
          <w:rFonts w:ascii="Arial" w:cs="Arial" w:eastAsia="Arial" w:hAnsi="Arial"/>
          <w:sz w:val="15"/>
          <w:szCs w:val="15"/>
          <w:color w:val="auto"/>
        </w:rPr>
      </w:pPr>
    </w:p>
    <w:p>
      <w:pPr>
        <w:ind w:left="3029" w:hanging="313"/>
        <w:spacing w:after="0"/>
        <w:tabs>
          <w:tab w:leader="none" w:pos="3029" w:val="left"/>
        </w:tabs>
        <w:numPr>
          <w:ilvl w:val="1"/>
          <w:numId w:val="46"/>
        </w:numPr>
        <w:rPr>
          <w:rFonts w:ascii="MS PGothic" w:cs="MS PGothic" w:eastAsia="MS PGothic" w:hAnsi="MS PGothic"/>
          <w:sz w:val="18"/>
          <w:szCs w:val="18"/>
          <w:color w:val="auto"/>
          <w:highlight w:val="white"/>
        </w:rPr>
      </w:pPr>
      <w:r>
        <w:rPr>
          <w:rFonts w:ascii="Arial" w:cs="Arial" w:eastAsia="Arial" w:hAnsi="Arial"/>
          <w:sz w:val="15"/>
          <w:szCs w:val="15"/>
          <w:b w:val="1"/>
          <w:bCs w:val="1"/>
          <w:color w:val="FFFFFE"/>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-129540</wp:posOffset>
            </wp:positionV>
            <wp:extent cx="2844800" cy="1377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44800" cy="137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38</w:t>
      </w:r>
    </w:p>
    <w:p>
      <w:pPr>
        <w:spacing w:after="0" w:line="376" w:lineRule="exact"/>
        <w:rPr>
          <w:sz w:val="20"/>
          <w:szCs w:val="20"/>
          <w:color w:val="auto"/>
        </w:rPr>
      </w:pPr>
    </w:p>
    <w:p>
      <w:pPr>
        <w:ind w:left="3"/>
        <w:spacing w:after="0"/>
        <w:rPr>
          <w:sz w:val="20"/>
          <w:szCs w:val="20"/>
          <w:color w:val="auto"/>
        </w:rPr>
      </w:pPr>
      <w:r>
        <w:rPr>
          <w:rFonts w:ascii="Arial" w:cs="Arial" w:eastAsia="Arial" w:hAnsi="Arial"/>
          <w:sz w:val="14"/>
          <w:szCs w:val="14"/>
          <w:color w:val="auto"/>
        </w:rPr>
        <w:t>and RPSUs that vest after three years, subject to certain performance criteria and</w:t>
      </w:r>
    </w:p>
    <w:p>
      <w:pPr>
        <w:spacing w:after="0" w:line="10" w:lineRule="exact"/>
        <w:rPr>
          <w:sz w:val="20"/>
          <w:szCs w:val="20"/>
          <w:color w:val="auto"/>
        </w:rPr>
      </w:pPr>
    </w:p>
    <w:p>
      <w:pPr>
        <w:ind w:left="3" w:right="20" w:hanging="3"/>
        <w:spacing w:after="0" w:line="245" w:lineRule="auto"/>
        <w:tabs>
          <w:tab w:leader="none" w:pos="241"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 annual incentive bonus opportunity under the AIP. No other officer received any compensation from us in 2017.</w:t>
      </w:r>
    </w:p>
    <w:p>
      <w:pPr>
        <w:spacing w:after="0" w:line="172" w:lineRule="exact"/>
        <w:rPr>
          <w:sz w:val="20"/>
          <w:szCs w:val="20"/>
          <w:color w:val="auto"/>
        </w:rPr>
      </w:pPr>
    </w:p>
    <w:p>
      <w:pPr>
        <w:ind w:left="3"/>
        <w:spacing w:after="0" w:line="239" w:lineRule="auto"/>
        <w:rPr>
          <w:sz w:val="20"/>
          <w:szCs w:val="20"/>
          <w:color w:val="auto"/>
        </w:rPr>
      </w:pPr>
      <w:r>
        <w:rPr>
          <w:rFonts w:ascii="Arial" w:cs="Arial" w:eastAsia="Arial" w:hAnsi="Arial"/>
          <w:sz w:val="15"/>
          <w:szCs w:val="15"/>
          <w:color w:val="auto"/>
        </w:rPr>
        <w:t>At our 2017 Annual Meeting of Stockholders, we received 91% support for our say on pay proposal. As a result, we believe that our stockholders understand that our pay practices demonstrate our commitment to pay for performance and that our compensation plans are designed to recognize the performance of the Company.</w:t>
      </w:r>
    </w:p>
    <w:p>
      <w:pPr>
        <w:spacing w:after="0" w:line="170" w:lineRule="exact"/>
        <w:rPr>
          <w:sz w:val="20"/>
          <w:szCs w:val="20"/>
          <w:color w:val="auto"/>
        </w:rPr>
      </w:pPr>
    </w:p>
    <w:p>
      <w:pPr>
        <w:ind w:left="3" w:right="620"/>
        <w:spacing w:after="0" w:line="251" w:lineRule="auto"/>
        <w:rPr>
          <w:sz w:val="20"/>
          <w:szCs w:val="20"/>
          <w:color w:val="auto"/>
        </w:rPr>
      </w:pPr>
      <w:r>
        <w:rPr>
          <w:rFonts w:ascii="Arial" w:cs="Arial" w:eastAsia="Arial" w:hAnsi="Arial"/>
          <w:sz w:val="18"/>
          <w:szCs w:val="18"/>
          <w:color w:val="58844D"/>
        </w:rPr>
        <w:t>Key Governance Features of Our Executive Compensation Program</w:t>
      </w:r>
    </w:p>
    <w:p>
      <w:pPr>
        <w:spacing w:after="0" w:line="168" w:lineRule="exact"/>
        <w:rPr>
          <w:sz w:val="20"/>
          <w:szCs w:val="20"/>
          <w:color w:val="auto"/>
        </w:rPr>
      </w:pPr>
    </w:p>
    <w:p>
      <w:pPr>
        <w:ind w:left="3" w:right="100"/>
        <w:spacing w:after="0" w:line="239" w:lineRule="auto"/>
        <w:rPr>
          <w:sz w:val="20"/>
          <w:szCs w:val="20"/>
          <w:color w:val="auto"/>
        </w:rPr>
      </w:pPr>
      <w:r>
        <w:rPr>
          <w:rFonts w:ascii="Arial" w:cs="Arial" w:eastAsia="Arial" w:hAnsi="Arial"/>
          <w:sz w:val="15"/>
          <w:szCs w:val="15"/>
          <w:color w:val="auto"/>
        </w:rPr>
        <w:t>Our 2016 executive compensation program was designed to be simple, competitive, and align the interests of our NEOs with those of our stockholders. Beginning in 2017, the executive compensation program was modified to include quantitative results and incorporate best practices in compensation design, while ensuring that the program was tailored to the needs of our business and supportive of our compensation objectives.</w:t>
      </w:r>
    </w:p>
    <w:p>
      <w:pPr>
        <w:spacing w:after="0" w:line="178" w:lineRule="exact"/>
        <w:rPr>
          <w:sz w:val="20"/>
          <w:szCs w:val="20"/>
          <w:color w:val="auto"/>
        </w:rPr>
      </w:pPr>
    </w:p>
    <w:p>
      <w:pPr>
        <w:ind w:left="3" w:right="260"/>
        <w:spacing w:after="0" w:line="245" w:lineRule="auto"/>
        <w:rPr>
          <w:sz w:val="20"/>
          <w:szCs w:val="20"/>
          <w:color w:val="auto"/>
        </w:rPr>
      </w:pPr>
      <w:r>
        <w:rPr>
          <w:rFonts w:ascii="Arial" w:cs="Arial" w:eastAsia="Arial" w:hAnsi="Arial"/>
          <w:sz w:val="15"/>
          <w:szCs w:val="15"/>
          <w:color w:val="auto"/>
        </w:rPr>
        <w:t>Our compensation program and practices incorporate several key governance features as highlighted in the table below.</w:t>
      </w:r>
    </w:p>
    <w:p>
      <w:pPr>
        <w:spacing w:after="0" w:line="188" w:lineRule="exact"/>
        <w:rPr>
          <w:sz w:val="20"/>
          <w:szCs w:val="20"/>
          <w:color w:val="auto"/>
        </w:rPr>
      </w:pPr>
    </w:p>
    <w:p>
      <w:pPr>
        <w:ind w:left="1383" w:hanging="307"/>
        <w:spacing w:after="0"/>
        <w:tabs>
          <w:tab w:leader="none" w:pos="1383" w:val="left"/>
        </w:tabs>
        <w:numPr>
          <w:ilvl w:val="0"/>
          <w:numId w:val="48"/>
        </w:numPr>
        <w:rPr>
          <w:rFonts w:ascii="MS PGothic" w:cs="MS PGothic" w:eastAsia="MS PGothic" w:hAnsi="MS PGothic"/>
          <w:sz w:val="18"/>
          <w:szCs w:val="18"/>
          <w:color w:val="auto"/>
          <w:highlight w:val="white"/>
        </w:rPr>
      </w:pPr>
      <w:r>
        <w:rPr>
          <w:rFonts w:ascii="Arial" w:cs="Arial" w:eastAsia="Arial" w:hAnsi="Arial"/>
          <w:sz w:val="15"/>
          <w:szCs w:val="15"/>
          <w:b w:val="1"/>
          <w:bCs w:val="1"/>
          <w:color w:val="FFFFF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-129540</wp:posOffset>
            </wp:positionV>
            <wp:extent cx="2844800" cy="1377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44800" cy="13779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5369" w:space="697"/>
            <w:col w:w="5383"/>
          </w:cols>
          <w:pgMar w:left="231" w:top="142" w:right="219" w:bottom="1440" w:gutter="0" w:footer="0" w:header="0"/>
        </w:sectPr>
      </w:pPr>
    </w:p>
    <w:tbl>
      <w:tblPr>
        <w:tblLayout w:type="fixed"/>
        <w:tblInd w:w="9"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5"/>
                <w:szCs w:val="15"/>
                <w:color w:val="58844D"/>
              </w:rPr>
              <w:t>Pay for performance by delivering a substantial majority of our</w:t>
            </w:r>
          </w:p>
        </w:tc>
        <w:tc>
          <w:tcPr>
            <w:tcW w:w="5760" w:type="dxa"/>
            <w:vAlign w:val="bottom"/>
            <w:gridSpan w:val="2"/>
          </w:tcPr>
          <w:p>
            <w:pPr>
              <w:ind w:left="140"/>
              <w:spacing w:after="0"/>
              <w:rPr>
                <w:sz w:val="20"/>
                <w:szCs w:val="20"/>
                <w:color w:val="auto"/>
              </w:rPr>
            </w:pPr>
            <w:r>
              <w:rPr>
                <w:rFonts w:ascii="Arial" w:cs="Arial" w:eastAsia="Arial" w:hAnsi="Arial"/>
                <w:sz w:val="15"/>
                <w:szCs w:val="15"/>
                <w:color w:val="auto"/>
              </w:rPr>
              <w:t>No excise tax gross-ups upon a change-in-control and no tax gross-</w:t>
            </w:r>
          </w:p>
        </w:tc>
      </w:tr>
      <w:tr>
        <w:trPr>
          <w:trHeight w:val="168"/>
        </w:trPr>
        <w:tc>
          <w:tcPr>
            <w:tcW w:w="1140" w:type="dxa"/>
            <w:vAlign w:val="bottom"/>
          </w:tcPr>
          <w:p>
            <w:pPr>
              <w:spacing w:after="0"/>
              <w:rPr>
                <w:sz w:val="14"/>
                <w:szCs w:val="14"/>
                <w:color w:val="auto"/>
              </w:rPr>
            </w:pPr>
          </w:p>
        </w:tc>
        <w:tc>
          <w:tcPr>
            <w:tcW w:w="4540" w:type="dxa"/>
            <w:vAlign w:val="bottom"/>
            <w:tcBorders>
              <w:bottom w:val="single" w:sz="8" w:color="58854E"/>
            </w:tcBorders>
          </w:tcPr>
          <w:p>
            <w:pPr>
              <w:ind w:left="140"/>
              <w:spacing w:after="0" w:line="169" w:lineRule="exact"/>
              <w:rPr>
                <w:sz w:val="20"/>
                <w:szCs w:val="20"/>
                <w:color w:val="auto"/>
              </w:rPr>
            </w:pPr>
            <w:r>
              <w:rPr>
                <w:rFonts w:ascii="Arial" w:cs="Arial" w:eastAsia="Arial" w:hAnsi="Arial"/>
                <w:sz w:val="15"/>
                <w:szCs w:val="15"/>
                <w:color w:val="58844D"/>
              </w:rPr>
              <w:t>CEO's compensation through equity</w:t>
            </w:r>
          </w:p>
        </w:tc>
        <w:tc>
          <w:tcPr>
            <w:tcW w:w="4600" w:type="dxa"/>
            <w:vAlign w:val="bottom"/>
            <w:tcBorders>
              <w:bottom w:val="single" w:sz="8" w:color="58854E"/>
            </w:tcBorders>
          </w:tcPr>
          <w:p>
            <w:pPr>
              <w:ind w:left="280"/>
              <w:spacing w:after="0" w:line="169" w:lineRule="exact"/>
              <w:rPr>
                <w:sz w:val="20"/>
                <w:szCs w:val="20"/>
                <w:color w:val="auto"/>
              </w:rPr>
            </w:pPr>
            <w:r>
              <w:rPr>
                <w:rFonts w:ascii="Arial" w:cs="Arial" w:eastAsia="Arial" w:hAnsi="Arial"/>
                <w:sz w:val="15"/>
                <w:szCs w:val="15"/>
                <w:color w:val="auto"/>
              </w:rPr>
              <w:t>ups on perquisites or benefits</w:t>
            </w:r>
          </w:p>
        </w:tc>
        <w:tc>
          <w:tcPr>
            <w:tcW w:w="1160" w:type="dxa"/>
            <w:vAlign w:val="bottom"/>
          </w:tcPr>
          <w:p>
            <w:pPr>
              <w:spacing w:after="0"/>
              <w:rPr>
                <w:sz w:val="14"/>
                <w:szCs w:val="14"/>
                <w:color w:val="auto"/>
              </w:rPr>
            </w:pPr>
          </w:p>
        </w:tc>
      </w:tr>
      <w:tr>
        <w:trPr>
          <w:trHeight w:val="165"/>
        </w:trPr>
        <w:tc>
          <w:tcPr>
            <w:tcW w:w="1140" w:type="dxa"/>
            <w:vAlign w:val="bottom"/>
          </w:tcPr>
          <w:p>
            <w:pPr>
              <w:spacing w:after="0"/>
              <w:rPr>
                <w:sz w:val="14"/>
                <w:szCs w:val="14"/>
                <w:color w:val="auto"/>
              </w:rPr>
            </w:pPr>
          </w:p>
        </w:tc>
        <w:tc>
          <w:tcPr>
            <w:tcW w:w="4540" w:type="dxa"/>
            <w:vAlign w:val="bottom"/>
          </w:tcPr>
          <w:p>
            <w:pPr>
              <w:spacing w:after="0" w:line="165" w:lineRule="exact"/>
              <w:rPr>
                <w:sz w:val="20"/>
                <w:szCs w:val="20"/>
                <w:color w:val="auto"/>
              </w:rPr>
            </w:pPr>
            <w:r>
              <w:rPr>
                <w:rFonts w:ascii="Arial" w:cs="Arial" w:eastAsia="Arial" w:hAnsi="Arial"/>
                <w:sz w:val="15"/>
                <w:szCs w:val="15"/>
                <w:color w:val="58844D"/>
              </w:rPr>
              <w:t>Beginning in 2017, the large majority of our equity compensation is</w:t>
            </w:r>
          </w:p>
        </w:tc>
        <w:tc>
          <w:tcPr>
            <w:tcW w:w="5760" w:type="dxa"/>
            <w:vAlign w:val="bottom"/>
            <w:gridSpan w:val="2"/>
          </w:tcPr>
          <w:p>
            <w:pPr>
              <w:ind w:left="140"/>
              <w:spacing w:after="0" w:line="165" w:lineRule="exact"/>
              <w:rPr>
                <w:sz w:val="20"/>
                <w:szCs w:val="20"/>
                <w:color w:val="auto"/>
              </w:rPr>
            </w:pPr>
            <w:r>
              <w:rPr>
                <w:rFonts w:ascii="Arial" w:cs="Arial" w:eastAsia="Arial" w:hAnsi="Arial"/>
                <w:sz w:val="15"/>
                <w:szCs w:val="15"/>
                <w:color w:val="auto"/>
              </w:rPr>
              <w:t>No pledging or hedging of the Company's stock by NEOs or</w:t>
            </w:r>
          </w:p>
        </w:tc>
      </w:tr>
      <w:tr>
        <w:trPr>
          <w:trHeight w:val="168"/>
        </w:trPr>
        <w:tc>
          <w:tcPr>
            <w:tcW w:w="1140" w:type="dxa"/>
            <w:vAlign w:val="bottom"/>
          </w:tcPr>
          <w:p>
            <w:pPr>
              <w:spacing w:after="0"/>
              <w:rPr>
                <w:sz w:val="14"/>
                <w:szCs w:val="14"/>
                <w:color w:val="auto"/>
              </w:rPr>
            </w:pPr>
          </w:p>
        </w:tc>
        <w:tc>
          <w:tcPr>
            <w:tcW w:w="4540" w:type="dxa"/>
            <w:vAlign w:val="bottom"/>
            <w:tcBorders>
              <w:bottom w:val="single" w:sz="8" w:color="58854E"/>
            </w:tcBorders>
          </w:tcPr>
          <w:p>
            <w:pPr>
              <w:ind w:left="140"/>
              <w:spacing w:after="0" w:line="169" w:lineRule="exact"/>
              <w:rPr>
                <w:sz w:val="20"/>
                <w:szCs w:val="20"/>
                <w:color w:val="auto"/>
              </w:rPr>
            </w:pPr>
            <w:r>
              <w:rPr>
                <w:rFonts w:ascii="Arial" w:cs="Arial" w:eastAsia="Arial" w:hAnsi="Arial"/>
                <w:sz w:val="15"/>
                <w:szCs w:val="15"/>
                <w:color w:val="58844D"/>
              </w:rPr>
              <w:t>performance-based</w:t>
            </w:r>
          </w:p>
        </w:tc>
        <w:tc>
          <w:tcPr>
            <w:tcW w:w="4600" w:type="dxa"/>
            <w:vAlign w:val="bottom"/>
            <w:tcBorders>
              <w:bottom w:val="single" w:sz="8" w:color="58854E"/>
            </w:tcBorders>
          </w:tcPr>
          <w:p>
            <w:pPr>
              <w:ind w:left="280"/>
              <w:spacing w:after="0" w:line="169" w:lineRule="exact"/>
              <w:rPr>
                <w:sz w:val="20"/>
                <w:szCs w:val="20"/>
                <w:color w:val="auto"/>
              </w:rPr>
            </w:pPr>
            <w:r>
              <w:rPr>
                <w:rFonts w:ascii="Arial" w:cs="Arial" w:eastAsia="Arial" w:hAnsi="Arial"/>
                <w:sz w:val="15"/>
                <w:szCs w:val="15"/>
                <w:color w:val="auto"/>
              </w:rPr>
              <w:t>directors</w:t>
            </w:r>
          </w:p>
        </w:tc>
        <w:tc>
          <w:tcPr>
            <w:tcW w:w="1160" w:type="dxa"/>
            <w:vAlign w:val="bottom"/>
          </w:tcPr>
          <w:p>
            <w:pPr>
              <w:spacing w:after="0"/>
              <w:rPr>
                <w:sz w:val="14"/>
                <w:szCs w:val="14"/>
                <w:color w:val="auto"/>
              </w:rPr>
            </w:pPr>
          </w:p>
        </w:tc>
      </w:tr>
      <w:tr>
        <w:trPr>
          <w:trHeight w:val="165"/>
        </w:trPr>
        <w:tc>
          <w:tcPr>
            <w:tcW w:w="1140" w:type="dxa"/>
            <w:vAlign w:val="bottom"/>
          </w:tcPr>
          <w:p>
            <w:pPr>
              <w:spacing w:after="0"/>
              <w:rPr>
                <w:sz w:val="14"/>
                <w:szCs w:val="14"/>
                <w:color w:val="auto"/>
              </w:rPr>
            </w:pPr>
          </w:p>
        </w:tc>
        <w:tc>
          <w:tcPr>
            <w:tcW w:w="4540" w:type="dxa"/>
            <w:vAlign w:val="bottom"/>
          </w:tcPr>
          <w:p>
            <w:pPr>
              <w:spacing w:after="0" w:line="165" w:lineRule="exact"/>
              <w:rPr>
                <w:sz w:val="20"/>
                <w:szCs w:val="20"/>
                <w:color w:val="auto"/>
              </w:rPr>
            </w:pPr>
            <w:r>
              <w:rPr>
                <w:rFonts w:ascii="Arial" w:cs="Arial" w:eastAsia="Arial" w:hAnsi="Arial"/>
                <w:sz w:val="15"/>
                <w:szCs w:val="15"/>
                <w:color w:val="58844D"/>
              </w:rPr>
              <w:t>Target our peer group median for total direct compensation</w:t>
            </w:r>
          </w:p>
        </w:tc>
        <w:tc>
          <w:tcPr>
            <w:tcW w:w="5760" w:type="dxa"/>
            <w:vAlign w:val="bottom"/>
            <w:gridSpan w:val="2"/>
          </w:tcPr>
          <w:p>
            <w:pPr>
              <w:ind w:left="140"/>
              <w:spacing w:after="0" w:line="165" w:lineRule="exact"/>
              <w:rPr>
                <w:sz w:val="20"/>
                <w:szCs w:val="20"/>
                <w:color w:val="auto"/>
              </w:rPr>
            </w:pPr>
            <w:r>
              <w:rPr>
                <w:rFonts w:ascii="Arial" w:cs="Arial" w:eastAsia="Arial" w:hAnsi="Arial"/>
                <w:sz w:val="15"/>
                <w:szCs w:val="15"/>
                <w:color w:val="auto"/>
              </w:rPr>
              <w:t>No employment agreements for executive officers with the</w:t>
            </w:r>
          </w:p>
        </w:tc>
      </w:tr>
      <w:tr>
        <w:trPr>
          <w:trHeight w:val="168"/>
        </w:trPr>
        <w:tc>
          <w:tcPr>
            <w:tcW w:w="1140" w:type="dxa"/>
            <w:vAlign w:val="bottom"/>
          </w:tcPr>
          <w:p>
            <w:pPr>
              <w:spacing w:after="0"/>
              <w:rPr>
                <w:sz w:val="14"/>
                <w:szCs w:val="14"/>
                <w:color w:val="auto"/>
              </w:rPr>
            </w:pPr>
          </w:p>
        </w:tc>
        <w:tc>
          <w:tcPr>
            <w:tcW w:w="4540" w:type="dxa"/>
            <w:vAlign w:val="bottom"/>
            <w:tcBorders>
              <w:bottom w:val="single" w:sz="8" w:color="58854E"/>
            </w:tcBorders>
          </w:tcPr>
          <w:p>
            <w:pPr>
              <w:spacing w:after="0"/>
              <w:rPr>
                <w:sz w:val="14"/>
                <w:szCs w:val="14"/>
                <w:color w:val="auto"/>
              </w:rPr>
            </w:pPr>
          </w:p>
        </w:tc>
        <w:tc>
          <w:tcPr>
            <w:tcW w:w="4600" w:type="dxa"/>
            <w:vAlign w:val="bottom"/>
            <w:tcBorders>
              <w:bottom w:val="single" w:sz="8" w:color="58854E"/>
            </w:tcBorders>
          </w:tcPr>
          <w:p>
            <w:pPr>
              <w:ind w:left="280"/>
              <w:spacing w:after="0" w:line="169" w:lineRule="exact"/>
              <w:rPr>
                <w:sz w:val="20"/>
                <w:szCs w:val="20"/>
                <w:color w:val="auto"/>
              </w:rPr>
            </w:pPr>
            <w:r>
              <w:rPr>
                <w:rFonts w:ascii="Arial" w:cs="Arial" w:eastAsia="Arial" w:hAnsi="Arial"/>
                <w:sz w:val="15"/>
                <w:szCs w:val="15"/>
                <w:color w:val="auto"/>
              </w:rPr>
              <w:t>exception of our CEO</w:t>
            </w:r>
          </w:p>
        </w:tc>
        <w:tc>
          <w:tcPr>
            <w:tcW w:w="1160" w:type="dxa"/>
            <w:vAlign w:val="bottom"/>
          </w:tcPr>
          <w:p>
            <w:pPr>
              <w:spacing w:after="0"/>
              <w:rPr>
                <w:sz w:val="14"/>
                <w:szCs w:val="14"/>
                <w:color w:val="auto"/>
              </w:rPr>
            </w:pPr>
          </w:p>
        </w:tc>
      </w:tr>
      <w:tr>
        <w:trPr>
          <w:trHeight w:val="165"/>
        </w:trPr>
        <w:tc>
          <w:tcPr>
            <w:tcW w:w="1140" w:type="dxa"/>
            <w:vAlign w:val="bottom"/>
          </w:tcPr>
          <w:p>
            <w:pPr>
              <w:spacing w:after="0"/>
              <w:rPr>
                <w:sz w:val="14"/>
                <w:szCs w:val="14"/>
                <w:color w:val="auto"/>
              </w:rPr>
            </w:pPr>
          </w:p>
        </w:tc>
        <w:tc>
          <w:tcPr>
            <w:tcW w:w="4540" w:type="dxa"/>
            <w:vAlign w:val="bottom"/>
          </w:tcPr>
          <w:p>
            <w:pPr>
              <w:spacing w:after="0" w:line="165" w:lineRule="exact"/>
              <w:rPr>
                <w:sz w:val="20"/>
                <w:szCs w:val="20"/>
                <w:color w:val="auto"/>
              </w:rPr>
            </w:pPr>
            <w:r>
              <w:rPr>
                <w:rFonts w:ascii="Arial" w:cs="Arial" w:eastAsia="Arial" w:hAnsi="Arial"/>
                <w:sz w:val="15"/>
                <w:szCs w:val="15"/>
                <w:color w:val="58844D"/>
              </w:rPr>
              <w:t>Require a double trigger for the acceleration of equity upon a</w:t>
            </w:r>
          </w:p>
        </w:tc>
        <w:tc>
          <w:tcPr>
            <w:tcW w:w="5760" w:type="dxa"/>
            <w:vAlign w:val="bottom"/>
            <w:gridSpan w:val="2"/>
          </w:tcPr>
          <w:p>
            <w:pPr>
              <w:ind w:left="140"/>
              <w:spacing w:after="0" w:line="165" w:lineRule="exact"/>
              <w:rPr>
                <w:sz w:val="20"/>
                <w:szCs w:val="20"/>
                <w:color w:val="auto"/>
              </w:rPr>
            </w:pPr>
            <w:r>
              <w:rPr>
                <w:rFonts w:ascii="Arial" w:cs="Arial" w:eastAsia="Arial" w:hAnsi="Arial"/>
                <w:sz w:val="15"/>
                <w:szCs w:val="15"/>
                <w:color w:val="auto"/>
              </w:rPr>
              <w:t>No guaranteed bonus payments for our NEOs</w:t>
            </w:r>
          </w:p>
        </w:tc>
      </w:tr>
      <w:tr>
        <w:trPr>
          <w:trHeight w:val="168"/>
        </w:trPr>
        <w:tc>
          <w:tcPr>
            <w:tcW w:w="1140" w:type="dxa"/>
            <w:vAlign w:val="bottom"/>
          </w:tcPr>
          <w:p>
            <w:pPr>
              <w:spacing w:after="0"/>
              <w:rPr>
                <w:sz w:val="14"/>
                <w:szCs w:val="14"/>
                <w:color w:val="auto"/>
              </w:rPr>
            </w:pPr>
          </w:p>
        </w:tc>
        <w:tc>
          <w:tcPr>
            <w:tcW w:w="4540" w:type="dxa"/>
            <w:vAlign w:val="bottom"/>
            <w:tcBorders>
              <w:bottom w:val="single" w:sz="8" w:color="58854E"/>
            </w:tcBorders>
          </w:tcPr>
          <w:p>
            <w:pPr>
              <w:ind w:left="140"/>
              <w:spacing w:after="0" w:line="169" w:lineRule="exact"/>
              <w:rPr>
                <w:sz w:val="20"/>
                <w:szCs w:val="20"/>
                <w:color w:val="auto"/>
              </w:rPr>
            </w:pPr>
            <w:r>
              <w:rPr>
                <w:rFonts w:ascii="Arial" w:cs="Arial" w:eastAsia="Arial" w:hAnsi="Arial"/>
                <w:sz w:val="15"/>
                <w:szCs w:val="15"/>
                <w:color w:val="58844D"/>
              </w:rPr>
              <w:t>change in control</w:t>
            </w:r>
          </w:p>
        </w:tc>
        <w:tc>
          <w:tcPr>
            <w:tcW w:w="4600" w:type="dxa"/>
            <w:vAlign w:val="bottom"/>
            <w:tcBorders>
              <w:bottom w:val="single" w:sz="8" w:color="58854E"/>
            </w:tcBorders>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4540" w:type="dxa"/>
            <w:vAlign w:val="bottom"/>
            <w:tcBorders>
              <w:bottom w:val="single" w:sz="8" w:color="58854E"/>
            </w:tcBorders>
          </w:tcPr>
          <w:p>
            <w:pPr>
              <w:spacing w:after="0" w:line="162" w:lineRule="exact"/>
              <w:rPr>
                <w:sz w:val="20"/>
                <w:szCs w:val="20"/>
                <w:color w:val="auto"/>
              </w:rPr>
            </w:pPr>
            <w:r>
              <w:rPr>
                <w:rFonts w:ascii="Arial" w:cs="Arial" w:eastAsia="Arial" w:hAnsi="Arial"/>
                <w:sz w:val="15"/>
                <w:szCs w:val="15"/>
                <w:color w:val="58844D"/>
              </w:rPr>
              <w:t>Include clawback policies in our compensation plans</w:t>
            </w:r>
          </w:p>
        </w:tc>
        <w:tc>
          <w:tcPr>
            <w:tcW w:w="4600" w:type="dxa"/>
            <w:vAlign w:val="bottom"/>
            <w:tcBorders>
              <w:bottom w:val="single" w:sz="8" w:color="58854E"/>
            </w:tcBorders>
          </w:tcPr>
          <w:p>
            <w:pPr>
              <w:ind w:left="140"/>
              <w:spacing w:after="0" w:line="162" w:lineRule="exact"/>
              <w:rPr>
                <w:sz w:val="20"/>
                <w:szCs w:val="20"/>
                <w:color w:val="auto"/>
              </w:rPr>
            </w:pPr>
            <w:r>
              <w:rPr>
                <w:rFonts w:ascii="Arial" w:cs="Arial" w:eastAsia="Arial" w:hAnsi="Arial"/>
                <w:sz w:val="15"/>
                <w:szCs w:val="15"/>
                <w:color w:val="auto"/>
              </w:rPr>
              <w:t>No supplemental executive retirement plans</w:t>
            </w:r>
          </w:p>
        </w:tc>
        <w:tc>
          <w:tcPr>
            <w:tcW w:w="1160" w:type="dxa"/>
            <w:vAlign w:val="bottom"/>
          </w:tcPr>
          <w:p>
            <w:pPr>
              <w:spacing w:after="0"/>
              <w:rPr>
                <w:sz w:val="14"/>
                <w:szCs w:val="14"/>
                <w:color w:val="auto"/>
              </w:rPr>
            </w:pPr>
          </w:p>
        </w:tc>
      </w:tr>
      <w:tr>
        <w:trPr>
          <w:trHeight w:val="165"/>
        </w:trPr>
        <w:tc>
          <w:tcPr>
            <w:tcW w:w="1140" w:type="dxa"/>
            <w:vAlign w:val="bottom"/>
          </w:tcPr>
          <w:p>
            <w:pPr>
              <w:spacing w:after="0"/>
              <w:rPr>
                <w:sz w:val="14"/>
                <w:szCs w:val="14"/>
                <w:color w:val="auto"/>
              </w:rPr>
            </w:pPr>
          </w:p>
        </w:tc>
        <w:tc>
          <w:tcPr>
            <w:tcW w:w="4540" w:type="dxa"/>
            <w:vAlign w:val="bottom"/>
          </w:tcPr>
          <w:p>
            <w:pPr>
              <w:spacing w:after="0" w:line="165" w:lineRule="exact"/>
              <w:rPr>
                <w:sz w:val="20"/>
                <w:szCs w:val="20"/>
                <w:color w:val="auto"/>
              </w:rPr>
            </w:pPr>
            <w:r>
              <w:rPr>
                <w:rFonts w:ascii="Arial" w:cs="Arial" w:eastAsia="Arial" w:hAnsi="Arial"/>
                <w:sz w:val="15"/>
                <w:szCs w:val="15"/>
                <w:color w:val="58844D"/>
              </w:rPr>
              <w:t>Maintain robust stock ownership guidelines for our NEOs</w:t>
            </w:r>
          </w:p>
        </w:tc>
        <w:tc>
          <w:tcPr>
            <w:tcW w:w="5760" w:type="dxa"/>
            <w:vAlign w:val="bottom"/>
            <w:gridSpan w:val="2"/>
          </w:tcPr>
          <w:p>
            <w:pPr>
              <w:ind w:left="140"/>
              <w:spacing w:after="0" w:line="165" w:lineRule="exact"/>
              <w:rPr>
                <w:sz w:val="20"/>
                <w:szCs w:val="20"/>
                <w:color w:val="auto"/>
              </w:rPr>
            </w:pPr>
            <w:r>
              <w:rPr>
                <w:rFonts w:ascii="Arial" w:cs="Arial" w:eastAsia="Arial" w:hAnsi="Arial"/>
                <w:sz w:val="15"/>
                <w:szCs w:val="15"/>
                <w:color w:val="auto"/>
              </w:rPr>
              <w:t>No re-pricing of underwater stock options and no grants below</w:t>
            </w:r>
          </w:p>
        </w:tc>
      </w:tr>
      <w:tr>
        <w:trPr>
          <w:trHeight w:val="168"/>
        </w:trPr>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76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100% of fair market value</w:t>
            </w:r>
          </w:p>
        </w:tc>
      </w:tr>
      <w:tr>
        <w:trPr>
          <w:trHeight w:val="162"/>
        </w:trPr>
        <w:tc>
          <w:tcPr>
            <w:tcW w:w="1140" w:type="dxa"/>
            <w:vAlign w:val="bottom"/>
          </w:tcPr>
          <w:p>
            <w:pPr>
              <w:spacing w:after="0"/>
              <w:rPr>
                <w:sz w:val="14"/>
                <w:szCs w:val="14"/>
                <w:color w:val="auto"/>
              </w:rPr>
            </w:pPr>
          </w:p>
        </w:tc>
        <w:tc>
          <w:tcPr>
            <w:tcW w:w="4540" w:type="dxa"/>
            <w:vAlign w:val="bottom"/>
            <w:tcBorders>
              <w:top w:val="single" w:sz="8" w:color="58854E"/>
              <w:bottom w:val="single" w:sz="8" w:color="58854E"/>
            </w:tcBorders>
          </w:tcPr>
          <w:p>
            <w:pPr>
              <w:spacing w:after="0" w:line="162" w:lineRule="exact"/>
              <w:rPr>
                <w:sz w:val="20"/>
                <w:szCs w:val="20"/>
                <w:color w:val="auto"/>
              </w:rPr>
            </w:pPr>
            <w:r>
              <w:rPr>
                <w:rFonts w:ascii="Arial" w:cs="Arial" w:eastAsia="Arial" w:hAnsi="Arial"/>
                <w:sz w:val="15"/>
                <w:szCs w:val="15"/>
                <w:color w:val="58844D"/>
              </w:rPr>
              <w:t>Provide market-level retirement benefits and limited perquisites</w:t>
            </w:r>
          </w:p>
        </w:tc>
        <w:tc>
          <w:tcPr>
            <w:tcW w:w="4600" w:type="dxa"/>
            <w:vAlign w:val="bottom"/>
            <w:tcBorders>
              <w:top w:val="single" w:sz="8" w:color="58854E"/>
              <w:bottom w:val="single" w:sz="8" w:color="58854E"/>
            </w:tcBorders>
          </w:tcPr>
          <w:p>
            <w:pPr>
              <w:spacing w:after="0"/>
              <w:rPr>
                <w:sz w:val="14"/>
                <w:szCs w:val="14"/>
                <w:color w:val="auto"/>
              </w:rPr>
            </w:pPr>
          </w:p>
        </w:tc>
        <w:tc>
          <w:tcPr>
            <w:tcW w:w="1160" w:type="dxa"/>
            <w:vAlign w:val="bottom"/>
          </w:tcPr>
          <w:p>
            <w:pPr>
              <w:spacing w:after="0"/>
              <w:rPr>
                <w:sz w:val="14"/>
                <w:szCs w:val="14"/>
                <w:color w:val="auto"/>
              </w:rPr>
            </w:pPr>
          </w:p>
        </w:tc>
      </w:tr>
      <w:tr>
        <w:trPr>
          <w:trHeight w:val="165"/>
        </w:trPr>
        <w:tc>
          <w:tcPr>
            <w:tcW w:w="1140" w:type="dxa"/>
            <w:vAlign w:val="bottom"/>
          </w:tcPr>
          <w:p>
            <w:pPr>
              <w:spacing w:after="0"/>
              <w:rPr>
                <w:sz w:val="14"/>
                <w:szCs w:val="14"/>
                <w:color w:val="auto"/>
              </w:rPr>
            </w:pPr>
          </w:p>
        </w:tc>
        <w:tc>
          <w:tcPr>
            <w:tcW w:w="4540" w:type="dxa"/>
            <w:vAlign w:val="bottom"/>
          </w:tcPr>
          <w:p>
            <w:pPr>
              <w:spacing w:after="0" w:line="165" w:lineRule="exact"/>
              <w:rPr>
                <w:sz w:val="20"/>
                <w:szCs w:val="20"/>
                <w:color w:val="auto"/>
              </w:rPr>
            </w:pPr>
            <w:r>
              <w:rPr>
                <w:rFonts w:ascii="Arial" w:cs="Arial" w:eastAsia="Arial" w:hAnsi="Arial"/>
                <w:sz w:val="15"/>
                <w:szCs w:val="15"/>
                <w:color w:val="58844D"/>
              </w:rPr>
              <w:t>Engage an independent compensation consultant to provide advice</w:t>
            </w:r>
          </w:p>
        </w:tc>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4540" w:type="dxa"/>
            <w:vAlign w:val="bottom"/>
          </w:tcPr>
          <w:p>
            <w:pPr>
              <w:ind w:left="140"/>
              <w:spacing w:after="0" w:line="171" w:lineRule="exact"/>
              <w:rPr>
                <w:sz w:val="20"/>
                <w:szCs w:val="20"/>
                <w:color w:val="auto"/>
              </w:rPr>
            </w:pPr>
            <w:r>
              <w:rPr>
                <w:rFonts w:ascii="Arial" w:cs="Arial" w:eastAsia="Arial" w:hAnsi="Arial"/>
                <w:sz w:val="15"/>
                <w:szCs w:val="15"/>
                <w:color w:val="58844D"/>
              </w:rPr>
              <w:t>to the Compensation Committee with respect to our</w:t>
            </w:r>
          </w:p>
        </w:tc>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540" w:type="dxa"/>
            <w:vAlign w:val="bottom"/>
            <w:tcBorders>
              <w:bottom w:val="single" w:sz="8" w:color="58854E"/>
            </w:tcBorders>
          </w:tcPr>
          <w:p>
            <w:pPr>
              <w:ind w:left="140"/>
              <w:spacing w:after="0" w:line="169" w:lineRule="exact"/>
              <w:rPr>
                <w:sz w:val="20"/>
                <w:szCs w:val="20"/>
                <w:color w:val="auto"/>
              </w:rPr>
            </w:pPr>
            <w:r>
              <w:rPr>
                <w:rFonts w:ascii="Arial" w:cs="Arial" w:eastAsia="Arial" w:hAnsi="Arial"/>
                <w:sz w:val="15"/>
                <w:szCs w:val="15"/>
                <w:color w:val="58844D"/>
              </w:rPr>
              <w:t>compensation plans</w:t>
            </w:r>
          </w:p>
        </w:tc>
        <w:tc>
          <w:tcPr>
            <w:tcW w:w="4600" w:type="dxa"/>
            <w:vAlign w:val="bottom"/>
            <w:tcBorders>
              <w:bottom w:val="single" w:sz="8" w:color="58854E"/>
            </w:tcBorders>
          </w:tcPr>
          <w:p>
            <w:pPr>
              <w:spacing w:after="0"/>
              <w:rPr>
                <w:sz w:val="14"/>
                <w:szCs w:val="14"/>
                <w:color w:val="auto"/>
              </w:rPr>
            </w:pPr>
          </w:p>
        </w:tc>
        <w:tc>
          <w:tcPr>
            <w:tcW w:w="1160" w:type="dxa"/>
            <w:vAlign w:val="bottom"/>
          </w:tcPr>
          <w:p>
            <w:pPr>
              <w:spacing w:after="0"/>
              <w:rPr>
                <w:sz w:val="14"/>
                <w:szCs w:val="14"/>
                <w:color w:val="auto"/>
              </w:rPr>
            </w:pPr>
          </w:p>
        </w:tc>
      </w:tr>
      <w:tr>
        <w:trPr>
          <w:trHeight w:val="165"/>
        </w:trPr>
        <w:tc>
          <w:tcPr>
            <w:tcW w:w="1140" w:type="dxa"/>
            <w:vAlign w:val="bottom"/>
          </w:tcPr>
          <w:p>
            <w:pPr>
              <w:spacing w:after="0"/>
              <w:rPr>
                <w:sz w:val="14"/>
                <w:szCs w:val="14"/>
                <w:color w:val="auto"/>
              </w:rPr>
            </w:pPr>
          </w:p>
        </w:tc>
        <w:tc>
          <w:tcPr>
            <w:tcW w:w="4540" w:type="dxa"/>
            <w:vAlign w:val="bottom"/>
          </w:tcPr>
          <w:p>
            <w:pPr>
              <w:spacing w:after="0" w:line="165" w:lineRule="exact"/>
              <w:rPr>
                <w:sz w:val="20"/>
                <w:szCs w:val="20"/>
                <w:color w:val="auto"/>
              </w:rPr>
            </w:pPr>
            <w:r>
              <w:rPr>
                <w:rFonts w:ascii="Arial" w:cs="Arial" w:eastAsia="Arial" w:hAnsi="Arial"/>
                <w:sz w:val="15"/>
                <w:szCs w:val="15"/>
                <w:color w:val="58844D"/>
              </w:rPr>
              <w:t>Prevent undue risk taking in our compensation practices and</w:t>
            </w:r>
          </w:p>
        </w:tc>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540" w:type="dxa"/>
            <w:vAlign w:val="bottom"/>
            <w:tcBorders>
              <w:bottom w:val="single" w:sz="8" w:color="58854E"/>
            </w:tcBorders>
          </w:tcPr>
          <w:p>
            <w:pPr>
              <w:ind w:left="140"/>
              <w:spacing w:after="0" w:line="169" w:lineRule="exact"/>
              <w:rPr>
                <w:sz w:val="20"/>
                <w:szCs w:val="20"/>
                <w:color w:val="auto"/>
              </w:rPr>
            </w:pPr>
            <w:r>
              <w:rPr>
                <w:rFonts w:ascii="Arial" w:cs="Arial" w:eastAsia="Arial" w:hAnsi="Arial"/>
                <w:sz w:val="15"/>
                <w:szCs w:val="15"/>
                <w:color w:val="58844D"/>
              </w:rPr>
              <w:t>engage in robust risk monitoring</w:t>
            </w:r>
          </w:p>
        </w:tc>
        <w:tc>
          <w:tcPr>
            <w:tcW w:w="4600" w:type="dxa"/>
            <w:vAlign w:val="bottom"/>
            <w:tcBorders>
              <w:bottom w:val="single" w:sz="8" w:color="58854E"/>
            </w:tcBorders>
          </w:tcPr>
          <w:p>
            <w:pPr>
              <w:spacing w:after="0"/>
              <w:rPr>
                <w:sz w:val="14"/>
                <w:szCs w:val="14"/>
                <w:color w:val="auto"/>
              </w:rPr>
            </w:pPr>
          </w:p>
        </w:tc>
        <w:tc>
          <w:tcPr>
            <w:tcW w:w="1160" w:type="dxa"/>
            <w:vAlign w:val="bottom"/>
          </w:tcPr>
          <w:p>
            <w:pPr>
              <w:spacing w:after="0"/>
              <w:rPr>
                <w:sz w:val="14"/>
                <w:szCs w:val="14"/>
                <w:color w:val="auto"/>
              </w:rPr>
            </w:pPr>
          </w:p>
        </w:tc>
      </w:tr>
      <w:tr>
        <w:trPr>
          <w:trHeight w:val="90"/>
        </w:trPr>
        <w:tc>
          <w:tcPr>
            <w:tcW w:w="1140" w:type="dxa"/>
            <w:vAlign w:val="bottom"/>
            <w:tcBorders>
              <w:bottom w:val="single" w:sz="8" w:color="808080"/>
            </w:tcBorders>
          </w:tcPr>
          <w:p>
            <w:pPr>
              <w:spacing w:after="0"/>
              <w:rPr>
                <w:sz w:val="7"/>
                <w:szCs w:val="7"/>
                <w:color w:val="auto"/>
              </w:rPr>
            </w:pPr>
          </w:p>
        </w:tc>
        <w:tc>
          <w:tcPr>
            <w:tcW w:w="4540" w:type="dxa"/>
            <w:vAlign w:val="bottom"/>
            <w:tcBorders>
              <w:bottom w:val="single" w:sz="8" w:color="808080"/>
            </w:tcBorders>
          </w:tcPr>
          <w:p>
            <w:pPr>
              <w:spacing w:after="0"/>
              <w:rPr>
                <w:sz w:val="7"/>
                <w:szCs w:val="7"/>
                <w:color w:val="auto"/>
              </w:rPr>
            </w:pPr>
          </w:p>
        </w:tc>
        <w:tc>
          <w:tcPr>
            <w:tcW w:w="460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-12700</wp:posOffset>
            </wp:positionV>
            <wp:extent cx="1270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142" w:right="219" w:bottom="1440" w:gutter="0" w:footer="0" w:header="0"/>
          <w:type w:val="continuous"/>
        </w:sectPr>
      </w:pPr>
    </w:p>
    <w:bookmarkStart w:id="43" w:name="page44"/>
    <w:bookmarkEnd w:id="43"/>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
        <w:spacing w:after="0"/>
        <w:rPr>
          <w:sz w:val="20"/>
          <w:szCs w:val="20"/>
          <w:color w:val="auto"/>
        </w:rPr>
      </w:pPr>
      <w:r>
        <w:rPr>
          <w:rFonts w:ascii="Arial" w:cs="Arial" w:eastAsia="Arial" w:hAnsi="Arial"/>
          <w:sz w:val="18"/>
          <w:szCs w:val="18"/>
          <w:color w:val="58844D"/>
        </w:rPr>
        <w:t>Business Strategy and Company Performance</w:t>
      </w:r>
    </w:p>
    <w:p>
      <w:pPr>
        <w:spacing w:after="0" w:line="189" w:lineRule="exact"/>
        <w:rPr>
          <w:sz w:val="20"/>
          <w:szCs w:val="20"/>
          <w:color w:val="auto"/>
        </w:rPr>
      </w:pPr>
    </w:p>
    <w:p>
      <w:pPr>
        <w:ind w:left="9" w:right="20"/>
        <w:spacing w:after="0" w:line="239" w:lineRule="auto"/>
        <w:rPr>
          <w:sz w:val="20"/>
          <w:szCs w:val="20"/>
          <w:color w:val="auto"/>
        </w:rPr>
      </w:pPr>
      <w:r>
        <w:rPr>
          <w:rFonts w:ascii="Arial" w:cs="Arial" w:eastAsia="Arial" w:hAnsi="Arial"/>
          <w:sz w:val="15"/>
          <w:szCs w:val="15"/>
          <w:color w:val="auto"/>
        </w:rPr>
        <w:t>The Company's primary business strategy is to focus on the acquisition and ownership of assets with predictable, long-term cash flows in order that it may be able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76" w:lineRule="exact"/>
        <w:rPr>
          <w:sz w:val="20"/>
          <w:szCs w:val="20"/>
          <w:color w:val="auto"/>
        </w:rPr>
      </w:pPr>
    </w:p>
    <w:p>
      <w:pPr>
        <w:ind w:left="9" w:right="240"/>
        <w:spacing w:after="0" w:line="245" w:lineRule="auto"/>
        <w:rPr>
          <w:sz w:val="20"/>
          <w:szCs w:val="20"/>
          <w:color w:val="auto"/>
        </w:rPr>
      </w:pPr>
      <w:r>
        <w:rPr>
          <w:rFonts w:ascii="Arial" w:cs="Arial" w:eastAsia="Arial" w:hAnsi="Arial"/>
          <w:sz w:val="15"/>
          <w:szCs w:val="15"/>
          <w:color w:val="auto"/>
        </w:rPr>
        <w:t>The execution of the Company's business strategy produced strong cash from operations and CAFD, as well as the following results:</w:t>
      </w:r>
    </w:p>
    <w:p>
      <w:pPr>
        <w:spacing w:after="0" w:line="172" w:lineRule="exact"/>
        <w:rPr>
          <w:sz w:val="20"/>
          <w:szCs w:val="20"/>
          <w:color w:val="auto"/>
        </w:rPr>
      </w:pPr>
    </w:p>
    <w:p>
      <w:pPr>
        <w:ind w:left="449" w:hanging="449"/>
        <w:spacing w:after="0"/>
        <w:tabs>
          <w:tab w:leader="none" w:pos="449" w:val="left"/>
        </w:tabs>
        <w:numPr>
          <w:ilvl w:val="0"/>
          <w:numId w:val="49"/>
        </w:numPr>
        <w:rPr>
          <w:rFonts w:ascii="Arial" w:cs="Arial" w:eastAsia="Arial" w:hAnsi="Arial"/>
          <w:sz w:val="15"/>
          <w:szCs w:val="15"/>
          <w:color w:val="58844D"/>
        </w:rPr>
      </w:pPr>
      <w:r>
        <w:rPr>
          <w:rFonts w:ascii="Arial" w:cs="Arial" w:eastAsia="Arial" w:hAnsi="Arial"/>
          <w:sz w:val="15"/>
          <w:szCs w:val="15"/>
          <w:color w:val="auto"/>
        </w:rPr>
        <w:t>An increase in the annualized dividend of 15.2%.</w:t>
      </w:r>
    </w:p>
    <w:p>
      <w:pPr>
        <w:spacing w:after="0" w:line="180" w:lineRule="exact"/>
        <w:rPr>
          <w:rFonts w:ascii="Arial" w:cs="Arial" w:eastAsia="Arial" w:hAnsi="Arial"/>
          <w:sz w:val="15"/>
          <w:szCs w:val="15"/>
          <w:color w:val="58844D"/>
        </w:rPr>
      </w:pPr>
    </w:p>
    <w:p>
      <w:pPr>
        <w:ind w:left="449" w:right="280" w:hanging="449"/>
        <w:spacing w:after="0" w:line="245" w:lineRule="auto"/>
        <w:tabs>
          <w:tab w:leader="none" w:pos="449" w:val="left"/>
        </w:tabs>
        <w:numPr>
          <w:ilvl w:val="0"/>
          <w:numId w:val="49"/>
        </w:numPr>
        <w:rPr>
          <w:rFonts w:ascii="Arial" w:cs="Arial" w:eastAsia="Arial" w:hAnsi="Arial"/>
          <w:sz w:val="15"/>
          <w:szCs w:val="15"/>
          <w:color w:val="58844D"/>
        </w:rPr>
      </w:pPr>
      <w:r>
        <w:rPr>
          <w:rFonts w:ascii="Arial" w:cs="Arial" w:eastAsia="Arial" w:hAnsi="Arial"/>
          <w:sz w:val="15"/>
          <w:szCs w:val="15"/>
          <w:color w:val="auto"/>
        </w:rPr>
        <w:t>Enhanced financial flexibility during 2017, with $267 million in available cash for growth at year end.</w:t>
      </w:r>
    </w:p>
    <w:p>
      <w:pPr>
        <w:spacing w:after="0" w:line="160" w:lineRule="exact"/>
        <w:rPr>
          <w:rFonts w:ascii="Arial" w:cs="Arial" w:eastAsia="Arial" w:hAnsi="Arial"/>
          <w:sz w:val="15"/>
          <w:szCs w:val="15"/>
          <w:color w:val="58844D"/>
        </w:rPr>
      </w:pPr>
    </w:p>
    <w:p>
      <w:pPr>
        <w:ind w:left="449" w:right="480" w:hanging="449"/>
        <w:spacing w:after="0" w:line="241" w:lineRule="auto"/>
        <w:tabs>
          <w:tab w:leader="none" w:pos="449" w:val="left"/>
        </w:tabs>
        <w:numPr>
          <w:ilvl w:val="0"/>
          <w:numId w:val="49"/>
        </w:numPr>
        <w:rPr>
          <w:rFonts w:ascii="Arial" w:cs="Arial" w:eastAsia="Arial" w:hAnsi="Arial"/>
          <w:sz w:val="15"/>
          <w:szCs w:val="15"/>
          <w:color w:val="58844D"/>
        </w:rPr>
      </w:pPr>
      <w:r>
        <w:rPr>
          <w:rFonts w:ascii="Arial" w:cs="Arial" w:eastAsia="Arial" w:hAnsi="Arial"/>
          <w:sz w:val="15"/>
          <w:szCs w:val="15"/>
          <w:color w:val="auto"/>
        </w:rPr>
        <w:t>Acquisition of approximately 555 MW from NRG for aggregate cash consideration of approximately $245 million through drop down transactions.</w:t>
      </w:r>
    </w:p>
    <w:p>
      <w:pPr>
        <w:spacing w:after="0" w:line="164" w:lineRule="exact"/>
        <w:rPr>
          <w:rFonts w:ascii="Arial" w:cs="Arial" w:eastAsia="Arial" w:hAnsi="Arial"/>
          <w:sz w:val="15"/>
          <w:szCs w:val="15"/>
          <w:color w:val="58844D"/>
        </w:rPr>
      </w:pPr>
    </w:p>
    <w:p>
      <w:pPr>
        <w:ind w:left="449" w:right="160" w:hanging="449"/>
        <w:spacing w:after="0" w:line="245" w:lineRule="auto"/>
        <w:tabs>
          <w:tab w:leader="none" w:pos="449" w:val="left"/>
        </w:tabs>
        <w:numPr>
          <w:ilvl w:val="0"/>
          <w:numId w:val="49"/>
        </w:numPr>
        <w:rPr>
          <w:rFonts w:ascii="Arial" w:cs="Arial" w:eastAsia="Arial" w:hAnsi="Arial"/>
          <w:sz w:val="15"/>
          <w:szCs w:val="15"/>
          <w:color w:val="58844D"/>
        </w:rPr>
      </w:pPr>
      <w:r>
        <w:rPr>
          <w:rFonts w:ascii="Arial" w:cs="Arial" w:eastAsia="Arial" w:hAnsi="Arial"/>
          <w:sz w:val="15"/>
          <w:szCs w:val="15"/>
          <w:color w:val="auto"/>
        </w:rPr>
        <w:t>Investments of $64 million in the distributed generation partnerships with NRG.</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58844D"/>
        </w:rPr>
        <w:t>Executive Compensation Program</w:t>
      </w:r>
    </w:p>
    <w:p>
      <w:pPr>
        <w:spacing w:after="0" w:line="203" w:lineRule="exact"/>
        <w:rPr>
          <w:sz w:val="20"/>
          <w:szCs w:val="20"/>
          <w:color w:val="auto"/>
        </w:rPr>
      </w:pPr>
    </w:p>
    <w:p>
      <w:pPr>
        <w:ind w:left="9"/>
        <w:spacing w:after="0"/>
        <w:rPr>
          <w:sz w:val="20"/>
          <w:szCs w:val="20"/>
          <w:color w:val="auto"/>
        </w:rPr>
      </w:pPr>
      <w:r>
        <w:rPr>
          <w:rFonts w:ascii="Arial" w:cs="Arial" w:eastAsia="Arial" w:hAnsi="Arial"/>
          <w:sz w:val="18"/>
          <w:szCs w:val="18"/>
          <w:color w:val="58844D"/>
        </w:rPr>
        <w:t>2017 Named Executive Officers</w:t>
      </w:r>
    </w:p>
    <w:p>
      <w:pPr>
        <w:spacing w:after="0" w:line="189" w:lineRule="exact"/>
        <w:rPr>
          <w:sz w:val="20"/>
          <w:szCs w:val="20"/>
          <w:color w:val="auto"/>
        </w:rPr>
      </w:pPr>
    </w:p>
    <w:p>
      <w:pPr>
        <w:ind w:left="9"/>
        <w:spacing w:after="0" w:line="237" w:lineRule="auto"/>
        <w:rPr>
          <w:sz w:val="20"/>
          <w:szCs w:val="20"/>
          <w:color w:val="auto"/>
        </w:rPr>
      </w:pPr>
      <w:r>
        <w:rPr>
          <w:rFonts w:ascii="Arial" w:cs="Arial" w:eastAsia="Arial" w:hAnsi="Arial"/>
          <w:sz w:val="15"/>
          <w:szCs w:val="15"/>
          <w:color w:val="auto"/>
        </w:rPr>
        <w:t>This CD&amp;A describes our executive compensation program for our NEOs in 2017. In 2017, Mr. Sotos, our CEO, and Mr. Plotkin, our CFO, were the only officers compensated by the Company. Officers of the Company, other than</w:t>
      </w:r>
    </w:p>
    <w:p>
      <w:pPr>
        <w:spacing w:after="0" w:line="2" w:lineRule="exact"/>
        <w:rPr>
          <w:sz w:val="20"/>
          <w:szCs w:val="20"/>
          <w:color w:val="auto"/>
        </w:rPr>
      </w:pPr>
    </w:p>
    <w:p>
      <w:pPr>
        <w:ind w:left="9" w:right="20"/>
        <w:spacing w:after="0" w:line="256" w:lineRule="auto"/>
        <w:rPr>
          <w:sz w:val="20"/>
          <w:szCs w:val="20"/>
          <w:color w:val="auto"/>
        </w:rPr>
      </w:pPr>
      <w:r>
        <w:rPr>
          <w:rFonts w:ascii="Arial" w:cs="Arial" w:eastAsia="Arial" w:hAnsi="Arial"/>
          <w:sz w:val="14"/>
          <w:szCs w:val="14"/>
          <w:color w:val="auto"/>
        </w:rPr>
        <w:t>Messrs. Sotos and Plotkin, are employed either by NRG or a subsidiary of NRG and provide management and administration services to us in exchange for a management fee paid to NRG under the terms of a Management Services Agreement between the Company and NRG. Those officers do not receive any compensation from the Company, are compensated solely by NRG, and the sole responsibility and authority for compensation-related decisions for such officers resides with NRG and its compensation committee. NRG has the ultimate decision-making authority with respect to the total compensation of the officers that are employed by NRG, and we do not have any input into the performance metrics or compensation paid to those officers. Additionally, we do not reimburse NRG for compensation related expenses attributable to an executive officer's time dedicated to providing services for us. The Management Services Agreement does not require our executive officers to dedicate a specific amount of time to fulfilling NRG's obligations to us. Accordingly, NRG has informed us that it cannot identify the portion of compensation awarded to our executive officers who are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39</w:t>
      </w:r>
    </w:p>
    <w:p>
      <w:pPr>
        <w:spacing w:after="0" w:line="376" w:lineRule="exact"/>
        <w:rPr>
          <w:sz w:val="20"/>
          <w:szCs w:val="20"/>
          <w:color w:val="auto"/>
        </w:rPr>
      </w:pPr>
    </w:p>
    <w:p>
      <w:pPr>
        <w:ind w:left="3" w:right="160"/>
        <w:spacing w:after="0" w:line="258" w:lineRule="auto"/>
        <w:rPr>
          <w:sz w:val="20"/>
          <w:szCs w:val="20"/>
          <w:color w:val="auto"/>
        </w:rPr>
      </w:pPr>
      <w:r>
        <w:rPr>
          <w:rFonts w:ascii="Arial" w:cs="Arial" w:eastAsia="Arial" w:hAnsi="Arial"/>
          <w:sz w:val="14"/>
          <w:szCs w:val="14"/>
          <w:color w:val="auto"/>
        </w:rPr>
        <w:t>employed by NRG that relates solely to their services to us, as NRG does not compensate its employees specifically for such services. Additionally, while we have adopted the LTIP, we do not at this time intend to allow executive officers who are employed by NRG to participate in the LTIP. The executive officers who are employed by NRG, as well as the other employees of NRG who provide services to us, may participate in employee benefit plans and arrangements sponsored by NRG, including plans that may be established in the future. As a result of the foregoing, our CEO and CFO are the Company's only NEOs.</w:t>
      </w:r>
    </w:p>
    <w:p>
      <w:pPr>
        <w:spacing w:after="0" w:line="162" w:lineRule="exact"/>
        <w:rPr>
          <w:sz w:val="20"/>
          <w:szCs w:val="20"/>
          <w:color w:val="auto"/>
        </w:rPr>
      </w:pPr>
    </w:p>
    <w:tbl>
      <w:tblPr>
        <w:tblLayout w:type="fixed"/>
        <w:tblInd w:w="543" w:type="dxa"/>
        <w:tblCellMar>
          <w:top w:w="0" w:type="dxa"/>
          <w:left w:w="0" w:type="dxa"/>
          <w:bottom w:w="0" w:type="dxa"/>
          <w:right w:w="0" w:type="dxa"/>
        </w:tblCellMar>
      </w:tblPr>
      <w:tr>
        <w:trPr>
          <w:trHeight w:val="138"/>
        </w:trPr>
        <w:tc>
          <w:tcPr>
            <w:tcW w:w="1580" w:type="dxa"/>
            <w:vAlign w:val="bottom"/>
            <w:shd w:val="clear" w:color="auto" w:fill="58854E"/>
          </w:tcPr>
          <w:p>
            <w:pPr>
              <w:ind w:left="60"/>
              <w:spacing w:after="0"/>
              <w:rPr>
                <w:sz w:val="20"/>
                <w:szCs w:val="20"/>
                <w:color w:val="auto"/>
              </w:rPr>
            </w:pPr>
            <w:r>
              <w:rPr>
                <w:rFonts w:ascii="Arial" w:cs="Arial" w:eastAsia="Arial" w:hAnsi="Arial"/>
                <w:sz w:val="12"/>
                <w:szCs w:val="12"/>
                <w:b w:val="1"/>
                <w:bCs w:val="1"/>
                <w:color w:val="FFFFFE"/>
              </w:rPr>
              <w:t>NEO</w:t>
            </w:r>
          </w:p>
        </w:tc>
        <w:tc>
          <w:tcPr>
            <w:tcW w:w="140" w:type="dxa"/>
            <w:vAlign w:val="bottom"/>
          </w:tcPr>
          <w:p>
            <w:pPr>
              <w:spacing w:after="0"/>
              <w:rPr>
                <w:sz w:val="12"/>
                <w:szCs w:val="12"/>
                <w:color w:val="auto"/>
              </w:rPr>
            </w:pPr>
          </w:p>
        </w:tc>
        <w:tc>
          <w:tcPr>
            <w:tcW w:w="2580" w:type="dxa"/>
            <w:vAlign w:val="bottom"/>
            <w:shd w:val="clear" w:color="auto" w:fill="58854E"/>
          </w:tcPr>
          <w:p>
            <w:pPr>
              <w:ind w:left="960"/>
              <w:spacing w:after="0"/>
              <w:rPr>
                <w:sz w:val="20"/>
                <w:szCs w:val="20"/>
                <w:color w:val="auto"/>
              </w:rPr>
            </w:pPr>
            <w:r>
              <w:rPr>
                <w:rFonts w:ascii="Arial" w:cs="Arial" w:eastAsia="Arial" w:hAnsi="Arial"/>
                <w:sz w:val="12"/>
                <w:szCs w:val="12"/>
                <w:b w:val="1"/>
                <w:bCs w:val="1"/>
                <w:color w:val="FFFFFE"/>
              </w:rPr>
              <w:t>2017 TITLE</w:t>
            </w:r>
          </w:p>
        </w:tc>
      </w:tr>
      <w:tr>
        <w:trPr>
          <w:trHeight w:val="171"/>
        </w:trPr>
        <w:tc>
          <w:tcPr>
            <w:tcW w:w="1580" w:type="dxa"/>
            <w:vAlign w:val="bottom"/>
            <w:tcBorders>
              <w:bottom w:val="single" w:sz="8" w:color="58844D"/>
            </w:tcBorders>
          </w:tcPr>
          <w:p>
            <w:pPr>
              <w:ind w:left="60"/>
              <w:spacing w:after="0" w:line="171" w:lineRule="exact"/>
              <w:rPr>
                <w:sz w:val="20"/>
                <w:szCs w:val="20"/>
                <w:color w:val="auto"/>
              </w:rPr>
            </w:pPr>
            <w:r>
              <w:rPr>
                <w:rFonts w:ascii="Arial" w:cs="Arial" w:eastAsia="Arial" w:hAnsi="Arial"/>
                <w:sz w:val="15"/>
                <w:szCs w:val="15"/>
                <w:color w:val="auto"/>
              </w:rPr>
              <w:t>Christopher S. Sotos</w:t>
            </w:r>
          </w:p>
        </w:tc>
        <w:tc>
          <w:tcPr>
            <w:tcW w:w="2720" w:type="dxa"/>
            <w:vAlign w:val="bottom"/>
            <w:tcBorders>
              <w:bottom w:val="single" w:sz="8" w:color="58844D"/>
            </w:tcBorders>
            <w:gridSpan w:val="2"/>
          </w:tcPr>
          <w:p>
            <w:pPr>
              <w:ind w:left="120"/>
              <w:spacing w:after="0" w:line="171" w:lineRule="exact"/>
              <w:rPr>
                <w:sz w:val="20"/>
                <w:szCs w:val="20"/>
                <w:color w:val="auto"/>
              </w:rPr>
            </w:pPr>
            <w:r>
              <w:rPr>
                <w:rFonts w:ascii="Arial" w:cs="Arial" w:eastAsia="Arial" w:hAnsi="Arial"/>
                <w:sz w:val="15"/>
                <w:szCs w:val="15"/>
                <w:color w:val="auto"/>
              </w:rPr>
              <w:t>President and Chief Executive Officer</w:t>
            </w:r>
          </w:p>
        </w:tc>
      </w:tr>
      <w:tr>
        <w:trPr>
          <w:trHeight w:val="165"/>
        </w:trPr>
        <w:tc>
          <w:tcPr>
            <w:tcW w:w="1580" w:type="dxa"/>
            <w:vAlign w:val="bottom"/>
          </w:tcPr>
          <w:p>
            <w:pPr>
              <w:ind w:left="60"/>
              <w:spacing w:after="0" w:line="165" w:lineRule="exact"/>
              <w:rPr>
                <w:sz w:val="20"/>
                <w:szCs w:val="20"/>
                <w:color w:val="auto"/>
              </w:rPr>
            </w:pPr>
            <w:r>
              <w:rPr>
                <w:rFonts w:ascii="Arial" w:cs="Arial" w:eastAsia="Arial" w:hAnsi="Arial"/>
                <w:sz w:val="15"/>
                <w:szCs w:val="15"/>
                <w:color w:val="auto"/>
              </w:rPr>
              <w:t>Chad Plotkin</w:t>
            </w:r>
          </w:p>
        </w:tc>
        <w:tc>
          <w:tcPr>
            <w:tcW w:w="2720" w:type="dxa"/>
            <w:vAlign w:val="bottom"/>
            <w:gridSpan w:val="2"/>
          </w:tcPr>
          <w:p>
            <w:pPr>
              <w:ind w:left="120"/>
              <w:spacing w:after="0" w:line="165" w:lineRule="exact"/>
              <w:rPr>
                <w:sz w:val="20"/>
                <w:szCs w:val="20"/>
                <w:color w:val="auto"/>
              </w:rPr>
            </w:pPr>
            <w:r>
              <w:rPr>
                <w:rFonts w:ascii="Arial" w:cs="Arial" w:eastAsia="Arial" w:hAnsi="Arial"/>
                <w:sz w:val="15"/>
                <w:szCs w:val="15"/>
                <w:color w:val="auto"/>
              </w:rPr>
              <w:t>Senior Vice President and Chief</w:t>
            </w:r>
          </w:p>
        </w:tc>
      </w:tr>
      <w:tr>
        <w:trPr>
          <w:trHeight w:val="168"/>
        </w:trPr>
        <w:tc>
          <w:tcPr>
            <w:tcW w:w="1580" w:type="dxa"/>
            <w:vAlign w:val="bottom"/>
            <w:tcBorders>
              <w:bottom w:val="single" w:sz="8" w:color="58854E"/>
            </w:tcBorders>
          </w:tcPr>
          <w:p>
            <w:pPr>
              <w:spacing w:after="0"/>
              <w:rPr>
                <w:sz w:val="14"/>
                <w:szCs w:val="14"/>
                <w:color w:val="auto"/>
              </w:rPr>
            </w:pPr>
          </w:p>
        </w:tc>
        <w:tc>
          <w:tcPr>
            <w:tcW w:w="2720" w:type="dxa"/>
            <w:vAlign w:val="bottom"/>
            <w:tcBorders>
              <w:bottom w:val="single" w:sz="8" w:color="58854E"/>
            </w:tcBorders>
            <w:gridSpan w:val="2"/>
          </w:tcPr>
          <w:p>
            <w:pPr>
              <w:ind w:left="120"/>
              <w:spacing w:after="0" w:line="169" w:lineRule="exact"/>
              <w:rPr>
                <w:sz w:val="20"/>
                <w:szCs w:val="20"/>
                <w:color w:val="auto"/>
              </w:rPr>
            </w:pPr>
            <w:r>
              <w:rPr>
                <w:rFonts w:ascii="Arial" w:cs="Arial" w:eastAsia="Arial" w:hAnsi="Arial"/>
                <w:sz w:val="15"/>
                <w:szCs w:val="15"/>
                <w:color w:val="auto"/>
              </w:rPr>
              <w:t>Financial Officer</w:t>
            </w:r>
          </w:p>
        </w:tc>
      </w:tr>
    </w:tbl>
    <w:p>
      <w:pPr>
        <w:spacing w:after="0" w:line="390" w:lineRule="exact"/>
        <w:rPr>
          <w:sz w:val="20"/>
          <w:szCs w:val="20"/>
          <w:color w:val="auto"/>
        </w:rPr>
      </w:pPr>
    </w:p>
    <w:p>
      <w:pPr>
        <w:ind w:left="3" w:right="100"/>
        <w:spacing w:after="0" w:line="239" w:lineRule="auto"/>
        <w:rPr>
          <w:sz w:val="20"/>
          <w:szCs w:val="20"/>
          <w:color w:val="auto"/>
        </w:rPr>
      </w:pPr>
      <w:r>
        <w:rPr>
          <w:rFonts w:ascii="Arial" w:cs="Arial" w:eastAsia="Arial" w:hAnsi="Arial"/>
          <w:sz w:val="15"/>
          <w:szCs w:val="15"/>
          <w:color w:val="auto"/>
        </w:rPr>
        <w:t>In 2017, we modified our compensation program to be more formulaic and performance-based, adding quantitative elements to our annual incentive plan and granting RPSUs as the primary component of long-term incentive compensation. Our 2017 compensation program for Messrs. Sotos and Plotkin consisted of (i) base salary, (ii) long-term incentive compensation under our LTIP in the form of RSUs that vest over three years and RPSUs that vest after three years, subject to certain performance criteria and (iii) an annual incentive bonus opportunity under the AIP. No other officer received any compensation from us in 2017.</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color w:val="58844D"/>
        </w:rPr>
        <w:t>Goals and Objectives of the Program</w:t>
      </w:r>
    </w:p>
    <w:p>
      <w:pPr>
        <w:spacing w:after="0" w:line="189" w:lineRule="exact"/>
        <w:rPr>
          <w:sz w:val="20"/>
          <w:szCs w:val="20"/>
          <w:color w:val="auto"/>
        </w:rPr>
      </w:pPr>
    </w:p>
    <w:p>
      <w:pPr>
        <w:ind w:left="3" w:right="60"/>
        <w:spacing w:after="0"/>
        <w:rPr>
          <w:sz w:val="20"/>
          <w:szCs w:val="20"/>
          <w:color w:val="auto"/>
        </w:rPr>
      </w:pPr>
      <w:r>
        <w:rPr>
          <w:rFonts w:ascii="Arial" w:cs="Arial" w:eastAsia="Arial" w:hAnsi="Arial"/>
          <w:sz w:val="15"/>
          <w:szCs w:val="15"/>
          <w:color w:val="auto"/>
        </w:rPr>
        <w:t>The Compensation Committee is responsible for the development and implementation of the Company's executive compensation program. The intent of the executive compensation program is to reward the achievement of the Company's annual goals and objectives</w:t>
      </w:r>
    </w:p>
    <w:p>
      <w:pPr>
        <w:spacing w:after="0" w:line="359" w:lineRule="exact"/>
        <w:rPr>
          <w:sz w:val="20"/>
          <w:szCs w:val="20"/>
          <w:color w:val="auto"/>
        </w:rPr>
      </w:pPr>
    </w:p>
    <w:p>
      <w:pPr>
        <w:ind w:left="3" w:right="20"/>
        <w:spacing w:after="0"/>
        <w:rPr>
          <w:sz w:val="20"/>
          <w:szCs w:val="20"/>
          <w:color w:val="auto"/>
        </w:rPr>
      </w:pPr>
      <w:r>
        <w:rPr>
          <w:rFonts w:ascii="Arial" w:cs="Arial" w:eastAsia="Arial" w:hAnsi="Arial"/>
          <w:sz w:val="15"/>
          <w:szCs w:val="15"/>
          <w:color w:val="auto"/>
        </w:rPr>
        <w:t>while supporting the Company's long-term business strategy. The Compensation Committee is committed to aligning executives' compensation with performance. Our Compensation Committee has designed an executive compensation program that:</w:t>
      </w:r>
    </w:p>
    <w:p>
      <w:pPr>
        <w:spacing w:after="0" w:line="176" w:lineRule="exact"/>
        <w:rPr>
          <w:sz w:val="20"/>
          <w:szCs w:val="20"/>
          <w:color w:val="auto"/>
        </w:rPr>
      </w:pPr>
    </w:p>
    <w:p>
      <w:pPr>
        <w:ind w:left="463" w:right="60" w:hanging="463"/>
        <w:spacing w:after="0" w:line="241" w:lineRule="auto"/>
        <w:tabs>
          <w:tab w:leader="none" w:pos="463" w:val="left"/>
        </w:tabs>
        <w:numPr>
          <w:ilvl w:val="0"/>
          <w:numId w:val="50"/>
        </w:numPr>
        <w:rPr>
          <w:rFonts w:ascii="Arial" w:cs="Arial" w:eastAsia="Arial" w:hAnsi="Arial"/>
          <w:sz w:val="15"/>
          <w:szCs w:val="15"/>
          <w:color w:val="58844D"/>
        </w:rPr>
      </w:pPr>
      <w:r>
        <w:rPr>
          <w:rFonts w:ascii="Arial" w:cs="Arial" w:eastAsia="Arial" w:hAnsi="Arial"/>
          <w:sz w:val="15"/>
          <w:szCs w:val="15"/>
          <w:color w:val="auto"/>
        </w:rPr>
        <w:t>closely aligns our executive compensation with stockholder value creation, avoiding plans that encourage executives to take excessive risk, while driving long-term value to stockholders;</w:t>
      </w:r>
    </w:p>
    <w:p>
      <w:pPr>
        <w:spacing w:after="0" w:line="175" w:lineRule="exact"/>
        <w:rPr>
          <w:rFonts w:ascii="Arial" w:cs="Arial" w:eastAsia="Arial" w:hAnsi="Arial"/>
          <w:sz w:val="15"/>
          <w:szCs w:val="15"/>
          <w:color w:val="58844D"/>
        </w:rPr>
      </w:pPr>
    </w:p>
    <w:p>
      <w:pPr>
        <w:ind w:left="463" w:right="60" w:hanging="463"/>
        <w:spacing w:after="0" w:line="241" w:lineRule="auto"/>
        <w:tabs>
          <w:tab w:leader="none" w:pos="463" w:val="left"/>
        </w:tabs>
        <w:numPr>
          <w:ilvl w:val="0"/>
          <w:numId w:val="50"/>
        </w:numPr>
        <w:rPr>
          <w:rFonts w:ascii="Arial" w:cs="Arial" w:eastAsia="Arial" w:hAnsi="Arial"/>
          <w:sz w:val="15"/>
          <w:szCs w:val="15"/>
          <w:color w:val="58844D"/>
        </w:rPr>
      </w:pPr>
      <w:r>
        <w:rPr>
          <w:rFonts w:ascii="Arial" w:cs="Arial" w:eastAsia="Arial" w:hAnsi="Arial"/>
          <w:sz w:val="15"/>
          <w:szCs w:val="15"/>
          <w:color w:val="auto"/>
        </w:rPr>
        <w:t>supports the Company's long-term business strategy, while rewarding our executive team for their individual accomplishments with tailored individual executive compensation metrics and incentives; and</w:t>
      </w:r>
    </w:p>
    <w:p>
      <w:pPr>
        <w:spacing w:after="0" w:line="164" w:lineRule="exact"/>
        <w:rPr>
          <w:rFonts w:ascii="Arial" w:cs="Arial" w:eastAsia="Arial" w:hAnsi="Arial"/>
          <w:sz w:val="15"/>
          <w:szCs w:val="15"/>
          <w:color w:val="58844D"/>
        </w:rPr>
      </w:pPr>
    </w:p>
    <w:p>
      <w:pPr>
        <w:ind w:left="463" w:right="60" w:hanging="463"/>
        <w:spacing w:after="0" w:line="245" w:lineRule="auto"/>
        <w:tabs>
          <w:tab w:leader="none" w:pos="463" w:val="left"/>
        </w:tabs>
        <w:numPr>
          <w:ilvl w:val="0"/>
          <w:numId w:val="50"/>
        </w:numPr>
        <w:rPr>
          <w:rFonts w:ascii="Arial" w:cs="Arial" w:eastAsia="Arial" w:hAnsi="Arial"/>
          <w:sz w:val="15"/>
          <w:szCs w:val="15"/>
          <w:color w:val="58844D"/>
        </w:rPr>
      </w:pPr>
      <w:r>
        <w:rPr>
          <w:rFonts w:ascii="Arial" w:cs="Arial" w:eastAsia="Arial" w:hAnsi="Arial"/>
          <w:sz w:val="15"/>
          <w:szCs w:val="15"/>
          <w:color w:val="auto"/>
        </w:rPr>
        <w:t>provides a competitive compensation opportunity while adhering to market standards for compensation.</w:t>
      </w:r>
    </w:p>
    <w:p>
      <w:pPr>
        <w:spacing w:after="0" w:line="172" w:lineRule="exact"/>
        <w:rPr>
          <w:sz w:val="20"/>
          <w:szCs w:val="20"/>
          <w:color w:val="auto"/>
        </w:rPr>
      </w:pPr>
    </w:p>
    <w:p>
      <w:pPr>
        <w:ind w:left="3" w:right="120"/>
        <w:spacing w:after="0" w:line="245" w:lineRule="auto"/>
        <w:rPr>
          <w:sz w:val="20"/>
          <w:szCs w:val="20"/>
          <w:color w:val="auto"/>
        </w:rPr>
      </w:pPr>
      <w:r>
        <w:rPr>
          <w:rFonts w:ascii="Arial" w:cs="Arial" w:eastAsia="Arial" w:hAnsi="Arial"/>
          <w:sz w:val="15"/>
          <w:szCs w:val="15"/>
          <w:color w:val="auto"/>
        </w:rPr>
        <w:t>The Compensation Committee's objectives are achieved through the use of both short-term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162560</wp:posOffset>
            </wp:positionV>
            <wp:extent cx="7273290"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697"/>
            <w:col w:w="5383"/>
          </w:cols>
          <w:pgMar w:left="231" w:top="142"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40</w:t>
      </w:r>
    </w:p>
    <w:p>
      <w:pPr>
        <w:sectPr>
          <w:pgSz w:w="11900" w:h="16838" w:orient="portrait"/>
          <w:cols w:equalWidth="0" w:num="1">
            <w:col w:w="11440"/>
          </w:cols>
          <w:pgMar w:left="240" w:top="142" w:right="219" w:bottom="1440" w:gutter="0" w:footer="0" w:header="0"/>
        </w:sectPr>
      </w:pPr>
    </w:p>
    <w:p>
      <w:pPr>
        <w:spacing w:after="0" w:line="376" w:lineRule="exact"/>
        <w:rPr>
          <w:sz w:val="20"/>
          <w:szCs w:val="20"/>
          <w:color w:val="auto"/>
        </w:rPr>
      </w:pPr>
    </w:p>
    <w:p>
      <w:pPr>
        <w:ind w:right="320"/>
        <w:spacing w:after="0" w:line="239" w:lineRule="auto"/>
        <w:rPr>
          <w:sz w:val="20"/>
          <w:szCs w:val="20"/>
          <w:color w:val="auto"/>
        </w:rPr>
      </w:pPr>
      <w:r>
        <w:rPr>
          <w:rFonts w:ascii="Arial" w:cs="Arial" w:eastAsia="Arial" w:hAnsi="Arial"/>
          <w:sz w:val="15"/>
          <w:szCs w:val="15"/>
          <w:color w:val="auto"/>
        </w:rPr>
        <w:t>incentives. The Company currently targets pay at the median of our Compensation Peer Group (defined below), as described under "Elements of Compensation."</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360"/>
        <w:spacing w:after="0" w:line="280" w:lineRule="auto"/>
        <w:rPr>
          <w:sz w:val="20"/>
          <w:szCs w:val="20"/>
          <w:color w:val="auto"/>
        </w:rPr>
      </w:pPr>
      <w:r>
        <w:rPr>
          <w:rFonts w:ascii="Arial" w:cs="Arial" w:eastAsia="Arial" w:hAnsi="Arial"/>
          <w:sz w:val="14"/>
          <w:szCs w:val="14"/>
          <w:color w:val="auto"/>
        </w:rPr>
        <w:t>interest exist between the Company and Pay Governance (or any individuals working on the Company's account on behalf of Pay Governance).</w:t>
      </w:r>
    </w:p>
    <w:p>
      <w:pPr>
        <w:spacing w:after="0" w:line="140" w:lineRule="exact"/>
        <w:rPr>
          <w:sz w:val="20"/>
          <w:szCs w:val="20"/>
          <w:color w:val="auto"/>
        </w:rPr>
      </w:pPr>
    </w:p>
    <w:p>
      <w:pPr>
        <w:sectPr>
          <w:pgSz w:w="11900" w:h="16838" w:orient="portrait"/>
          <w:cols w:equalWidth="0" w:num="2">
            <w:col w:w="5340" w:space="720"/>
            <w:col w:w="5380"/>
          </w:cols>
          <w:pgMar w:left="240" w:top="142" w:right="21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58844D"/>
        </w:rPr>
        <w:t>The Compensation Process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58844D"/>
        </w:rPr>
        <w:t>Compensation Consultant</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the Compensation Committee's independent compensation consultant for fiscal year 2017, assisted with director compensation and executive pay decisions for 2017 and worked with the Compensation Committee to formulate the design of the director compensation and executive compensation programs for 2018. Pay Governance reported directly to the Compensation Committee and provided no other remunerated services to the Company. Pay Governance also provides services to the Compensation Committee of NRG relating to NRG's executive and director compensation and assisted with the design of NRG's executive compensation program for 2017. Pay Governance does not provide services for any other affiliates of us or NRG. In accordance with SEC rules and requirements, the Company has affirmatively determined that no conflicts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58844D"/>
        </w:rPr>
        <w:t>Compensation Peer Group Analysis</w:t>
      </w:r>
    </w:p>
    <w:p>
      <w:pPr>
        <w:spacing w:after="0" w:line="189"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The Compensation Committee, with support from its advisor, identifies the most appropriate comparator group within relevant industries for purposes of benchmarking compensation. In 2017, with the assistance of Pay Governance, the Compensation Committee identified a peer group for compensation benchmarking purposes composed of publicly-owned, dividend growth-oriented companies, as well as other similarly-sized energy companies (Compensation Peer Group). The Compensation Committee also performed a peer to peer analysis to confirm the appropriateness of potential peer companies and to assess companies that the Company's peers use in their own peer groups. The Compensation Committee then considered the overall reasonableness of the list of potential peer companies as a whole, taking size and scope of operations into account.</w:t>
      </w:r>
    </w:p>
    <w:p>
      <w:pPr>
        <w:spacing w:after="0" w:line="182"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The Compensation Committee aims to compare our compensation program to a consistent peer group year-to-year, but given the dynamic nature of our industry and the companies that constitute it, the Compensation Committee annually examines the list for opportunities for improvement. For 2017, the Compensation Peer Group, which is identified below, was unchanged from 2016, except as the result of various business combination transactions.</w:t>
      </w:r>
    </w:p>
    <w:p>
      <w:pPr>
        <w:spacing w:after="0" w:line="540" w:lineRule="exact"/>
        <w:rPr>
          <w:sz w:val="20"/>
          <w:szCs w:val="20"/>
          <w:color w:val="auto"/>
        </w:rPr>
      </w:pPr>
    </w:p>
    <w:p>
      <w:pPr>
        <w:sectPr>
          <w:pgSz w:w="11900" w:h="16838" w:orient="portrait"/>
          <w:cols w:equalWidth="0" w:num="2">
            <w:col w:w="5360" w:space="700"/>
            <w:col w:w="5380"/>
          </w:cols>
          <w:pgMar w:left="240" w:top="142" w:right="219" w:bottom="1440" w:gutter="0" w:footer="0" w:header="0"/>
          <w:type w:val="continuous"/>
        </w:sectPr>
      </w:pPr>
    </w:p>
    <w:tbl>
      <w:tblPr>
        <w:tblLayout w:type="fixed"/>
        <w:tblInd w:w="1140" w:type="dxa"/>
        <w:tblCellMar>
          <w:top w:w="0" w:type="dxa"/>
          <w:left w:w="0" w:type="dxa"/>
          <w:bottom w:w="0" w:type="dxa"/>
          <w:right w:w="0" w:type="dxa"/>
        </w:tblCellMar>
      </w:tblPr>
      <w:tr>
        <w:trPr>
          <w:trHeight w:val="138"/>
        </w:trPr>
        <w:tc>
          <w:tcPr>
            <w:tcW w:w="374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NYSE</w:t>
            </w:r>
          </w:p>
        </w:tc>
        <w:tc>
          <w:tcPr>
            <w:tcW w:w="140" w:type="dxa"/>
            <w:vAlign w:val="bottom"/>
          </w:tcPr>
          <w:p>
            <w:pPr>
              <w:spacing w:after="0"/>
              <w:rPr>
                <w:sz w:val="12"/>
                <w:szCs w:val="12"/>
                <w:color w:val="auto"/>
              </w:rPr>
            </w:pPr>
          </w:p>
        </w:tc>
        <w:tc>
          <w:tcPr>
            <w:tcW w:w="374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NYSE</w:t>
            </w:r>
          </w:p>
        </w:tc>
      </w:tr>
      <w:tr>
        <w:trPr>
          <w:trHeight w:val="147"/>
        </w:trPr>
        <w:tc>
          <w:tcPr>
            <w:tcW w:w="3740" w:type="dxa"/>
            <w:vAlign w:val="bottom"/>
            <w:shd w:val="clear" w:color="auto" w:fill="58854E"/>
          </w:tcPr>
          <w:p>
            <w:pPr>
              <w:ind w:left="1560"/>
              <w:spacing w:after="0"/>
              <w:rPr>
                <w:sz w:val="20"/>
                <w:szCs w:val="20"/>
                <w:color w:val="auto"/>
              </w:rPr>
            </w:pPr>
            <w:r>
              <w:rPr>
                <w:rFonts w:ascii="Arial" w:cs="Arial" w:eastAsia="Arial" w:hAnsi="Arial"/>
                <w:sz w:val="12"/>
                <w:szCs w:val="12"/>
                <w:b w:val="1"/>
                <w:bCs w:val="1"/>
                <w:color w:val="FFFFFE"/>
              </w:rPr>
              <w:t>COMPANY</w:t>
            </w:r>
          </w:p>
        </w:tc>
        <w:tc>
          <w:tcPr>
            <w:tcW w:w="140" w:type="dxa"/>
            <w:vAlign w:val="bottom"/>
          </w:tcPr>
          <w:p>
            <w:pPr>
              <w:spacing w:after="0"/>
              <w:rPr>
                <w:sz w:val="12"/>
                <w:szCs w:val="12"/>
                <w:color w:val="auto"/>
              </w:rPr>
            </w:pPr>
          </w:p>
        </w:tc>
        <w:tc>
          <w:tcPr>
            <w:tcW w:w="68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TICKER</w:t>
            </w:r>
          </w:p>
        </w:tc>
        <w:tc>
          <w:tcPr>
            <w:tcW w:w="140" w:type="dxa"/>
            <w:vAlign w:val="bottom"/>
          </w:tcPr>
          <w:p>
            <w:pPr>
              <w:spacing w:after="0"/>
              <w:rPr>
                <w:sz w:val="12"/>
                <w:szCs w:val="12"/>
                <w:color w:val="auto"/>
              </w:rPr>
            </w:pPr>
          </w:p>
        </w:tc>
        <w:tc>
          <w:tcPr>
            <w:tcW w:w="3740" w:type="dxa"/>
            <w:vAlign w:val="bottom"/>
            <w:shd w:val="clear" w:color="auto" w:fill="58854E"/>
          </w:tcPr>
          <w:p>
            <w:pPr>
              <w:ind w:left="1580"/>
              <w:spacing w:after="0"/>
              <w:rPr>
                <w:sz w:val="20"/>
                <w:szCs w:val="20"/>
                <w:color w:val="auto"/>
              </w:rPr>
            </w:pPr>
            <w:r>
              <w:rPr>
                <w:rFonts w:ascii="Arial" w:cs="Arial" w:eastAsia="Arial" w:hAnsi="Arial"/>
                <w:sz w:val="12"/>
                <w:szCs w:val="12"/>
                <w:b w:val="1"/>
                <w:bCs w:val="1"/>
                <w:color w:val="FFFFFE"/>
              </w:rPr>
              <w:t>COMPANY</w:t>
            </w:r>
          </w:p>
        </w:tc>
        <w:tc>
          <w:tcPr>
            <w:tcW w:w="140" w:type="dxa"/>
            <w:vAlign w:val="bottom"/>
          </w:tcPr>
          <w:p>
            <w:pPr>
              <w:spacing w:after="0"/>
              <w:rPr>
                <w:sz w:val="12"/>
                <w:szCs w:val="12"/>
                <w:color w:val="auto"/>
              </w:rPr>
            </w:pPr>
          </w:p>
        </w:tc>
        <w:tc>
          <w:tcPr>
            <w:tcW w:w="5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TICKER</w:t>
            </w:r>
          </w:p>
        </w:tc>
      </w:tr>
      <w:tr>
        <w:trPr>
          <w:trHeight w:val="171"/>
        </w:trPr>
        <w:tc>
          <w:tcPr>
            <w:tcW w:w="3740" w:type="dxa"/>
            <w:vAlign w:val="bottom"/>
            <w:tcBorders>
              <w:bottom w:val="single" w:sz="8" w:color="58844D"/>
            </w:tcBorders>
          </w:tcPr>
          <w:p>
            <w:pPr>
              <w:ind w:left="60"/>
              <w:spacing w:after="0" w:line="171" w:lineRule="exact"/>
              <w:rPr>
                <w:sz w:val="20"/>
                <w:szCs w:val="20"/>
                <w:color w:val="auto"/>
              </w:rPr>
            </w:pPr>
            <w:r>
              <w:rPr>
                <w:rFonts w:ascii="Arial" w:cs="Arial" w:eastAsia="Arial" w:hAnsi="Arial"/>
                <w:sz w:val="15"/>
                <w:szCs w:val="15"/>
                <w:color w:val="auto"/>
              </w:rPr>
              <w:t>Archrock Partners, LP</w:t>
            </w:r>
          </w:p>
        </w:tc>
        <w:tc>
          <w:tcPr>
            <w:tcW w:w="140" w:type="dxa"/>
            <w:vAlign w:val="bottom"/>
            <w:tcBorders>
              <w:bottom w:val="single" w:sz="8" w:color="58844D"/>
            </w:tcBorders>
          </w:tcPr>
          <w:p>
            <w:pPr>
              <w:spacing w:after="0"/>
              <w:rPr>
                <w:sz w:val="14"/>
                <w:szCs w:val="14"/>
                <w:color w:val="auto"/>
              </w:rPr>
            </w:pPr>
          </w:p>
        </w:tc>
        <w:tc>
          <w:tcPr>
            <w:tcW w:w="680" w:type="dxa"/>
            <w:vAlign w:val="bottom"/>
            <w:tcBorders>
              <w:bottom w:val="single" w:sz="8" w:color="58844D"/>
            </w:tcBorders>
          </w:tcPr>
          <w:p>
            <w:pPr>
              <w:jc w:val="center"/>
              <w:spacing w:after="0" w:line="171" w:lineRule="exact"/>
              <w:rPr>
                <w:sz w:val="20"/>
                <w:szCs w:val="20"/>
                <w:color w:val="auto"/>
              </w:rPr>
            </w:pPr>
            <w:r>
              <w:rPr>
                <w:rFonts w:ascii="Arial" w:cs="Arial" w:eastAsia="Arial" w:hAnsi="Arial"/>
                <w:sz w:val="15"/>
                <w:szCs w:val="15"/>
                <w:color w:val="auto"/>
                <w:w w:val="98"/>
              </w:rPr>
              <w:t>APLP</w:t>
            </w:r>
          </w:p>
        </w:tc>
        <w:tc>
          <w:tcPr>
            <w:tcW w:w="140" w:type="dxa"/>
            <w:vAlign w:val="bottom"/>
            <w:tcBorders>
              <w:bottom w:val="single" w:sz="8" w:color="58844D"/>
            </w:tcBorders>
          </w:tcPr>
          <w:p>
            <w:pPr>
              <w:spacing w:after="0"/>
              <w:rPr>
                <w:sz w:val="14"/>
                <w:szCs w:val="14"/>
                <w:color w:val="auto"/>
              </w:rPr>
            </w:pPr>
          </w:p>
        </w:tc>
        <w:tc>
          <w:tcPr>
            <w:tcW w:w="3740" w:type="dxa"/>
            <w:vAlign w:val="bottom"/>
            <w:tcBorders>
              <w:bottom w:val="single" w:sz="8" w:color="58844D"/>
            </w:tcBorders>
          </w:tcPr>
          <w:p>
            <w:pPr>
              <w:spacing w:after="0" w:line="171" w:lineRule="exact"/>
              <w:rPr>
                <w:sz w:val="20"/>
                <w:szCs w:val="20"/>
                <w:color w:val="auto"/>
              </w:rPr>
            </w:pPr>
            <w:r>
              <w:rPr>
                <w:rFonts w:ascii="Arial" w:cs="Arial" w:eastAsia="Arial" w:hAnsi="Arial"/>
                <w:sz w:val="15"/>
                <w:szCs w:val="15"/>
                <w:color w:val="auto"/>
              </w:rPr>
              <w:t>Summit Midstream Partners, LP</w:t>
            </w:r>
          </w:p>
        </w:tc>
        <w:tc>
          <w:tcPr>
            <w:tcW w:w="140" w:type="dxa"/>
            <w:vAlign w:val="bottom"/>
            <w:tcBorders>
              <w:bottom w:val="single" w:sz="8" w:color="58844D"/>
            </w:tcBorders>
          </w:tcPr>
          <w:p>
            <w:pPr>
              <w:spacing w:after="0"/>
              <w:rPr>
                <w:sz w:val="14"/>
                <w:szCs w:val="14"/>
                <w:color w:val="auto"/>
              </w:rPr>
            </w:pPr>
          </w:p>
        </w:tc>
        <w:tc>
          <w:tcPr>
            <w:tcW w:w="560" w:type="dxa"/>
            <w:vAlign w:val="bottom"/>
            <w:tcBorders>
              <w:bottom w:val="single" w:sz="8" w:color="58844D"/>
            </w:tcBorders>
          </w:tcPr>
          <w:p>
            <w:pPr>
              <w:jc w:val="center"/>
              <w:spacing w:after="0" w:line="171" w:lineRule="exact"/>
              <w:rPr>
                <w:sz w:val="20"/>
                <w:szCs w:val="20"/>
                <w:color w:val="auto"/>
              </w:rPr>
            </w:pPr>
            <w:r>
              <w:rPr>
                <w:rFonts w:ascii="Arial" w:cs="Arial" w:eastAsia="Arial" w:hAnsi="Arial"/>
                <w:sz w:val="15"/>
                <w:szCs w:val="15"/>
                <w:color w:val="auto"/>
              </w:rPr>
              <w:t>SMLP</w:t>
            </w:r>
          </w:p>
        </w:tc>
      </w:tr>
      <w:tr>
        <w:trPr>
          <w:trHeight w:val="162"/>
        </w:trPr>
        <w:tc>
          <w:tcPr>
            <w:tcW w:w="3740" w:type="dxa"/>
            <w:vAlign w:val="bottom"/>
            <w:tcBorders>
              <w:bottom w:val="single" w:sz="8" w:color="58844D"/>
            </w:tcBorders>
          </w:tcPr>
          <w:p>
            <w:pPr>
              <w:ind w:left="60"/>
              <w:spacing w:after="0" w:line="162" w:lineRule="exact"/>
              <w:rPr>
                <w:sz w:val="20"/>
                <w:szCs w:val="20"/>
                <w:color w:val="auto"/>
              </w:rPr>
            </w:pPr>
            <w:r>
              <w:rPr>
                <w:rFonts w:ascii="Arial" w:cs="Arial" w:eastAsia="Arial" w:hAnsi="Arial"/>
                <w:sz w:val="15"/>
                <w:szCs w:val="15"/>
                <w:color w:val="auto"/>
              </w:rPr>
              <w:t>Brookfield Renewable Partners LP</w:t>
            </w:r>
          </w:p>
        </w:tc>
        <w:tc>
          <w:tcPr>
            <w:tcW w:w="140" w:type="dxa"/>
            <w:vAlign w:val="bottom"/>
            <w:tcBorders>
              <w:bottom w:val="single" w:sz="8" w:color="58844D"/>
            </w:tcBorders>
          </w:tcPr>
          <w:p>
            <w:pPr>
              <w:spacing w:after="0"/>
              <w:rPr>
                <w:sz w:val="14"/>
                <w:szCs w:val="14"/>
                <w:color w:val="auto"/>
              </w:rPr>
            </w:pPr>
          </w:p>
        </w:tc>
        <w:tc>
          <w:tcPr>
            <w:tcW w:w="68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w w:val="99"/>
              </w:rPr>
              <w:t>BEP</w:t>
            </w:r>
          </w:p>
        </w:tc>
        <w:tc>
          <w:tcPr>
            <w:tcW w:w="140" w:type="dxa"/>
            <w:vAlign w:val="bottom"/>
            <w:tcBorders>
              <w:bottom w:val="single" w:sz="8" w:color="58844D"/>
            </w:tcBorders>
          </w:tcPr>
          <w:p>
            <w:pPr>
              <w:spacing w:after="0"/>
              <w:rPr>
                <w:sz w:val="14"/>
                <w:szCs w:val="14"/>
                <w:color w:val="auto"/>
              </w:rPr>
            </w:pPr>
          </w:p>
        </w:tc>
        <w:tc>
          <w:tcPr>
            <w:tcW w:w="3740" w:type="dxa"/>
            <w:vAlign w:val="bottom"/>
            <w:tcBorders>
              <w:bottom w:val="single" w:sz="8" w:color="58844D"/>
            </w:tcBorders>
          </w:tcPr>
          <w:p>
            <w:pPr>
              <w:spacing w:after="0" w:line="162" w:lineRule="exact"/>
              <w:rPr>
                <w:sz w:val="20"/>
                <w:szCs w:val="20"/>
                <w:color w:val="auto"/>
              </w:rPr>
            </w:pPr>
            <w:r>
              <w:rPr>
                <w:rFonts w:ascii="Arial" w:cs="Arial" w:eastAsia="Arial" w:hAnsi="Arial"/>
                <w:sz w:val="15"/>
                <w:szCs w:val="15"/>
                <w:color w:val="auto"/>
              </w:rPr>
              <w:t>Tallgrass Energy Partners, LP</w:t>
            </w:r>
          </w:p>
        </w:tc>
        <w:tc>
          <w:tcPr>
            <w:tcW w:w="140" w:type="dxa"/>
            <w:vAlign w:val="bottom"/>
            <w:tcBorders>
              <w:bottom w:val="single" w:sz="8" w:color="58844D"/>
            </w:tcBorders>
          </w:tcPr>
          <w:p>
            <w:pPr>
              <w:spacing w:after="0"/>
              <w:rPr>
                <w:sz w:val="14"/>
                <w:szCs w:val="14"/>
                <w:color w:val="auto"/>
              </w:rPr>
            </w:pPr>
          </w:p>
        </w:tc>
        <w:tc>
          <w:tcPr>
            <w:tcW w:w="56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rPr>
              <w:t>TEP</w:t>
            </w:r>
          </w:p>
        </w:tc>
      </w:tr>
      <w:tr>
        <w:trPr>
          <w:trHeight w:val="162"/>
        </w:trPr>
        <w:tc>
          <w:tcPr>
            <w:tcW w:w="3740" w:type="dxa"/>
            <w:vAlign w:val="bottom"/>
            <w:tcBorders>
              <w:bottom w:val="single" w:sz="8" w:color="58844D"/>
            </w:tcBorders>
          </w:tcPr>
          <w:p>
            <w:pPr>
              <w:ind w:left="60"/>
              <w:spacing w:after="0" w:line="162" w:lineRule="exact"/>
              <w:rPr>
                <w:sz w:val="20"/>
                <w:szCs w:val="20"/>
                <w:color w:val="auto"/>
              </w:rPr>
            </w:pPr>
            <w:r>
              <w:rPr>
                <w:rFonts w:ascii="Arial" w:cs="Arial" w:eastAsia="Arial" w:hAnsi="Arial"/>
                <w:sz w:val="15"/>
                <w:szCs w:val="15"/>
                <w:color w:val="auto"/>
              </w:rPr>
              <w:t>Delek Logistics Partners, LP</w:t>
            </w:r>
          </w:p>
        </w:tc>
        <w:tc>
          <w:tcPr>
            <w:tcW w:w="140" w:type="dxa"/>
            <w:vAlign w:val="bottom"/>
            <w:tcBorders>
              <w:bottom w:val="single" w:sz="8" w:color="58844D"/>
            </w:tcBorders>
          </w:tcPr>
          <w:p>
            <w:pPr>
              <w:spacing w:after="0"/>
              <w:rPr>
                <w:sz w:val="14"/>
                <w:szCs w:val="14"/>
                <w:color w:val="auto"/>
              </w:rPr>
            </w:pPr>
          </w:p>
        </w:tc>
        <w:tc>
          <w:tcPr>
            <w:tcW w:w="68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rPr>
              <w:t>DKL</w:t>
            </w:r>
          </w:p>
        </w:tc>
        <w:tc>
          <w:tcPr>
            <w:tcW w:w="140" w:type="dxa"/>
            <w:vAlign w:val="bottom"/>
            <w:tcBorders>
              <w:bottom w:val="single" w:sz="8" w:color="58844D"/>
            </w:tcBorders>
          </w:tcPr>
          <w:p>
            <w:pPr>
              <w:spacing w:after="0"/>
              <w:rPr>
                <w:sz w:val="14"/>
                <w:szCs w:val="14"/>
                <w:color w:val="auto"/>
              </w:rPr>
            </w:pPr>
          </w:p>
        </w:tc>
        <w:tc>
          <w:tcPr>
            <w:tcW w:w="3740" w:type="dxa"/>
            <w:vAlign w:val="bottom"/>
            <w:tcBorders>
              <w:bottom w:val="single" w:sz="8" w:color="58844D"/>
            </w:tcBorders>
          </w:tcPr>
          <w:p>
            <w:pPr>
              <w:spacing w:after="0" w:line="162" w:lineRule="exact"/>
              <w:rPr>
                <w:sz w:val="20"/>
                <w:szCs w:val="20"/>
                <w:color w:val="auto"/>
              </w:rPr>
            </w:pPr>
            <w:r>
              <w:rPr>
                <w:rFonts w:ascii="Arial" w:cs="Arial" w:eastAsia="Arial" w:hAnsi="Arial"/>
                <w:sz w:val="15"/>
                <w:szCs w:val="15"/>
                <w:color w:val="auto"/>
              </w:rPr>
              <w:t>TerraForm Power, Inc.</w:t>
            </w:r>
          </w:p>
        </w:tc>
        <w:tc>
          <w:tcPr>
            <w:tcW w:w="140" w:type="dxa"/>
            <w:vAlign w:val="bottom"/>
            <w:tcBorders>
              <w:bottom w:val="single" w:sz="8" w:color="58844D"/>
            </w:tcBorders>
          </w:tcPr>
          <w:p>
            <w:pPr>
              <w:spacing w:after="0"/>
              <w:rPr>
                <w:sz w:val="14"/>
                <w:szCs w:val="14"/>
                <w:color w:val="auto"/>
              </w:rPr>
            </w:pPr>
          </w:p>
        </w:tc>
        <w:tc>
          <w:tcPr>
            <w:tcW w:w="56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w w:val="94"/>
              </w:rPr>
              <w:t>TERP</w:t>
            </w:r>
          </w:p>
        </w:tc>
      </w:tr>
      <w:tr>
        <w:trPr>
          <w:trHeight w:val="162"/>
        </w:trPr>
        <w:tc>
          <w:tcPr>
            <w:tcW w:w="3740" w:type="dxa"/>
            <w:vAlign w:val="bottom"/>
            <w:tcBorders>
              <w:bottom w:val="single" w:sz="8" w:color="58844D"/>
            </w:tcBorders>
          </w:tcPr>
          <w:p>
            <w:pPr>
              <w:ind w:left="60"/>
              <w:spacing w:after="0" w:line="162" w:lineRule="exact"/>
              <w:rPr>
                <w:sz w:val="20"/>
                <w:szCs w:val="20"/>
                <w:color w:val="auto"/>
              </w:rPr>
            </w:pPr>
            <w:r>
              <w:rPr>
                <w:rFonts w:ascii="Arial" w:cs="Arial" w:eastAsia="Arial" w:hAnsi="Arial"/>
                <w:sz w:val="15"/>
                <w:szCs w:val="15"/>
                <w:color w:val="auto"/>
              </w:rPr>
              <w:t>MPLX LP</w:t>
            </w:r>
          </w:p>
        </w:tc>
        <w:tc>
          <w:tcPr>
            <w:tcW w:w="140" w:type="dxa"/>
            <w:vAlign w:val="bottom"/>
            <w:tcBorders>
              <w:bottom w:val="single" w:sz="8" w:color="58844D"/>
            </w:tcBorders>
          </w:tcPr>
          <w:p>
            <w:pPr>
              <w:spacing w:after="0"/>
              <w:rPr>
                <w:sz w:val="14"/>
                <w:szCs w:val="14"/>
                <w:color w:val="auto"/>
              </w:rPr>
            </w:pPr>
          </w:p>
        </w:tc>
        <w:tc>
          <w:tcPr>
            <w:tcW w:w="68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w w:val="97"/>
              </w:rPr>
              <w:t>MPLX</w:t>
            </w:r>
          </w:p>
        </w:tc>
        <w:tc>
          <w:tcPr>
            <w:tcW w:w="140" w:type="dxa"/>
            <w:vAlign w:val="bottom"/>
            <w:tcBorders>
              <w:bottom w:val="single" w:sz="8" w:color="58844D"/>
            </w:tcBorders>
          </w:tcPr>
          <w:p>
            <w:pPr>
              <w:spacing w:after="0"/>
              <w:rPr>
                <w:sz w:val="14"/>
                <w:szCs w:val="14"/>
                <w:color w:val="auto"/>
              </w:rPr>
            </w:pPr>
          </w:p>
        </w:tc>
        <w:tc>
          <w:tcPr>
            <w:tcW w:w="3740" w:type="dxa"/>
            <w:vAlign w:val="bottom"/>
            <w:tcBorders>
              <w:bottom w:val="single" w:sz="8" w:color="58844D"/>
            </w:tcBorders>
          </w:tcPr>
          <w:p>
            <w:pPr>
              <w:spacing w:after="0" w:line="162" w:lineRule="exact"/>
              <w:rPr>
                <w:sz w:val="20"/>
                <w:szCs w:val="20"/>
                <w:color w:val="auto"/>
              </w:rPr>
            </w:pPr>
            <w:r>
              <w:rPr>
                <w:rFonts w:ascii="Arial" w:cs="Arial" w:eastAsia="Arial" w:hAnsi="Arial"/>
                <w:sz w:val="15"/>
                <w:szCs w:val="15"/>
                <w:color w:val="auto"/>
              </w:rPr>
              <w:t>Tesoro Logistics LP</w:t>
            </w:r>
          </w:p>
        </w:tc>
        <w:tc>
          <w:tcPr>
            <w:tcW w:w="140" w:type="dxa"/>
            <w:vAlign w:val="bottom"/>
            <w:tcBorders>
              <w:bottom w:val="single" w:sz="8" w:color="58844D"/>
            </w:tcBorders>
          </w:tcPr>
          <w:p>
            <w:pPr>
              <w:spacing w:after="0"/>
              <w:rPr>
                <w:sz w:val="14"/>
                <w:szCs w:val="14"/>
                <w:color w:val="auto"/>
              </w:rPr>
            </w:pPr>
          </w:p>
        </w:tc>
        <w:tc>
          <w:tcPr>
            <w:tcW w:w="56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w w:val="94"/>
              </w:rPr>
              <w:t>TLLP</w:t>
            </w:r>
          </w:p>
        </w:tc>
      </w:tr>
      <w:tr>
        <w:trPr>
          <w:trHeight w:val="165"/>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5" w:lineRule="exact"/>
              <w:rPr>
                <w:sz w:val="20"/>
                <w:szCs w:val="20"/>
                <w:color w:val="auto"/>
              </w:rPr>
            </w:pPr>
            <w:r>
              <w:rPr>
                <w:rFonts w:ascii="Arial" w:cs="Arial" w:eastAsia="Arial" w:hAnsi="Arial"/>
                <w:sz w:val="15"/>
                <w:szCs w:val="15"/>
                <w:color w:val="auto"/>
              </w:rPr>
              <w:t>TSE:</w:t>
            </w:r>
          </w:p>
        </w:tc>
      </w:tr>
      <w:tr>
        <w:trPr>
          <w:trHeight w:val="168"/>
        </w:trPr>
        <w:tc>
          <w:tcPr>
            <w:tcW w:w="3740" w:type="dxa"/>
            <w:vAlign w:val="bottom"/>
            <w:tcBorders>
              <w:bottom w:val="single" w:sz="8" w:color="58844D"/>
            </w:tcBorders>
          </w:tcPr>
          <w:p>
            <w:pPr>
              <w:ind w:left="60"/>
              <w:spacing w:after="0" w:line="169" w:lineRule="exact"/>
              <w:rPr>
                <w:sz w:val="20"/>
                <w:szCs w:val="20"/>
                <w:color w:val="auto"/>
              </w:rPr>
            </w:pPr>
            <w:r>
              <w:rPr>
                <w:rFonts w:ascii="Arial" w:cs="Arial" w:eastAsia="Arial" w:hAnsi="Arial"/>
                <w:sz w:val="15"/>
                <w:szCs w:val="15"/>
                <w:color w:val="auto"/>
              </w:rPr>
              <w:t>NextEra Energy Partners, LP</w:t>
            </w:r>
          </w:p>
        </w:tc>
        <w:tc>
          <w:tcPr>
            <w:tcW w:w="140" w:type="dxa"/>
            <w:vAlign w:val="bottom"/>
            <w:tcBorders>
              <w:bottom w:val="single" w:sz="8" w:color="58844D"/>
            </w:tcBorders>
          </w:tcPr>
          <w:p>
            <w:pPr>
              <w:spacing w:after="0"/>
              <w:rPr>
                <w:sz w:val="14"/>
                <w:szCs w:val="14"/>
                <w:color w:val="auto"/>
              </w:rPr>
            </w:pPr>
          </w:p>
        </w:tc>
        <w:tc>
          <w:tcPr>
            <w:tcW w:w="680" w:type="dxa"/>
            <w:vAlign w:val="bottom"/>
            <w:tcBorders>
              <w:bottom w:val="single" w:sz="8" w:color="58844D"/>
            </w:tcBorders>
          </w:tcPr>
          <w:p>
            <w:pPr>
              <w:jc w:val="center"/>
              <w:spacing w:after="0" w:line="169" w:lineRule="exact"/>
              <w:rPr>
                <w:sz w:val="20"/>
                <w:szCs w:val="20"/>
                <w:color w:val="auto"/>
              </w:rPr>
            </w:pPr>
            <w:r>
              <w:rPr>
                <w:rFonts w:ascii="Arial" w:cs="Arial" w:eastAsia="Arial" w:hAnsi="Arial"/>
                <w:sz w:val="15"/>
                <w:szCs w:val="15"/>
                <w:color w:val="auto"/>
                <w:w w:val="97"/>
              </w:rPr>
              <w:t>NEP</w:t>
            </w:r>
          </w:p>
        </w:tc>
        <w:tc>
          <w:tcPr>
            <w:tcW w:w="140" w:type="dxa"/>
            <w:vAlign w:val="bottom"/>
            <w:tcBorders>
              <w:bottom w:val="single" w:sz="8" w:color="58844D"/>
            </w:tcBorders>
          </w:tcPr>
          <w:p>
            <w:pPr>
              <w:spacing w:after="0"/>
              <w:rPr>
                <w:sz w:val="14"/>
                <w:szCs w:val="14"/>
                <w:color w:val="auto"/>
              </w:rPr>
            </w:pPr>
          </w:p>
        </w:tc>
        <w:tc>
          <w:tcPr>
            <w:tcW w:w="3740" w:type="dxa"/>
            <w:vAlign w:val="bottom"/>
            <w:tcBorders>
              <w:bottom w:val="single" w:sz="8" w:color="58844D"/>
            </w:tcBorders>
          </w:tcPr>
          <w:p>
            <w:pPr>
              <w:spacing w:after="0" w:line="169" w:lineRule="exact"/>
              <w:rPr>
                <w:sz w:val="20"/>
                <w:szCs w:val="20"/>
                <w:color w:val="auto"/>
              </w:rPr>
            </w:pPr>
            <w:r>
              <w:rPr>
                <w:rFonts w:ascii="Arial" w:cs="Arial" w:eastAsia="Arial" w:hAnsi="Arial"/>
                <w:sz w:val="15"/>
                <w:szCs w:val="15"/>
                <w:color w:val="auto"/>
              </w:rPr>
              <w:t>TransAlta Renewables Inc.</w:t>
            </w:r>
          </w:p>
        </w:tc>
        <w:tc>
          <w:tcPr>
            <w:tcW w:w="140" w:type="dxa"/>
            <w:vAlign w:val="bottom"/>
            <w:tcBorders>
              <w:bottom w:val="single" w:sz="8" w:color="58844D"/>
            </w:tcBorders>
          </w:tcPr>
          <w:p>
            <w:pPr>
              <w:spacing w:after="0"/>
              <w:rPr>
                <w:sz w:val="14"/>
                <w:szCs w:val="14"/>
                <w:color w:val="auto"/>
              </w:rPr>
            </w:pPr>
          </w:p>
        </w:tc>
        <w:tc>
          <w:tcPr>
            <w:tcW w:w="560" w:type="dxa"/>
            <w:vAlign w:val="bottom"/>
            <w:tcBorders>
              <w:bottom w:val="single" w:sz="8" w:color="58844D"/>
            </w:tcBorders>
          </w:tcPr>
          <w:p>
            <w:pPr>
              <w:jc w:val="center"/>
              <w:spacing w:after="0" w:line="169" w:lineRule="exact"/>
              <w:rPr>
                <w:sz w:val="20"/>
                <w:szCs w:val="20"/>
                <w:color w:val="auto"/>
              </w:rPr>
            </w:pPr>
            <w:r>
              <w:rPr>
                <w:rFonts w:ascii="Arial" w:cs="Arial" w:eastAsia="Arial" w:hAnsi="Arial"/>
                <w:sz w:val="15"/>
                <w:szCs w:val="15"/>
                <w:color w:val="auto"/>
                <w:w w:val="94"/>
              </w:rPr>
              <w:t>RNW</w:t>
            </w:r>
          </w:p>
        </w:tc>
      </w:tr>
      <w:tr>
        <w:trPr>
          <w:trHeight w:val="162"/>
        </w:trPr>
        <w:tc>
          <w:tcPr>
            <w:tcW w:w="3740" w:type="dxa"/>
            <w:vAlign w:val="bottom"/>
            <w:tcBorders>
              <w:bottom w:val="single" w:sz="8" w:color="58844D"/>
            </w:tcBorders>
          </w:tcPr>
          <w:p>
            <w:pPr>
              <w:ind w:left="60"/>
              <w:spacing w:after="0" w:line="162" w:lineRule="exact"/>
              <w:rPr>
                <w:sz w:val="20"/>
                <w:szCs w:val="20"/>
                <w:color w:val="auto"/>
              </w:rPr>
            </w:pPr>
            <w:r>
              <w:rPr>
                <w:rFonts w:ascii="Arial" w:cs="Arial" w:eastAsia="Arial" w:hAnsi="Arial"/>
                <w:sz w:val="15"/>
                <w:szCs w:val="15"/>
                <w:color w:val="auto"/>
              </w:rPr>
              <w:t>Pattern Energy Group Inc.</w:t>
            </w:r>
          </w:p>
        </w:tc>
        <w:tc>
          <w:tcPr>
            <w:tcW w:w="140" w:type="dxa"/>
            <w:vAlign w:val="bottom"/>
            <w:tcBorders>
              <w:bottom w:val="single" w:sz="8" w:color="58844D"/>
            </w:tcBorders>
          </w:tcPr>
          <w:p>
            <w:pPr>
              <w:spacing w:after="0"/>
              <w:rPr>
                <w:sz w:val="14"/>
                <w:szCs w:val="14"/>
                <w:color w:val="auto"/>
              </w:rPr>
            </w:pPr>
          </w:p>
        </w:tc>
        <w:tc>
          <w:tcPr>
            <w:tcW w:w="68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rPr>
              <w:t>PEGI</w:t>
            </w:r>
          </w:p>
        </w:tc>
        <w:tc>
          <w:tcPr>
            <w:tcW w:w="140" w:type="dxa"/>
            <w:vAlign w:val="bottom"/>
            <w:tcBorders>
              <w:bottom w:val="single" w:sz="8" w:color="58844D"/>
            </w:tcBorders>
          </w:tcPr>
          <w:p>
            <w:pPr>
              <w:spacing w:after="0"/>
              <w:rPr>
                <w:sz w:val="14"/>
                <w:szCs w:val="14"/>
                <w:color w:val="auto"/>
              </w:rPr>
            </w:pPr>
          </w:p>
        </w:tc>
        <w:tc>
          <w:tcPr>
            <w:tcW w:w="3740" w:type="dxa"/>
            <w:vAlign w:val="bottom"/>
            <w:tcBorders>
              <w:bottom w:val="single" w:sz="8" w:color="58844D"/>
            </w:tcBorders>
          </w:tcPr>
          <w:p>
            <w:pPr>
              <w:spacing w:after="0" w:line="162" w:lineRule="exact"/>
              <w:rPr>
                <w:sz w:val="20"/>
                <w:szCs w:val="20"/>
                <w:color w:val="auto"/>
              </w:rPr>
            </w:pPr>
            <w:r>
              <w:rPr>
                <w:rFonts w:ascii="Arial" w:cs="Arial" w:eastAsia="Arial" w:hAnsi="Arial"/>
                <w:sz w:val="15"/>
                <w:szCs w:val="15"/>
                <w:color w:val="auto"/>
              </w:rPr>
              <w:t>Valero Energy Partners LP</w:t>
            </w:r>
          </w:p>
        </w:tc>
        <w:tc>
          <w:tcPr>
            <w:tcW w:w="140" w:type="dxa"/>
            <w:vAlign w:val="bottom"/>
            <w:tcBorders>
              <w:bottom w:val="single" w:sz="8" w:color="58844D"/>
            </w:tcBorders>
          </w:tcPr>
          <w:p>
            <w:pPr>
              <w:spacing w:after="0"/>
              <w:rPr>
                <w:sz w:val="14"/>
                <w:szCs w:val="14"/>
                <w:color w:val="auto"/>
              </w:rPr>
            </w:pPr>
          </w:p>
        </w:tc>
        <w:tc>
          <w:tcPr>
            <w:tcW w:w="56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w w:val="98"/>
              </w:rPr>
              <w:t>VLP</w:t>
            </w:r>
          </w:p>
        </w:tc>
      </w:tr>
      <w:tr>
        <w:trPr>
          <w:trHeight w:val="162"/>
        </w:trPr>
        <w:tc>
          <w:tcPr>
            <w:tcW w:w="3740" w:type="dxa"/>
            <w:vAlign w:val="bottom"/>
            <w:tcBorders>
              <w:bottom w:val="single" w:sz="8" w:color="58844D"/>
            </w:tcBorders>
          </w:tcPr>
          <w:p>
            <w:pPr>
              <w:ind w:left="60"/>
              <w:spacing w:after="0" w:line="162" w:lineRule="exact"/>
              <w:rPr>
                <w:sz w:val="20"/>
                <w:szCs w:val="20"/>
                <w:color w:val="auto"/>
              </w:rPr>
            </w:pPr>
            <w:r>
              <w:rPr>
                <w:rFonts w:ascii="Arial" w:cs="Arial" w:eastAsia="Arial" w:hAnsi="Arial"/>
                <w:sz w:val="15"/>
                <w:szCs w:val="15"/>
                <w:color w:val="auto"/>
              </w:rPr>
              <w:t>Phillips 66 Partners LP</w:t>
            </w:r>
          </w:p>
        </w:tc>
        <w:tc>
          <w:tcPr>
            <w:tcW w:w="140" w:type="dxa"/>
            <w:vAlign w:val="bottom"/>
            <w:tcBorders>
              <w:bottom w:val="single" w:sz="8" w:color="58844D"/>
            </w:tcBorders>
          </w:tcPr>
          <w:p>
            <w:pPr>
              <w:spacing w:after="0"/>
              <w:rPr>
                <w:sz w:val="14"/>
                <w:szCs w:val="14"/>
                <w:color w:val="auto"/>
              </w:rPr>
            </w:pPr>
          </w:p>
        </w:tc>
        <w:tc>
          <w:tcPr>
            <w:tcW w:w="68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w w:val="99"/>
              </w:rPr>
              <w:t>PSXP</w:t>
            </w:r>
          </w:p>
        </w:tc>
        <w:tc>
          <w:tcPr>
            <w:tcW w:w="140" w:type="dxa"/>
            <w:vAlign w:val="bottom"/>
            <w:tcBorders>
              <w:bottom w:val="single" w:sz="8" w:color="58844D"/>
            </w:tcBorders>
          </w:tcPr>
          <w:p>
            <w:pPr>
              <w:spacing w:after="0"/>
              <w:rPr>
                <w:sz w:val="14"/>
                <w:szCs w:val="14"/>
                <w:color w:val="auto"/>
              </w:rPr>
            </w:pPr>
          </w:p>
        </w:tc>
        <w:tc>
          <w:tcPr>
            <w:tcW w:w="3740" w:type="dxa"/>
            <w:vAlign w:val="bottom"/>
            <w:tcBorders>
              <w:bottom w:val="single" w:sz="8" w:color="58844D"/>
            </w:tcBorders>
          </w:tcPr>
          <w:p>
            <w:pPr>
              <w:spacing w:after="0"/>
              <w:rPr>
                <w:sz w:val="14"/>
                <w:szCs w:val="14"/>
                <w:color w:val="auto"/>
              </w:rPr>
            </w:pPr>
          </w:p>
        </w:tc>
        <w:tc>
          <w:tcPr>
            <w:tcW w:w="140" w:type="dxa"/>
            <w:vAlign w:val="bottom"/>
            <w:tcBorders>
              <w:bottom w:val="single" w:sz="8" w:color="58844D"/>
            </w:tcBorders>
          </w:tcPr>
          <w:p>
            <w:pPr>
              <w:spacing w:after="0"/>
              <w:rPr>
                <w:sz w:val="14"/>
                <w:szCs w:val="14"/>
                <w:color w:val="auto"/>
              </w:rPr>
            </w:pPr>
          </w:p>
        </w:tc>
        <w:tc>
          <w:tcPr>
            <w:tcW w:w="560" w:type="dxa"/>
            <w:vAlign w:val="bottom"/>
            <w:tcBorders>
              <w:bottom w:val="single" w:sz="8" w:color="58844D"/>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40"/>
          </w:cols>
          <w:pgMar w:left="240" w:top="142" w:right="219" w:bottom="1440" w:gutter="0" w:footer="0" w:header="0"/>
          <w:type w:val="continuous"/>
        </w:sectPr>
      </w:pPr>
    </w:p>
    <w:p>
      <w:pPr>
        <w:spacing w:after="0" w:line="190" w:lineRule="exact"/>
        <w:rPr>
          <w:sz w:val="20"/>
          <w:szCs w:val="20"/>
          <w:color w:val="auto"/>
        </w:rPr>
      </w:pPr>
    </w:p>
    <w:p>
      <w:pPr>
        <w:ind w:right="60"/>
        <w:spacing w:after="0"/>
        <w:rPr>
          <w:sz w:val="20"/>
          <w:szCs w:val="20"/>
          <w:color w:val="auto"/>
        </w:rPr>
      </w:pPr>
      <w:r>
        <w:rPr>
          <w:rFonts w:ascii="Arial" w:cs="Arial" w:eastAsia="Arial" w:hAnsi="Arial"/>
          <w:sz w:val="15"/>
          <w:szCs w:val="15"/>
          <w:color w:val="auto"/>
        </w:rPr>
        <w:t>For the purposes of determining appropriate CEO and CFO pay levels, the Compensation Committee reviewed CEO and CFO compensation from peers, where available and appropriate. To supplement this analysis, the Compensation Committee also reviewed appropriate third-party survey data.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58844D"/>
        </w:rPr>
        <w:t>Elements of Compensation</w:t>
      </w:r>
    </w:p>
    <w:p>
      <w:pPr>
        <w:spacing w:after="0" w:line="211"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Our compensation program consists of fixed compensation (base salary), performance-based compensation (annual incentive plan bonus and RPSUs) and time-based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compensation (RSUs). We use the median percentile of our Compensation Peer Group as a guidepost in establishing the targeted levels of total direct compensation (cash and equity) for our NEOs. We expect that, over time, targeted total direct compensation of our NEOs will continue to land near the median of our Compensation Peer Group. Realized pay in a given year depends on the achievement of defined performance-based compensation metrics. While a portion of our compensation is fixed, a significant percentage is at-risk and payable and/or realizable only if certain performance objectives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419100</wp:posOffset>
            </wp:positionV>
            <wp:extent cx="7273290"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0" w:space="720"/>
            <w:col w:w="5380"/>
          </w:cols>
          <w:pgMar w:left="240" w:top="142" w:right="219" w:bottom="1440" w:gutter="0" w:footer="0" w:header="0"/>
          <w:type w:val="continuous"/>
        </w:sectPr>
      </w:pPr>
    </w:p>
    <w:bookmarkStart w:id="45" w:name="page46"/>
    <w:bookmarkEnd w:id="45"/>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
        <w:spacing w:after="0"/>
        <w:rPr>
          <w:sz w:val="20"/>
          <w:szCs w:val="20"/>
          <w:color w:val="auto"/>
        </w:rPr>
      </w:pPr>
      <w:r>
        <w:rPr>
          <w:rFonts w:ascii="Arial" w:cs="Arial" w:eastAsia="Arial" w:hAnsi="Arial"/>
          <w:sz w:val="18"/>
          <w:szCs w:val="18"/>
          <w:color w:val="58844D"/>
        </w:rPr>
        <w:t>Base Salary</w:t>
      </w:r>
    </w:p>
    <w:p>
      <w:pPr>
        <w:spacing w:after="0" w:line="189" w:lineRule="exact"/>
        <w:rPr>
          <w:sz w:val="20"/>
          <w:szCs w:val="20"/>
          <w:color w:val="auto"/>
        </w:rPr>
      </w:pPr>
    </w:p>
    <w:p>
      <w:pPr>
        <w:ind w:left="9"/>
        <w:spacing w:after="0" w:line="239" w:lineRule="auto"/>
        <w:rPr>
          <w:sz w:val="20"/>
          <w:szCs w:val="20"/>
          <w:color w:val="auto"/>
        </w:rPr>
      </w:pPr>
      <w:r>
        <w:rPr>
          <w:rFonts w:ascii="Arial" w:cs="Arial" w:eastAsia="Arial" w:hAnsi="Arial"/>
          <w:sz w:val="15"/>
          <w:szCs w:val="15"/>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and the level of responsibility of the NEO with respect to his specific position. For 2017, the base salary for each NEO remained the same as 2016, as set forth below:</w:t>
      </w:r>
    </w:p>
    <w:p>
      <w:pPr>
        <w:spacing w:after="0" w:line="173" w:lineRule="exact"/>
        <w:rPr>
          <w:sz w:val="20"/>
          <w:szCs w:val="20"/>
          <w:color w:val="auto"/>
        </w:rPr>
      </w:pPr>
    </w:p>
    <w:tbl>
      <w:tblPr>
        <w:tblLayout w:type="fixed"/>
        <w:tblInd w:w="529" w:type="dxa"/>
        <w:tblCellMar>
          <w:top w:w="0" w:type="dxa"/>
          <w:left w:w="0" w:type="dxa"/>
          <w:bottom w:w="0" w:type="dxa"/>
          <w:right w:w="0" w:type="dxa"/>
        </w:tblCellMar>
      </w:tblPr>
      <w:tr>
        <w:trPr>
          <w:trHeight w:val="138"/>
        </w:trPr>
        <w:tc>
          <w:tcPr>
            <w:tcW w:w="98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800" w:type="dxa"/>
            <w:vAlign w:val="bottom"/>
            <w:shd w:val="clear" w:color="auto" w:fill="58854E"/>
          </w:tcPr>
          <w:p>
            <w:pPr>
              <w:ind w:left="280"/>
              <w:spacing w:after="0"/>
              <w:rPr>
                <w:sz w:val="20"/>
                <w:szCs w:val="20"/>
                <w:color w:val="auto"/>
              </w:rPr>
            </w:pPr>
            <w:r>
              <w:rPr>
                <w:rFonts w:ascii="Arial" w:cs="Arial" w:eastAsia="Arial" w:hAnsi="Arial"/>
                <w:sz w:val="12"/>
                <w:szCs w:val="12"/>
                <w:b w:val="1"/>
                <w:bCs w:val="1"/>
                <w:color w:val="FFFFFE"/>
              </w:rPr>
              <w:t>2017</w:t>
            </w:r>
          </w:p>
        </w:tc>
        <w:tc>
          <w:tcPr>
            <w:tcW w:w="140" w:type="dxa"/>
            <w:vAlign w:val="bottom"/>
          </w:tcPr>
          <w:p>
            <w:pPr>
              <w:spacing w:after="0"/>
              <w:rPr>
                <w:sz w:val="12"/>
                <w:szCs w:val="12"/>
                <w:color w:val="auto"/>
              </w:rPr>
            </w:pPr>
          </w:p>
        </w:tc>
        <w:tc>
          <w:tcPr>
            <w:tcW w:w="920" w:type="dxa"/>
            <w:vAlign w:val="bottom"/>
            <w:shd w:val="clear" w:color="auto" w:fill="58854E"/>
          </w:tcPr>
          <w:p>
            <w:pPr>
              <w:jc w:val="center"/>
              <w:ind w:left="15"/>
              <w:spacing w:after="0"/>
              <w:rPr>
                <w:sz w:val="20"/>
                <w:szCs w:val="20"/>
                <w:color w:val="auto"/>
              </w:rPr>
            </w:pPr>
            <w:r>
              <w:rPr>
                <w:rFonts w:ascii="Arial" w:cs="Arial" w:eastAsia="Arial" w:hAnsi="Arial"/>
                <w:sz w:val="12"/>
                <w:szCs w:val="12"/>
                <w:b w:val="1"/>
                <w:bCs w:val="1"/>
                <w:color w:val="FFFFFE"/>
              </w:rPr>
              <w:t>PERCENTAGE</w:t>
            </w:r>
          </w:p>
        </w:tc>
        <w:tc>
          <w:tcPr>
            <w:tcW w:w="140" w:type="dxa"/>
            <w:vAlign w:val="bottom"/>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860" w:type="dxa"/>
            <w:vAlign w:val="bottom"/>
            <w:shd w:val="clear" w:color="auto" w:fill="58854E"/>
          </w:tcPr>
          <w:p>
            <w:pPr>
              <w:spacing w:after="0"/>
              <w:rPr>
                <w:sz w:val="12"/>
                <w:szCs w:val="12"/>
                <w:color w:val="auto"/>
              </w:rPr>
            </w:pPr>
          </w:p>
        </w:tc>
        <w:tc>
          <w:tcPr>
            <w:tcW w:w="20" w:type="dxa"/>
            <w:vAlign w:val="bottom"/>
          </w:tcPr>
          <w:p>
            <w:pPr>
              <w:spacing w:after="0"/>
              <w:rPr>
                <w:sz w:val="12"/>
                <w:szCs w:val="12"/>
                <w:color w:val="auto"/>
              </w:rPr>
            </w:pPr>
          </w:p>
        </w:tc>
      </w:tr>
      <w:tr>
        <w:trPr>
          <w:trHeight w:val="137"/>
        </w:trPr>
        <w:tc>
          <w:tcPr>
            <w:tcW w:w="980" w:type="dxa"/>
            <w:vAlign w:val="bottom"/>
            <w:shd w:val="clear" w:color="auto" w:fill="58854E"/>
          </w:tcPr>
          <w:p>
            <w:pPr>
              <w:ind w:left="20"/>
              <w:spacing w:after="0" w:line="137" w:lineRule="exact"/>
              <w:rPr>
                <w:sz w:val="20"/>
                <w:szCs w:val="20"/>
                <w:color w:val="auto"/>
              </w:rPr>
            </w:pPr>
            <w:r>
              <w:rPr>
                <w:rFonts w:ascii="Arial" w:cs="Arial" w:eastAsia="Arial" w:hAnsi="Arial"/>
                <w:sz w:val="12"/>
                <w:szCs w:val="12"/>
                <w:b w:val="1"/>
                <w:bCs w:val="1"/>
                <w:color w:val="FFFFFE"/>
              </w:rPr>
              <w:t>NAMED</w:t>
            </w:r>
          </w:p>
        </w:tc>
        <w:tc>
          <w:tcPr>
            <w:tcW w:w="1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0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ANNUALIZED</w:t>
            </w:r>
          </w:p>
        </w:tc>
        <w:tc>
          <w:tcPr>
            <w:tcW w:w="140" w:type="dxa"/>
            <w:vAlign w:val="bottom"/>
          </w:tcPr>
          <w:p>
            <w:pPr>
              <w:spacing w:after="0"/>
              <w:rPr>
                <w:sz w:val="11"/>
                <w:szCs w:val="11"/>
                <w:color w:val="auto"/>
              </w:rPr>
            </w:pPr>
          </w:p>
        </w:tc>
        <w:tc>
          <w:tcPr>
            <w:tcW w:w="920" w:type="dxa"/>
            <w:vAlign w:val="bottom"/>
            <w:shd w:val="clear" w:color="auto" w:fill="58854E"/>
          </w:tcPr>
          <w:p>
            <w:pPr>
              <w:jc w:val="center"/>
              <w:ind w:left="35"/>
              <w:spacing w:after="0" w:line="137" w:lineRule="exact"/>
              <w:rPr>
                <w:sz w:val="20"/>
                <w:szCs w:val="20"/>
                <w:color w:val="auto"/>
              </w:rPr>
            </w:pPr>
            <w:r>
              <w:rPr>
                <w:rFonts w:ascii="Arial" w:cs="Arial" w:eastAsia="Arial" w:hAnsi="Arial"/>
                <w:sz w:val="12"/>
                <w:szCs w:val="12"/>
                <w:b w:val="1"/>
                <w:bCs w:val="1"/>
                <w:color w:val="FFFFFE"/>
                <w:w w:val="99"/>
              </w:rPr>
              <w:t>INCREASE</w:t>
            </w:r>
          </w:p>
        </w:tc>
        <w:tc>
          <w:tcPr>
            <w:tcW w:w="1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ACTUAL 2017</w:t>
            </w:r>
          </w:p>
        </w:tc>
        <w:tc>
          <w:tcPr>
            <w:tcW w:w="20" w:type="dxa"/>
            <w:vAlign w:val="bottom"/>
          </w:tcPr>
          <w:p>
            <w:pPr>
              <w:spacing w:after="0"/>
              <w:rPr>
                <w:sz w:val="11"/>
                <w:szCs w:val="11"/>
                <w:color w:val="auto"/>
              </w:rPr>
            </w:pPr>
          </w:p>
        </w:tc>
      </w:tr>
      <w:tr>
        <w:trPr>
          <w:trHeight w:val="137"/>
        </w:trPr>
        <w:tc>
          <w:tcPr>
            <w:tcW w:w="98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EXECUTIVE</w:t>
            </w:r>
          </w:p>
        </w:tc>
        <w:tc>
          <w:tcPr>
            <w:tcW w:w="1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0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BASE</w:t>
            </w:r>
          </w:p>
        </w:tc>
        <w:tc>
          <w:tcPr>
            <w:tcW w:w="140" w:type="dxa"/>
            <w:vAlign w:val="bottom"/>
          </w:tcPr>
          <w:p>
            <w:pPr>
              <w:spacing w:after="0"/>
              <w:rPr>
                <w:sz w:val="11"/>
                <w:szCs w:val="11"/>
                <w:color w:val="auto"/>
              </w:rPr>
            </w:pPr>
          </w:p>
        </w:tc>
        <w:tc>
          <w:tcPr>
            <w:tcW w:w="920" w:type="dxa"/>
            <w:vAlign w:val="bottom"/>
            <w:shd w:val="clear" w:color="auto" w:fill="58854E"/>
          </w:tcPr>
          <w:p>
            <w:pPr>
              <w:jc w:val="center"/>
              <w:ind w:left="15"/>
              <w:spacing w:after="0" w:line="137" w:lineRule="exact"/>
              <w:rPr>
                <w:sz w:val="20"/>
                <w:szCs w:val="20"/>
                <w:color w:val="auto"/>
              </w:rPr>
            </w:pPr>
            <w:r>
              <w:rPr>
                <w:rFonts w:ascii="Arial" w:cs="Arial" w:eastAsia="Arial" w:hAnsi="Arial"/>
                <w:sz w:val="12"/>
                <w:szCs w:val="12"/>
                <w:b w:val="1"/>
                <w:bCs w:val="1"/>
                <w:color w:val="FFFFFE"/>
                <w:w w:val="99"/>
              </w:rPr>
              <w:t>OVER 2016</w:t>
            </w:r>
          </w:p>
        </w:tc>
        <w:tc>
          <w:tcPr>
            <w:tcW w:w="1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BASE SALARY</w:t>
            </w:r>
          </w:p>
        </w:tc>
        <w:tc>
          <w:tcPr>
            <w:tcW w:w="20" w:type="dxa"/>
            <w:vAlign w:val="bottom"/>
          </w:tcPr>
          <w:p>
            <w:pPr>
              <w:spacing w:after="0"/>
              <w:rPr>
                <w:sz w:val="11"/>
                <w:szCs w:val="11"/>
                <w:color w:val="auto"/>
              </w:rPr>
            </w:pPr>
          </w:p>
        </w:tc>
      </w:tr>
      <w:tr>
        <w:trPr>
          <w:trHeight w:val="160"/>
        </w:trPr>
        <w:tc>
          <w:tcPr>
            <w:tcW w:w="980" w:type="dxa"/>
            <w:vAlign w:val="bottom"/>
            <w:shd w:val="clear" w:color="auto" w:fill="58854E"/>
          </w:tcPr>
          <w:p>
            <w:pPr>
              <w:ind w:left="160"/>
              <w:spacing w:after="0"/>
              <w:rPr>
                <w:sz w:val="20"/>
                <w:szCs w:val="20"/>
                <w:color w:val="auto"/>
              </w:rPr>
            </w:pPr>
            <w:r>
              <w:rPr>
                <w:rFonts w:ascii="Arial" w:cs="Arial" w:eastAsia="Arial" w:hAnsi="Arial"/>
                <w:sz w:val="12"/>
                <w:szCs w:val="12"/>
                <w:b w:val="1"/>
                <w:bCs w:val="1"/>
                <w:color w:val="FFFFFE"/>
              </w:rPr>
              <w:t>OFFICER</w:t>
            </w:r>
          </w:p>
        </w:tc>
        <w:tc>
          <w:tcPr>
            <w:tcW w:w="140" w:type="dxa"/>
            <w:vAlign w:val="bottom"/>
          </w:tcPr>
          <w:p>
            <w:pPr>
              <w:spacing w:after="0"/>
              <w:rPr>
                <w:sz w:val="13"/>
                <w:szCs w:val="13"/>
                <w:color w:val="auto"/>
              </w:rPr>
            </w:pPr>
          </w:p>
        </w:tc>
        <w:tc>
          <w:tcPr>
            <w:tcW w:w="80" w:type="dxa"/>
            <w:vAlign w:val="bottom"/>
            <w:shd w:val="clear" w:color="auto" w:fill="58854E"/>
          </w:tcPr>
          <w:p>
            <w:pPr>
              <w:spacing w:after="0"/>
              <w:rPr>
                <w:sz w:val="13"/>
                <w:szCs w:val="13"/>
                <w:color w:val="auto"/>
              </w:rPr>
            </w:pPr>
          </w:p>
        </w:tc>
        <w:tc>
          <w:tcPr>
            <w:tcW w:w="80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SALARY ($)</w:t>
            </w:r>
          </w:p>
        </w:tc>
        <w:tc>
          <w:tcPr>
            <w:tcW w:w="140" w:type="dxa"/>
            <w:vAlign w:val="bottom"/>
          </w:tcPr>
          <w:p>
            <w:pPr>
              <w:spacing w:after="0"/>
              <w:rPr>
                <w:sz w:val="13"/>
                <w:szCs w:val="13"/>
                <w:color w:val="auto"/>
              </w:rPr>
            </w:pPr>
          </w:p>
        </w:tc>
        <w:tc>
          <w:tcPr>
            <w:tcW w:w="920" w:type="dxa"/>
            <w:vAlign w:val="bottom"/>
            <w:shd w:val="clear" w:color="auto" w:fill="58854E"/>
          </w:tcPr>
          <w:p>
            <w:pPr>
              <w:jc w:val="center"/>
              <w:ind w:left="15"/>
              <w:spacing w:after="0" w:line="160" w:lineRule="exact"/>
              <w:rPr>
                <w:sz w:val="20"/>
                <w:szCs w:val="20"/>
                <w:color w:val="auto"/>
              </w:rPr>
            </w:pPr>
            <w:r>
              <w:rPr>
                <w:rFonts w:ascii="Arial" w:cs="Arial" w:eastAsia="Arial" w:hAnsi="Arial"/>
                <w:sz w:val="12"/>
                <w:szCs w:val="12"/>
                <w:b w:val="1"/>
                <w:bCs w:val="1"/>
                <w:color w:val="FFFFFE"/>
                <w:w w:val="94"/>
              </w:rPr>
              <w:t>(%)</w:t>
            </w:r>
            <w:r>
              <w:rPr>
                <w:rFonts w:ascii="Arial" w:cs="Arial" w:eastAsia="Arial" w:hAnsi="Arial"/>
                <w:sz w:val="18"/>
                <w:szCs w:val="18"/>
                <w:b w:val="1"/>
                <w:bCs w:val="1"/>
                <w:color w:val="FFFFFE"/>
                <w:w w:val="94"/>
                <w:vertAlign w:val="superscript"/>
              </w:rPr>
              <w:t>1</w:t>
            </w:r>
          </w:p>
        </w:tc>
        <w:tc>
          <w:tcPr>
            <w:tcW w:w="140" w:type="dxa"/>
            <w:vAlign w:val="bottom"/>
          </w:tcPr>
          <w:p>
            <w:pPr>
              <w:spacing w:after="0"/>
              <w:rPr>
                <w:sz w:val="13"/>
                <w:szCs w:val="13"/>
                <w:color w:val="auto"/>
              </w:rPr>
            </w:pPr>
          </w:p>
        </w:tc>
        <w:tc>
          <w:tcPr>
            <w:tcW w:w="100" w:type="dxa"/>
            <w:vAlign w:val="bottom"/>
            <w:shd w:val="clear" w:color="auto" w:fill="58854E"/>
          </w:tcPr>
          <w:p>
            <w:pPr>
              <w:spacing w:after="0"/>
              <w:rPr>
                <w:sz w:val="13"/>
                <w:szCs w:val="13"/>
                <w:color w:val="auto"/>
              </w:rPr>
            </w:pPr>
          </w:p>
        </w:tc>
        <w:tc>
          <w:tcPr>
            <w:tcW w:w="8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EARNINGS ($)</w:t>
            </w:r>
          </w:p>
        </w:tc>
        <w:tc>
          <w:tcPr>
            <w:tcW w:w="20" w:type="dxa"/>
            <w:vAlign w:val="bottom"/>
          </w:tcPr>
          <w:p>
            <w:pPr>
              <w:spacing w:after="0"/>
              <w:rPr>
                <w:sz w:val="13"/>
                <w:szCs w:val="13"/>
                <w:color w:val="auto"/>
              </w:rPr>
            </w:pPr>
          </w:p>
        </w:tc>
      </w:tr>
      <w:tr>
        <w:trPr>
          <w:trHeight w:val="174"/>
        </w:trPr>
        <w:tc>
          <w:tcPr>
            <w:tcW w:w="980" w:type="dxa"/>
            <w:vAlign w:val="bottom"/>
          </w:tcPr>
          <w:p>
            <w:pPr>
              <w:ind w:left="80"/>
              <w:spacing w:after="0"/>
              <w:rPr>
                <w:sz w:val="20"/>
                <w:szCs w:val="20"/>
                <w:color w:val="auto"/>
              </w:rPr>
            </w:pPr>
            <w:r>
              <w:rPr>
                <w:rFonts w:ascii="Arial" w:cs="Arial" w:eastAsia="Arial" w:hAnsi="Arial"/>
                <w:sz w:val="15"/>
                <w:szCs w:val="15"/>
                <w:color w:val="auto"/>
              </w:rPr>
              <w:t>Christopher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980" w:type="dxa"/>
            <w:vAlign w:val="bottom"/>
            <w:tcBorders>
              <w:bottom w:val="single" w:sz="8" w:color="58844D"/>
            </w:tcBorders>
          </w:tcPr>
          <w:p>
            <w:pPr>
              <w:jc w:val="center"/>
              <w:spacing w:after="0" w:line="169" w:lineRule="exact"/>
              <w:rPr>
                <w:sz w:val="20"/>
                <w:szCs w:val="20"/>
                <w:color w:val="auto"/>
              </w:rPr>
            </w:pPr>
            <w:r>
              <w:rPr>
                <w:rFonts w:ascii="Arial" w:cs="Arial" w:eastAsia="Arial" w:hAnsi="Arial"/>
                <w:sz w:val="15"/>
                <w:szCs w:val="15"/>
                <w:color w:val="auto"/>
                <w:w w:val="98"/>
              </w:rPr>
              <w:t>S. Sotos</w:t>
            </w:r>
          </w:p>
        </w:tc>
        <w:tc>
          <w:tcPr>
            <w:tcW w:w="220" w:type="dxa"/>
            <w:vAlign w:val="bottom"/>
            <w:tcBorders>
              <w:bottom w:val="single" w:sz="8" w:color="58844D"/>
            </w:tcBorders>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58844D"/>
            </w:tcBorders>
            <w:gridSpan w:val="2"/>
          </w:tcPr>
          <w:p>
            <w:pPr>
              <w:ind w:left="280"/>
              <w:spacing w:after="0" w:line="169" w:lineRule="exact"/>
              <w:rPr>
                <w:sz w:val="20"/>
                <w:szCs w:val="20"/>
                <w:color w:val="auto"/>
              </w:rPr>
            </w:pPr>
            <w:r>
              <w:rPr>
                <w:rFonts w:ascii="Arial" w:cs="Arial" w:eastAsia="Arial" w:hAnsi="Arial"/>
                <w:sz w:val="15"/>
                <w:szCs w:val="15"/>
                <w:color w:val="auto"/>
              </w:rPr>
              <w:t>500,000</w:t>
            </w:r>
          </w:p>
        </w:tc>
        <w:tc>
          <w:tcPr>
            <w:tcW w:w="1160" w:type="dxa"/>
            <w:vAlign w:val="bottom"/>
            <w:tcBorders>
              <w:bottom w:val="single" w:sz="8" w:color="58844D"/>
            </w:tcBorders>
            <w:gridSpan w:val="3"/>
          </w:tcPr>
          <w:p>
            <w:pPr>
              <w:jc w:val="right"/>
              <w:ind w:right="20"/>
              <w:spacing w:after="0" w:line="169" w:lineRule="exact"/>
              <w:rPr>
                <w:sz w:val="20"/>
                <w:szCs w:val="20"/>
                <w:color w:val="auto"/>
              </w:rPr>
            </w:pPr>
            <w:r>
              <w:rPr>
                <w:rFonts w:ascii="Arial" w:cs="Arial" w:eastAsia="Arial" w:hAnsi="Arial"/>
                <w:sz w:val="15"/>
                <w:szCs w:val="15"/>
                <w:color w:val="auto"/>
              </w:rPr>
              <w:t>0%$</w:t>
            </w:r>
          </w:p>
        </w:tc>
        <w:tc>
          <w:tcPr>
            <w:tcW w:w="880" w:type="dxa"/>
            <w:vAlign w:val="bottom"/>
            <w:tcBorders>
              <w:bottom w:val="single" w:sz="8" w:color="58844D"/>
            </w:tcBorders>
            <w:gridSpan w:val="2"/>
          </w:tcPr>
          <w:p>
            <w:pPr>
              <w:jc w:val="right"/>
              <w:spacing w:after="0" w:line="169" w:lineRule="exact"/>
              <w:rPr>
                <w:sz w:val="20"/>
                <w:szCs w:val="20"/>
                <w:color w:val="auto"/>
              </w:rPr>
            </w:pPr>
            <w:r>
              <w:rPr>
                <w:rFonts w:ascii="Arial" w:cs="Arial" w:eastAsia="Arial" w:hAnsi="Arial"/>
                <w:sz w:val="15"/>
                <w:szCs w:val="15"/>
                <w:color w:val="auto"/>
              </w:rPr>
              <w:t>500,000</w:t>
            </w:r>
          </w:p>
        </w:tc>
      </w:tr>
      <w:tr>
        <w:trPr>
          <w:trHeight w:val="148"/>
        </w:trPr>
        <w:tc>
          <w:tcPr>
            <w:tcW w:w="980" w:type="dxa"/>
            <w:vAlign w:val="bottom"/>
          </w:tcPr>
          <w:p>
            <w:pPr>
              <w:jc w:val="center"/>
              <w:spacing w:after="0" w:line="149" w:lineRule="exact"/>
              <w:rPr>
                <w:sz w:val="20"/>
                <w:szCs w:val="20"/>
                <w:color w:val="auto"/>
              </w:rPr>
            </w:pPr>
            <w:r>
              <w:rPr>
                <w:rFonts w:ascii="Arial" w:cs="Arial" w:eastAsia="Arial" w:hAnsi="Arial"/>
                <w:sz w:val="15"/>
                <w:szCs w:val="15"/>
                <w:color w:val="auto"/>
                <w:w w:val="98"/>
              </w:rPr>
              <w:t>Chad Plotkin</w:t>
            </w:r>
          </w:p>
        </w:tc>
        <w:tc>
          <w:tcPr>
            <w:tcW w:w="2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w:t>
            </w:r>
          </w:p>
        </w:tc>
        <w:tc>
          <w:tcPr>
            <w:tcW w:w="940" w:type="dxa"/>
            <w:vAlign w:val="bottom"/>
            <w:gridSpan w:val="2"/>
          </w:tcPr>
          <w:p>
            <w:pPr>
              <w:ind w:left="280"/>
              <w:spacing w:after="0" w:line="149" w:lineRule="exact"/>
              <w:rPr>
                <w:sz w:val="20"/>
                <w:szCs w:val="20"/>
                <w:color w:val="auto"/>
              </w:rPr>
            </w:pPr>
            <w:r>
              <w:rPr>
                <w:rFonts w:ascii="Arial" w:cs="Arial" w:eastAsia="Arial" w:hAnsi="Arial"/>
                <w:sz w:val="15"/>
                <w:szCs w:val="15"/>
                <w:color w:val="auto"/>
              </w:rPr>
              <w:t>350,000</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5"/>
                <w:szCs w:val="15"/>
                <w:color w:val="auto"/>
              </w:rPr>
              <w:t>0%$</w:t>
            </w:r>
          </w:p>
        </w:tc>
        <w:tc>
          <w:tcPr>
            <w:tcW w:w="88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350,000</w:t>
            </w:r>
          </w:p>
        </w:tc>
      </w:tr>
    </w:tbl>
    <w:p>
      <w:pPr>
        <w:ind w:left="909" w:hanging="307"/>
        <w:spacing w:after="0" w:line="203" w:lineRule="auto"/>
        <w:tabs>
          <w:tab w:leader="none" w:pos="909" w:val="left"/>
        </w:tabs>
        <w:numPr>
          <w:ilvl w:val="0"/>
          <w:numId w:val="51"/>
        </w:numPr>
        <w:rPr>
          <w:rFonts w:ascii="Arial" w:cs="Arial" w:eastAsia="Arial" w:hAnsi="Arial"/>
          <w:sz w:val="18"/>
          <w:szCs w:val="18"/>
          <w:color w:val="58844D"/>
          <w:vertAlign w:val="superscript"/>
        </w:rPr>
      </w:pPr>
      <w:r>
        <w:rPr>
          <w:rFonts w:ascii="Arial" w:cs="Arial" w:eastAsia="Arial" w:hAnsi="Arial"/>
          <w:sz w:val="12"/>
          <w:szCs w:val="12"/>
          <w:color w:val="auto"/>
        </w:rPr>
        <w:t>As compared to the December 31, 2016 annualized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-101600</wp:posOffset>
            </wp:positionV>
            <wp:extent cx="2729230" cy="93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29230" cy="93980"/>
                    </a:xfrm>
                    <a:prstGeom prst="rect">
                      <a:avLst/>
                    </a:prstGeom>
                    <a:noFill/>
                  </pic:spPr>
                </pic:pic>
              </a:graphicData>
            </a:graphic>
          </wp:anchor>
        </w:drawing>
      </w:r>
    </w:p>
    <w:p>
      <w:pPr>
        <w:spacing w:after="0" w:line="152" w:lineRule="exact"/>
        <w:rPr>
          <w:sz w:val="20"/>
          <w:szCs w:val="20"/>
          <w:color w:val="auto"/>
        </w:rPr>
      </w:pPr>
    </w:p>
    <w:p>
      <w:pPr>
        <w:ind w:left="9" w:right="20"/>
        <w:spacing w:after="0" w:line="245" w:lineRule="auto"/>
        <w:rPr>
          <w:sz w:val="20"/>
          <w:szCs w:val="20"/>
          <w:color w:val="auto"/>
        </w:rPr>
      </w:pPr>
      <w:r>
        <w:rPr>
          <w:rFonts w:ascii="Arial" w:cs="Arial" w:eastAsia="Arial" w:hAnsi="Arial"/>
          <w:sz w:val="15"/>
          <w:szCs w:val="15"/>
          <w:color w:val="auto"/>
        </w:rPr>
        <w:t>For 2018, the base salaries for Messrs. Sotos and Plotkin were not increased and continue to be $500,000 and $350,000, respectively.</w:t>
      </w:r>
    </w:p>
    <w:p>
      <w:pPr>
        <w:spacing w:after="0" w:line="164" w:lineRule="exact"/>
        <w:rPr>
          <w:sz w:val="20"/>
          <w:szCs w:val="20"/>
          <w:color w:val="auto"/>
        </w:rPr>
      </w:pPr>
    </w:p>
    <w:p>
      <w:pPr>
        <w:ind w:left="9"/>
        <w:spacing w:after="0"/>
        <w:rPr>
          <w:sz w:val="20"/>
          <w:szCs w:val="20"/>
          <w:color w:val="auto"/>
        </w:rPr>
      </w:pPr>
      <w:r>
        <w:rPr>
          <w:rFonts w:ascii="Arial" w:cs="Arial" w:eastAsia="Arial" w:hAnsi="Arial"/>
          <w:sz w:val="18"/>
          <w:szCs w:val="18"/>
          <w:color w:val="58844D"/>
        </w:rPr>
        <w:t>Annual Incentive Compensation</w:t>
      </w:r>
    </w:p>
    <w:p>
      <w:pPr>
        <w:spacing w:after="0" w:line="17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58844D"/>
        </w:rPr>
        <w:t>OVERVIEW</w:t>
      </w:r>
    </w:p>
    <w:p>
      <w:pPr>
        <w:spacing w:after="0" w:line="199" w:lineRule="exact"/>
        <w:rPr>
          <w:sz w:val="20"/>
          <w:szCs w:val="20"/>
          <w:color w:val="auto"/>
        </w:rPr>
      </w:pPr>
    </w:p>
    <w:p>
      <w:pPr>
        <w:ind w:left="9" w:right="20"/>
        <w:spacing w:after="0" w:line="239" w:lineRule="auto"/>
        <w:rPr>
          <w:sz w:val="20"/>
          <w:szCs w:val="20"/>
          <w:color w:val="auto"/>
        </w:rPr>
      </w:pPr>
      <w:r>
        <w:rPr>
          <w:rFonts w:ascii="Arial" w:cs="Arial" w:eastAsia="Arial" w:hAnsi="Arial"/>
          <w:sz w:val="15"/>
          <w:szCs w:val="15"/>
          <w:color w:val="auto"/>
        </w:rPr>
        <w:t>In 2017, the NEOs' annual incentive bonus compensation awards (AIP bonuses) were made under our AIP, adopted by the Board in December 2016. AIP bonuses are short-term compensation designed to compensate NEOs for meeting annual Company and individual goals, both financial and non-financial. The AIP bonus opportunity is defined as a percentage of each NEO's annual base salary. AIP bonuses are subject to the following requirements:</w:t>
      </w:r>
    </w:p>
    <w:p>
      <w:pPr>
        <w:spacing w:after="0" w:line="178" w:lineRule="exact"/>
        <w:rPr>
          <w:sz w:val="20"/>
          <w:szCs w:val="20"/>
          <w:color w:val="auto"/>
        </w:rPr>
      </w:pPr>
    </w:p>
    <w:p>
      <w:pPr>
        <w:ind w:left="449" w:hanging="449"/>
        <w:spacing w:after="0" w:line="238" w:lineRule="auto"/>
        <w:tabs>
          <w:tab w:leader="none" w:pos="449" w:val="left"/>
        </w:tabs>
        <w:numPr>
          <w:ilvl w:val="0"/>
          <w:numId w:val="52"/>
        </w:numPr>
        <w:rPr>
          <w:rFonts w:ascii="Arial" w:cs="Arial" w:eastAsia="Arial" w:hAnsi="Arial"/>
          <w:sz w:val="15"/>
          <w:szCs w:val="15"/>
          <w:color w:val="58844D"/>
        </w:rPr>
      </w:pPr>
      <w:r>
        <w:rPr>
          <w:rFonts w:ascii="Arial" w:cs="Arial" w:eastAsia="Arial" w:hAnsi="Arial"/>
          <w:sz w:val="15"/>
          <w:szCs w:val="15"/>
          <w:color w:val="auto"/>
        </w:rPr>
        <w:t>A threshold CAFD performance metric (AIP Gate) is established for each plan year at a level the Compensation Committee believes is appropriate for a minimally acceptable level of financial performance.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If the AIP Gate is not achieved, no AIP bonuses are paid, regardless of performance in any other metrics. For 2017, the AIP Gate was $225 million, a level the Compensation Committee believes was appropriate for a minimally acceptable level of financial performance.</w:t>
      </w:r>
    </w:p>
    <w:p>
      <w:pPr>
        <w:spacing w:after="0" w:line="181" w:lineRule="exact"/>
        <w:rPr>
          <w:rFonts w:ascii="Arial" w:cs="Arial" w:eastAsia="Arial" w:hAnsi="Arial"/>
          <w:sz w:val="15"/>
          <w:szCs w:val="15"/>
          <w:color w:val="58844D"/>
        </w:rPr>
      </w:pPr>
    </w:p>
    <w:p>
      <w:pPr>
        <w:ind w:left="449" w:right="120" w:hanging="449"/>
        <w:spacing w:after="0" w:line="263" w:lineRule="auto"/>
        <w:tabs>
          <w:tab w:leader="none" w:pos="449" w:val="left"/>
        </w:tabs>
        <w:numPr>
          <w:ilvl w:val="0"/>
          <w:numId w:val="52"/>
        </w:numPr>
        <w:rPr>
          <w:rFonts w:ascii="Arial" w:cs="Arial" w:eastAsia="Arial" w:hAnsi="Arial"/>
          <w:sz w:val="14"/>
          <w:szCs w:val="14"/>
          <w:color w:val="58844D"/>
        </w:rPr>
      </w:pPr>
      <w:r>
        <w:rPr>
          <w:rFonts w:ascii="Arial" w:cs="Arial" w:eastAsia="Arial" w:hAnsi="Arial"/>
          <w:sz w:val="14"/>
          <w:szCs w:val="14"/>
          <w:color w:val="auto"/>
        </w:rPr>
        <w:t>Beyond serving as a "gate" to any payout, CAFD is also a distinct portion of our annual incentive framework. The Compensation Committee establishes threshold, target, and maximum levels of achievement for the CAFD goal, with the target set to be challenging but achievable. For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41</w:t>
      </w:r>
    </w:p>
    <w:p>
      <w:pPr>
        <w:spacing w:after="0" w:line="376" w:lineRule="exact"/>
        <w:rPr>
          <w:sz w:val="20"/>
          <w:szCs w:val="20"/>
          <w:color w:val="auto"/>
        </w:rPr>
      </w:pPr>
    </w:p>
    <w:p>
      <w:pPr>
        <w:ind w:left="463" w:right="40"/>
        <w:spacing w:after="0" w:line="267" w:lineRule="auto"/>
        <w:rPr>
          <w:sz w:val="20"/>
          <w:szCs w:val="20"/>
          <w:color w:val="auto"/>
        </w:rPr>
      </w:pPr>
      <w:r>
        <w:rPr>
          <w:rFonts w:ascii="Arial" w:cs="Arial" w:eastAsia="Arial" w:hAnsi="Arial"/>
          <w:sz w:val="14"/>
          <w:szCs w:val="14"/>
          <w:color w:val="auto"/>
        </w:rPr>
        <w:t>2017, the CAFD threshold was $225 million, target was $255 million, and maximum was $285 million. The Company achieved CAFD of approximately $267 million, surpassing the AIP Gate and the CAFD target.</w:t>
      </w:r>
    </w:p>
    <w:p>
      <w:pPr>
        <w:spacing w:after="0" w:line="158" w:lineRule="exact"/>
        <w:rPr>
          <w:sz w:val="20"/>
          <w:szCs w:val="20"/>
          <w:color w:val="auto"/>
        </w:rPr>
      </w:pPr>
    </w:p>
    <w:p>
      <w:pPr>
        <w:ind w:left="463" w:right="20" w:hanging="463"/>
        <w:spacing w:after="0" w:line="257" w:lineRule="auto"/>
        <w:tabs>
          <w:tab w:leader="none" w:pos="463" w:val="left"/>
        </w:tabs>
        <w:numPr>
          <w:ilvl w:val="0"/>
          <w:numId w:val="53"/>
        </w:numPr>
        <w:rPr>
          <w:rFonts w:ascii="Arial" w:cs="Arial" w:eastAsia="Arial" w:hAnsi="Arial"/>
          <w:sz w:val="14"/>
          <w:szCs w:val="14"/>
          <w:color w:val="58844D"/>
        </w:rPr>
      </w:pPr>
      <w:r>
        <w:rPr>
          <w:rFonts w:ascii="Arial" w:cs="Arial" w:eastAsia="Arial" w:hAnsi="Arial"/>
          <w:sz w:val="14"/>
          <w:szCs w:val="14"/>
          <w:color w:val="auto"/>
        </w:rPr>
        <w:t>Achievement of "key milestones" performance metrics are also established as a defined annual incentive category. The Compensation Committee establishes threshold, target, and maximum levels of performance for this category based on the number of milestones achieved. For 2017, threshold performance required the achievement of four out of nine key milestones, target performance required the achievement of six out of nine key milestones, and maximum performance required the achievement of eight out of nine key milestones. Each of the key milestones is set forth in the chart below. Target was surpassed with the achievement of seven out of nine key milestones in 2017.</w:t>
      </w:r>
    </w:p>
    <w:p>
      <w:pPr>
        <w:spacing w:after="0" w:line="165" w:lineRule="exact"/>
        <w:rPr>
          <w:sz w:val="20"/>
          <w:szCs w:val="20"/>
          <w:color w:val="auto"/>
        </w:rPr>
      </w:pPr>
    </w:p>
    <w:tbl>
      <w:tblPr>
        <w:tblLayout w:type="fixed"/>
        <w:tblInd w:w="543" w:type="dxa"/>
        <w:tblCellMar>
          <w:top w:w="0" w:type="dxa"/>
          <w:left w:w="0" w:type="dxa"/>
          <w:bottom w:w="0" w:type="dxa"/>
          <w:right w:w="0" w:type="dxa"/>
        </w:tblCellMar>
      </w:tblPr>
      <w:tr>
        <w:trPr>
          <w:trHeight w:val="138"/>
        </w:trPr>
        <w:tc>
          <w:tcPr>
            <w:tcW w:w="164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MILESTONE</w:t>
            </w:r>
          </w:p>
        </w:tc>
        <w:tc>
          <w:tcPr>
            <w:tcW w:w="40" w:type="dxa"/>
            <w:vAlign w:val="bottom"/>
          </w:tcPr>
          <w:p>
            <w:pPr>
              <w:spacing w:after="0"/>
              <w:rPr>
                <w:sz w:val="12"/>
                <w:szCs w:val="12"/>
                <w:color w:val="auto"/>
              </w:rPr>
            </w:pPr>
          </w:p>
        </w:tc>
        <w:tc>
          <w:tcPr>
            <w:tcW w:w="202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ACHIEVEMENT REQUIRED</w:t>
            </w:r>
          </w:p>
        </w:tc>
        <w:tc>
          <w:tcPr>
            <w:tcW w:w="40" w:type="dxa"/>
            <w:vAlign w:val="bottom"/>
          </w:tcPr>
          <w:p>
            <w:pPr>
              <w:spacing w:after="0"/>
              <w:rPr>
                <w:sz w:val="12"/>
                <w:szCs w:val="12"/>
                <w:color w:val="auto"/>
              </w:rPr>
            </w:pPr>
          </w:p>
        </w:tc>
        <w:tc>
          <w:tcPr>
            <w:tcW w:w="5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9"/>
                <w:shd w:val="clear" w:color="auto" w:fill="58854E"/>
              </w:rPr>
              <w:t>STATUS</w:t>
            </w:r>
          </w:p>
        </w:tc>
        <w:tc>
          <w:tcPr>
            <w:tcW w:w="0" w:type="dxa"/>
            <w:vAlign w:val="bottom"/>
          </w:tcPr>
          <w:p>
            <w:pPr>
              <w:spacing w:after="0"/>
              <w:rPr>
                <w:sz w:val="1"/>
                <w:szCs w:val="1"/>
                <w:color w:val="auto"/>
              </w:rPr>
            </w:pPr>
          </w:p>
        </w:tc>
      </w:tr>
      <w:tr>
        <w:trPr>
          <w:trHeight w:val="141"/>
        </w:trPr>
        <w:tc>
          <w:tcPr>
            <w:tcW w:w="1640" w:type="dxa"/>
            <w:vAlign w:val="bottom"/>
          </w:tcPr>
          <w:p>
            <w:pPr>
              <w:jc w:val="center"/>
              <w:spacing w:after="0"/>
              <w:rPr>
                <w:sz w:val="20"/>
                <w:szCs w:val="20"/>
                <w:color w:val="auto"/>
              </w:rPr>
            </w:pPr>
            <w:r>
              <w:rPr>
                <w:rFonts w:ascii="Arial" w:cs="Arial" w:eastAsia="Arial" w:hAnsi="Arial"/>
                <w:sz w:val="12"/>
                <w:szCs w:val="12"/>
                <w:color w:val="auto"/>
              </w:rPr>
              <w:t>Credit Rating</w:t>
            </w:r>
          </w:p>
        </w:tc>
        <w:tc>
          <w:tcPr>
            <w:tcW w:w="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2"/>
                <w:szCs w:val="12"/>
                <w:color w:val="auto"/>
              </w:rPr>
              <w:t>Rating of BB/Ba2 or better from S&amp;P</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40" w:type="dxa"/>
            <w:vAlign w:val="bottom"/>
            <w:tcBorders>
              <w:bottom w:val="single" w:sz="8" w:color="58854E"/>
            </w:tcBorders>
          </w:tcPr>
          <w:p>
            <w:pPr>
              <w:spacing w:after="0"/>
              <w:rPr>
                <w:sz w:val="11"/>
                <w:szCs w:val="11"/>
                <w:color w:val="auto"/>
              </w:rPr>
            </w:pPr>
          </w:p>
        </w:tc>
        <w:tc>
          <w:tcPr>
            <w:tcW w:w="40" w:type="dxa"/>
            <w:vAlign w:val="bottom"/>
            <w:tcBorders>
              <w:bottom w:val="single" w:sz="8" w:color="58854E"/>
            </w:tcBorders>
          </w:tcPr>
          <w:p>
            <w:pPr>
              <w:spacing w:after="0"/>
              <w:rPr>
                <w:sz w:val="11"/>
                <w:szCs w:val="11"/>
                <w:color w:val="auto"/>
              </w:rPr>
            </w:pPr>
          </w:p>
        </w:tc>
        <w:tc>
          <w:tcPr>
            <w:tcW w:w="202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w w:val="99"/>
              </w:rPr>
              <w:t>or Moody's</w:t>
            </w:r>
          </w:p>
        </w:tc>
        <w:tc>
          <w:tcPr>
            <w:tcW w:w="40" w:type="dxa"/>
            <w:vAlign w:val="bottom"/>
            <w:tcBorders>
              <w:bottom w:val="single" w:sz="8" w:color="58854E"/>
            </w:tcBorders>
          </w:tcPr>
          <w:p>
            <w:pPr>
              <w:spacing w:after="0"/>
              <w:rPr>
                <w:sz w:val="11"/>
                <w:szCs w:val="11"/>
                <w:color w:val="auto"/>
              </w:rPr>
            </w:pPr>
          </w:p>
        </w:tc>
        <w:tc>
          <w:tcPr>
            <w:tcW w:w="56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Achieved</w:t>
            </w:r>
          </w:p>
        </w:tc>
        <w:tc>
          <w:tcPr>
            <w:tcW w:w="0" w:type="dxa"/>
            <w:vAlign w:val="bottom"/>
          </w:tcPr>
          <w:p>
            <w:pPr>
              <w:spacing w:after="0"/>
              <w:rPr>
                <w:sz w:val="1"/>
                <w:szCs w:val="1"/>
                <w:color w:val="auto"/>
              </w:rPr>
            </w:pPr>
          </w:p>
        </w:tc>
      </w:tr>
      <w:tr>
        <w:trPr>
          <w:trHeight w:val="132"/>
        </w:trPr>
        <w:tc>
          <w:tcPr>
            <w:tcW w:w="1640" w:type="dxa"/>
            <w:vAlign w:val="bottom"/>
          </w:tcPr>
          <w:p>
            <w:pPr>
              <w:jc w:val="center"/>
              <w:spacing w:after="0" w:line="132" w:lineRule="exact"/>
              <w:rPr>
                <w:sz w:val="20"/>
                <w:szCs w:val="20"/>
                <w:color w:val="auto"/>
              </w:rPr>
            </w:pPr>
            <w:r>
              <w:rPr>
                <w:rFonts w:ascii="Arial" w:cs="Arial" w:eastAsia="Arial" w:hAnsi="Arial"/>
                <w:sz w:val="12"/>
                <w:szCs w:val="12"/>
                <w:color w:val="auto"/>
              </w:rPr>
              <w:t>Dividend Per Share Growth</w:t>
            </w:r>
          </w:p>
        </w:tc>
        <w:tc>
          <w:tcPr>
            <w:tcW w:w="40" w:type="dxa"/>
            <w:vAlign w:val="bottom"/>
          </w:tcPr>
          <w:p>
            <w:pPr>
              <w:spacing w:after="0"/>
              <w:rPr>
                <w:sz w:val="11"/>
                <w:szCs w:val="11"/>
                <w:color w:val="auto"/>
              </w:rPr>
            </w:pPr>
          </w:p>
        </w:tc>
        <w:tc>
          <w:tcPr>
            <w:tcW w:w="2020" w:type="dxa"/>
            <w:vAlign w:val="bottom"/>
          </w:tcPr>
          <w:p>
            <w:pPr>
              <w:jc w:val="center"/>
              <w:spacing w:after="0" w:line="132" w:lineRule="exact"/>
              <w:rPr>
                <w:sz w:val="20"/>
                <w:szCs w:val="20"/>
                <w:color w:val="auto"/>
              </w:rPr>
            </w:pPr>
            <w:r>
              <w:rPr>
                <w:rFonts w:ascii="Arial" w:cs="Arial" w:eastAsia="Arial" w:hAnsi="Arial"/>
                <w:sz w:val="12"/>
                <w:szCs w:val="12"/>
                <w:color w:val="auto"/>
              </w:rPr>
              <w:t>15% dividend per share growth, 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tcBorders>
              <w:bottom w:val="single" w:sz="8" w:color="58854E"/>
            </w:tcBorders>
          </w:tcPr>
          <w:p>
            <w:pPr>
              <w:spacing w:after="0"/>
              <w:rPr>
                <w:sz w:val="11"/>
                <w:szCs w:val="11"/>
                <w:color w:val="auto"/>
              </w:rPr>
            </w:pPr>
          </w:p>
        </w:tc>
        <w:tc>
          <w:tcPr>
            <w:tcW w:w="40" w:type="dxa"/>
            <w:vAlign w:val="bottom"/>
            <w:tcBorders>
              <w:bottom w:val="single" w:sz="8" w:color="58854E"/>
            </w:tcBorders>
          </w:tcPr>
          <w:p>
            <w:pPr>
              <w:spacing w:after="0"/>
              <w:rPr>
                <w:sz w:val="11"/>
                <w:szCs w:val="11"/>
                <w:color w:val="auto"/>
              </w:rPr>
            </w:pPr>
          </w:p>
        </w:tc>
        <w:tc>
          <w:tcPr>
            <w:tcW w:w="202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an annualized basis, in 2017</w:t>
            </w:r>
          </w:p>
        </w:tc>
        <w:tc>
          <w:tcPr>
            <w:tcW w:w="40" w:type="dxa"/>
            <w:vAlign w:val="bottom"/>
            <w:tcBorders>
              <w:bottom w:val="single" w:sz="8" w:color="58854E"/>
            </w:tcBorders>
          </w:tcPr>
          <w:p>
            <w:pPr>
              <w:spacing w:after="0"/>
              <w:rPr>
                <w:sz w:val="11"/>
                <w:szCs w:val="11"/>
                <w:color w:val="auto"/>
              </w:rPr>
            </w:pPr>
          </w:p>
        </w:tc>
        <w:tc>
          <w:tcPr>
            <w:tcW w:w="56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Achieved</w:t>
            </w:r>
          </w:p>
        </w:tc>
        <w:tc>
          <w:tcPr>
            <w:tcW w:w="0" w:type="dxa"/>
            <w:vAlign w:val="bottom"/>
          </w:tcPr>
          <w:p>
            <w:pPr>
              <w:spacing w:after="0"/>
              <w:rPr>
                <w:sz w:val="1"/>
                <w:szCs w:val="1"/>
                <w:color w:val="auto"/>
              </w:rPr>
            </w:pPr>
          </w:p>
        </w:tc>
      </w:tr>
      <w:tr>
        <w:trPr>
          <w:trHeight w:val="132"/>
        </w:trPr>
        <w:tc>
          <w:tcPr>
            <w:tcW w:w="1640" w:type="dxa"/>
            <w:vAlign w:val="bottom"/>
          </w:tcPr>
          <w:p>
            <w:pPr>
              <w:jc w:val="center"/>
              <w:spacing w:after="0" w:line="132" w:lineRule="exact"/>
              <w:rPr>
                <w:sz w:val="20"/>
                <w:szCs w:val="20"/>
                <w:color w:val="auto"/>
              </w:rPr>
            </w:pPr>
            <w:r>
              <w:rPr>
                <w:rFonts w:ascii="Arial" w:cs="Arial" w:eastAsia="Arial" w:hAnsi="Arial"/>
                <w:sz w:val="12"/>
                <w:szCs w:val="12"/>
                <w:color w:val="auto"/>
              </w:rPr>
              <w:t>Capital Deployment</w:t>
            </w:r>
          </w:p>
        </w:tc>
        <w:tc>
          <w:tcPr>
            <w:tcW w:w="40" w:type="dxa"/>
            <w:vAlign w:val="bottom"/>
          </w:tcPr>
          <w:p>
            <w:pPr>
              <w:spacing w:after="0"/>
              <w:rPr>
                <w:sz w:val="11"/>
                <w:szCs w:val="11"/>
                <w:color w:val="auto"/>
              </w:rPr>
            </w:pPr>
          </w:p>
        </w:tc>
        <w:tc>
          <w:tcPr>
            <w:tcW w:w="2020" w:type="dxa"/>
            <w:vAlign w:val="bottom"/>
          </w:tcPr>
          <w:p>
            <w:pPr>
              <w:jc w:val="center"/>
              <w:spacing w:after="0" w:line="132" w:lineRule="exact"/>
              <w:rPr>
                <w:sz w:val="20"/>
                <w:szCs w:val="20"/>
                <w:color w:val="auto"/>
              </w:rPr>
            </w:pPr>
            <w:r>
              <w:rPr>
                <w:rFonts w:ascii="Arial" w:cs="Arial" w:eastAsia="Arial" w:hAnsi="Arial"/>
                <w:sz w:val="12"/>
                <w:szCs w:val="12"/>
                <w:color w:val="auto"/>
              </w:rPr>
              <w:t>At least $280 million of capital</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color w:val="auto"/>
              </w:rPr>
              <w:t>deployed, closed or committed by</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tcBorders>
              <w:bottom w:val="single" w:sz="8" w:color="58854E"/>
            </w:tcBorders>
          </w:tcPr>
          <w:p>
            <w:pPr>
              <w:spacing w:after="0"/>
              <w:rPr>
                <w:sz w:val="11"/>
                <w:szCs w:val="11"/>
                <w:color w:val="auto"/>
              </w:rPr>
            </w:pPr>
          </w:p>
        </w:tc>
        <w:tc>
          <w:tcPr>
            <w:tcW w:w="40" w:type="dxa"/>
            <w:vAlign w:val="bottom"/>
            <w:tcBorders>
              <w:bottom w:val="single" w:sz="8" w:color="58854E"/>
            </w:tcBorders>
          </w:tcPr>
          <w:p>
            <w:pPr>
              <w:spacing w:after="0"/>
              <w:rPr>
                <w:sz w:val="11"/>
                <w:szCs w:val="11"/>
                <w:color w:val="auto"/>
              </w:rPr>
            </w:pPr>
          </w:p>
        </w:tc>
        <w:tc>
          <w:tcPr>
            <w:tcW w:w="202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December 31, 2017</w:t>
            </w:r>
          </w:p>
        </w:tc>
        <w:tc>
          <w:tcPr>
            <w:tcW w:w="40" w:type="dxa"/>
            <w:vAlign w:val="bottom"/>
            <w:tcBorders>
              <w:bottom w:val="single" w:sz="8" w:color="58854E"/>
            </w:tcBorders>
          </w:tcPr>
          <w:p>
            <w:pPr>
              <w:spacing w:after="0"/>
              <w:rPr>
                <w:sz w:val="11"/>
                <w:szCs w:val="11"/>
                <w:color w:val="auto"/>
              </w:rPr>
            </w:pPr>
          </w:p>
        </w:tc>
        <w:tc>
          <w:tcPr>
            <w:tcW w:w="56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Achieved</w:t>
            </w:r>
          </w:p>
        </w:tc>
        <w:tc>
          <w:tcPr>
            <w:tcW w:w="0" w:type="dxa"/>
            <w:vAlign w:val="bottom"/>
          </w:tcPr>
          <w:p>
            <w:pPr>
              <w:spacing w:after="0"/>
              <w:rPr>
                <w:sz w:val="1"/>
                <w:szCs w:val="1"/>
                <w:color w:val="auto"/>
              </w:rPr>
            </w:pPr>
          </w:p>
        </w:tc>
      </w:tr>
      <w:tr>
        <w:trPr>
          <w:trHeight w:val="132"/>
        </w:trPr>
        <w:tc>
          <w:tcPr>
            <w:tcW w:w="1640" w:type="dxa"/>
            <w:vAlign w:val="bottom"/>
          </w:tcPr>
          <w:p>
            <w:pPr>
              <w:jc w:val="center"/>
              <w:spacing w:after="0" w:line="132" w:lineRule="exact"/>
              <w:rPr>
                <w:sz w:val="20"/>
                <w:szCs w:val="20"/>
                <w:color w:val="auto"/>
              </w:rPr>
            </w:pPr>
            <w:r>
              <w:rPr>
                <w:rFonts w:ascii="Arial" w:cs="Arial" w:eastAsia="Arial" w:hAnsi="Arial"/>
                <w:sz w:val="12"/>
                <w:szCs w:val="12"/>
                <w:color w:val="auto"/>
              </w:rPr>
              <w:t>Capital Deployment</w:t>
            </w:r>
          </w:p>
        </w:tc>
        <w:tc>
          <w:tcPr>
            <w:tcW w:w="40" w:type="dxa"/>
            <w:vAlign w:val="bottom"/>
          </w:tcPr>
          <w:p>
            <w:pPr>
              <w:spacing w:after="0"/>
              <w:rPr>
                <w:sz w:val="11"/>
                <w:szCs w:val="11"/>
                <w:color w:val="auto"/>
              </w:rPr>
            </w:pPr>
          </w:p>
        </w:tc>
        <w:tc>
          <w:tcPr>
            <w:tcW w:w="2020" w:type="dxa"/>
            <w:vAlign w:val="bottom"/>
          </w:tcPr>
          <w:p>
            <w:pPr>
              <w:jc w:val="center"/>
              <w:spacing w:after="0" w:line="132" w:lineRule="exact"/>
              <w:rPr>
                <w:sz w:val="20"/>
                <w:szCs w:val="20"/>
                <w:color w:val="auto"/>
              </w:rPr>
            </w:pPr>
            <w:r>
              <w:rPr>
                <w:rFonts w:ascii="Arial" w:cs="Arial" w:eastAsia="Arial" w:hAnsi="Arial"/>
                <w:sz w:val="12"/>
                <w:szCs w:val="12"/>
                <w:color w:val="auto"/>
              </w:rPr>
              <w:t>At least $400 million of capital</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color w:val="auto"/>
              </w:rPr>
              <w:t>deployed, closed or committed by</w:t>
            </w:r>
          </w:p>
        </w:tc>
        <w:tc>
          <w:tcPr>
            <w:tcW w:w="4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Arial" w:cs="Arial" w:eastAsia="Arial" w:hAnsi="Arial"/>
                <w:sz w:val="12"/>
                <w:szCs w:val="12"/>
                <w:color w:val="auto"/>
              </w:rPr>
              <w:t>Not</w:t>
            </w:r>
          </w:p>
        </w:tc>
        <w:tc>
          <w:tcPr>
            <w:tcW w:w="0" w:type="dxa"/>
            <w:vAlign w:val="bottom"/>
          </w:tcPr>
          <w:p>
            <w:pPr>
              <w:spacing w:after="0"/>
              <w:rPr>
                <w:sz w:val="1"/>
                <w:szCs w:val="1"/>
                <w:color w:val="auto"/>
              </w:rPr>
            </w:pPr>
          </w:p>
        </w:tc>
      </w:tr>
      <w:tr>
        <w:trPr>
          <w:trHeight w:val="133"/>
        </w:trPr>
        <w:tc>
          <w:tcPr>
            <w:tcW w:w="1640" w:type="dxa"/>
            <w:vAlign w:val="bottom"/>
            <w:tcBorders>
              <w:bottom w:val="single" w:sz="8" w:color="58854E"/>
            </w:tcBorders>
          </w:tcPr>
          <w:p>
            <w:pPr>
              <w:spacing w:after="0"/>
              <w:rPr>
                <w:sz w:val="11"/>
                <w:szCs w:val="11"/>
                <w:color w:val="auto"/>
              </w:rPr>
            </w:pPr>
          </w:p>
        </w:tc>
        <w:tc>
          <w:tcPr>
            <w:tcW w:w="40" w:type="dxa"/>
            <w:vAlign w:val="bottom"/>
            <w:tcBorders>
              <w:bottom w:val="single" w:sz="8" w:color="58854E"/>
            </w:tcBorders>
          </w:tcPr>
          <w:p>
            <w:pPr>
              <w:spacing w:after="0"/>
              <w:rPr>
                <w:sz w:val="11"/>
                <w:szCs w:val="11"/>
                <w:color w:val="auto"/>
              </w:rPr>
            </w:pPr>
          </w:p>
        </w:tc>
        <w:tc>
          <w:tcPr>
            <w:tcW w:w="202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December 31, 2017</w:t>
            </w:r>
          </w:p>
        </w:tc>
        <w:tc>
          <w:tcPr>
            <w:tcW w:w="40" w:type="dxa"/>
            <w:vAlign w:val="bottom"/>
            <w:tcBorders>
              <w:bottom w:val="single" w:sz="8" w:color="58854E"/>
            </w:tcBorders>
          </w:tcPr>
          <w:p>
            <w:pPr>
              <w:spacing w:after="0"/>
              <w:rPr>
                <w:sz w:val="11"/>
                <w:szCs w:val="11"/>
                <w:color w:val="auto"/>
              </w:rPr>
            </w:pPr>
          </w:p>
        </w:tc>
        <w:tc>
          <w:tcPr>
            <w:tcW w:w="56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Achieved</w:t>
            </w:r>
          </w:p>
        </w:tc>
        <w:tc>
          <w:tcPr>
            <w:tcW w:w="0" w:type="dxa"/>
            <w:vAlign w:val="bottom"/>
          </w:tcPr>
          <w:p>
            <w:pPr>
              <w:spacing w:after="0"/>
              <w:rPr>
                <w:sz w:val="1"/>
                <w:szCs w:val="1"/>
                <w:color w:val="auto"/>
              </w:rPr>
            </w:pPr>
          </w:p>
        </w:tc>
      </w:tr>
      <w:tr>
        <w:trPr>
          <w:trHeight w:val="132"/>
        </w:trPr>
        <w:tc>
          <w:tcPr>
            <w:tcW w:w="1640" w:type="dxa"/>
            <w:vAlign w:val="bottom"/>
          </w:tcPr>
          <w:p>
            <w:pPr>
              <w:jc w:val="center"/>
              <w:spacing w:after="0" w:line="132" w:lineRule="exact"/>
              <w:rPr>
                <w:sz w:val="20"/>
                <w:szCs w:val="20"/>
                <w:color w:val="auto"/>
              </w:rPr>
            </w:pPr>
            <w:r>
              <w:rPr>
                <w:rFonts w:ascii="Arial" w:cs="Arial" w:eastAsia="Arial" w:hAnsi="Arial"/>
                <w:sz w:val="12"/>
                <w:szCs w:val="12"/>
                <w:color w:val="auto"/>
              </w:rPr>
              <w:t>Development Partner</w:t>
            </w:r>
          </w:p>
        </w:tc>
        <w:tc>
          <w:tcPr>
            <w:tcW w:w="40" w:type="dxa"/>
            <w:vAlign w:val="bottom"/>
          </w:tcPr>
          <w:p>
            <w:pPr>
              <w:spacing w:after="0"/>
              <w:rPr>
                <w:sz w:val="11"/>
                <w:szCs w:val="11"/>
                <w:color w:val="auto"/>
              </w:rPr>
            </w:pPr>
          </w:p>
        </w:tc>
        <w:tc>
          <w:tcPr>
            <w:tcW w:w="2020" w:type="dxa"/>
            <w:vAlign w:val="bottom"/>
          </w:tcPr>
          <w:p>
            <w:pPr>
              <w:jc w:val="center"/>
              <w:spacing w:after="0" w:line="132" w:lineRule="exact"/>
              <w:rPr>
                <w:sz w:val="20"/>
                <w:szCs w:val="20"/>
                <w:color w:val="auto"/>
              </w:rPr>
            </w:pPr>
            <w:r>
              <w:rPr>
                <w:rFonts w:ascii="Arial" w:cs="Arial" w:eastAsia="Arial" w:hAnsi="Arial"/>
                <w:sz w:val="12"/>
                <w:szCs w:val="12"/>
                <w:color w:val="auto"/>
              </w:rPr>
              <w:t>Contract with a partner that has at</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color w:val="auto"/>
              </w:rPr>
              <w:t>least 500 MW under development or</w:t>
            </w:r>
          </w:p>
        </w:tc>
        <w:tc>
          <w:tcPr>
            <w:tcW w:w="600" w:type="dxa"/>
            <w:vAlign w:val="bottom"/>
            <w:gridSpan w:val="2"/>
            <w:vMerge w:val="restart"/>
          </w:tcPr>
          <w:p>
            <w:pPr>
              <w:jc w:val="center"/>
              <w:spacing w:after="0"/>
              <w:rPr>
                <w:sz w:val="20"/>
                <w:szCs w:val="20"/>
                <w:color w:val="auto"/>
              </w:rPr>
            </w:pPr>
            <w:r>
              <w:rPr>
                <w:rFonts w:ascii="Arial" w:cs="Arial" w:eastAsia="Arial" w:hAnsi="Arial"/>
                <w:sz w:val="12"/>
                <w:szCs w:val="12"/>
                <w:color w:val="auto"/>
              </w:rPr>
              <w:t>Achieved</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3"/>
        </w:trPr>
        <w:tc>
          <w:tcPr>
            <w:tcW w:w="1640" w:type="dxa"/>
            <w:vAlign w:val="bottom"/>
            <w:tcBorders>
              <w:bottom w:val="single" w:sz="8" w:color="58854E"/>
            </w:tcBorders>
          </w:tcPr>
          <w:p>
            <w:pPr>
              <w:spacing w:after="0"/>
              <w:rPr>
                <w:sz w:val="11"/>
                <w:szCs w:val="11"/>
                <w:color w:val="auto"/>
              </w:rPr>
            </w:pPr>
          </w:p>
        </w:tc>
        <w:tc>
          <w:tcPr>
            <w:tcW w:w="40" w:type="dxa"/>
            <w:vAlign w:val="bottom"/>
            <w:tcBorders>
              <w:bottom w:val="single" w:sz="8" w:color="58854E"/>
            </w:tcBorders>
          </w:tcPr>
          <w:p>
            <w:pPr>
              <w:spacing w:after="0"/>
              <w:rPr>
                <w:sz w:val="11"/>
                <w:szCs w:val="11"/>
                <w:color w:val="auto"/>
              </w:rPr>
            </w:pPr>
          </w:p>
        </w:tc>
        <w:tc>
          <w:tcPr>
            <w:tcW w:w="202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w w:val="98"/>
              </w:rPr>
              <w:t>in operation</w:t>
            </w:r>
          </w:p>
        </w:tc>
        <w:tc>
          <w:tcPr>
            <w:tcW w:w="600" w:type="dxa"/>
            <w:vAlign w:val="bottom"/>
            <w:tcBorders>
              <w:bottom w:val="single" w:sz="8" w:color="58854E"/>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40" w:type="dxa"/>
            <w:vAlign w:val="bottom"/>
          </w:tcPr>
          <w:p>
            <w:pPr>
              <w:jc w:val="center"/>
              <w:spacing w:after="0" w:line="132" w:lineRule="exact"/>
              <w:rPr>
                <w:sz w:val="20"/>
                <w:szCs w:val="20"/>
                <w:color w:val="auto"/>
              </w:rPr>
            </w:pPr>
            <w:r>
              <w:rPr>
                <w:rFonts w:ascii="Arial" w:cs="Arial" w:eastAsia="Arial" w:hAnsi="Arial"/>
                <w:sz w:val="12"/>
                <w:szCs w:val="12"/>
                <w:color w:val="auto"/>
                <w:w w:val="99"/>
              </w:rPr>
              <w:t>Capital Partner</w:t>
            </w:r>
          </w:p>
        </w:tc>
        <w:tc>
          <w:tcPr>
            <w:tcW w:w="40" w:type="dxa"/>
            <w:vAlign w:val="bottom"/>
          </w:tcPr>
          <w:p>
            <w:pPr>
              <w:spacing w:after="0"/>
              <w:rPr>
                <w:sz w:val="11"/>
                <w:szCs w:val="11"/>
                <w:color w:val="auto"/>
              </w:rPr>
            </w:pPr>
          </w:p>
        </w:tc>
        <w:tc>
          <w:tcPr>
            <w:tcW w:w="2020" w:type="dxa"/>
            <w:vAlign w:val="bottom"/>
          </w:tcPr>
          <w:p>
            <w:pPr>
              <w:jc w:val="center"/>
              <w:spacing w:after="0" w:line="132" w:lineRule="exact"/>
              <w:rPr>
                <w:sz w:val="20"/>
                <w:szCs w:val="20"/>
                <w:color w:val="auto"/>
              </w:rPr>
            </w:pPr>
            <w:r>
              <w:rPr>
                <w:rFonts w:ascii="Arial" w:cs="Arial" w:eastAsia="Arial" w:hAnsi="Arial"/>
                <w:sz w:val="12"/>
                <w:szCs w:val="12"/>
                <w:color w:val="auto"/>
              </w:rPr>
              <w:t>Contract with a capital partner that</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color w:val="auto"/>
              </w:rPr>
              <w:t>has funded or committed up to</w:t>
            </w:r>
          </w:p>
        </w:tc>
        <w:tc>
          <w:tcPr>
            <w:tcW w:w="600" w:type="dxa"/>
            <w:vAlign w:val="bottom"/>
            <w:gridSpan w:val="2"/>
            <w:vMerge w:val="restart"/>
          </w:tcPr>
          <w:p>
            <w:pPr>
              <w:jc w:val="center"/>
              <w:spacing w:after="0"/>
              <w:rPr>
                <w:sz w:val="20"/>
                <w:szCs w:val="20"/>
                <w:color w:val="auto"/>
              </w:rPr>
            </w:pPr>
            <w:r>
              <w:rPr>
                <w:rFonts w:ascii="Arial" w:cs="Arial" w:eastAsia="Arial" w:hAnsi="Arial"/>
                <w:sz w:val="12"/>
                <w:szCs w:val="12"/>
                <w:color w:val="auto"/>
              </w:rPr>
              <w:t>Achieved</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3"/>
        </w:trPr>
        <w:tc>
          <w:tcPr>
            <w:tcW w:w="1640" w:type="dxa"/>
            <w:vAlign w:val="bottom"/>
            <w:tcBorders>
              <w:bottom w:val="single" w:sz="8" w:color="58854E"/>
            </w:tcBorders>
          </w:tcPr>
          <w:p>
            <w:pPr>
              <w:spacing w:after="0"/>
              <w:rPr>
                <w:sz w:val="11"/>
                <w:szCs w:val="11"/>
                <w:color w:val="auto"/>
              </w:rPr>
            </w:pPr>
          </w:p>
        </w:tc>
        <w:tc>
          <w:tcPr>
            <w:tcW w:w="40" w:type="dxa"/>
            <w:vAlign w:val="bottom"/>
            <w:tcBorders>
              <w:bottom w:val="single" w:sz="8" w:color="58854E"/>
            </w:tcBorders>
          </w:tcPr>
          <w:p>
            <w:pPr>
              <w:spacing w:after="0"/>
              <w:rPr>
                <w:sz w:val="11"/>
                <w:szCs w:val="11"/>
                <w:color w:val="auto"/>
              </w:rPr>
            </w:pPr>
          </w:p>
        </w:tc>
        <w:tc>
          <w:tcPr>
            <w:tcW w:w="202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$50 million</w:t>
            </w:r>
          </w:p>
        </w:tc>
        <w:tc>
          <w:tcPr>
            <w:tcW w:w="600" w:type="dxa"/>
            <w:vAlign w:val="bottom"/>
            <w:tcBorders>
              <w:bottom w:val="single" w:sz="8" w:color="58854E"/>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40" w:type="dxa"/>
            <w:vAlign w:val="bottom"/>
          </w:tcPr>
          <w:p>
            <w:pPr>
              <w:jc w:val="center"/>
              <w:spacing w:after="0" w:line="132" w:lineRule="exact"/>
              <w:rPr>
                <w:sz w:val="20"/>
                <w:szCs w:val="20"/>
                <w:color w:val="auto"/>
              </w:rPr>
            </w:pPr>
            <w:r>
              <w:rPr>
                <w:rFonts w:ascii="Arial" w:cs="Arial" w:eastAsia="Arial" w:hAnsi="Arial"/>
                <w:sz w:val="12"/>
                <w:szCs w:val="12"/>
                <w:color w:val="auto"/>
              </w:rPr>
              <w:t>Dividend Growth 2018</w:t>
            </w:r>
          </w:p>
        </w:tc>
        <w:tc>
          <w:tcPr>
            <w:tcW w:w="40" w:type="dxa"/>
            <w:vAlign w:val="bottom"/>
          </w:tcPr>
          <w:p>
            <w:pPr>
              <w:spacing w:after="0"/>
              <w:rPr>
                <w:sz w:val="11"/>
                <w:szCs w:val="11"/>
                <w:color w:val="auto"/>
              </w:rPr>
            </w:pPr>
          </w:p>
        </w:tc>
        <w:tc>
          <w:tcPr>
            <w:tcW w:w="2020" w:type="dxa"/>
            <w:vAlign w:val="bottom"/>
          </w:tcPr>
          <w:p>
            <w:pPr>
              <w:jc w:val="center"/>
              <w:spacing w:after="0" w:line="132" w:lineRule="exact"/>
              <w:rPr>
                <w:sz w:val="20"/>
                <w:szCs w:val="20"/>
                <w:color w:val="auto"/>
              </w:rPr>
            </w:pPr>
            <w:r>
              <w:rPr>
                <w:rFonts w:ascii="Arial" w:cs="Arial" w:eastAsia="Arial" w:hAnsi="Arial"/>
                <w:sz w:val="12"/>
                <w:szCs w:val="12"/>
                <w:color w:val="auto"/>
              </w:rPr>
              <w:t>Provide guidance on the Company's</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color w:val="auto"/>
              </w:rPr>
              <w:t>November 2017 earnings call that</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color w:val="auto"/>
              </w:rPr>
              <w:t>demonstrates 15% growth on an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tcBorders>
              <w:bottom w:val="single" w:sz="8" w:color="58854E"/>
            </w:tcBorders>
          </w:tcPr>
          <w:p>
            <w:pPr>
              <w:spacing w:after="0"/>
              <w:rPr>
                <w:sz w:val="11"/>
                <w:szCs w:val="11"/>
                <w:color w:val="auto"/>
              </w:rPr>
            </w:pPr>
          </w:p>
        </w:tc>
        <w:tc>
          <w:tcPr>
            <w:tcW w:w="40" w:type="dxa"/>
            <w:vAlign w:val="bottom"/>
            <w:tcBorders>
              <w:bottom w:val="single" w:sz="8" w:color="58854E"/>
            </w:tcBorders>
          </w:tcPr>
          <w:p>
            <w:pPr>
              <w:spacing w:after="0"/>
              <w:rPr>
                <w:sz w:val="11"/>
                <w:szCs w:val="11"/>
                <w:color w:val="auto"/>
              </w:rPr>
            </w:pPr>
          </w:p>
        </w:tc>
        <w:tc>
          <w:tcPr>
            <w:tcW w:w="202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annualized basis in 2018</w:t>
            </w:r>
          </w:p>
        </w:tc>
        <w:tc>
          <w:tcPr>
            <w:tcW w:w="40" w:type="dxa"/>
            <w:vAlign w:val="bottom"/>
            <w:tcBorders>
              <w:bottom w:val="single" w:sz="8" w:color="58854E"/>
            </w:tcBorders>
          </w:tcPr>
          <w:p>
            <w:pPr>
              <w:spacing w:after="0"/>
              <w:rPr>
                <w:sz w:val="11"/>
                <w:szCs w:val="11"/>
                <w:color w:val="auto"/>
              </w:rPr>
            </w:pPr>
          </w:p>
        </w:tc>
        <w:tc>
          <w:tcPr>
            <w:tcW w:w="56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Achieved</w:t>
            </w:r>
          </w:p>
        </w:tc>
        <w:tc>
          <w:tcPr>
            <w:tcW w:w="0" w:type="dxa"/>
            <w:vAlign w:val="bottom"/>
          </w:tcPr>
          <w:p>
            <w:pPr>
              <w:spacing w:after="0"/>
              <w:rPr>
                <w:sz w:val="1"/>
                <w:szCs w:val="1"/>
                <w:color w:val="auto"/>
              </w:rPr>
            </w:pPr>
          </w:p>
        </w:tc>
      </w:tr>
      <w:tr>
        <w:trPr>
          <w:trHeight w:val="132"/>
        </w:trPr>
        <w:tc>
          <w:tcPr>
            <w:tcW w:w="1640" w:type="dxa"/>
            <w:vAlign w:val="bottom"/>
          </w:tcPr>
          <w:p>
            <w:pPr>
              <w:jc w:val="center"/>
              <w:spacing w:after="0" w:line="132" w:lineRule="exact"/>
              <w:rPr>
                <w:sz w:val="20"/>
                <w:szCs w:val="20"/>
                <w:color w:val="auto"/>
              </w:rPr>
            </w:pPr>
            <w:r>
              <w:rPr>
                <w:rFonts w:ascii="Arial" w:cs="Arial" w:eastAsia="Arial" w:hAnsi="Arial"/>
                <w:sz w:val="12"/>
                <w:szCs w:val="12"/>
                <w:color w:val="auto"/>
                <w:w w:val="99"/>
              </w:rPr>
              <w:t>UPMC Mercy Facility</w:t>
            </w:r>
          </w:p>
        </w:tc>
        <w:tc>
          <w:tcPr>
            <w:tcW w:w="40" w:type="dxa"/>
            <w:vAlign w:val="bottom"/>
          </w:tcPr>
          <w:p>
            <w:pPr>
              <w:spacing w:after="0"/>
              <w:rPr>
                <w:sz w:val="11"/>
                <w:szCs w:val="11"/>
                <w:color w:val="auto"/>
              </w:rPr>
            </w:pPr>
          </w:p>
        </w:tc>
        <w:tc>
          <w:tcPr>
            <w:tcW w:w="2020" w:type="dxa"/>
            <w:vAlign w:val="bottom"/>
          </w:tcPr>
          <w:p>
            <w:pPr>
              <w:jc w:val="center"/>
              <w:spacing w:after="0" w:line="132" w:lineRule="exact"/>
              <w:rPr>
                <w:sz w:val="20"/>
                <w:szCs w:val="20"/>
                <w:color w:val="auto"/>
              </w:rPr>
            </w:pPr>
            <w:r>
              <w:rPr>
                <w:rFonts w:ascii="Arial" w:cs="Arial" w:eastAsia="Arial" w:hAnsi="Arial"/>
                <w:sz w:val="12"/>
                <w:szCs w:val="12"/>
                <w:color w:val="auto"/>
              </w:rPr>
              <w:t>Maintain UPMC Mercy construction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40" w:type="dxa"/>
            <w:vAlign w:val="bottom"/>
          </w:tcPr>
          <w:p>
            <w:pPr>
              <w:jc w:val="center"/>
              <w:spacing w:after="0" w:line="137" w:lineRule="exact"/>
              <w:rPr>
                <w:sz w:val="20"/>
                <w:szCs w:val="20"/>
                <w:color w:val="auto"/>
              </w:rPr>
            </w:pPr>
            <w:r>
              <w:rPr>
                <w:rFonts w:ascii="Arial" w:cs="Arial" w:eastAsia="Arial" w:hAnsi="Arial"/>
                <w:sz w:val="12"/>
                <w:szCs w:val="12"/>
                <w:color w:val="auto"/>
              </w:rPr>
              <w:t>Construction</w:t>
            </w:r>
          </w:p>
        </w:tc>
        <w:tc>
          <w:tcPr>
            <w:tcW w:w="4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color w:val="auto"/>
              </w:rPr>
              <w:t>project on time to ensure timely</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tcBorders>
              <w:bottom w:val="single" w:sz="8" w:color="58854E"/>
            </w:tcBorders>
          </w:tcPr>
          <w:p>
            <w:pPr>
              <w:spacing w:after="0"/>
              <w:rPr>
                <w:sz w:val="11"/>
                <w:szCs w:val="11"/>
                <w:color w:val="auto"/>
              </w:rPr>
            </w:pPr>
          </w:p>
        </w:tc>
        <w:tc>
          <w:tcPr>
            <w:tcW w:w="40" w:type="dxa"/>
            <w:vAlign w:val="bottom"/>
            <w:tcBorders>
              <w:bottom w:val="single" w:sz="8" w:color="58854E"/>
            </w:tcBorders>
          </w:tcPr>
          <w:p>
            <w:pPr>
              <w:spacing w:after="0"/>
              <w:rPr>
                <w:sz w:val="11"/>
                <w:szCs w:val="11"/>
                <w:color w:val="auto"/>
              </w:rPr>
            </w:pPr>
          </w:p>
        </w:tc>
        <w:tc>
          <w:tcPr>
            <w:tcW w:w="202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delivery to customer</w:t>
            </w:r>
          </w:p>
        </w:tc>
        <w:tc>
          <w:tcPr>
            <w:tcW w:w="40" w:type="dxa"/>
            <w:vAlign w:val="bottom"/>
            <w:tcBorders>
              <w:bottom w:val="single" w:sz="8" w:color="58854E"/>
            </w:tcBorders>
          </w:tcPr>
          <w:p>
            <w:pPr>
              <w:spacing w:after="0"/>
              <w:rPr>
                <w:sz w:val="11"/>
                <w:szCs w:val="11"/>
                <w:color w:val="auto"/>
              </w:rPr>
            </w:pPr>
          </w:p>
        </w:tc>
        <w:tc>
          <w:tcPr>
            <w:tcW w:w="560" w:type="dxa"/>
            <w:vAlign w:val="bottom"/>
            <w:tcBorders>
              <w:bottom w:val="single" w:sz="8" w:color="58854E"/>
            </w:tcBorders>
          </w:tcPr>
          <w:p>
            <w:pPr>
              <w:jc w:val="center"/>
              <w:spacing w:after="0" w:line="133" w:lineRule="exact"/>
              <w:rPr>
                <w:sz w:val="20"/>
                <w:szCs w:val="20"/>
                <w:color w:val="auto"/>
              </w:rPr>
            </w:pPr>
            <w:r>
              <w:rPr>
                <w:rFonts w:ascii="Arial" w:cs="Arial" w:eastAsia="Arial" w:hAnsi="Arial"/>
                <w:sz w:val="12"/>
                <w:szCs w:val="12"/>
                <w:color w:val="auto"/>
              </w:rPr>
              <w:t>Achieved</w:t>
            </w:r>
          </w:p>
        </w:tc>
        <w:tc>
          <w:tcPr>
            <w:tcW w:w="0" w:type="dxa"/>
            <w:vAlign w:val="bottom"/>
          </w:tcPr>
          <w:p>
            <w:pPr>
              <w:spacing w:after="0"/>
              <w:rPr>
                <w:sz w:val="1"/>
                <w:szCs w:val="1"/>
                <w:color w:val="auto"/>
              </w:rPr>
            </w:pPr>
          </w:p>
        </w:tc>
      </w:tr>
      <w:tr>
        <w:trPr>
          <w:trHeight w:val="132"/>
        </w:trPr>
        <w:tc>
          <w:tcPr>
            <w:tcW w:w="1640" w:type="dxa"/>
            <w:vAlign w:val="bottom"/>
          </w:tcPr>
          <w:p>
            <w:pPr>
              <w:jc w:val="center"/>
              <w:spacing w:after="0" w:line="132" w:lineRule="exact"/>
              <w:rPr>
                <w:sz w:val="20"/>
                <w:szCs w:val="20"/>
                <w:color w:val="auto"/>
              </w:rPr>
            </w:pPr>
            <w:r>
              <w:rPr>
                <w:rFonts w:ascii="Arial" w:cs="Arial" w:eastAsia="Arial" w:hAnsi="Arial"/>
                <w:sz w:val="12"/>
                <w:szCs w:val="12"/>
                <w:color w:val="auto"/>
              </w:rPr>
              <w:t>Safety</w:t>
            </w:r>
          </w:p>
        </w:tc>
        <w:tc>
          <w:tcPr>
            <w:tcW w:w="40" w:type="dxa"/>
            <w:vAlign w:val="bottom"/>
          </w:tcPr>
          <w:p>
            <w:pPr>
              <w:spacing w:after="0"/>
              <w:rPr>
                <w:sz w:val="11"/>
                <w:szCs w:val="11"/>
                <w:color w:val="auto"/>
              </w:rPr>
            </w:pPr>
          </w:p>
        </w:tc>
        <w:tc>
          <w:tcPr>
            <w:tcW w:w="2020" w:type="dxa"/>
            <w:vAlign w:val="bottom"/>
          </w:tcPr>
          <w:p>
            <w:pPr>
              <w:jc w:val="center"/>
              <w:spacing w:after="0" w:line="132" w:lineRule="exact"/>
              <w:rPr>
                <w:sz w:val="20"/>
                <w:szCs w:val="20"/>
                <w:color w:val="auto"/>
              </w:rPr>
            </w:pPr>
            <w:r>
              <w:rPr>
                <w:rFonts w:ascii="Arial" w:cs="Arial" w:eastAsia="Arial" w:hAnsi="Arial"/>
                <w:sz w:val="12"/>
                <w:szCs w:val="12"/>
                <w:color w:val="auto"/>
                <w:w w:val="99"/>
              </w:rPr>
              <w:t>Top quartile performance</w:t>
            </w:r>
          </w:p>
        </w:tc>
        <w:tc>
          <w:tcPr>
            <w:tcW w:w="40" w:type="dxa"/>
            <w:vAlign w:val="bottom"/>
          </w:tcPr>
          <w:p>
            <w:pPr>
              <w:spacing w:after="0"/>
              <w:rPr>
                <w:sz w:val="11"/>
                <w:szCs w:val="11"/>
                <w:color w:val="auto"/>
              </w:rPr>
            </w:pPr>
          </w:p>
        </w:tc>
        <w:tc>
          <w:tcPr>
            <w:tcW w:w="560" w:type="dxa"/>
            <w:vAlign w:val="bottom"/>
          </w:tcPr>
          <w:p>
            <w:pPr>
              <w:jc w:val="center"/>
              <w:spacing w:after="0" w:line="132" w:lineRule="exact"/>
              <w:rPr>
                <w:sz w:val="20"/>
                <w:szCs w:val="20"/>
                <w:color w:val="auto"/>
              </w:rPr>
            </w:pPr>
            <w:r>
              <w:rPr>
                <w:rFonts w:ascii="Arial" w:cs="Arial" w:eastAsia="Arial" w:hAnsi="Arial"/>
                <w:sz w:val="12"/>
                <w:szCs w:val="12"/>
                <w:color w:val="auto"/>
              </w:rPr>
              <w:t>Not</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auto"/>
              </w:rPr>
              <w:t>Achieved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-4445</wp:posOffset>
            </wp:positionV>
            <wp:extent cx="27292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29230" cy="6985"/>
                    </a:xfrm>
                    <a:prstGeom prst="rect">
                      <a:avLst/>
                    </a:prstGeom>
                    <a:noFill/>
                  </pic:spPr>
                </pic:pic>
              </a:graphicData>
            </a:graphic>
          </wp:anchor>
        </w:drawing>
      </w:r>
    </w:p>
    <w:p>
      <w:pPr>
        <w:ind w:left="903" w:hanging="301"/>
        <w:spacing w:after="0" w:line="188" w:lineRule="auto"/>
        <w:tabs>
          <w:tab w:leader="none" w:pos="903" w:val="left"/>
        </w:tabs>
        <w:numPr>
          <w:ilvl w:val="1"/>
          <w:numId w:val="54"/>
        </w:numPr>
        <w:rPr>
          <w:rFonts w:ascii="Arial" w:cs="Arial" w:eastAsia="Arial" w:hAnsi="Arial"/>
          <w:sz w:val="17"/>
          <w:szCs w:val="17"/>
          <w:color w:val="58844D"/>
          <w:vertAlign w:val="superscript"/>
        </w:rPr>
      </w:pPr>
      <w:r>
        <w:rPr>
          <w:rFonts w:ascii="Arial" w:cs="Arial" w:eastAsia="Arial" w:hAnsi="Arial"/>
          <w:sz w:val="12"/>
          <w:szCs w:val="12"/>
          <w:color w:val="auto"/>
        </w:rPr>
        <w:t>Milestone achievement includes consideration for the sale to GIP.</w:t>
      </w:r>
    </w:p>
    <w:p>
      <w:pPr>
        <w:spacing w:after="0" w:line="183" w:lineRule="exact"/>
        <w:rPr>
          <w:rFonts w:ascii="Arial" w:cs="Arial" w:eastAsia="Arial" w:hAnsi="Arial"/>
          <w:sz w:val="17"/>
          <w:szCs w:val="17"/>
          <w:color w:val="58844D"/>
          <w:vertAlign w:val="superscript"/>
        </w:rPr>
      </w:pPr>
    </w:p>
    <w:p>
      <w:pPr>
        <w:ind w:left="463" w:right="60" w:hanging="463"/>
        <w:spacing w:after="0" w:line="259" w:lineRule="auto"/>
        <w:tabs>
          <w:tab w:leader="none" w:pos="463" w:val="left"/>
        </w:tabs>
        <w:numPr>
          <w:ilvl w:val="0"/>
          <w:numId w:val="54"/>
        </w:numPr>
        <w:rPr>
          <w:rFonts w:ascii="Arial" w:cs="Arial" w:eastAsia="Arial" w:hAnsi="Arial"/>
          <w:sz w:val="14"/>
          <w:szCs w:val="14"/>
          <w:color w:val="58844D"/>
        </w:rPr>
      </w:pPr>
      <w:r>
        <w:rPr>
          <w:rFonts w:ascii="Arial" w:cs="Arial" w:eastAsia="Arial" w:hAnsi="Arial"/>
          <w:sz w:val="14"/>
          <w:szCs w:val="14"/>
          <w:color w:val="auto"/>
        </w:rPr>
        <w:t>Individual performance metrics are measured on a discretionary basis based on the Compensation Committee's assessment of the successful execution of the Company's business strategy. In 2017, the Compensation Committee considered the performance of the NEOs in surpassing both the CAFD and key milestone targets, as well as the overall performance of the Company. The Compensation Committee determined that individual performance for both NEOs was achieved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-982980</wp:posOffset>
            </wp:positionV>
            <wp:extent cx="2729230" cy="869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29230" cy="86995"/>
                    </a:xfrm>
                    <a:prstGeom prst="rect">
                      <a:avLst/>
                    </a:prstGeom>
                    <a:noFill/>
                  </pic:spPr>
                </pic:pic>
              </a:graphicData>
            </a:graphic>
          </wp:anchor>
        </w:drawing>
      </w:r>
    </w:p>
    <w:p>
      <w:pPr>
        <w:spacing w:after="0" w:line="143" w:lineRule="exact"/>
        <w:rPr>
          <w:sz w:val="20"/>
          <w:szCs w:val="20"/>
          <w:color w:val="auto"/>
        </w:rPr>
      </w:pPr>
    </w:p>
    <w:p>
      <w:pPr>
        <w:ind w:left="3" w:right="240"/>
        <w:spacing w:after="0" w:line="241" w:lineRule="auto"/>
        <w:rPr>
          <w:sz w:val="20"/>
          <w:szCs w:val="20"/>
          <w:color w:val="auto"/>
        </w:rPr>
      </w:pPr>
      <w:r>
        <w:rPr>
          <w:rFonts w:ascii="Arial" w:cs="Arial" w:eastAsia="Arial" w:hAnsi="Arial"/>
          <w:sz w:val="15"/>
          <w:szCs w:val="15"/>
          <w:color w:val="auto"/>
        </w:rPr>
        <w:t>The Compensation Committee establishes the AIP performance metrics and goals for the NEOs after reviewing the Company's business strategy and other matters. The Compensation Committee retains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346075</wp:posOffset>
            </wp:positionV>
            <wp:extent cx="7273290"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697"/>
            <w:col w:w="5383"/>
          </w:cols>
          <w:pgMar w:left="231" w:top="142" w:right="2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0"/>
        <w:spacing w:after="0" w:line="245" w:lineRule="auto"/>
        <w:rPr>
          <w:sz w:val="20"/>
          <w:szCs w:val="20"/>
          <w:color w:val="auto"/>
        </w:rPr>
      </w:pPr>
      <w:r>
        <w:rPr>
          <w:rFonts w:ascii="Arial" w:cs="Arial" w:eastAsia="Arial" w:hAnsi="Arial"/>
          <w:sz w:val="15"/>
          <w:szCs w:val="15"/>
          <w:color w:val="auto"/>
        </w:rPr>
        <w:t>discretion under the AIP to reduce the amount of or eliminate any AIP bonuses that are otherwise payable under the AIP.</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ANNUAL INCENTIVE BONUS OPPORTUNITY</w:t>
      </w:r>
    </w:p>
    <w:p>
      <w:pPr>
        <w:spacing w:after="0" w:line="199" w:lineRule="exact"/>
        <w:rPr>
          <w:sz w:val="20"/>
          <w:szCs w:val="20"/>
          <w:color w:val="auto"/>
        </w:rPr>
      </w:pPr>
    </w:p>
    <w:p>
      <w:pPr>
        <w:ind w:right="200"/>
        <w:spacing w:after="0" w:line="245" w:lineRule="auto"/>
        <w:rPr>
          <w:sz w:val="20"/>
          <w:szCs w:val="20"/>
          <w:color w:val="auto"/>
        </w:rPr>
      </w:pPr>
      <w:r>
        <w:rPr>
          <w:rFonts w:ascii="Arial" w:cs="Arial" w:eastAsia="Arial" w:hAnsi="Arial"/>
          <w:sz w:val="15"/>
          <w:szCs w:val="15"/>
          <w:color w:val="auto"/>
        </w:rPr>
        <w:t>The threshold, target and maximum AIP bonus opportunities for Messrs. Sotos and Plotkin for 2017, expressed as a percentage of base salary, were:</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38"/>
        </w:trPr>
        <w:tc>
          <w:tcPr>
            <w:tcW w:w="84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5"/>
              </w:rPr>
              <w:t>GATE</w:t>
            </w:r>
          </w:p>
        </w:tc>
        <w:tc>
          <w:tcPr>
            <w:tcW w:w="120" w:type="dxa"/>
            <w:vAlign w:val="bottom"/>
          </w:tcPr>
          <w:p>
            <w:pPr>
              <w:spacing w:after="0"/>
              <w:rPr>
                <w:sz w:val="12"/>
                <w:szCs w:val="12"/>
                <w:color w:val="auto"/>
              </w:rPr>
            </w:pPr>
          </w:p>
        </w:tc>
        <w:tc>
          <w:tcPr>
            <w:tcW w:w="76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shd w:val="clear" w:color="auto" w:fill="58854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40" w:type="dxa"/>
            <w:vAlign w:val="bottom"/>
            <w:shd w:val="clear" w:color="auto" w:fill="58854E"/>
          </w:tcPr>
          <w:p>
            <w:pPr>
              <w:ind w:left="20"/>
              <w:spacing w:after="0" w:line="137" w:lineRule="exact"/>
              <w:rPr>
                <w:sz w:val="20"/>
                <w:szCs w:val="20"/>
                <w:color w:val="auto"/>
              </w:rPr>
            </w:pPr>
            <w:r>
              <w:rPr>
                <w:rFonts w:ascii="Arial" w:cs="Arial" w:eastAsia="Arial" w:hAnsi="Arial"/>
                <w:sz w:val="12"/>
                <w:szCs w:val="12"/>
                <w:b w:val="1"/>
                <w:bCs w:val="1"/>
                <w:color w:val="FFFFFE"/>
              </w:rPr>
              <w:t>NAMED</w:t>
            </w:r>
          </w:p>
        </w:tc>
        <w:tc>
          <w:tcPr>
            <w:tcW w:w="120" w:type="dxa"/>
            <w:vAlign w:val="bottom"/>
          </w:tcPr>
          <w:p>
            <w:pPr>
              <w:spacing w:after="0"/>
              <w:rPr>
                <w:sz w:val="11"/>
                <w:szCs w:val="11"/>
                <w:color w:val="auto"/>
              </w:rPr>
            </w:pPr>
          </w:p>
        </w:tc>
        <w:tc>
          <w:tcPr>
            <w:tcW w:w="34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NOT</w:t>
            </w:r>
          </w:p>
        </w:tc>
        <w:tc>
          <w:tcPr>
            <w:tcW w:w="120" w:type="dxa"/>
            <w:vAlign w:val="bottom"/>
          </w:tcPr>
          <w:p>
            <w:pPr>
              <w:spacing w:after="0"/>
              <w:rPr>
                <w:sz w:val="11"/>
                <w:szCs w:val="11"/>
                <w:color w:val="auto"/>
              </w:rPr>
            </w:pPr>
          </w:p>
        </w:tc>
        <w:tc>
          <w:tcPr>
            <w:tcW w:w="760" w:type="dxa"/>
            <w:vAlign w:val="bottom"/>
            <w:vMerge w:val="restart"/>
            <w:shd w:val="clear" w:color="auto" w:fill="58854E"/>
          </w:tcPr>
          <w:p>
            <w:pPr>
              <w:spacing w:after="0"/>
              <w:rPr>
                <w:sz w:val="20"/>
                <w:szCs w:val="20"/>
                <w:color w:val="auto"/>
              </w:rPr>
            </w:pPr>
            <w:r>
              <w:rPr>
                <w:rFonts w:ascii="Arial" w:cs="Arial" w:eastAsia="Arial" w:hAnsi="Arial"/>
                <w:sz w:val="12"/>
                <w:szCs w:val="12"/>
                <w:b w:val="1"/>
                <w:bCs w:val="1"/>
                <w:color w:val="FFFFFE"/>
                <w:w w:val="99"/>
              </w:rPr>
              <w:t>THRESHOLD</w:t>
            </w:r>
          </w:p>
        </w:tc>
        <w:tc>
          <w:tcPr>
            <w:tcW w:w="120" w:type="dxa"/>
            <w:vAlign w:val="bottom"/>
          </w:tcPr>
          <w:p>
            <w:pPr>
              <w:spacing w:after="0"/>
              <w:rPr>
                <w:sz w:val="11"/>
                <w:szCs w:val="11"/>
                <w:color w:val="auto"/>
              </w:rPr>
            </w:pPr>
          </w:p>
        </w:tc>
        <w:tc>
          <w:tcPr>
            <w:tcW w:w="520" w:type="dxa"/>
            <w:vAlign w:val="bottom"/>
            <w:vMerge w:val="restart"/>
            <w:shd w:val="clear" w:color="auto" w:fill="58854E"/>
          </w:tcPr>
          <w:p>
            <w:pPr>
              <w:ind w:left="20"/>
              <w:spacing w:after="0"/>
              <w:rPr>
                <w:sz w:val="20"/>
                <w:szCs w:val="20"/>
                <w:color w:val="auto"/>
              </w:rPr>
            </w:pPr>
            <w:r>
              <w:rPr>
                <w:rFonts w:ascii="Arial" w:cs="Arial" w:eastAsia="Arial" w:hAnsi="Arial"/>
                <w:sz w:val="12"/>
                <w:szCs w:val="12"/>
                <w:b w:val="1"/>
                <w:bCs w:val="1"/>
                <w:color w:val="FFFFFE"/>
                <w:w w:val="97"/>
              </w:rPr>
              <w:t>TARGET</w:t>
            </w:r>
          </w:p>
        </w:tc>
        <w:tc>
          <w:tcPr>
            <w:tcW w:w="120" w:type="dxa"/>
            <w:vAlign w:val="bottom"/>
          </w:tcPr>
          <w:p>
            <w:pPr>
              <w:spacing w:after="0"/>
              <w:rPr>
                <w:sz w:val="11"/>
                <w:szCs w:val="11"/>
                <w:color w:val="auto"/>
              </w:rPr>
            </w:pPr>
          </w:p>
        </w:tc>
        <w:tc>
          <w:tcPr>
            <w:tcW w:w="60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shd w:val="clear" w:color="auto" w:fill="58854E"/>
          </w:tcPr>
          <w:p>
            <w:pPr>
              <w:ind w:left="80"/>
              <w:spacing w:after="0" w:line="137" w:lineRule="exact"/>
              <w:rPr>
                <w:sz w:val="20"/>
                <w:szCs w:val="20"/>
                <w:color w:val="auto"/>
              </w:rPr>
            </w:pPr>
            <w:r>
              <w:rPr>
                <w:rFonts w:ascii="Arial" w:cs="Arial" w:eastAsia="Arial" w:hAnsi="Arial"/>
                <w:sz w:val="12"/>
                <w:szCs w:val="12"/>
                <w:b w:val="1"/>
                <w:bCs w:val="1"/>
                <w:color w:val="FFFFFE"/>
              </w:rPr>
              <w:t>TARGET</w:t>
            </w:r>
          </w:p>
        </w:tc>
        <w:tc>
          <w:tcPr>
            <w:tcW w:w="0" w:type="dxa"/>
            <w:vAlign w:val="bottom"/>
          </w:tcPr>
          <w:p>
            <w:pPr>
              <w:spacing w:after="0"/>
              <w:rPr>
                <w:sz w:val="1"/>
                <w:szCs w:val="1"/>
                <w:color w:val="auto"/>
              </w:rPr>
            </w:pPr>
          </w:p>
        </w:tc>
      </w:tr>
      <w:tr>
        <w:trPr>
          <w:trHeight w:val="124"/>
        </w:trPr>
        <w:tc>
          <w:tcPr>
            <w:tcW w:w="840" w:type="dxa"/>
            <w:vAlign w:val="bottom"/>
            <w:shd w:val="clear" w:color="auto" w:fill="58854E"/>
          </w:tcPr>
          <w:p>
            <w:pPr>
              <w:ind w:left="20"/>
              <w:spacing w:after="0" w:line="124" w:lineRule="exact"/>
              <w:rPr>
                <w:sz w:val="20"/>
                <w:szCs w:val="20"/>
                <w:color w:val="auto"/>
              </w:rPr>
            </w:pPr>
            <w:r>
              <w:rPr>
                <w:rFonts w:ascii="Arial" w:cs="Arial" w:eastAsia="Arial" w:hAnsi="Arial"/>
                <w:sz w:val="12"/>
                <w:szCs w:val="12"/>
                <w:b w:val="1"/>
                <w:bCs w:val="1"/>
                <w:color w:val="FFFFFE"/>
              </w:rPr>
              <w:t>EXECUTIVE</w:t>
            </w:r>
          </w:p>
        </w:tc>
        <w:tc>
          <w:tcPr>
            <w:tcW w:w="120" w:type="dxa"/>
            <w:vAlign w:val="bottom"/>
          </w:tcPr>
          <w:p>
            <w:pPr>
              <w:spacing w:after="0"/>
              <w:rPr>
                <w:sz w:val="10"/>
                <w:szCs w:val="10"/>
                <w:color w:val="auto"/>
              </w:rPr>
            </w:pPr>
          </w:p>
        </w:tc>
        <w:tc>
          <w:tcPr>
            <w:tcW w:w="340" w:type="dxa"/>
            <w:vAlign w:val="bottom"/>
            <w:shd w:val="clear" w:color="auto" w:fill="58854E"/>
          </w:tcPr>
          <w:p>
            <w:pPr>
              <w:jc w:val="center"/>
              <w:spacing w:after="0" w:line="124" w:lineRule="exact"/>
              <w:rPr>
                <w:sz w:val="20"/>
                <w:szCs w:val="20"/>
                <w:color w:val="auto"/>
              </w:rPr>
            </w:pPr>
            <w:r>
              <w:rPr>
                <w:rFonts w:ascii="Arial" w:cs="Arial" w:eastAsia="Arial" w:hAnsi="Arial"/>
                <w:sz w:val="12"/>
                <w:szCs w:val="12"/>
                <w:b w:val="1"/>
                <w:bCs w:val="1"/>
                <w:color w:val="FFFFFE"/>
              </w:rPr>
              <w:t>MET</w:t>
            </w:r>
          </w:p>
        </w:tc>
        <w:tc>
          <w:tcPr>
            <w:tcW w:w="120" w:type="dxa"/>
            <w:vAlign w:val="bottom"/>
          </w:tcPr>
          <w:p>
            <w:pPr>
              <w:spacing w:after="0"/>
              <w:rPr>
                <w:sz w:val="10"/>
                <w:szCs w:val="10"/>
                <w:color w:val="auto"/>
              </w:rPr>
            </w:pPr>
          </w:p>
        </w:tc>
        <w:tc>
          <w:tcPr>
            <w:tcW w:w="760" w:type="dxa"/>
            <w:vAlign w:val="bottom"/>
            <w:vMerge w:val="continue"/>
            <w:shd w:val="clear" w:color="auto" w:fill="58854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shd w:val="clear" w:color="auto" w:fill="58854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shd w:val="clear" w:color="auto" w:fill="58854E"/>
          </w:tcPr>
          <w:p>
            <w:pPr>
              <w:spacing w:after="0" w:line="124" w:lineRule="exact"/>
              <w:rPr>
                <w:sz w:val="20"/>
                <w:szCs w:val="20"/>
                <w:color w:val="auto"/>
              </w:rPr>
            </w:pPr>
            <w:r>
              <w:rPr>
                <w:rFonts w:ascii="Arial" w:cs="Arial" w:eastAsia="Arial" w:hAnsi="Arial"/>
                <w:sz w:val="12"/>
                <w:szCs w:val="12"/>
                <w:b w:val="1"/>
                <w:bCs w:val="1"/>
                <w:color w:val="FFFFFE"/>
                <w:w w:val="98"/>
              </w:rPr>
              <w:t>MAXIMUM</w:t>
            </w:r>
          </w:p>
        </w:tc>
        <w:tc>
          <w:tcPr>
            <w:tcW w:w="140" w:type="dxa"/>
            <w:vAlign w:val="bottom"/>
          </w:tcPr>
          <w:p>
            <w:pPr>
              <w:spacing w:after="0"/>
              <w:rPr>
                <w:sz w:val="10"/>
                <w:szCs w:val="10"/>
                <w:color w:val="auto"/>
              </w:rPr>
            </w:pPr>
          </w:p>
        </w:tc>
        <w:tc>
          <w:tcPr>
            <w:tcW w:w="620" w:type="dxa"/>
            <w:vAlign w:val="bottom"/>
            <w:shd w:val="clear" w:color="auto" w:fill="58854E"/>
          </w:tcPr>
          <w:p>
            <w:pPr>
              <w:ind w:left="40"/>
              <w:spacing w:after="0" w:line="124" w:lineRule="exact"/>
              <w:rPr>
                <w:sz w:val="20"/>
                <w:szCs w:val="20"/>
                <w:color w:val="auto"/>
              </w:rPr>
            </w:pPr>
            <w:r>
              <w:rPr>
                <w:rFonts w:ascii="Arial" w:cs="Arial" w:eastAsia="Arial" w:hAnsi="Arial"/>
                <w:sz w:val="12"/>
                <w:szCs w:val="12"/>
                <w:b w:val="1"/>
                <w:bCs w:val="1"/>
                <w:color w:val="FFFFFE"/>
              </w:rPr>
              <w:t>AMOUNT</w:t>
            </w:r>
          </w:p>
        </w:tc>
        <w:tc>
          <w:tcPr>
            <w:tcW w:w="0" w:type="dxa"/>
            <w:vAlign w:val="bottom"/>
          </w:tcPr>
          <w:p>
            <w:pPr>
              <w:spacing w:after="0"/>
              <w:rPr>
                <w:sz w:val="1"/>
                <w:szCs w:val="1"/>
                <w:color w:val="auto"/>
              </w:rPr>
            </w:pPr>
          </w:p>
        </w:tc>
      </w:tr>
      <w:tr>
        <w:trPr>
          <w:trHeight w:val="160"/>
        </w:trPr>
        <w:tc>
          <w:tcPr>
            <w:tcW w:w="840" w:type="dxa"/>
            <w:vAlign w:val="bottom"/>
            <w:shd w:val="clear" w:color="auto" w:fill="58854E"/>
          </w:tcPr>
          <w:p>
            <w:pPr>
              <w:ind w:left="20"/>
              <w:spacing w:after="0"/>
              <w:rPr>
                <w:sz w:val="20"/>
                <w:szCs w:val="20"/>
                <w:color w:val="auto"/>
              </w:rPr>
            </w:pPr>
            <w:r>
              <w:rPr>
                <w:rFonts w:ascii="Arial" w:cs="Arial" w:eastAsia="Arial" w:hAnsi="Arial"/>
                <w:sz w:val="12"/>
                <w:szCs w:val="12"/>
                <w:b w:val="1"/>
                <w:bCs w:val="1"/>
                <w:color w:val="FFFFFE"/>
              </w:rPr>
              <w:t>OFFICER</w:t>
            </w:r>
          </w:p>
        </w:tc>
        <w:tc>
          <w:tcPr>
            <w:tcW w:w="120" w:type="dxa"/>
            <w:vAlign w:val="bottom"/>
          </w:tcPr>
          <w:p>
            <w:pPr>
              <w:spacing w:after="0"/>
              <w:rPr>
                <w:sz w:val="13"/>
                <w:szCs w:val="13"/>
                <w:color w:val="auto"/>
              </w:rPr>
            </w:pPr>
          </w:p>
        </w:tc>
        <w:tc>
          <w:tcPr>
            <w:tcW w:w="34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6"/>
              </w:rPr>
              <w:t>(%)</w:t>
            </w:r>
          </w:p>
        </w:tc>
        <w:tc>
          <w:tcPr>
            <w:tcW w:w="120" w:type="dxa"/>
            <w:vAlign w:val="bottom"/>
          </w:tcPr>
          <w:p>
            <w:pPr>
              <w:spacing w:after="0"/>
              <w:rPr>
                <w:sz w:val="13"/>
                <w:szCs w:val="13"/>
                <w:color w:val="auto"/>
              </w:rPr>
            </w:pPr>
          </w:p>
        </w:tc>
        <w:tc>
          <w:tcPr>
            <w:tcW w:w="760" w:type="dxa"/>
            <w:vAlign w:val="bottom"/>
            <w:shd w:val="clear" w:color="auto" w:fill="58854E"/>
          </w:tcPr>
          <w:p>
            <w:pPr>
              <w:jc w:val="center"/>
              <w:spacing w:after="0" w:line="160" w:lineRule="exact"/>
              <w:rPr>
                <w:sz w:val="20"/>
                <w:szCs w:val="20"/>
                <w:color w:val="auto"/>
              </w:rPr>
            </w:pPr>
            <w:r>
              <w:rPr>
                <w:rFonts w:ascii="Arial" w:cs="Arial" w:eastAsia="Arial" w:hAnsi="Arial"/>
                <w:sz w:val="12"/>
                <w:szCs w:val="12"/>
                <w:b w:val="1"/>
                <w:bCs w:val="1"/>
                <w:color w:val="FFFFFE"/>
                <w:w w:val="94"/>
              </w:rPr>
              <w:t>(%)</w:t>
            </w:r>
            <w:r>
              <w:rPr>
                <w:rFonts w:ascii="Arial" w:cs="Arial" w:eastAsia="Arial" w:hAnsi="Arial"/>
                <w:sz w:val="18"/>
                <w:szCs w:val="18"/>
                <w:b w:val="1"/>
                <w:bCs w:val="1"/>
                <w:color w:val="FFFFFE"/>
                <w:w w:val="94"/>
                <w:vertAlign w:val="superscript"/>
              </w:rPr>
              <w:t>1</w:t>
            </w:r>
          </w:p>
        </w:tc>
        <w:tc>
          <w:tcPr>
            <w:tcW w:w="120" w:type="dxa"/>
            <w:vAlign w:val="bottom"/>
          </w:tcPr>
          <w:p>
            <w:pPr>
              <w:spacing w:after="0"/>
              <w:rPr>
                <w:sz w:val="13"/>
                <w:szCs w:val="13"/>
                <w:color w:val="auto"/>
              </w:rPr>
            </w:pPr>
          </w:p>
        </w:tc>
        <w:tc>
          <w:tcPr>
            <w:tcW w:w="520" w:type="dxa"/>
            <w:vAlign w:val="bottom"/>
            <w:shd w:val="clear" w:color="auto" w:fill="58854E"/>
          </w:tcPr>
          <w:p>
            <w:pPr>
              <w:jc w:val="center"/>
              <w:spacing w:after="0" w:line="160" w:lineRule="exact"/>
              <w:rPr>
                <w:sz w:val="20"/>
                <w:szCs w:val="20"/>
                <w:color w:val="auto"/>
              </w:rPr>
            </w:pPr>
            <w:r>
              <w:rPr>
                <w:rFonts w:ascii="Arial" w:cs="Arial" w:eastAsia="Arial" w:hAnsi="Arial"/>
                <w:sz w:val="12"/>
                <w:szCs w:val="12"/>
                <w:b w:val="1"/>
                <w:bCs w:val="1"/>
                <w:color w:val="FFFFFE"/>
                <w:w w:val="94"/>
              </w:rPr>
              <w:t>(%)</w:t>
            </w:r>
            <w:r>
              <w:rPr>
                <w:rFonts w:ascii="Arial" w:cs="Arial" w:eastAsia="Arial" w:hAnsi="Arial"/>
                <w:sz w:val="18"/>
                <w:szCs w:val="18"/>
                <w:b w:val="1"/>
                <w:bCs w:val="1"/>
                <w:color w:val="FFFFFE"/>
                <w:w w:val="94"/>
                <w:vertAlign w:val="superscript"/>
              </w:rPr>
              <w:t>1</w:t>
            </w:r>
          </w:p>
        </w:tc>
        <w:tc>
          <w:tcPr>
            <w:tcW w:w="120" w:type="dxa"/>
            <w:vAlign w:val="bottom"/>
          </w:tcPr>
          <w:p>
            <w:pPr>
              <w:spacing w:after="0"/>
              <w:rPr>
                <w:sz w:val="13"/>
                <w:szCs w:val="13"/>
                <w:color w:val="auto"/>
              </w:rPr>
            </w:pPr>
          </w:p>
        </w:tc>
        <w:tc>
          <w:tcPr>
            <w:tcW w:w="60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w:t>
            </w:r>
          </w:p>
        </w:tc>
        <w:tc>
          <w:tcPr>
            <w:tcW w:w="140" w:type="dxa"/>
            <w:vAlign w:val="bottom"/>
          </w:tcPr>
          <w:p>
            <w:pPr>
              <w:spacing w:after="0"/>
              <w:rPr>
                <w:sz w:val="13"/>
                <w:szCs w:val="13"/>
                <w:color w:val="auto"/>
              </w:rPr>
            </w:pPr>
          </w:p>
        </w:tc>
        <w:tc>
          <w:tcPr>
            <w:tcW w:w="62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w:t>
            </w:r>
          </w:p>
        </w:tc>
        <w:tc>
          <w:tcPr>
            <w:tcW w:w="0" w:type="dxa"/>
            <w:vAlign w:val="bottom"/>
          </w:tcPr>
          <w:p>
            <w:pPr>
              <w:spacing w:after="0"/>
              <w:rPr>
                <w:sz w:val="1"/>
                <w:szCs w:val="1"/>
                <w:color w:val="auto"/>
              </w:rPr>
            </w:pPr>
          </w:p>
        </w:tc>
      </w:tr>
      <w:tr>
        <w:trPr>
          <w:trHeight w:val="174"/>
        </w:trPr>
        <w:tc>
          <w:tcPr>
            <w:tcW w:w="840" w:type="dxa"/>
            <w:vAlign w:val="bottom"/>
          </w:tcPr>
          <w:p>
            <w:pPr>
              <w:ind w:left="80"/>
              <w:spacing w:after="0"/>
              <w:rPr>
                <w:sz w:val="20"/>
                <w:szCs w:val="20"/>
                <w:color w:val="auto"/>
              </w:rPr>
            </w:pPr>
            <w:r>
              <w:rPr>
                <w:rFonts w:ascii="Arial" w:cs="Arial" w:eastAsia="Arial" w:hAnsi="Arial"/>
                <w:sz w:val="15"/>
                <w:szCs w:val="15"/>
                <w:color w:val="auto"/>
                <w:w w:val="95"/>
              </w:rPr>
              <w:t>Christopher</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58844D"/>
            </w:tcBorders>
          </w:tcPr>
          <w:p>
            <w:pPr>
              <w:ind w:left="80"/>
              <w:spacing w:after="0" w:line="169" w:lineRule="exact"/>
              <w:rPr>
                <w:sz w:val="20"/>
                <w:szCs w:val="20"/>
                <w:color w:val="auto"/>
              </w:rPr>
            </w:pPr>
            <w:r>
              <w:rPr>
                <w:rFonts w:ascii="Arial" w:cs="Arial" w:eastAsia="Arial" w:hAnsi="Arial"/>
                <w:sz w:val="15"/>
                <w:szCs w:val="15"/>
                <w:color w:val="auto"/>
              </w:rPr>
              <w:t>S. Sotos</w:t>
            </w:r>
          </w:p>
        </w:tc>
        <w:tc>
          <w:tcPr>
            <w:tcW w:w="460" w:type="dxa"/>
            <w:vAlign w:val="bottom"/>
            <w:tcBorders>
              <w:bottom w:val="single" w:sz="8" w:color="58844D"/>
            </w:tcBorders>
            <w:gridSpan w:val="2"/>
          </w:tcPr>
          <w:p>
            <w:pPr>
              <w:jc w:val="center"/>
              <w:ind w:left="46"/>
              <w:spacing w:after="0" w:line="169" w:lineRule="exact"/>
              <w:rPr>
                <w:sz w:val="20"/>
                <w:szCs w:val="20"/>
                <w:color w:val="auto"/>
              </w:rPr>
            </w:pPr>
            <w:r>
              <w:rPr>
                <w:rFonts w:ascii="Arial" w:cs="Arial" w:eastAsia="Arial" w:hAnsi="Arial"/>
                <w:sz w:val="15"/>
                <w:szCs w:val="15"/>
                <w:color w:val="auto"/>
              </w:rPr>
              <w:t>0%</w:t>
            </w:r>
          </w:p>
        </w:tc>
        <w:tc>
          <w:tcPr>
            <w:tcW w:w="120" w:type="dxa"/>
            <w:vAlign w:val="bottom"/>
            <w:tcBorders>
              <w:bottom w:val="single" w:sz="8" w:color="58844D"/>
            </w:tcBorders>
          </w:tcPr>
          <w:p>
            <w:pPr>
              <w:spacing w:after="0"/>
              <w:rPr>
                <w:sz w:val="14"/>
                <w:szCs w:val="14"/>
                <w:color w:val="auto"/>
              </w:rPr>
            </w:pPr>
          </w:p>
        </w:tc>
        <w:tc>
          <w:tcPr>
            <w:tcW w:w="760" w:type="dxa"/>
            <w:vAlign w:val="bottom"/>
            <w:tcBorders>
              <w:bottom w:val="single" w:sz="8" w:color="58844D"/>
            </w:tcBorders>
          </w:tcPr>
          <w:p>
            <w:pPr>
              <w:jc w:val="center"/>
              <w:spacing w:after="0" w:line="169" w:lineRule="exact"/>
              <w:rPr>
                <w:sz w:val="20"/>
                <w:szCs w:val="20"/>
                <w:color w:val="auto"/>
              </w:rPr>
            </w:pPr>
            <w:r>
              <w:rPr>
                <w:rFonts w:ascii="Arial" w:cs="Arial" w:eastAsia="Arial" w:hAnsi="Arial"/>
                <w:sz w:val="15"/>
                <w:szCs w:val="15"/>
                <w:color w:val="auto"/>
                <w:w w:val="99"/>
              </w:rPr>
              <w:t>50%</w:t>
            </w:r>
          </w:p>
        </w:tc>
        <w:tc>
          <w:tcPr>
            <w:tcW w:w="120" w:type="dxa"/>
            <w:vAlign w:val="bottom"/>
            <w:tcBorders>
              <w:bottom w:val="single" w:sz="8" w:color="58844D"/>
            </w:tcBorders>
          </w:tcPr>
          <w:p>
            <w:pPr>
              <w:spacing w:after="0"/>
              <w:rPr>
                <w:sz w:val="14"/>
                <w:szCs w:val="14"/>
                <w:color w:val="auto"/>
              </w:rPr>
            </w:pPr>
          </w:p>
        </w:tc>
        <w:tc>
          <w:tcPr>
            <w:tcW w:w="520" w:type="dxa"/>
            <w:vAlign w:val="bottom"/>
            <w:tcBorders>
              <w:bottom w:val="single" w:sz="8" w:color="58844D"/>
            </w:tcBorders>
          </w:tcPr>
          <w:p>
            <w:pPr>
              <w:jc w:val="center"/>
              <w:spacing w:after="0" w:line="169" w:lineRule="exact"/>
              <w:rPr>
                <w:sz w:val="20"/>
                <w:szCs w:val="20"/>
                <w:color w:val="auto"/>
              </w:rPr>
            </w:pPr>
            <w:r>
              <w:rPr>
                <w:rFonts w:ascii="Arial" w:cs="Arial" w:eastAsia="Arial" w:hAnsi="Arial"/>
                <w:sz w:val="15"/>
                <w:szCs w:val="15"/>
                <w:color w:val="auto"/>
                <w:w w:val="98"/>
              </w:rPr>
              <w:t>100%</w:t>
            </w:r>
          </w:p>
        </w:tc>
        <w:tc>
          <w:tcPr>
            <w:tcW w:w="720" w:type="dxa"/>
            <w:vAlign w:val="bottom"/>
            <w:tcBorders>
              <w:bottom w:val="single" w:sz="8" w:color="58844D"/>
            </w:tcBorders>
            <w:gridSpan w:val="2"/>
          </w:tcPr>
          <w:p>
            <w:pPr>
              <w:jc w:val="center"/>
              <w:ind w:left="66"/>
              <w:spacing w:after="0" w:line="169" w:lineRule="exact"/>
              <w:rPr>
                <w:sz w:val="20"/>
                <w:szCs w:val="20"/>
                <w:color w:val="auto"/>
              </w:rPr>
            </w:pPr>
            <w:r>
              <w:rPr>
                <w:rFonts w:ascii="Arial" w:cs="Arial" w:eastAsia="Arial" w:hAnsi="Arial"/>
                <w:sz w:val="15"/>
                <w:szCs w:val="15"/>
                <w:color w:val="auto"/>
                <w:w w:val="98"/>
              </w:rPr>
              <w:t>200%</w:t>
            </w:r>
          </w:p>
        </w:tc>
        <w:tc>
          <w:tcPr>
            <w:tcW w:w="760" w:type="dxa"/>
            <w:vAlign w:val="bottom"/>
            <w:tcBorders>
              <w:bottom w:val="single" w:sz="8" w:color="58844D"/>
            </w:tcBorders>
            <w:gridSpan w:val="2"/>
          </w:tcPr>
          <w:p>
            <w:pPr>
              <w:jc w:val="center"/>
              <w:ind w:left="66"/>
              <w:spacing w:after="0" w:line="169" w:lineRule="exact"/>
              <w:rPr>
                <w:sz w:val="20"/>
                <w:szCs w:val="20"/>
                <w:color w:val="auto"/>
              </w:rPr>
            </w:pPr>
            <w:r>
              <w:rPr>
                <w:rFonts w:ascii="Arial" w:cs="Arial" w:eastAsia="Arial" w:hAnsi="Arial"/>
                <w:sz w:val="15"/>
                <w:szCs w:val="15"/>
                <w:color w:val="auto"/>
                <w:w w:val="99"/>
              </w:rPr>
              <w:t>$500,000</w:t>
            </w:r>
          </w:p>
        </w:tc>
        <w:tc>
          <w:tcPr>
            <w:tcW w:w="0" w:type="dxa"/>
            <w:vAlign w:val="bottom"/>
          </w:tcPr>
          <w:p>
            <w:pPr>
              <w:spacing w:after="0"/>
              <w:rPr>
                <w:sz w:val="1"/>
                <w:szCs w:val="1"/>
                <w:color w:val="auto"/>
              </w:rPr>
            </w:pPr>
          </w:p>
        </w:tc>
      </w:tr>
      <w:tr>
        <w:trPr>
          <w:trHeight w:val="165"/>
        </w:trPr>
        <w:tc>
          <w:tcPr>
            <w:tcW w:w="840" w:type="dxa"/>
            <w:vAlign w:val="bottom"/>
          </w:tcPr>
          <w:p>
            <w:pPr>
              <w:ind w:left="80"/>
              <w:spacing w:after="0" w:line="165" w:lineRule="exact"/>
              <w:rPr>
                <w:sz w:val="20"/>
                <w:szCs w:val="20"/>
                <w:color w:val="auto"/>
              </w:rPr>
            </w:pPr>
            <w:r>
              <w:rPr>
                <w:rFonts w:ascii="Arial" w:cs="Arial" w:eastAsia="Arial" w:hAnsi="Arial"/>
                <w:sz w:val="15"/>
                <w:szCs w:val="15"/>
                <w:color w:val="auto"/>
              </w:rPr>
              <w:t>Chad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40" w:type="dxa"/>
            <w:vAlign w:val="bottom"/>
          </w:tcPr>
          <w:p>
            <w:pPr>
              <w:ind w:left="80"/>
              <w:spacing w:after="0" w:line="154" w:lineRule="exact"/>
              <w:rPr>
                <w:sz w:val="20"/>
                <w:szCs w:val="20"/>
                <w:color w:val="auto"/>
              </w:rPr>
            </w:pPr>
            <w:r>
              <w:rPr>
                <w:rFonts w:ascii="Arial" w:cs="Arial" w:eastAsia="Arial" w:hAnsi="Arial"/>
                <w:sz w:val="15"/>
                <w:szCs w:val="15"/>
                <w:color w:val="auto"/>
              </w:rPr>
              <w:t>Plotkin</w:t>
            </w:r>
          </w:p>
        </w:tc>
        <w:tc>
          <w:tcPr>
            <w:tcW w:w="460" w:type="dxa"/>
            <w:vAlign w:val="bottom"/>
            <w:gridSpan w:val="2"/>
          </w:tcPr>
          <w:p>
            <w:pPr>
              <w:jc w:val="center"/>
              <w:ind w:left="46"/>
              <w:spacing w:after="0" w:line="154" w:lineRule="exact"/>
              <w:rPr>
                <w:sz w:val="20"/>
                <w:szCs w:val="20"/>
                <w:color w:val="auto"/>
              </w:rPr>
            </w:pPr>
            <w:r>
              <w:rPr>
                <w:rFonts w:ascii="Arial" w:cs="Arial" w:eastAsia="Arial" w:hAnsi="Arial"/>
                <w:sz w:val="15"/>
                <w:szCs w:val="15"/>
                <w:color w:val="auto"/>
              </w:rPr>
              <w:t>0%</w:t>
            </w:r>
          </w:p>
        </w:tc>
        <w:tc>
          <w:tcPr>
            <w:tcW w:w="120" w:type="dxa"/>
            <w:vAlign w:val="bottom"/>
          </w:tcPr>
          <w:p>
            <w:pPr>
              <w:spacing w:after="0"/>
              <w:rPr>
                <w:sz w:val="13"/>
                <w:szCs w:val="13"/>
                <w:color w:val="auto"/>
              </w:rPr>
            </w:pPr>
          </w:p>
        </w:tc>
        <w:tc>
          <w:tcPr>
            <w:tcW w:w="760" w:type="dxa"/>
            <w:vAlign w:val="bottom"/>
          </w:tcPr>
          <w:p>
            <w:pPr>
              <w:jc w:val="center"/>
              <w:spacing w:after="0" w:line="154" w:lineRule="exact"/>
              <w:rPr>
                <w:sz w:val="20"/>
                <w:szCs w:val="20"/>
                <w:color w:val="auto"/>
              </w:rPr>
            </w:pPr>
            <w:r>
              <w:rPr>
                <w:rFonts w:ascii="Arial" w:cs="Arial" w:eastAsia="Arial" w:hAnsi="Arial"/>
                <w:sz w:val="15"/>
                <w:szCs w:val="15"/>
                <w:color w:val="auto"/>
                <w:w w:val="99"/>
              </w:rPr>
              <w:t>25%</w:t>
            </w:r>
          </w:p>
        </w:tc>
        <w:tc>
          <w:tcPr>
            <w:tcW w:w="120" w:type="dxa"/>
            <w:vAlign w:val="bottom"/>
          </w:tcPr>
          <w:p>
            <w:pPr>
              <w:spacing w:after="0"/>
              <w:rPr>
                <w:sz w:val="13"/>
                <w:szCs w:val="13"/>
                <w:color w:val="auto"/>
              </w:rPr>
            </w:pPr>
          </w:p>
        </w:tc>
        <w:tc>
          <w:tcPr>
            <w:tcW w:w="520" w:type="dxa"/>
            <w:vAlign w:val="bottom"/>
          </w:tcPr>
          <w:p>
            <w:pPr>
              <w:jc w:val="center"/>
              <w:spacing w:after="0" w:line="154" w:lineRule="exact"/>
              <w:rPr>
                <w:sz w:val="20"/>
                <w:szCs w:val="20"/>
                <w:color w:val="auto"/>
              </w:rPr>
            </w:pPr>
            <w:r>
              <w:rPr>
                <w:rFonts w:ascii="Arial" w:cs="Arial" w:eastAsia="Arial" w:hAnsi="Arial"/>
                <w:sz w:val="15"/>
                <w:szCs w:val="15"/>
                <w:color w:val="auto"/>
                <w:w w:val="99"/>
              </w:rPr>
              <w:t>50%</w:t>
            </w:r>
          </w:p>
        </w:tc>
        <w:tc>
          <w:tcPr>
            <w:tcW w:w="720" w:type="dxa"/>
            <w:vAlign w:val="bottom"/>
            <w:gridSpan w:val="2"/>
          </w:tcPr>
          <w:p>
            <w:pPr>
              <w:jc w:val="center"/>
              <w:ind w:left="66"/>
              <w:spacing w:after="0" w:line="154" w:lineRule="exact"/>
              <w:rPr>
                <w:sz w:val="20"/>
                <w:szCs w:val="20"/>
                <w:color w:val="auto"/>
              </w:rPr>
            </w:pPr>
            <w:r>
              <w:rPr>
                <w:rFonts w:ascii="Arial" w:cs="Arial" w:eastAsia="Arial" w:hAnsi="Arial"/>
                <w:sz w:val="15"/>
                <w:szCs w:val="15"/>
                <w:color w:val="auto"/>
                <w:w w:val="98"/>
              </w:rPr>
              <w:t>100%</w:t>
            </w:r>
          </w:p>
        </w:tc>
        <w:tc>
          <w:tcPr>
            <w:tcW w:w="760" w:type="dxa"/>
            <w:vAlign w:val="bottom"/>
            <w:gridSpan w:val="2"/>
          </w:tcPr>
          <w:p>
            <w:pPr>
              <w:jc w:val="center"/>
              <w:ind w:left="66"/>
              <w:spacing w:after="0" w:line="154" w:lineRule="exact"/>
              <w:rPr>
                <w:sz w:val="20"/>
                <w:szCs w:val="20"/>
                <w:color w:val="auto"/>
              </w:rPr>
            </w:pPr>
            <w:r>
              <w:rPr>
                <w:rFonts w:ascii="Arial" w:cs="Arial" w:eastAsia="Arial" w:hAnsi="Arial"/>
                <w:sz w:val="15"/>
                <w:szCs w:val="15"/>
                <w:color w:val="auto"/>
                <w:w w:val="99"/>
              </w:rPr>
              <w:t>$175,000</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00" w:right="860" w:hanging="307"/>
        <w:spacing w:after="0" w:line="208" w:lineRule="auto"/>
        <w:tabs>
          <w:tab w:leader="none" w:pos="900" w:val="left"/>
        </w:tabs>
        <w:numPr>
          <w:ilvl w:val="0"/>
          <w:numId w:val="55"/>
        </w:numPr>
        <w:rPr>
          <w:rFonts w:ascii="Arial" w:cs="Arial" w:eastAsia="Arial" w:hAnsi="Arial"/>
          <w:sz w:val="18"/>
          <w:szCs w:val="18"/>
          <w:color w:val="58844D"/>
          <w:vertAlign w:val="superscript"/>
        </w:rPr>
      </w:pPr>
      <w:r>
        <w:rPr>
          <w:rFonts w:ascii="Arial" w:cs="Arial" w:eastAsia="Arial" w:hAnsi="Arial"/>
          <w:sz w:val="12"/>
          <w:szCs w:val="12"/>
          <w:color w:val="auto"/>
        </w:rPr>
        <w:t>This assumes that the CAFD performance metric and all other quantitative and qualitative goals, including the key milestones, are achieved at threshold or target levels,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-274955</wp:posOffset>
            </wp:positionV>
            <wp:extent cx="2729230" cy="267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29230" cy="26797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2017 AIP BONUS PERFORMANCE CRITERIA</w:t>
      </w:r>
    </w:p>
    <w:p>
      <w:pPr>
        <w:spacing w:after="0" w:line="199" w:lineRule="exact"/>
        <w:rPr>
          <w:sz w:val="20"/>
          <w:szCs w:val="20"/>
          <w:color w:val="auto"/>
        </w:rPr>
      </w:pPr>
    </w:p>
    <w:p>
      <w:pPr>
        <w:ind w:right="200"/>
        <w:spacing w:after="0"/>
        <w:rPr>
          <w:sz w:val="20"/>
          <w:szCs w:val="20"/>
          <w:color w:val="auto"/>
        </w:rPr>
      </w:pPr>
      <w:r>
        <w:rPr>
          <w:rFonts w:ascii="Arial" w:cs="Arial" w:eastAsia="Arial" w:hAnsi="Arial"/>
          <w:sz w:val="15"/>
          <w:szCs w:val="15"/>
          <w:color w:val="auto"/>
        </w:rPr>
        <w:t>The AIP bonus performance criteria applicable to all NEOs are based upon our 2017 corporate business strategy and individual performance. The table below sets forth the 2017 AIP performance criteria and weightings applicable to all NEOs, assuming the achievment of each goal at target.</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38"/>
        </w:trPr>
        <w:tc>
          <w:tcPr>
            <w:tcW w:w="2560" w:type="dxa"/>
            <w:vAlign w:val="bottom"/>
            <w:shd w:val="clear" w:color="auto" w:fill="58854E"/>
          </w:tcPr>
          <w:p>
            <w:pPr>
              <w:ind w:left="20"/>
              <w:spacing w:after="0"/>
              <w:rPr>
                <w:sz w:val="20"/>
                <w:szCs w:val="20"/>
                <w:color w:val="auto"/>
              </w:rPr>
            </w:pPr>
            <w:r>
              <w:rPr>
                <w:rFonts w:ascii="Arial" w:cs="Arial" w:eastAsia="Arial" w:hAnsi="Arial"/>
                <w:sz w:val="12"/>
                <w:szCs w:val="12"/>
                <w:b w:val="1"/>
                <w:bCs w:val="1"/>
                <w:color w:val="FFFFFE"/>
              </w:rPr>
              <w:t>GOAL</w:t>
            </w:r>
          </w:p>
        </w:tc>
        <w:tc>
          <w:tcPr>
            <w:tcW w:w="140" w:type="dxa"/>
            <w:vAlign w:val="bottom"/>
          </w:tcPr>
          <w:p>
            <w:pPr>
              <w:spacing w:after="0"/>
              <w:rPr>
                <w:sz w:val="12"/>
                <w:szCs w:val="12"/>
                <w:color w:val="auto"/>
              </w:rPr>
            </w:pPr>
          </w:p>
        </w:tc>
        <w:tc>
          <w:tcPr>
            <w:tcW w:w="1460" w:type="dxa"/>
            <w:vAlign w:val="bottom"/>
            <w:shd w:val="clear" w:color="auto" w:fill="58854E"/>
          </w:tcPr>
          <w:p>
            <w:pPr>
              <w:ind w:left="540"/>
              <w:spacing w:after="0"/>
              <w:rPr>
                <w:sz w:val="20"/>
                <w:szCs w:val="20"/>
                <w:color w:val="auto"/>
              </w:rPr>
            </w:pPr>
            <w:r>
              <w:rPr>
                <w:rFonts w:ascii="Arial" w:cs="Arial" w:eastAsia="Arial" w:hAnsi="Arial"/>
                <w:sz w:val="12"/>
                <w:szCs w:val="12"/>
                <w:b w:val="1"/>
                <w:bCs w:val="1"/>
                <w:color w:val="FFFFFE"/>
              </w:rPr>
              <w:t>WEIGHT</w:t>
            </w:r>
          </w:p>
        </w:tc>
        <w:tc>
          <w:tcPr>
            <w:tcW w:w="140" w:type="dxa"/>
            <w:vAlign w:val="bottom"/>
          </w:tcPr>
          <w:p>
            <w:pPr>
              <w:spacing w:after="0"/>
              <w:rPr>
                <w:sz w:val="12"/>
                <w:szCs w:val="12"/>
                <w:color w:val="auto"/>
              </w:rPr>
            </w:pPr>
          </w:p>
        </w:tc>
      </w:tr>
      <w:tr>
        <w:trPr>
          <w:trHeight w:val="182"/>
        </w:trPr>
        <w:tc>
          <w:tcPr>
            <w:tcW w:w="2560" w:type="dxa"/>
            <w:vAlign w:val="bottom"/>
          </w:tcPr>
          <w:p>
            <w:pPr>
              <w:ind w:left="80"/>
              <w:spacing w:after="0"/>
              <w:rPr>
                <w:sz w:val="20"/>
                <w:szCs w:val="20"/>
                <w:color w:val="auto"/>
              </w:rPr>
            </w:pPr>
            <w:r>
              <w:rPr>
                <w:rFonts w:ascii="Arial" w:cs="Arial" w:eastAsia="Arial" w:hAnsi="Arial"/>
                <w:sz w:val="15"/>
                <w:szCs w:val="15"/>
                <w:color w:val="auto"/>
              </w:rPr>
              <w:t>CAFD</w:t>
            </w:r>
            <w:r>
              <w:rPr>
                <w:rFonts w:ascii="Arial" w:cs="Arial" w:eastAsia="Arial" w:hAnsi="Arial"/>
                <w:sz w:val="9"/>
                <w:szCs w:val="9"/>
                <w:color w:val="58844D"/>
              </w:rPr>
              <w:t>1</w:t>
            </w:r>
          </w:p>
        </w:tc>
        <w:tc>
          <w:tcPr>
            <w:tcW w:w="1740" w:type="dxa"/>
            <w:vAlign w:val="bottom"/>
            <w:gridSpan w:val="3"/>
          </w:tcPr>
          <w:p>
            <w:pPr>
              <w:jc w:val="right"/>
              <w:spacing w:after="0"/>
              <w:rPr>
                <w:sz w:val="20"/>
                <w:szCs w:val="20"/>
                <w:color w:val="auto"/>
              </w:rPr>
            </w:pPr>
            <w:r>
              <w:rPr>
                <w:rFonts w:ascii="Arial" w:cs="Arial" w:eastAsia="Arial" w:hAnsi="Arial"/>
                <w:sz w:val="15"/>
                <w:szCs w:val="15"/>
                <w:color w:val="auto"/>
              </w:rPr>
              <w:t>30%</w:t>
            </w:r>
          </w:p>
        </w:tc>
      </w:tr>
      <w:tr>
        <w:trPr>
          <w:trHeight w:val="20"/>
        </w:trPr>
        <w:tc>
          <w:tcPr>
            <w:tcW w:w="2560" w:type="dxa"/>
            <w:vAlign w:val="bottom"/>
            <w:shd w:val="clear" w:color="auto" w:fill="58844D"/>
          </w:tcPr>
          <w:p>
            <w:pPr>
              <w:spacing w:after="0" w:line="20" w:lineRule="exact"/>
              <w:rPr>
                <w:sz w:val="1"/>
                <w:szCs w:val="1"/>
                <w:color w:val="auto"/>
              </w:rPr>
            </w:pPr>
          </w:p>
        </w:tc>
        <w:tc>
          <w:tcPr>
            <w:tcW w:w="1600" w:type="dxa"/>
            <w:vAlign w:val="bottom"/>
            <w:gridSpan w:val="2"/>
            <w:shd w:val="clear" w:color="auto" w:fill="58844D"/>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2560" w:type="dxa"/>
            <w:vAlign w:val="bottom"/>
          </w:tcPr>
          <w:p>
            <w:pPr>
              <w:ind w:left="80"/>
              <w:spacing w:after="0"/>
              <w:rPr>
                <w:sz w:val="20"/>
                <w:szCs w:val="20"/>
                <w:color w:val="auto"/>
              </w:rPr>
            </w:pPr>
            <w:r>
              <w:rPr>
                <w:rFonts w:ascii="Arial" w:cs="Arial" w:eastAsia="Arial" w:hAnsi="Arial"/>
                <w:sz w:val="15"/>
                <w:szCs w:val="15"/>
                <w:color w:val="auto"/>
              </w:rPr>
              <w:t>Key Milestones</w:t>
            </w:r>
            <w:r>
              <w:rPr>
                <w:rFonts w:ascii="Arial" w:cs="Arial" w:eastAsia="Arial" w:hAnsi="Arial"/>
                <w:sz w:val="9"/>
                <w:szCs w:val="9"/>
                <w:color w:val="58844D"/>
              </w:rPr>
              <w:t>2</w:t>
            </w:r>
          </w:p>
        </w:tc>
        <w:tc>
          <w:tcPr>
            <w:tcW w:w="174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20"/>
        </w:trPr>
        <w:tc>
          <w:tcPr>
            <w:tcW w:w="2560" w:type="dxa"/>
            <w:vAlign w:val="bottom"/>
            <w:shd w:val="clear" w:color="auto" w:fill="58844D"/>
          </w:tcPr>
          <w:p>
            <w:pPr>
              <w:spacing w:after="0" w:line="20" w:lineRule="exact"/>
              <w:rPr>
                <w:sz w:val="1"/>
                <w:szCs w:val="1"/>
                <w:color w:val="auto"/>
              </w:rPr>
            </w:pPr>
          </w:p>
        </w:tc>
        <w:tc>
          <w:tcPr>
            <w:tcW w:w="1600" w:type="dxa"/>
            <w:vAlign w:val="bottom"/>
            <w:gridSpan w:val="2"/>
            <w:shd w:val="clear" w:color="auto" w:fill="58844D"/>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2560" w:type="dxa"/>
            <w:vAlign w:val="bottom"/>
          </w:tcPr>
          <w:p>
            <w:pPr>
              <w:ind w:left="80"/>
              <w:spacing w:after="0" w:line="162" w:lineRule="exact"/>
              <w:rPr>
                <w:sz w:val="20"/>
                <w:szCs w:val="20"/>
                <w:color w:val="auto"/>
              </w:rPr>
            </w:pPr>
            <w:r>
              <w:rPr>
                <w:rFonts w:ascii="Arial" w:cs="Arial" w:eastAsia="Arial" w:hAnsi="Arial"/>
                <w:sz w:val="15"/>
                <w:szCs w:val="15"/>
                <w:color w:val="auto"/>
              </w:rPr>
              <w:t>Individual Performance</w:t>
            </w:r>
          </w:p>
        </w:tc>
        <w:tc>
          <w:tcPr>
            <w:tcW w:w="17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w:t>
            </w:r>
          </w:p>
        </w:tc>
      </w:tr>
      <w:tr>
        <w:trPr>
          <w:trHeight w:val="20"/>
        </w:trPr>
        <w:tc>
          <w:tcPr>
            <w:tcW w:w="2560" w:type="dxa"/>
            <w:vAlign w:val="bottom"/>
            <w:shd w:val="clear" w:color="auto" w:fill="58844D"/>
          </w:tcPr>
          <w:p>
            <w:pPr>
              <w:spacing w:after="0" w:line="20" w:lineRule="exact"/>
              <w:rPr>
                <w:sz w:val="1"/>
                <w:szCs w:val="1"/>
                <w:color w:val="auto"/>
              </w:rPr>
            </w:pPr>
          </w:p>
        </w:tc>
        <w:tc>
          <w:tcPr>
            <w:tcW w:w="1600" w:type="dxa"/>
            <w:vAlign w:val="bottom"/>
            <w:gridSpan w:val="2"/>
            <w:shd w:val="clear" w:color="auto" w:fill="58844D"/>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8"/>
        </w:trPr>
        <w:tc>
          <w:tcPr>
            <w:tcW w:w="2560" w:type="dxa"/>
            <w:vAlign w:val="bottom"/>
          </w:tcPr>
          <w:p>
            <w:pPr>
              <w:ind w:left="80"/>
              <w:spacing w:after="0" w:line="149" w:lineRule="exact"/>
              <w:rPr>
                <w:sz w:val="20"/>
                <w:szCs w:val="20"/>
                <w:color w:val="auto"/>
              </w:rPr>
            </w:pPr>
            <w:r>
              <w:rPr>
                <w:rFonts w:ascii="Arial" w:cs="Arial" w:eastAsia="Arial" w:hAnsi="Arial"/>
                <w:sz w:val="15"/>
                <w:szCs w:val="15"/>
                <w:color w:val="auto"/>
              </w:rPr>
              <w:t>Overall Funding</w:t>
            </w:r>
          </w:p>
        </w:tc>
        <w:tc>
          <w:tcPr>
            <w:tcW w:w="174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100%</w:t>
            </w:r>
          </w:p>
        </w:tc>
      </w:tr>
    </w:tbl>
    <w:p>
      <w:pPr>
        <w:spacing w:after="0" w:line="30" w:lineRule="exact"/>
        <w:rPr>
          <w:sz w:val="20"/>
          <w:szCs w:val="20"/>
          <w:color w:val="auto"/>
        </w:rPr>
      </w:pPr>
    </w:p>
    <w:p>
      <w:pPr>
        <w:ind w:left="900" w:right="600" w:hanging="307"/>
        <w:spacing w:after="0" w:line="203" w:lineRule="auto"/>
        <w:tabs>
          <w:tab w:leader="none" w:pos="900" w:val="left"/>
        </w:tabs>
        <w:numPr>
          <w:ilvl w:val="0"/>
          <w:numId w:val="56"/>
        </w:numPr>
        <w:rPr>
          <w:rFonts w:ascii="Arial" w:cs="Arial" w:eastAsia="Arial" w:hAnsi="Arial"/>
          <w:sz w:val="18"/>
          <w:szCs w:val="18"/>
          <w:color w:val="58844D"/>
          <w:vertAlign w:val="superscript"/>
        </w:rPr>
      </w:pPr>
      <w:r>
        <w:rPr>
          <w:rFonts w:ascii="Arial" w:cs="Arial" w:eastAsia="Arial" w:hAnsi="Arial"/>
          <w:sz w:val="12"/>
          <w:szCs w:val="12"/>
          <w:color w:val="auto"/>
        </w:rPr>
        <w:t>CAFD is defined as net income before interest expense, income taxes, depreciation and amortization, plus cash distributions from unconsolidated affiliates, cash receipts from notes receivable, less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-268605</wp:posOffset>
            </wp:positionV>
            <wp:extent cx="2729230" cy="11366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29230" cy="1136650"/>
                    </a:xfrm>
                    <a:prstGeom prst="rect">
                      <a:avLst/>
                    </a:prstGeom>
                    <a:noFill/>
                  </pic:spPr>
                </pic:pic>
              </a:graphicData>
            </a:graphic>
          </wp:anchor>
        </w:drawing>
      </w:r>
    </w:p>
    <w:p>
      <w:pPr>
        <w:ind w:left="900" w:right="620"/>
        <w:spacing w:after="0" w:line="226" w:lineRule="auto"/>
        <w:rPr>
          <w:sz w:val="20"/>
          <w:szCs w:val="20"/>
          <w:color w:val="auto"/>
        </w:rPr>
      </w:pPr>
      <w:r>
        <w:rPr>
          <w:rFonts w:ascii="Arial" w:cs="Arial" w:eastAsia="Arial" w:hAnsi="Arial"/>
          <w:sz w:val="12"/>
          <w:szCs w:val="12"/>
          <w:color w:val="auto"/>
        </w:rPr>
        <w:t>distributions to noncontrolling interests, maintenance capital expenditures, pro-rata EBITDA from unconsolidated affiliates, cash interest paid, income taxes paid, principal amortization of indebtedness and changes in prepaid and accrued capacity payments.</w:t>
      </w:r>
    </w:p>
    <w:p>
      <w:pPr>
        <w:spacing w:after="0" w:line="1" w:lineRule="exact"/>
        <w:rPr>
          <w:sz w:val="20"/>
          <w:szCs w:val="20"/>
          <w:color w:val="auto"/>
        </w:rPr>
      </w:pPr>
    </w:p>
    <w:p>
      <w:pPr>
        <w:ind w:left="900" w:right="540" w:hanging="299"/>
        <w:spacing w:after="0" w:line="222" w:lineRule="auto"/>
        <w:tabs>
          <w:tab w:leader="none" w:pos="880" w:val="left"/>
        </w:tabs>
        <w:rPr>
          <w:sz w:val="20"/>
          <w:szCs w:val="20"/>
          <w:color w:val="auto"/>
        </w:rPr>
      </w:pPr>
      <w:r>
        <w:rPr>
          <w:rFonts w:ascii="Arial" w:cs="Arial" w:eastAsia="Arial" w:hAnsi="Arial"/>
          <w:sz w:val="18"/>
          <w:szCs w:val="18"/>
          <w:color w:val="58844D"/>
          <w:vertAlign w:val="superscript"/>
        </w:rPr>
        <w:t>2</w:t>
      </w:r>
      <w:r>
        <w:rPr>
          <w:sz w:val="20"/>
          <w:szCs w:val="20"/>
          <w:color w:val="auto"/>
        </w:rPr>
        <w:tab/>
      </w:r>
      <w:r>
        <w:rPr>
          <w:rFonts w:ascii="Arial" w:cs="Arial" w:eastAsia="Arial" w:hAnsi="Arial"/>
          <w:sz w:val="12"/>
          <w:szCs w:val="12"/>
          <w:color w:val="auto"/>
        </w:rPr>
        <w:t>Key milestones are related to achievements in areas including: the Company's credit rating, current, dividend per share growth, capital deployment, contracting with development and capital partners, achieving future dividend growth, facility construction and safety. Each of the key milestones is set forth in the chart under "Annual Incentive Compensation — Overview."</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2017 ANNUAL INCENTIVE BONUSES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As noted above, with respect to AIP bonuses for 2017, the AIP Gate was</w:t>
      </w:r>
    </w:p>
    <w:p>
      <w:pPr>
        <w:ind w:right="20"/>
        <w:spacing w:after="0" w:line="239" w:lineRule="auto"/>
        <w:rPr>
          <w:sz w:val="20"/>
          <w:szCs w:val="20"/>
          <w:color w:val="auto"/>
        </w:rPr>
      </w:pPr>
      <w:r>
        <w:rPr>
          <w:rFonts w:ascii="Arial" w:cs="Arial" w:eastAsia="Arial" w:hAnsi="Arial"/>
          <w:sz w:val="15"/>
          <w:szCs w:val="15"/>
          <w:color w:val="auto"/>
        </w:rPr>
        <w:t>$225 million, the CAFD target was $255 million, and the key milestone target was achievement of six out of nine key milestones. For 2017, the AIP Gate was surpassed, CAFD was above target at approximately $267 million, and seven out of nine key milestones were achieved. Due to the achievement of the CAFD and key milestone metrics above target, our NEOs received AIP bonuses at levels above target. If performance falls between target and maximum, as was the case for the CAFD and key milestone metrics, the bonus opportunity is prorated to reflect achievement above target levels. As a result, CAFD and the key milestone metrics were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42</w:t>
      </w:r>
    </w:p>
    <w:p>
      <w:pPr>
        <w:spacing w:after="0" w:line="376" w:lineRule="exact"/>
        <w:rPr>
          <w:sz w:val="20"/>
          <w:szCs w:val="20"/>
          <w:color w:val="auto"/>
        </w:rPr>
      </w:pPr>
    </w:p>
    <w:p>
      <w:pPr>
        <w:jc w:val="both"/>
        <w:ind w:right="60"/>
        <w:spacing w:after="0"/>
        <w:rPr>
          <w:sz w:val="20"/>
          <w:szCs w:val="20"/>
          <w:color w:val="auto"/>
        </w:rPr>
      </w:pPr>
      <w:r>
        <w:rPr>
          <w:rFonts w:ascii="Arial" w:cs="Arial" w:eastAsia="Arial" w:hAnsi="Arial"/>
          <w:sz w:val="15"/>
          <w:szCs w:val="15"/>
          <w:color w:val="auto"/>
        </w:rPr>
        <w:t>respectively weighted at 42% and 75% of target. Individual performance, which is measured on a discretionary basis, was achieved at target and weighted at 20% of target. As a result, our NEOs received an aggregate payout of AIP bonuses at 137% of target.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annual incentive bonuses paid to Messrs. Sotos and Plotkin for 2017 were:</w:t>
      </w:r>
    </w:p>
    <w:p>
      <w:pPr>
        <w:spacing w:after="0" w:line="167"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98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shd w:val="clear" w:color="auto" w:fill="58854E"/>
          </w:tcPr>
          <w:p>
            <w:pPr>
              <w:jc w:val="center"/>
              <w:ind w:left="19"/>
              <w:spacing w:after="0"/>
              <w:rPr>
                <w:sz w:val="20"/>
                <w:szCs w:val="20"/>
                <w:color w:val="auto"/>
              </w:rPr>
            </w:pPr>
            <w:r>
              <w:rPr>
                <w:rFonts w:ascii="Arial" w:cs="Arial" w:eastAsia="Arial" w:hAnsi="Arial"/>
                <w:sz w:val="12"/>
                <w:szCs w:val="12"/>
                <w:b w:val="1"/>
                <w:bCs w:val="1"/>
                <w:color w:val="FFFFFE"/>
              </w:rPr>
              <w:t>PERCENTAGE</w:t>
            </w:r>
          </w:p>
        </w:tc>
        <w:tc>
          <w:tcPr>
            <w:tcW w:w="140" w:type="dxa"/>
            <w:vAlign w:val="bottom"/>
          </w:tcPr>
          <w:p>
            <w:pPr>
              <w:spacing w:after="0"/>
              <w:rPr>
                <w:sz w:val="12"/>
                <w:szCs w:val="12"/>
                <w:color w:val="auto"/>
              </w:rPr>
            </w:pPr>
          </w:p>
        </w:tc>
        <w:tc>
          <w:tcPr>
            <w:tcW w:w="90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840" w:type="dxa"/>
            <w:vAlign w:val="bottom"/>
            <w:shd w:val="clear" w:color="auto" w:fill="58854E"/>
          </w:tcPr>
          <w:p>
            <w:pPr>
              <w:spacing w:after="0"/>
              <w:rPr>
                <w:sz w:val="12"/>
                <w:szCs w:val="12"/>
                <w:color w:val="auto"/>
              </w:rPr>
            </w:pPr>
          </w:p>
        </w:tc>
      </w:tr>
      <w:tr>
        <w:trPr>
          <w:trHeight w:val="137"/>
        </w:trPr>
        <w:tc>
          <w:tcPr>
            <w:tcW w:w="980" w:type="dxa"/>
            <w:vAlign w:val="bottom"/>
            <w:shd w:val="clear" w:color="auto" w:fill="58854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OF</w:t>
            </w:r>
          </w:p>
        </w:tc>
        <w:tc>
          <w:tcPr>
            <w:tcW w:w="140" w:type="dxa"/>
            <w:vAlign w:val="bottom"/>
          </w:tcPr>
          <w:p>
            <w:pPr>
              <w:spacing w:after="0"/>
              <w:rPr>
                <w:sz w:val="11"/>
                <w:szCs w:val="11"/>
                <w:color w:val="auto"/>
              </w:rPr>
            </w:pPr>
          </w:p>
        </w:tc>
        <w:tc>
          <w:tcPr>
            <w:tcW w:w="900" w:type="dxa"/>
            <w:vAlign w:val="bottom"/>
            <w:shd w:val="clear" w:color="auto" w:fill="58854E"/>
          </w:tcPr>
          <w:p>
            <w:pPr>
              <w:jc w:val="center"/>
              <w:ind w:left="15"/>
              <w:spacing w:after="0" w:line="137" w:lineRule="exact"/>
              <w:rPr>
                <w:sz w:val="20"/>
                <w:szCs w:val="20"/>
                <w:color w:val="auto"/>
              </w:rPr>
            </w:pPr>
            <w:r>
              <w:rPr>
                <w:rFonts w:ascii="Arial" w:cs="Arial" w:eastAsia="Arial" w:hAnsi="Arial"/>
                <w:sz w:val="12"/>
                <w:szCs w:val="12"/>
                <w:b w:val="1"/>
                <w:bCs w:val="1"/>
                <w:color w:val="FFFFFE"/>
              </w:rPr>
              <w:t>PERCENT OF</w:t>
            </w:r>
          </w:p>
        </w:tc>
        <w:tc>
          <w:tcPr>
            <w:tcW w:w="140" w:type="dxa"/>
            <w:vAlign w:val="bottom"/>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840" w:type="dxa"/>
            <w:vAlign w:val="bottom"/>
            <w:shd w:val="clear" w:color="auto" w:fill="58854E"/>
          </w:tcPr>
          <w:p>
            <w:pPr>
              <w:spacing w:after="0"/>
              <w:rPr>
                <w:sz w:val="11"/>
                <w:szCs w:val="11"/>
                <w:color w:val="auto"/>
              </w:rPr>
            </w:pPr>
          </w:p>
        </w:tc>
      </w:tr>
      <w:tr>
        <w:trPr>
          <w:trHeight w:val="137"/>
        </w:trPr>
        <w:tc>
          <w:tcPr>
            <w:tcW w:w="980" w:type="dxa"/>
            <w:vAlign w:val="bottom"/>
            <w:shd w:val="clear" w:color="auto" w:fill="58854E"/>
          </w:tcPr>
          <w:p>
            <w:pPr>
              <w:spacing w:after="0" w:line="137" w:lineRule="exact"/>
              <w:rPr>
                <w:sz w:val="20"/>
                <w:szCs w:val="20"/>
                <w:color w:val="auto"/>
              </w:rPr>
            </w:pPr>
            <w:r>
              <w:rPr>
                <w:rFonts w:ascii="Arial" w:cs="Arial" w:eastAsia="Arial" w:hAnsi="Arial"/>
                <w:sz w:val="12"/>
                <w:szCs w:val="12"/>
                <w:b w:val="1"/>
                <w:bCs w:val="1"/>
                <w:color w:val="FFFFFE"/>
              </w:rPr>
              <w:t>NAMED</w:t>
            </w:r>
          </w:p>
        </w:tc>
        <w:tc>
          <w:tcPr>
            <w:tcW w:w="120" w:type="dxa"/>
            <w:vAlign w:val="bottom"/>
          </w:tcPr>
          <w:p>
            <w:pPr>
              <w:spacing w:after="0"/>
              <w:rPr>
                <w:sz w:val="11"/>
                <w:szCs w:val="11"/>
                <w:color w:val="auto"/>
              </w:rPr>
            </w:pPr>
          </w:p>
        </w:tc>
        <w:tc>
          <w:tcPr>
            <w:tcW w:w="920" w:type="dxa"/>
            <w:vAlign w:val="bottom"/>
            <w:shd w:val="clear" w:color="auto" w:fill="58854E"/>
          </w:tcPr>
          <w:p>
            <w:pPr>
              <w:jc w:val="center"/>
              <w:ind w:left="19"/>
              <w:spacing w:after="0" w:line="137" w:lineRule="exact"/>
              <w:rPr>
                <w:sz w:val="20"/>
                <w:szCs w:val="20"/>
                <w:color w:val="auto"/>
              </w:rPr>
            </w:pPr>
            <w:r>
              <w:rPr>
                <w:rFonts w:ascii="Arial" w:cs="Arial" w:eastAsia="Arial" w:hAnsi="Arial"/>
                <w:sz w:val="12"/>
                <w:szCs w:val="12"/>
                <w:b w:val="1"/>
                <w:bCs w:val="1"/>
                <w:color w:val="FFFFFE"/>
              </w:rPr>
              <w:t>ANNUAL</w:t>
            </w:r>
          </w:p>
        </w:tc>
        <w:tc>
          <w:tcPr>
            <w:tcW w:w="140" w:type="dxa"/>
            <w:vAlign w:val="bottom"/>
          </w:tcPr>
          <w:p>
            <w:pPr>
              <w:spacing w:after="0"/>
              <w:rPr>
                <w:sz w:val="11"/>
                <w:szCs w:val="11"/>
                <w:color w:val="auto"/>
              </w:rPr>
            </w:pPr>
          </w:p>
        </w:tc>
        <w:tc>
          <w:tcPr>
            <w:tcW w:w="900" w:type="dxa"/>
            <w:vAlign w:val="bottom"/>
            <w:shd w:val="clear" w:color="auto" w:fill="58854E"/>
          </w:tcPr>
          <w:p>
            <w:pPr>
              <w:jc w:val="center"/>
              <w:ind w:left="15"/>
              <w:spacing w:after="0" w:line="137" w:lineRule="exact"/>
              <w:rPr>
                <w:sz w:val="20"/>
                <w:szCs w:val="20"/>
                <w:color w:val="auto"/>
              </w:rPr>
            </w:pPr>
            <w:r>
              <w:rPr>
                <w:rFonts w:ascii="Arial" w:cs="Arial" w:eastAsia="Arial" w:hAnsi="Arial"/>
                <w:sz w:val="12"/>
                <w:szCs w:val="12"/>
                <w:b w:val="1"/>
                <w:bCs w:val="1"/>
                <w:color w:val="FFFFFE"/>
              </w:rPr>
              <w:t>TARGET</w:t>
            </w:r>
          </w:p>
        </w:tc>
        <w:tc>
          <w:tcPr>
            <w:tcW w:w="140" w:type="dxa"/>
            <w:vAlign w:val="bottom"/>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84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ANNUAL</w:t>
            </w:r>
          </w:p>
        </w:tc>
      </w:tr>
      <w:tr>
        <w:trPr>
          <w:trHeight w:val="137"/>
        </w:trPr>
        <w:tc>
          <w:tcPr>
            <w:tcW w:w="98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EXECUTIVE</w:t>
            </w:r>
          </w:p>
        </w:tc>
        <w:tc>
          <w:tcPr>
            <w:tcW w:w="120" w:type="dxa"/>
            <w:vAlign w:val="bottom"/>
          </w:tcPr>
          <w:p>
            <w:pPr>
              <w:spacing w:after="0"/>
              <w:rPr>
                <w:sz w:val="11"/>
                <w:szCs w:val="11"/>
                <w:color w:val="auto"/>
              </w:rPr>
            </w:pPr>
          </w:p>
        </w:tc>
        <w:tc>
          <w:tcPr>
            <w:tcW w:w="92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BASE</w:t>
            </w:r>
          </w:p>
        </w:tc>
        <w:tc>
          <w:tcPr>
            <w:tcW w:w="140" w:type="dxa"/>
            <w:vAlign w:val="bottom"/>
          </w:tcPr>
          <w:p>
            <w:pPr>
              <w:spacing w:after="0"/>
              <w:rPr>
                <w:sz w:val="11"/>
                <w:szCs w:val="11"/>
                <w:color w:val="auto"/>
              </w:rPr>
            </w:pPr>
          </w:p>
        </w:tc>
        <w:tc>
          <w:tcPr>
            <w:tcW w:w="900" w:type="dxa"/>
            <w:vAlign w:val="bottom"/>
            <w:shd w:val="clear" w:color="auto" w:fill="58854E"/>
          </w:tcPr>
          <w:p>
            <w:pPr>
              <w:jc w:val="center"/>
              <w:ind w:left="15"/>
              <w:spacing w:after="0" w:line="137" w:lineRule="exact"/>
              <w:rPr>
                <w:sz w:val="20"/>
                <w:szCs w:val="20"/>
                <w:color w:val="auto"/>
              </w:rPr>
            </w:pPr>
            <w:r>
              <w:rPr>
                <w:rFonts w:ascii="Arial" w:cs="Arial" w:eastAsia="Arial" w:hAnsi="Arial"/>
                <w:sz w:val="12"/>
                <w:szCs w:val="12"/>
                <w:b w:val="1"/>
                <w:bCs w:val="1"/>
                <w:color w:val="FFFFFE"/>
                <w:w w:val="99"/>
              </w:rPr>
              <w:t>ACHIEVED</w:t>
            </w:r>
          </w:p>
        </w:tc>
        <w:tc>
          <w:tcPr>
            <w:tcW w:w="140" w:type="dxa"/>
            <w:vAlign w:val="bottom"/>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84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INCENTIVE</w:t>
            </w:r>
          </w:p>
        </w:tc>
      </w:tr>
      <w:tr>
        <w:trPr>
          <w:trHeight w:val="147"/>
        </w:trPr>
        <w:tc>
          <w:tcPr>
            <w:tcW w:w="980" w:type="dxa"/>
            <w:vAlign w:val="bottom"/>
            <w:shd w:val="clear" w:color="auto" w:fill="58854E"/>
          </w:tcPr>
          <w:p>
            <w:pPr>
              <w:ind w:left="160"/>
              <w:spacing w:after="0"/>
              <w:rPr>
                <w:sz w:val="20"/>
                <w:szCs w:val="20"/>
                <w:color w:val="auto"/>
              </w:rPr>
            </w:pPr>
            <w:r>
              <w:rPr>
                <w:rFonts w:ascii="Arial" w:cs="Arial" w:eastAsia="Arial" w:hAnsi="Arial"/>
                <w:sz w:val="12"/>
                <w:szCs w:val="12"/>
                <w:b w:val="1"/>
                <w:bCs w:val="1"/>
                <w:color w:val="FFFFFE"/>
              </w:rPr>
              <w:t>OFFICER</w:t>
            </w:r>
          </w:p>
        </w:tc>
        <w:tc>
          <w:tcPr>
            <w:tcW w:w="120" w:type="dxa"/>
            <w:vAlign w:val="bottom"/>
          </w:tcPr>
          <w:p>
            <w:pPr>
              <w:spacing w:after="0"/>
              <w:rPr>
                <w:sz w:val="12"/>
                <w:szCs w:val="12"/>
                <w:color w:val="auto"/>
              </w:rPr>
            </w:pPr>
          </w:p>
        </w:tc>
        <w:tc>
          <w:tcPr>
            <w:tcW w:w="920" w:type="dxa"/>
            <w:vAlign w:val="bottom"/>
            <w:shd w:val="clear" w:color="auto" w:fill="58854E"/>
          </w:tcPr>
          <w:p>
            <w:pPr>
              <w:jc w:val="center"/>
              <w:ind w:left="19"/>
              <w:spacing w:after="0"/>
              <w:rPr>
                <w:sz w:val="20"/>
                <w:szCs w:val="20"/>
                <w:color w:val="auto"/>
              </w:rPr>
            </w:pPr>
            <w:r>
              <w:rPr>
                <w:rFonts w:ascii="Arial" w:cs="Arial" w:eastAsia="Arial" w:hAnsi="Arial"/>
                <w:sz w:val="12"/>
                <w:szCs w:val="12"/>
                <w:b w:val="1"/>
                <w:bCs w:val="1"/>
                <w:color w:val="FFFFFE"/>
              </w:rPr>
              <w:t>SALARY (%)</w:t>
            </w:r>
          </w:p>
        </w:tc>
        <w:tc>
          <w:tcPr>
            <w:tcW w:w="140" w:type="dxa"/>
            <w:vAlign w:val="bottom"/>
          </w:tcPr>
          <w:p>
            <w:pPr>
              <w:spacing w:after="0"/>
              <w:rPr>
                <w:sz w:val="12"/>
                <w:szCs w:val="12"/>
                <w:color w:val="auto"/>
              </w:rPr>
            </w:pPr>
          </w:p>
        </w:tc>
        <w:tc>
          <w:tcPr>
            <w:tcW w:w="900" w:type="dxa"/>
            <w:vAlign w:val="bottom"/>
            <w:shd w:val="clear" w:color="auto" w:fill="58854E"/>
          </w:tcPr>
          <w:p>
            <w:pPr>
              <w:jc w:val="center"/>
              <w:ind w:left="15"/>
              <w:spacing w:after="0"/>
              <w:rPr>
                <w:sz w:val="20"/>
                <w:szCs w:val="20"/>
                <w:color w:val="auto"/>
              </w:rPr>
            </w:pPr>
            <w:r>
              <w:rPr>
                <w:rFonts w:ascii="Arial" w:cs="Arial" w:eastAsia="Arial" w:hAnsi="Arial"/>
                <w:sz w:val="12"/>
                <w:szCs w:val="12"/>
                <w:b w:val="1"/>
                <w:bCs w:val="1"/>
                <w:color w:val="FFFFFE"/>
                <w:w w:val="96"/>
              </w:rPr>
              <w:t>(%)</w:t>
            </w:r>
          </w:p>
        </w:tc>
        <w:tc>
          <w:tcPr>
            <w:tcW w:w="140" w:type="dxa"/>
            <w:vAlign w:val="bottom"/>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84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PAYMENT ($)</w:t>
            </w:r>
          </w:p>
        </w:tc>
      </w:tr>
      <w:tr>
        <w:trPr>
          <w:trHeight w:val="174"/>
        </w:trPr>
        <w:tc>
          <w:tcPr>
            <w:tcW w:w="980" w:type="dxa"/>
            <w:vAlign w:val="bottom"/>
          </w:tcPr>
          <w:p>
            <w:pPr>
              <w:ind w:left="60"/>
              <w:spacing w:after="0"/>
              <w:rPr>
                <w:sz w:val="20"/>
                <w:szCs w:val="20"/>
                <w:color w:val="auto"/>
              </w:rPr>
            </w:pPr>
            <w:r>
              <w:rPr>
                <w:rFonts w:ascii="Arial" w:cs="Arial" w:eastAsia="Arial" w:hAnsi="Arial"/>
                <w:sz w:val="15"/>
                <w:szCs w:val="15"/>
                <w:color w:val="auto"/>
              </w:rPr>
              <w:t>Christopher</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8"/>
        </w:trPr>
        <w:tc>
          <w:tcPr>
            <w:tcW w:w="980" w:type="dxa"/>
            <w:vAlign w:val="bottom"/>
            <w:tcBorders>
              <w:bottom w:val="single" w:sz="8" w:color="58844D"/>
            </w:tcBorders>
          </w:tcPr>
          <w:p>
            <w:pPr>
              <w:jc w:val="center"/>
              <w:spacing w:after="0" w:line="169" w:lineRule="exact"/>
              <w:rPr>
                <w:sz w:val="20"/>
                <w:szCs w:val="20"/>
                <w:color w:val="auto"/>
              </w:rPr>
            </w:pPr>
            <w:r>
              <w:rPr>
                <w:rFonts w:ascii="Arial" w:cs="Arial" w:eastAsia="Arial" w:hAnsi="Arial"/>
                <w:sz w:val="15"/>
                <w:szCs w:val="15"/>
                <w:color w:val="auto"/>
                <w:w w:val="98"/>
              </w:rPr>
              <w:t>S. Sotos</w:t>
            </w:r>
          </w:p>
        </w:tc>
        <w:tc>
          <w:tcPr>
            <w:tcW w:w="1180" w:type="dxa"/>
            <w:vAlign w:val="bottom"/>
            <w:tcBorders>
              <w:bottom w:val="single" w:sz="8" w:color="58844D"/>
            </w:tcBorders>
            <w:gridSpan w:val="3"/>
          </w:tcPr>
          <w:p>
            <w:pPr>
              <w:jc w:val="right"/>
              <w:ind w:right="20"/>
              <w:spacing w:after="0" w:line="169" w:lineRule="exact"/>
              <w:rPr>
                <w:sz w:val="20"/>
                <w:szCs w:val="20"/>
                <w:color w:val="auto"/>
              </w:rPr>
            </w:pPr>
            <w:r>
              <w:rPr>
                <w:rFonts w:ascii="Arial" w:cs="Arial" w:eastAsia="Arial" w:hAnsi="Arial"/>
                <w:sz w:val="15"/>
                <w:szCs w:val="15"/>
                <w:color w:val="auto"/>
              </w:rPr>
              <w:t>137%</w:t>
            </w:r>
          </w:p>
        </w:tc>
        <w:tc>
          <w:tcPr>
            <w:tcW w:w="1160" w:type="dxa"/>
            <w:vAlign w:val="bottom"/>
            <w:tcBorders>
              <w:bottom w:val="single" w:sz="8" w:color="58844D"/>
            </w:tcBorders>
            <w:gridSpan w:val="3"/>
          </w:tcPr>
          <w:p>
            <w:pPr>
              <w:jc w:val="right"/>
              <w:ind w:right="40"/>
              <w:spacing w:after="0" w:line="169" w:lineRule="exact"/>
              <w:rPr>
                <w:sz w:val="20"/>
                <w:szCs w:val="20"/>
                <w:color w:val="auto"/>
              </w:rPr>
            </w:pPr>
            <w:r>
              <w:rPr>
                <w:rFonts w:ascii="Arial" w:cs="Arial" w:eastAsia="Arial" w:hAnsi="Arial"/>
                <w:sz w:val="15"/>
                <w:szCs w:val="15"/>
                <w:color w:val="auto"/>
              </w:rPr>
              <w:t>137%$</w:t>
            </w:r>
          </w:p>
        </w:tc>
        <w:tc>
          <w:tcPr>
            <w:tcW w:w="840" w:type="dxa"/>
            <w:vAlign w:val="bottom"/>
            <w:tcBorders>
              <w:bottom w:val="single" w:sz="8" w:color="58844D"/>
            </w:tcBorders>
          </w:tcPr>
          <w:p>
            <w:pPr>
              <w:jc w:val="right"/>
              <w:spacing w:after="0" w:line="169" w:lineRule="exact"/>
              <w:rPr>
                <w:sz w:val="20"/>
                <w:szCs w:val="20"/>
                <w:color w:val="auto"/>
              </w:rPr>
            </w:pPr>
            <w:r>
              <w:rPr>
                <w:rFonts w:ascii="Arial" w:cs="Arial" w:eastAsia="Arial" w:hAnsi="Arial"/>
                <w:sz w:val="15"/>
                <w:szCs w:val="15"/>
                <w:color w:val="auto"/>
              </w:rPr>
              <w:t>685,000</w:t>
            </w:r>
          </w:p>
        </w:tc>
      </w:tr>
      <w:tr>
        <w:trPr>
          <w:trHeight w:val="162"/>
        </w:trPr>
        <w:tc>
          <w:tcPr>
            <w:tcW w:w="980" w:type="dxa"/>
            <w:vAlign w:val="bottom"/>
            <w:tcBorders>
              <w:bottom w:val="single" w:sz="8" w:color="58844D"/>
            </w:tcBorders>
          </w:tcPr>
          <w:p>
            <w:pPr>
              <w:jc w:val="center"/>
              <w:spacing w:after="0" w:line="162" w:lineRule="exact"/>
              <w:rPr>
                <w:sz w:val="20"/>
                <w:szCs w:val="20"/>
                <w:color w:val="auto"/>
              </w:rPr>
            </w:pPr>
            <w:r>
              <w:rPr>
                <w:rFonts w:ascii="Arial" w:cs="Arial" w:eastAsia="Arial" w:hAnsi="Arial"/>
                <w:sz w:val="15"/>
                <w:szCs w:val="15"/>
                <w:color w:val="auto"/>
                <w:w w:val="98"/>
              </w:rPr>
              <w:t>Chad Plotkin</w:t>
            </w:r>
          </w:p>
        </w:tc>
        <w:tc>
          <w:tcPr>
            <w:tcW w:w="1180" w:type="dxa"/>
            <w:vAlign w:val="bottom"/>
            <w:tcBorders>
              <w:bottom w:val="single" w:sz="8" w:color="58844D"/>
            </w:tcBorders>
            <w:gridSpan w:val="3"/>
          </w:tcPr>
          <w:p>
            <w:pPr>
              <w:jc w:val="right"/>
              <w:ind w:right="20"/>
              <w:spacing w:after="0" w:line="162" w:lineRule="exact"/>
              <w:rPr>
                <w:sz w:val="20"/>
                <w:szCs w:val="20"/>
                <w:color w:val="auto"/>
              </w:rPr>
            </w:pPr>
            <w:r>
              <w:rPr>
                <w:rFonts w:ascii="Arial" w:cs="Arial" w:eastAsia="Arial" w:hAnsi="Arial"/>
                <w:sz w:val="15"/>
                <w:szCs w:val="15"/>
                <w:color w:val="auto"/>
              </w:rPr>
              <w:t>69%</w:t>
            </w:r>
          </w:p>
        </w:tc>
        <w:tc>
          <w:tcPr>
            <w:tcW w:w="1160" w:type="dxa"/>
            <w:vAlign w:val="bottom"/>
            <w:tcBorders>
              <w:bottom w:val="single" w:sz="8" w:color="58844D"/>
            </w:tcBorders>
            <w:gridSpan w:val="3"/>
          </w:tcPr>
          <w:p>
            <w:pPr>
              <w:jc w:val="right"/>
              <w:ind w:right="40"/>
              <w:spacing w:after="0" w:line="162" w:lineRule="exact"/>
              <w:rPr>
                <w:sz w:val="20"/>
                <w:szCs w:val="20"/>
                <w:color w:val="auto"/>
              </w:rPr>
            </w:pPr>
            <w:r>
              <w:rPr>
                <w:rFonts w:ascii="Arial" w:cs="Arial" w:eastAsia="Arial" w:hAnsi="Arial"/>
                <w:sz w:val="15"/>
                <w:szCs w:val="15"/>
                <w:color w:val="auto"/>
              </w:rPr>
              <w:t>137%$</w:t>
            </w:r>
          </w:p>
        </w:tc>
        <w:tc>
          <w:tcPr>
            <w:tcW w:w="840" w:type="dxa"/>
            <w:vAlign w:val="bottom"/>
            <w:tcBorders>
              <w:bottom w:val="single" w:sz="8" w:color="58844D"/>
            </w:tcBorders>
          </w:tcPr>
          <w:p>
            <w:pPr>
              <w:jc w:val="right"/>
              <w:spacing w:after="0" w:line="162" w:lineRule="exact"/>
              <w:rPr>
                <w:sz w:val="20"/>
                <w:szCs w:val="20"/>
                <w:color w:val="auto"/>
              </w:rPr>
            </w:pPr>
            <w:r>
              <w:rPr>
                <w:rFonts w:ascii="Arial" w:cs="Arial" w:eastAsia="Arial" w:hAnsi="Arial"/>
                <w:sz w:val="15"/>
                <w:szCs w:val="15"/>
                <w:color w:val="auto"/>
              </w:rPr>
              <w:t>239,750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58844D"/>
        </w:rPr>
        <w:t>Long-Term Incentive Compensation</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We believe that equity awards directly align our NEOs' interests with those of our stockholders. In 2017, the Compensation Committee granted our NEOs a combination of retentive equity awards, as well as performance-based equity awards directly linked to long-term stockholder value creation, with the input of the CEO on long-term incentive award design for the CFO. Accordingly, the Compensation Committee granted a combination of time-based RSUs and performance-based RPSUs. To enhance our compensation program's focus on Company performance, the large majority of long-term incentive awards (67%) were delivered using RPSUs. Although a critical component of our long-term design due to the retention aspects of the award, RSUs comprised only 33% of each NEO's grant date award opportunity. For 2017, Mr. Sotos' target LTIP award was 250% of his base salary, and Mr. Plotkin's target LTIP award was 100% of his base salary. We believe that our AIP appropriately focuses our NEOs on shorter-term (one-year) financial metrics while our LTIP emphasizes long-term stockholder value creation (i.e. three-year TSR outperformance).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RELATIVE PERFORMANCE STOCK UNITS</w:t>
      </w:r>
    </w:p>
    <w:p>
      <w:pPr>
        <w:spacing w:after="0" w:line="199"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Each RPSU represents the potential to receive one share of Class C common stock after the completion of three years of service from the date of grant based on the Company's TSR performance ranked against the TSR performance of a comparator group of similar companies (the Performance Peer Group). Relative measures are designed to normalize for externalities, ensuring the program appropriately reflects management's impact on the Company's TSR by including peer companies that are similarly impacted by market conditions.</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target-level payout (100% of shares granted) requires the Company to perform at the 50th percentile. To induce management to achieve greater than target-level performance in a down market, in the event that the Company's TSR performance declines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607695</wp:posOffset>
            </wp:positionV>
            <wp:extent cx="7273290"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0" w:space="720"/>
            <w:col w:w="5380"/>
          </w:cols>
          <w:pgMar w:left="240" w:top="14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by more than 20% over the performance period, the target-level payout (100% of shares granted) will require an even greater achievement—60th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78" w:lineRule="exact"/>
        <w:rPr>
          <w:sz w:val="20"/>
          <w:szCs w:val="20"/>
          <w:color w:val="auto"/>
        </w:rPr>
      </w:pPr>
    </w:p>
    <w:p>
      <w:pPr>
        <w:ind w:right="60"/>
        <w:spacing w:after="0"/>
        <w:rPr>
          <w:sz w:val="20"/>
          <w:szCs w:val="20"/>
          <w:color w:val="auto"/>
        </w:rPr>
      </w:pPr>
      <w:r>
        <w:rPr>
          <w:rFonts w:ascii="Arial" w:cs="Arial" w:eastAsia="Arial" w:hAnsi="Arial"/>
          <w:sz w:val="15"/>
          <w:szCs w:val="15"/>
          <w:color w:val="auto"/>
        </w:rPr>
        <w:t>In the event relative performance is below the 25th percentile, the award is forfeited. In the event relative performance is between the 25th percentile and the 50th percentile (or the 60th percentile if our TSR performance declines by more than 20%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45" w:lineRule="auto"/>
        <w:rPr>
          <w:sz w:val="20"/>
          <w:szCs w:val="20"/>
          <w:color w:val="auto"/>
        </w:rPr>
      </w:pPr>
      <w:r>
        <w:rPr>
          <w:rFonts w:ascii="Arial" w:cs="Arial" w:eastAsia="Arial" w:hAnsi="Arial"/>
          <w:sz w:val="15"/>
          <w:szCs w:val="15"/>
          <w:color w:val="auto"/>
        </w:rPr>
        <w:t>For 2018, RPSUs were updated to decrease the maximum payout opportunity under the award from 200% to 150% of target.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RESTRICTED STOCK UNITS</w:t>
      </w:r>
    </w:p>
    <w:p>
      <w:pPr>
        <w:spacing w:after="0" w:line="199" w:lineRule="exact"/>
        <w:rPr>
          <w:sz w:val="20"/>
          <w:szCs w:val="20"/>
          <w:color w:val="auto"/>
        </w:rPr>
      </w:pPr>
    </w:p>
    <w:p>
      <w:pPr>
        <w:ind w:right="20"/>
        <w:spacing w:after="0"/>
        <w:rPr>
          <w:sz w:val="20"/>
          <w:szCs w:val="20"/>
          <w:color w:val="auto"/>
        </w:rPr>
      </w:pPr>
      <w:r>
        <w:rPr>
          <w:rFonts w:ascii="Arial" w:cs="Arial" w:eastAsia="Arial" w:hAnsi="Arial"/>
          <w:sz w:val="15"/>
          <w:szCs w:val="15"/>
          <w:color w:val="auto"/>
        </w:rPr>
        <w:t>Each RSU represents the right to receive one share of our Class C common stock after the completion of the vesting period. The RSUs granted to the NEOs in 2017 vest ratably, meaning that one-third of the award vests each year on the anniversary of the grant date, over a three-year period.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DIVIDEND EQUIVALENT RIGHTS</w:t>
      </w:r>
    </w:p>
    <w:p>
      <w:pPr>
        <w:spacing w:after="0" w:line="199" w:lineRule="exact"/>
        <w:rPr>
          <w:sz w:val="20"/>
          <w:szCs w:val="20"/>
          <w:color w:val="auto"/>
        </w:rPr>
      </w:pPr>
    </w:p>
    <w:p>
      <w:pPr>
        <w:ind w:right="40"/>
        <w:spacing w:after="0"/>
        <w:rPr>
          <w:sz w:val="20"/>
          <w:szCs w:val="20"/>
          <w:color w:val="auto"/>
        </w:rPr>
      </w:pPr>
      <w:r>
        <w:rPr>
          <w:rFonts w:ascii="Arial" w:cs="Arial" w:eastAsia="Arial" w:hAnsi="Arial"/>
          <w:sz w:val="15"/>
          <w:szCs w:val="15"/>
          <w:color w:val="auto"/>
        </w:rPr>
        <w:t>In connection with awards of both RPSUs and RSUs, each NEO also receives DERs which accrue with respect to the award to which they relate. Accrued DERs are paid at the same time that the shares of Class C common stock underlying each award are delivered to the NEO.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58844D"/>
        </w:rPr>
        <w:t>Clawbacks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Company has a "clawback" policy with regard to awards made under the AIP and LTIP in the case of a material financial restatement, including a restatement that was the result of employee misconduct, or in the case of fraud, embezzlement or other serious misconduct that was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43</w:t>
      </w:r>
    </w:p>
    <w:p>
      <w:pPr>
        <w:spacing w:after="0" w:line="376"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performance period), payouts will be based on an interpolated calculation. In the event relative performance reaches the 50th percentile (or the 60th percentile if our TSR performance declines by more than 20% over the performance period), 100% of the award will be paid. In the event relative performance is between the 50th percentile (or the 60th percentile if our TSR performance declines by more than 20% over the performance period) and the 75th percentile, payouts will be based on an interpolated calculation. For RPSUs granted in 2017, the quantity of shares paid out is 200% of target in the event that relative performance is at or above the 75th percentile. The table below illustrates the design of our RPSUs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345440</wp:posOffset>
            </wp:positionV>
            <wp:extent cx="5733415" cy="14547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33415" cy="145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58844D"/>
        </w:rPr>
        <w:t>Benefits</w:t>
      </w:r>
    </w:p>
    <w:p>
      <w:pPr>
        <w:spacing w:after="0" w:line="189" w:lineRule="exact"/>
        <w:rPr>
          <w:sz w:val="20"/>
          <w:szCs w:val="20"/>
          <w:color w:val="auto"/>
        </w:rPr>
      </w:pPr>
    </w:p>
    <w:p>
      <w:pPr>
        <w:ind w:right="140"/>
        <w:spacing w:after="0" w:line="239" w:lineRule="auto"/>
        <w:rPr>
          <w:sz w:val="20"/>
          <w:szCs w:val="20"/>
          <w:color w:val="auto"/>
        </w:rPr>
      </w:pPr>
      <w:r>
        <w:rPr>
          <w:rFonts w:ascii="Arial" w:cs="Arial" w:eastAsia="Arial" w:hAnsi="Arial"/>
          <w:sz w:val="15"/>
          <w:szCs w:val="15"/>
          <w:color w:val="auto"/>
        </w:rPr>
        <w:t>Messrs. Sotos and Plotkin participate in the same retirement, life insurance, health and welfare plans. To generally support more complicated financial planning and estate planning matters, Mr. Sotos is reimbursed for annual tax return preparation expenses and tax advice and financial planning up to a maximum of $12,000 per year. Mr. Plotkin is reimbursed for annual tax return preparation expenses and tax advice and financial planning up to a maximum of $3,000 per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58844D"/>
        </w:rPr>
        <w:t>Potential Severance and Change-in-Control Benefits</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Mr. Sotos, pursuant to his employment agreement, and Mr. Plotkin, pursuant to the Company's Executive Change-in-Control and General Severance Plan for Tier IA and Tier IIA Executives (CIC Plan), are entitled to severance payments and benefits in the event of termination of employment under certain circumstances, including following a change-in-control. We choose to pay severance and change-in-control benefits to assist with career transitions of our NEOs as well as to create an environment that provides for an adequate business transition and knowledge transfer during times of change.</w:t>
      </w:r>
    </w:p>
    <w:p>
      <w:pPr>
        <w:spacing w:after="0" w:line="176"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Change-in-control agreements are considered market practice among publicly-held companies. Most often, these agreements are utilized to encourage executives to remain with the company during periods of extreme job uncertainty and to ensure that any potential transaction is thoroughly evaluated. In order to enable a smooth transition during an interim period,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474980</wp:posOffset>
            </wp:positionV>
            <wp:extent cx="7273290"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80" w:space="680"/>
            <w:col w:w="5380"/>
          </w:cols>
          <w:pgMar w:left="240" w:top="14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agreements provide a defined level of security for the executive and the company, enabling a more seamless implementation of a particular acquisition or an asset sale or purchase, and subsequent integration.</w:t>
      </w:r>
    </w:p>
    <w:p>
      <w:pPr>
        <w:spacing w:after="0" w:line="176"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For a more detailed discussion, including the quantification of potential payments, please see the section entitled "Severance and Change-in-Control" following the executive compensation tables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58844D"/>
        </w:rPr>
        <w:t>Other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58844D"/>
        </w:rPr>
        <w:t>Stock Ownership Guidelines</w:t>
      </w:r>
    </w:p>
    <w:p>
      <w:pPr>
        <w:spacing w:after="0" w:line="189" w:lineRule="exact"/>
        <w:rPr>
          <w:sz w:val="20"/>
          <w:szCs w:val="20"/>
          <w:color w:val="auto"/>
        </w:rPr>
      </w:pPr>
    </w:p>
    <w:p>
      <w:pPr>
        <w:jc w:val="both"/>
        <w:ind w:right="40"/>
        <w:spacing w:after="0" w:line="254" w:lineRule="auto"/>
        <w:rPr>
          <w:sz w:val="20"/>
          <w:szCs w:val="20"/>
          <w:color w:val="auto"/>
        </w:rPr>
      </w:pPr>
      <w:r>
        <w:rPr>
          <w:rFonts w:ascii="Arial" w:cs="Arial" w:eastAsia="Arial" w:hAnsi="Arial"/>
          <w:sz w:val="14"/>
          <w:szCs w:val="14"/>
          <w:color w:val="auto"/>
        </w:rPr>
        <w:t>The Compensation Committee and the Board require the CEO to hold Company stock with a value equal to 4.0 times his base salary until his separation from the Company. The CFO is required, absent a hardship, to hold Company stock with a value equal to 2.0 times his base salary until his separation from the Company.</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Personal holdings and vested awards count towards the ownership multiple. Although the CEO and CFO are not required to make purchases of our common stock to meet their target ownership multiple, NEOs are restricted from divesting any securities until such ownership multiples are maintained, except in the event of hardship or to make a required tax payment, and must maintain their ownership multiple after any such transactions. Once met, they must maintain their ownership multiple during their service. The current target stock ownership for Messrs. Sotos and Plotkin as of March 1, 2018 is shown below. Each of Messrs. Sotos and Plotkin recently became subject to the stock ownership guidelines upon becoming NEOs in 2016. As such, they continue to work towards meeting the required ownership multiple.</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38"/>
        </w:trPr>
        <w:tc>
          <w:tcPr>
            <w:tcW w:w="190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shd w:val="clear" w:color="auto" w:fill="58854E"/>
          </w:tcPr>
          <w:p>
            <w:pPr>
              <w:jc w:val="center"/>
              <w:ind w:left="14"/>
              <w:spacing w:after="0"/>
              <w:rPr>
                <w:sz w:val="20"/>
                <w:szCs w:val="20"/>
                <w:color w:val="auto"/>
              </w:rPr>
            </w:pPr>
            <w:r>
              <w:rPr>
                <w:rFonts w:ascii="Arial" w:cs="Arial" w:eastAsia="Arial" w:hAnsi="Arial"/>
                <w:sz w:val="12"/>
                <w:szCs w:val="12"/>
                <w:b w:val="1"/>
                <w:bCs w:val="1"/>
                <w:color w:val="FFFFFE"/>
              </w:rPr>
              <w:t>TARGET</w:t>
            </w:r>
          </w:p>
        </w:tc>
        <w:tc>
          <w:tcPr>
            <w:tcW w:w="140" w:type="dxa"/>
            <w:vAlign w:val="bottom"/>
          </w:tcPr>
          <w:p>
            <w:pPr>
              <w:spacing w:after="0"/>
              <w:rPr>
                <w:sz w:val="12"/>
                <w:szCs w:val="12"/>
                <w:color w:val="auto"/>
              </w:rPr>
            </w:pPr>
          </w:p>
        </w:tc>
        <w:tc>
          <w:tcPr>
            <w:tcW w:w="920" w:type="dxa"/>
            <w:vAlign w:val="bottom"/>
            <w:shd w:val="clear" w:color="auto" w:fill="58854E"/>
          </w:tcPr>
          <w:p>
            <w:pPr>
              <w:jc w:val="center"/>
              <w:ind w:left="34"/>
              <w:spacing w:after="0"/>
              <w:rPr>
                <w:sz w:val="20"/>
                <w:szCs w:val="20"/>
                <w:color w:val="auto"/>
              </w:rPr>
            </w:pPr>
            <w:r>
              <w:rPr>
                <w:rFonts w:ascii="Arial" w:cs="Arial" w:eastAsia="Arial" w:hAnsi="Arial"/>
                <w:sz w:val="12"/>
                <w:szCs w:val="12"/>
                <w:b w:val="1"/>
                <w:bCs w:val="1"/>
                <w:color w:val="FFFFFE"/>
              </w:rPr>
              <w:t>ACTUAL</w:t>
            </w:r>
          </w:p>
        </w:tc>
        <w:tc>
          <w:tcPr>
            <w:tcW w:w="20" w:type="dxa"/>
            <w:vAlign w:val="bottom"/>
          </w:tcPr>
          <w:p>
            <w:pPr>
              <w:spacing w:after="0"/>
              <w:rPr>
                <w:sz w:val="12"/>
                <w:szCs w:val="12"/>
                <w:color w:val="auto"/>
              </w:rPr>
            </w:pPr>
          </w:p>
        </w:tc>
      </w:tr>
      <w:tr>
        <w:trPr>
          <w:trHeight w:val="137"/>
        </w:trPr>
        <w:tc>
          <w:tcPr>
            <w:tcW w:w="190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shd w:val="clear" w:color="auto" w:fill="58854E"/>
          </w:tcPr>
          <w:p>
            <w:pPr>
              <w:jc w:val="center"/>
              <w:ind w:left="14"/>
              <w:spacing w:after="0" w:line="137" w:lineRule="exact"/>
              <w:rPr>
                <w:sz w:val="20"/>
                <w:szCs w:val="20"/>
                <w:color w:val="auto"/>
              </w:rPr>
            </w:pPr>
            <w:r>
              <w:rPr>
                <w:rFonts w:ascii="Arial" w:cs="Arial" w:eastAsia="Arial" w:hAnsi="Arial"/>
                <w:sz w:val="12"/>
                <w:szCs w:val="12"/>
                <w:b w:val="1"/>
                <w:bCs w:val="1"/>
                <w:color w:val="FFFFFE"/>
                <w:w w:val="99"/>
              </w:rPr>
              <w:t>OWNERSHIP</w:t>
            </w:r>
          </w:p>
        </w:tc>
        <w:tc>
          <w:tcPr>
            <w:tcW w:w="140" w:type="dxa"/>
            <w:vAlign w:val="bottom"/>
          </w:tcPr>
          <w:p>
            <w:pPr>
              <w:spacing w:after="0"/>
              <w:rPr>
                <w:sz w:val="11"/>
                <w:szCs w:val="11"/>
                <w:color w:val="auto"/>
              </w:rPr>
            </w:pPr>
          </w:p>
        </w:tc>
        <w:tc>
          <w:tcPr>
            <w:tcW w:w="920" w:type="dxa"/>
            <w:vAlign w:val="bottom"/>
            <w:shd w:val="clear" w:color="auto" w:fill="58854E"/>
          </w:tcPr>
          <w:p>
            <w:pPr>
              <w:jc w:val="center"/>
              <w:ind w:left="34"/>
              <w:spacing w:after="0" w:line="137" w:lineRule="exact"/>
              <w:rPr>
                <w:sz w:val="20"/>
                <w:szCs w:val="20"/>
                <w:color w:val="auto"/>
              </w:rPr>
            </w:pPr>
            <w:r>
              <w:rPr>
                <w:rFonts w:ascii="Arial" w:cs="Arial" w:eastAsia="Arial" w:hAnsi="Arial"/>
                <w:sz w:val="12"/>
                <w:szCs w:val="12"/>
                <w:b w:val="1"/>
                <w:bCs w:val="1"/>
                <w:color w:val="FFFFFE"/>
                <w:w w:val="99"/>
              </w:rPr>
              <w:t>OWNERSHIP</w:t>
            </w:r>
          </w:p>
        </w:tc>
        <w:tc>
          <w:tcPr>
            <w:tcW w:w="20" w:type="dxa"/>
            <w:vAlign w:val="bottom"/>
          </w:tcPr>
          <w:p>
            <w:pPr>
              <w:spacing w:after="0"/>
              <w:rPr>
                <w:sz w:val="11"/>
                <w:szCs w:val="11"/>
                <w:color w:val="auto"/>
              </w:rPr>
            </w:pPr>
          </w:p>
        </w:tc>
      </w:tr>
      <w:tr>
        <w:trPr>
          <w:trHeight w:val="147"/>
        </w:trPr>
        <w:tc>
          <w:tcPr>
            <w:tcW w:w="1900" w:type="dxa"/>
            <w:vAlign w:val="bottom"/>
            <w:shd w:val="clear" w:color="auto" w:fill="58854E"/>
          </w:tcPr>
          <w:p>
            <w:pPr>
              <w:ind w:left="20"/>
              <w:spacing w:after="0"/>
              <w:rPr>
                <w:sz w:val="20"/>
                <w:szCs w:val="20"/>
                <w:color w:val="auto"/>
              </w:rPr>
            </w:pPr>
            <w:r>
              <w:rPr>
                <w:rFonts w:ascii="Arial" w:cs="Arial" w:eastAsia="Arial" w:hAnsi="Arial"/>
                <w:sz w:val="12"/>
                <w:szCs w:val="12"/>
                <w:b w:val="1"/>
                <w:bCs w:val="1"/>
                <w:color w:val="FFFFFE"/>
              </w:rPr>
              <w:t>NAMED EXECUTIVE OFFICER</w:t>
            </w:r>
          </w:p>
        </w:tc>
        <w:tc>
          <w:tcPr>
            <w:tcW w:w="140" w:type="dxa"/>
            <w:vAlign w:val="bottom"/>
          </w:tcPr>
          <w:p>
            <w:pPr>
              <w:spacing w:after="0"/>
              <w:rPr>
                <w:sz w:val="12"/>
                <w:szCs w:val="12"/>
                <w:color w:val="auto"/>
              </w:rPr>
            </w:pPr>
          </w:p>
        </w:tc>
        <w:tc>
          <w:tcPr>
            <w:tcW w:w="1060" w:type="dxa"/>
            <w:vAlign w:val="bottom"/>
            <w:shd w:val="clear" w:color="auto" w:fill="58854E"/>
          </w:tcPr>
          <w:p>
            <w:pPr>
              <w:jc w:val="center"/>
              <w:ind w:left="34"/>
              <w:spacing w:after="0"/>
              <w:rPr>
                <w:sz w:val="20"/>
                <w:szCs w:val="20"/>
                <w:color w:val="auto"/>
              </w:rPr>
            </w:pPr>
            <w:r>
              <w:rPr>
                <w:rFonts w:ascii="Arial" w:cs="Arial" w:eastAsia="Arial" w:hAnsi="Arial"/>
                <w:sz w:val="12"/>
                <w:szCs w:val="12"/>
                <w:b w:val="1"/>
                <w:bCs w:val="1"/>
                <w:color w:val="FFFFFE"/>
                <w:w w:val="99"/>
              </w:rPr>
              <w:t>MULTIPLE</w:t>
            </w:r>
          </w:p>
        </w:tc>
        <w:tc>
          <w:tcPr>
            <w:tcW w:w="140" w:type="dxa"/>
            <w:vAlign w:val="bottom"/>
          </w:tcPr>
          <w:p>
            <w:pPr>
              <w:spacing w:after="0"/>
              <w:rPr>
                <w:sz w:val="12"/>
                <w:szCs w:val="12"/>
                <w:color w:val="auto"/>
              </w:rPr>
            </w:pPr>
          </w:p>
        </w:tc>
        <w:tc>
          <w:tcPr>
            <w:tcW w:w="920" w:type="dxa"/>
            <w:vAlign w:val="bottom"/>
            <w:shd w:val="clear" w:color="auto" w:fill="58854E"/>
          </w:tcPr>
          <w:p>
            <w:pPr>
              <w:jc w:val="center"/>
              <w:ind w:left="14"/>
              <w:spacing w:after="0"/>
              <w:rPr>
                <w:sz w:val="20"/>
                <w:szCs w:val="20"/>
                <w:color w:val="auto"/>
              </w:rPr>
            </w:pPr>
            <w:r>
              <w:rPr>
                <w:rFonts w:ascii="Arial" w:cs="Arial" w:eastAsia="Arial" w:hAnsi="Arial"/>
                <w:sz w:val="12"/>
                <w:szCs w:val="12"/>
                <w:b w:val="1"/>
                <w:bCs w:val="1"/>
                <w:color w:val="FFFFFE"/>
                <w:w w:val="99"/>
              </w:rPr>
              <w:t>MULTIPLE</w:t>
            </w:r>
          </w:p>
        </w:tc>
        <w:tc>
          <w:tcPr>
            <w:tcW w:w="20" w:type="dxa"/>
            <w:vAlign w:val="bottom"/>
          </w:tcPr>
          <w:p>
            <w:pPr>
              <w:spacing w:after="0"/>
              <w:rPr>
                <w:sz w:val="12"/>
                <w:szCs w:val="12"/>
                <w:color w:val="auto"/>
              </w:rPr>
            </w:pPr>
          </w:p>
        </w:tc>
      </w:tr>
      <w:tr>
        <w:trPr>
          <w:trHeight w:val="171"/>
        </w:trPr>
        <w:tc>
          <w:tcPr>
            <w:tcW w:w="1900" w:type="dxa"/>
            <w:vAlign w:val="bottom"/>
            <w:tcBorders>
              <w:bottom w:val="single" w:sz="8" w:color="58844D"/>
            </w:tcBorders>
          </w:tcPr>
          <w:p>
            <w:pPr>
              <w:ind w:left="80"/>
              <w:spacing w:after="0" w:line="171" w:lineRule="exact"/>
              <w:rPr>
                <w:sz w:val="20"/>
                <w:szCs w:val="20"/>
                <w:color w:val="auto"/>
              </w:rPr>
            </w:pPr>
            <w:r>
              <w:rPr>
                <w:rFonts w:ascii="Arial" w:cs="Arial" w:eastAsia="Arial" w:hAnsi="Arial"/>
                <w:sz w:val="15"/>
                <w:szCs w:val="15"/>
                <w:color w:val="auto"/>
              </w:rPr>
              <w:t>Christopher S. Sotos</w:t>
            </w:r>
          </w:p>
        </w:tc>
        <w:tc>
          <w:tcPr>
            <w:tcW w:w="140" w:type="dxa"/>
            <w:vAlign w:val="bottom"/>
            <w:tcBorders>
              <w:bottom w:val="single" w:sz="8" w:color="58844D"/>
            </w:tcBorders>
          </w:tcPr>
          <w:p>
            <w:pPr>
              <w:spacing w:after="0"/>
              <w:rPr>
                <w:sz w:val="14"/>
                <w:szCs w:val="14"/>
                <w:color w:val="auto"/>
              </w:rPr>
            </w:pPr>
          </w:p>
        </w:tc>
        <w:tc>
          <w:tcPr>
            <w:tcW w:w="1200" w:type="dxa"/>
            <w:vAlign w:val="bottom"/>
            <w:tcBorders>
              <w:bottom w:val="single" w:sz="8" w:color="58844D"/>
            </w:tcBorders>
            <w:gridSpan w:val="2"/>
          </w:tcPr>
          <w:p>
            <w:pPr>
              <w:ind w:left="780"/>
              <w:spacing w:after="0" w:line="171" w:lineRule="exact"/>
              <w:rPr>
                <w:sz w:val="20"/>
                <w:szCs w:val="20"/>
                <w:color w:val="auto"/>
              </w:rPr>
            </w:pPr>
            <w:r>
              <w:rPr>
                <w:rFonts w:ascii="Arial" w:cs="Arial" w:eastAsia="Arial" w:hAnsi="Arial"/>
                <w:sz w:val="15"/>
                <w:szCs w:val="15"/>
                <w:color w:val="auto"/>
              </w:rPr>
              <w:t>4.0x</w:t>
            </w:r>
          </w:p>
        </w:tc>
        <w:tc>
          <w:tcPr>
            <w:tcW w:w="940" w:type="dxa"/>
            <w:vAlign w:val="bottom"/>
            <w:tcBorders>
              <w:bottom w:val="single" w:sz="8" w:color="58844D"/>
            </w:tcBorders>
            <w:gridSpan w:val="2"/>
          </w:tcPr>
          <w:p>
            <w:pPr>
              <w:ind w:left="660"/>
              <w:spacing w:after="0" w:line="171" w:lineRule="exact"/>
              <w:rPr>
                <w:sz w:val="20"/>
                <w:szCs w:val="20"/>
                <w:color w:val="auto"/>
              </w:rPr>
            </w:pPr>
            <w:r>
              <w:rPr>
                <w:rFonts w:ascii="Arial" w:cs="Arial" w:eastAsia="Arial" w:hAnsi="Arial"/>
                <w:sz w:val="15"/>
                <w:szCs w:val="15"/>
                <w:color w:val="auto"/>
                <w:w w:val="91"/>
              </w:rPr>
              <w:t>1.2x</w:t>
            </w:r>
          </w:p>
        </w:tc>
      </w:tr>
      <w:tr>
        <w:trPr>
          <w:trHeight w:val="162"/>
        </w:trPr>
        <w:tc>
          <w:tcPr>
            <w:tcW w:w="1900" w:type="dxa"/>
            <w:vAlign w:val="bottom"/>
            <w:tcBorders>
              <w:bottom w:val="single" w:sz="8" w:color="58844D"/>
            </w:tcBorders>
          </w:tcPr>
          <w:p>
            <w:pPr>
              <w:ind w:left="80"/>
              <w:spacing w:after="0" w:line="162" w:lineRule="exact"/>
              <w:rPr>
                <w:sz w:val="20"/>
                <w:szCs w:val="20"/>
                <w:color w:val="auto"/>
              </w:rPr>
            </w:pPr>
            <w:r>
              <w:rPr>
                <w:rFonts w:ascii="Arial" w:cs="Arial" w:eastAsia="Arial" w:hAnsi="Arial"/>
                <w:sz w:val="15"/>
                <w:szCs w:val="15"/>
                <w:color w:val="auto"/>
              </w:rPr>
              <w:t>Chad Plotkin</w:t>
            </w:r>
          </w:p>
        </w:tc>
        <w:tc>
          <w:tcPr>
            <w:tcW w:w="140" w:type="dxa"/>
            <w:vAlign w:val="bottom"/>
            <w:tcBorders>
              <w:bottom w:val="single" w:sz="8" w:color="58844D"/>
            </w:tcBorders>
          </w:tcPr>
          <w:p>
            <w:pPr>
              <w:spacing w:after="0"/>
              <w:rPr>
                <w:sz w:val="14"/>
                <w:szCs w:val="14"/>
                <w:color w:val="auto"/>
              </w:rPr>
            </w:pPr>
          </w:p>
        </w:tc>
        <w:tc>
          <w:tcPr>
            <w:tcW w:w="1200" w:type="dxa"/>
            <w:vAlign w:val="bottom"/>
            <w:tcBorders>
              <w:bottom w:val="single" w:sz="8" w:color="58844D"/>
            </w:tcBorders>
            <w:gridSpan w:val="2"/>
          </w:tcPr>
          <w:p>
            <w:pPr>
              <w:ind w:left="780"/>
              <w:spacing w:after="0" w:line="162" w:lineRule="exact"/>
              <w:rPr>
                <w:sz w:val="20"/>
                <w:szCs w:val="20"/>
                <w:color w:val="auto"/>
              </w:rPr>
            </w:pPr>
            <w:r>
              <w:rPr>
                <w:rFonts w:ascii="Arial" w:cs="Arial" w:eastAsia="Arial" w:hAnsi="Arial"/>
                <w:sz w:val="15"/>
                <w:szCs w:val="15"/>
                <w:color w:val="auto"/>
              </w:rPr>
              <w:t>2.0x</w:t>
            </w:r>
          </w:p>
        </w:tc>
        <w:tc>
          <w:tcPr>
            <w:tcW w:w="940" w:type="dxa"/>
            <w:vAlign w:val="bottom"/>
            <w:tcBorders>
              <w:bottom w:val="single" w:sz="8" w:color="58844D"/>
            </w:tcBorders>
            <w:gridSpan w:val="2"/>
          </w:tcPr>
          <w:p>
            <w:pPr>
              <w:ind w:left="660"/>
              <w:spacing w:after="0" w:line="162" w:lineRule="exact"/>
              <w:rPr>
                <w:sz w:val="20"/>
                <w:szCs w:val="20"/>
                <w:color w:val="auto"/>
              </w:rPr>
            </w:pPr>
            <w:r>
              <w:rPr>
                <w:rFonts w:ascii="Arial" w:cs="Arial" w:eastAsia="Arial" w:hAnsi="Arial"/>
                <w:sz w:val="15"/>
                <w:szCs w:val="15"/>
                <w:color w:val="auto"/>
                <w:w w:val="91"/>
              </w:rPr>
              <w:t>0.9x</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44</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58844D"/>
        </w:rPr>
        <w:t>Tax and Accounting Considerations</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Section 162(m) of the Code precludes us, as a public company, from taking a tax deduction for individual compensation to any NEO in excess of $1 million, subject to certain exemptions, including an exemption applicable during 2017 for performance-based compensation within the meaning of Section 162(m). The Tax Cuts and Jobs Act, enacted in December 2017, amended certain aspects of Section 162(m) specifically affecting the exclusion of performance-based compensation from the $1 million limit in future years. The Compensation Committee believes tax deductibility of compensation is an important consideration and, where possible, tries to preserve the deductibility of compensation to NEOs under Section 162(m) where appropriate. For 2017, the Compensation Committee considered the implications and exemptions to such limitation.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82" w:lineRule="exact"/>
        <w:rPr>
          <w:sz w:val="20"/>
          <w:szCs w:val="20"/>
          <w:color w:val="auto"/>
        </w:rPr>
      </w:pPr>
    </w:p>
    <w:p>
      <w:pPr>
        <w:ind w:right="180"/>
        <w:spacing w:after="0" w:line="239" w:lineRule="auto"/>
        <w:rPr>
          <w:sz w:val="20"/>
          <w:szCs w:val="20"/>
          <w:color w:val="auto"/>
        </w:rPr>
      </w:pPr>
      <w:r>
        <w:rPr>
          <w:rFonts w:ascii="Arial" w:cs="Arial" w:eastAsia="Arial" w:hAnsi="Arial"/>
          <w:sz w:val="15"/>
          <w:szCs w:val="15"/>
          <w:color w:val="auto"/>
        </w:rPr>
        <w:t>The Compensation Committee also takes into account tax consequences to NEOs in designing the various elements of our compensation program, such as designing the terms of awards to defer immediate income recognition in accordance with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911225</wp:posOffset>
            </wp:positionV>
            <wp:extent cx="7273290"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0" w:space="700"/>
            <w:col w:w="5380"/>
          </w:cols>
          <w:pgMar w:left="240" w:top="14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58844D"/>
        </w:rPr>
        <w:t>Compensation Tables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58844D"/>
        </w:rPr>
        <w:t>Summary Compensation Table</w:t>
      </w:r>
    </w:p>
    <w:p>
      <w:pPr>
        <w:jc w:val="center"/>
        <w:spacing w:after="0"/>
        <w:rPr>
          <w:sz w:val="20"/>
          <w:szCs w:val="20"/>
          <w:color w:val="auto"/>
        </w:rPr>
      </w:pPr>
      <w:r>
        <w:rPr>
          <w:rFonts w:ascii="Arial" w:cs="Arial" w:eastAsia="Arial" w:hAnsi="Arial"/>
          <w:sz w:val="18"/>
          <w:szCs w:val="18"/>
          <w:color w:val="58844D"/>
        </w:rPr>
        <w:t>Fiscal Year Ended December 31,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0" w:type="dxa"/>
            <w:vAlign w:val="bottom"/>
            <w:tcBorders>
              <w:right w:val="single" w:sz="8" w:color="58854E"/>
            </w:tcBorders>
            <w:shd w:val="clear" w:color="auto" w:fill="58854E"/>
          </w:tcPr>
          <w:p>
            <w:pPr>
              <w:spacing w:after="0"/>
              <w:rPr>
                <w:sz w:val="12"/>
                <w:szCs w:val="12"/>
                <w:color w:val="auto"/>
              </w:rPr>
            </w:pPr>
          </w:p>
        </w:tc>
        <w:tc>
          <w:tcPr>
            <w:tcW w:w="2120" w:type="dxa"/>
            <w:vAlign w:val="bottom"/>
            <w:tcBorders>
              <w:right w:val="single" w:sz="8" w:color="58854E"/>
            </w:tcBorders>
            <w:gridSpan w:val="5"/>
            <w:shd w:val="clear" w:color="auto" w:fill="58854E"/>
          </w:tcPr>
          <w:p>
            <w:pPr>
              <w:spacing w:after="0"/>
              <w:rPr>
                <w:sz w:val="12"/>
                <w:szCs w:val="12"/>
                <w:color w:val="auto"/>
              </w:rPr>
            </w:pPr>
          </w:p>
        </w:tc>
        <w:tc>
          <w:tcPr>
            <w:tcW w:w="600" w:type="dxa"/>
            <w:vAlign w:val="bottom"/>
            <w:tcBorders>
              <w:right w:val="single" w:sz="8" w:color="58854E"/>
            </w:tcBorders>
            <w:gridSpan w:val="2"/>
            <w:shd w:val="clear" w:color="auto" w:fill="58854E"/>
          </w:tcPr>
          <w:p>
            <w:pPr>
              <w:spacing w:after="0"/>
              <w:rPr>
                <w:sz w:val="12"/>
                <w:szCs w:val="12"/>
                <w:color w:val="auto"/>
              </w:rPr>
            </w:pPr>
          </w:p>
        </w:tc>
        <w:tc>
          <w:tcPr>
            <w:tcW w:w="160" w:type="dxa"/>
            <w:vAlign w:val="bottom"/>
            <w:tcBorders>
              <w:right w:val="single" w:sz="8" w:color="58854E"/>
            </w:tcBorders>
            <w:shd w:val="clear" w:color="auto" w:fill="58854E"/>
          </w:tcPr>
          <w:p>
            <w:pPr>
              <w:spacing w:after="0"/>
              <w:rPr>
                <w:sz w:val="12"/>
                <w:szCs w:val="12"/>
                <w:color w:val="auto"/>
              </w:rPr>
            </w:pPr>
          </w:p>
        </w:tc>
        <w:tc>
          <w:tcPr>
            <w:tcW w:w="100" w:type="dxa"/>
            <w:vAlign w:val="bottom"/>
            <w:tcBorders>
              <w:right w:val="single" w:sz="8" w:color="58854E"/>
            </w:tcBorders>
            <w:shd w:val="clear" w:color="auto" w:fill="58854E"/>
          </w:tcPr>
          <w:p>
            <w:pPr>
              <w:spacing w:after="0"/>
              <w:rPr>
                <w:sz w:val="12"/>
                <w:szCs w:val="12"/>
                <w:color w:val="auto"/>
              </w:rPr>
            </w:pPr>
          </w:p>
        </w:tc>
        <w:tc>
          <w:tcPr>
            <w:tcW w:w="1640" w:type="dxa"/>
            <w:vAlign w:val="bottom"/>
            <w:tcBorders>
              <w:right w:val="single" w:sz="8" w:color="58854E"/>
            </w:tcBorders>
            <w:gridSpan w:val="11"/>
          </w:tcPr>
          <w:p>
            <w:pPr>
              <w:spacing w:after="0"/>
              <w:rPr>
                <w:sz w:val="12"/>
                <w:szCs w:val="12"/>
                <w:color w:val="auto"/>
              </w:rPr>
            </w:pPr>
          </w:p>
        </w:tc>
        <w:tc>
          <w:tcPr>
            <w:tcW w:w="1260" w:type="dxa"/>
            <w:vAlign w:val="bottom"/>
            <w:tcBorders>
              <w:right w:val="single" w:sz="8" w:color="58854E"/>
            </w:tcBorders>
            <w:gridSpan w:val="7"/>
            <w:shd w:val="clear" w:color="auto" w:fill="58854E"/>
          </w:tcPr>
          <w:p>
            <w:pPr>
              <w:spacing w:after="0"/>
              <w:rPr>
                <w:sz w:val="12"/>
                <w:szCs w:val="12"/>
                <w:color w:val="auto"/>
              </w:rPr>
            </w:pPr>
          </w:p>
        </w:tc>
        <w:tc>
          <w:tcPr>
            <w:tcW w:w="1620" w:type="dxa"/>
            <w:vAlign w:val="bottom"/>
            <w:tcBorders>
              <w:right w:val="single" w:sz="8" w:color="58854E"/>
            </w:tcBorders>
            <w:gridSpan w:val="9"/>
          </w:tcPr>
          <w:p>
            <w:pPr>
              <w:spacing w:after="0"/>
              <w:rPr>
                <w:sz w:val="12"/>
                <w:szCs w:val="12"/>
                <w:color w:val="auto"/>
              </w:rPr>
            </w:pPr>
          </w:p>
        </w:tc>
        <w:tc>
          <w:tcPr>
            <w:tcW w:w="560" w:type="dxa"/>
            <w:vAlign w:val="bottom"/>
            <w:tcBorders>
              <w:right w:val="single" w:sz="8" w:color="58854E"/>
            </w:tcBorders>
            <w:gridSpan w:val="3"/>
            <w:shd w:val="clear" w:color="auto" w:fill="58854E"/>
          </w:tcPr>
          <w:p>
            <w:pPr>
              <w:spacing w:after="0"/>
              <w:rPr>
                <w:sz w:val="12"/>
                <w:szCs w:val="12"/>
                <w:color w:val="auto"/>
              </w:rPr>
            </w:pPr>
          </w:p>
        </w:tc>
        <w:tc>
          <w:tcPr>
            <w:tcW w:w="1220" w:type="dxa"/>
            <w:vAlign w:val="bottom"/>
            <w:tcBorders>
              <w:right w:val="single" w:sz="8" w:color="58854E"/>
            </w:tcBorders>
            <w:gridSpan w:val="5"/>
            <w:shd w:val="clear" w:color="auto" w:fill="58854E"/>
          </w:tcPr>
          <w:p>
            <w:pPr>
              <w:jc w:val="center"/>
              <w:ind w:right="154"/>
              <w:spacing w:after="0"/>
              <w:rPr>
                <w:sz w:val="20"/>
                <w:szCs w:val="20"/>
                <w:color w:val="auto"/>
              </w:rPr>
            </w:pPr>
            <w:r>
              <w:rPr>
                <w:rFonts w:ascii="Arial" w:cs="Arial" w:eastAsia="Arial" w:hAnsi="Arial"/>
                <w:sz w:val="12"/>
                <w:szCs w:val="12"/>
                <w:b w:val="1"/>
                <w:bCs w:val="1"/>
                <w:color w:val="FFFFFE"/>
              </w:rPr>
              <w:t>CHANGE IN</w:t>
            </w:r>
          </w:p>
        </w:tc>
        <w:tc>
          <w:tcPr>
            <w:tcW w:w="1160" w:type="dxa"/>
            <w:vAlign w:val="bottom"/>
            <w:tcBorders>
              <w:right w:val="single" w:sz="8" w:color="58854E"/>
            </w:tcBorders>
            <w:gridSpan w:val="7"/>
            <w:shd w:val="clear" w:color="auto" w:fill="58854E"/>
          </w:tcPr>
          <w:p>
            <w:pPr>
              <w:spacing w:after="0"/>
              <w:rPr>
                <w:sz w:val="12"/>
                <w:szCs w:val="12"/>
                <w:color w:val="auto"/>
              </w:rPr>
            </w:pPr>
          </w:p>
        </w:tc>
        <w:tc>
          <w:tcPr>
            <w:tcW w:w="880" w:type="dxa"/>
            <w:vAlign w:val="bottom"/>
            <w:gridSpan w:val="5"/>
            <w:shd w:val="clear" w:color="auto" w:fill="58854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58854E"/>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tcBorders>
              <w:right w:val="single" w:sz="8" w:color="58854E"/>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8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400" w:type="dxa"/>
            <w:vAlign w:val="bottom"/>
            <w:shd w:val="clear" w:color="auto" w:fill="58854E"/>
          </w:tcPr>
          <w:p>
            <w:pPr>
              <w:spacing w:after="0"/>
              <w:rPr>
                <w:sz w:val="11"/>
                <w:szCs w:val="11"/>
                <w:color w:val="auto"/>
              </w:rPr>
            </w:pPr>
          </w:p>
        </w:tc>
        <w:tc>
          <w:tcPr>
            <w:tcW w:w="260" w:type="dxa"/>
            <w:vAlign w:val="bottom"/>
            <w:tcBorders>
              <w:right w:val="single" w:sz="8" w:color="58854E"/>
            </w:tcBorders>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8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660" w:type="dxa"/>
            <w:vAlign w:val="bottom"/>
            <w:tcBorders>
              <w:right w:val="single" w:sz="8" w:color="58854E"/>
            </w:tcBorders>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200" w:type="dxa"/>
            <w:vAlign w:val="bottom"/>
            <w:tcBorders>
              <w:right w:val="single" w:sz="8" w:color="58854E"/>
            </w:tcBorders>
          </w:tcPr>
          <w:p>
            <w:pPr>
              <w:spacing w:after="0"/>
              <w:rPr>
                <w:sz w:val="11"/>
                <w:szCs w:val="11"/>
                <w:color w:val="auto"/>
              </w:rPr>
            </w:pPr>
          </w:p>
        </w:tc>
        <w:tc>
          <w:tcPr>
            <w:tcW w:w="1000" w:type="dxa"/>
            <w:vAlign w:val="bottom"/>
            <w:gridSpan w:val="3"/>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PENSION VALUE</w:t>
            </w:r>
          </w:p>
        </w:tc>
        <w:tc>
          <w:tcPr>
            <w:tcW w:w="40" w:type="dxa"/>
            <w:vAlign w:val="bottom"/>
          </w:tcPr>
          <w:p>
            <w:pPr>
              <w:spacing w:after="0"/>
              <w:rPr>
                <w:sz w:val="11"/>
                <w:szCs w:val="11"/>
                <w:color w:val="auto"/>
              </w:rPr>
            </w:pPr>
          </w:p>
        </w:tc>
        <w:tc>
          <w:tcPr>
            <w:tcW w:w="180" w:type="dxa"/>
            <w:vAlign w:val="bottom"/>
            <w:tcBorders>
              <w:right w:val="single" w:sz="8" w:color="58854E"/>
            </w:tcBorders>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72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58854E"/>
            </w:tcBorders>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4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58854E"/>
          </w:tcPr>
          <w:p>
            <w:pPr>
              <w:spacing w:after="0"/>
              <w:rPr>
                <w:sz w:val="11"/>
                <w:szCs w:val="11"/>
                <w:color w:val="auto"/>
              </w:rPr>
            </w:pPr>
          </w:p>
        </w:tc>
        <w:tc>
          <w:tcPr>
            <w:tcW w:w="2120" w:type="dxa"/>
            <w:vAlign w:val="bottom"/>
            <w:tcBorders>
              <w:right w:val="single" w:sz="8" w:color="58854E"/>
            </w:tcBorders>
            <w:gridSpan w:val="5"/>
            <w:shd w:val="clear" w:color="auto" w:fill="58854E"/>
          </w:tcPr>
          <w:p>
            <w:pPr>
              <w:spacing w:after="0"/>
              <w:rPr>
                <w:sz w:val="11"/>
                <w:szCs w:val="11"/>
                <w:color w:val="auto"/>
              </w:rPr>
            </w:pPr>
          </w:p>
        </w:tc>
        <w:tc>
          <w:tcPr>
            <w:tcW w:w="600" w:type="dxa"/>
            <w:vAlign w:val="bottom"/>
            <w:tcBorders>
              <w:right w:val="single" w:sz="8" w:color="58854E"/>
            </w:tcBorders>
            <w:gridSpan w:val="2"/>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640" w:type="dxa"/>
            <w:vAlign w:val="bottom"/>
            <w:tcBorders>
              <w:right w:val="single" w:sz="8" w:color="58854E"/>
            </w:tcBorders>
            <w:gridSpan w:val="11"/>
          </w:tcPr>
          <w:p>
            <w:pPr>
              <w:spacing w:after="0"/>
              <w:rPr>
                <w:sz w:val="11"/>
                <w:szCs w:val="11"/>
                <w:color w:val="auto"/>
              </w:rPr>
            </w:pPr>
          </w:p>
        </w:tc>
        <w:tc>
          <w:tcPr>
            <w:tcW w:w="1260" w:type="dxa"/>
            <w:vAlign w:val="bottom"/>
            <w:tcBorders>
              <w:right w:val="single" w:sz="8" w:color="58854E"/>
            </w:tcBorders>
            <w:gridSpan w:val="7"/>
            <w:shd w:val="clear" w:color="auto" w:fill="58854E"/>
          </w:tcPr>
          <w:p>
            <w:pPr>
              <w:spacing w:after="0"/>
              <w:rPr>
                <w:sz w:val="11"/>
                <w:szCs w:val="11"/>
                <w:color w:val="auto"/>
              </w:rPr>
            </w:pPr>
          </w:p>
        </w:tc>
        <w:tc>
          <w:tcPr>
            <w:tcW w:w="1620" w:type="dxa"/>
            <w:vAlign w:val="bottom"/>
            <w:tcBorders>
              <w:right w:val="single" w:sz="8" w:color="58854E"/>
            </w:tcBorders>
            <w:gridSpan w:val="9"/>
          </w:tcPr>
          <w:p>
            <w:pPr>
              <w:spacing w:after="0"/>
              <w:rPr>
                <w:sz w:val="11"/>
                <w:szCs w:val="11"/>
                <w:color w:val="auto"/>
              </w:rPr>
            </w:pPr>
          </w:p>
        </w:tc>
        <w:tc>
          <w:tcPr>
            <w:tcW w:w="560" w:type="dxa"/>
            <w:vAlign w:val="bottom"/>
            <w:tcBorders>
              <w:right w:val="single" w:sz="8" w:color="58854E"/>
            </w:tcBorders>
            <w:gridSpan w:val="3"/>
            <w:shd w:val="clear" w:color="auto" w:fill="58854E"/>
          </w:tcPr>
          <w:p>
            <w:pPr>
              <w:spacing w:after="0"/>
              <w:rPr>
                <w:sz w:val="11"/>
                <w:szCs w:val="11"/>
                <w:color w:val="auto"/>
              </w:rPr>
            </w:pPr>
          </w:p>
        </w:tc>
        <w:tc>
          <w:tcPr>
            <w:tcW w:w="1220" w:type="dxa"/>
            <w:vAlign w:val="bottom"/>
            <w:tcBorders>
              <w:right w:val="single" w:sz="8" w:color="58854E"/>
            </w:tcBorders>
            <w:gridSpan w:val="5"/>
            <w:shd w:val="clear" w:color="auto" w:fill="58854E"/>
          </w:tcPr>
          <w:p>
            <w:pPr>
              <w:jc w:val="center"/>
              <w:ind w:right="134"/>
              <w:spacing w:after="0" w:line="137" w:lineRule="exact"/>
              <w:rPr>
                <w:sz w:val="20"/>
                <w:szCs w:val="20"/>
                <w:color w:val="auto"/>
              </w:rPr>
            </w:pPr>
            <w:r>
              <w:rPr>
                <w:rFonts w:ascii="Arial" w:cs="Arial" w:eastAsia="Arial" w:hAnsi="Arial"/>
                <w:sz w:val="12"/>
                <w:szCs w:val="12"/>
                <w:b w:val="1"/>
                <w:bCs w:val="1"/>
                <w:color w:val="FFFFFE"/>
                <w:w w:val="99"/>
              </w:rPr>
              <w:t>AND</w:t>
            </w:r>
          </w:p>
        </w:tc>
        <w:tc>
          <w:tcPr>
            <w:tcW w:w="1160" w:type="dxa"/>
            <w:vAlign w:val="bottom"/>
            <w:tcBorders>
              <w:right w:val="single" w:sz="8" w:color="58854E"/>
            </w:tcBorders>
            <w:gridSpan w:val="7"/>
            <w:shd w:val="clear" w:color="auto" w:fill="58854E"/>
          </w:tcPr>
          <w:p>
            <w:pPr>
              <w:spacing w:after="0"/>
              <w:rPr>
                <w:sz w:val="11"/>
                <w:szCs w:val="11"/>
                <w:color w:val="auto"/>
              </w:rPr>
            </w:pPr>
          </w:p>
        </w:tc>
        <w:tc>
          <w:tcPr>
            <w:tcW w:w="880" w:type="dxa"/>
            <w:vAlign w:val="bottom"/>
            <w:gridSpan w:val="5"/>
            <w:shd w:val="clear" w:color="auto" w:fill="58854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58854E"/>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tcBorders>
              <w:right w:val="single" w:sz="8" w:color="58854E"/>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8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400" w:type="dxa"/>
            <w:vAlign w:val="bottom"/>
            <w:shd w:val="clear" w:color="auto" w:fill="58854E"/>
          </w:tcPr>
          <w:p>
            <w:pPr>
              <w:spacing w:after="0"/>
              <w:rPr>
                <w:sz w:val="11"/>
                <w:szCs w:val="11"/>
                <w:color w:val="auto"/>
              </w:rPr>
            </w:pPr>
          </w:p>
        </w:tc>
        <w:tc>
          <w:tcPr>
            <w:tcW w:w="260" w:type="dxa"/>
            <w:vAlign w:val="bottom"/>
            <w:tcBorders>
              <w:right w:val="single" w:sz="8" w:color="58854E"/>
            </w:tcBorders>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8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1020" w:type="dxa"/>
            <w:vAlign w:val="bottom"/>
            <w:gridSpan w:val="3"/>
            <w:vMerge w:val="restart"/>
            <w:shd w:val="clear" w:color="auto" w:fill="58854E"/>
          </w:tcPr>
          <w:p>
            <w:pPr>
              <w:jc w:val="center"/>
              <w:spacing w:after="0"/>
              <w:rPr>
                <w:sz w:val="20"/>
                <w:szCs w:val="20"/>
                <w:color w:val="auto"/>
              </w:rPr>
            </w:pPr>
            <w:r>
              <w:rPr>
                <w:rFonts w:ascii="Arial" w:cs="Arial" w:eastAsia="Arial" w:hAnsi="Arial"/>
                <w:sz w:val="12"/>
                <w:szCs w:val="12"/>
                <w:b w:val="1"/>
                <w:bCs w:val="1"/>
                <w:color w:val="FFFFFE"/>
              </w:rPr>
              <w:t>NON-EQUITY</w:t>
            </w:r>
          </w:p>
        </w:tc>
        <w:tc>
          <w:tcPr>
            <w:tcW w:w="200" w:type="dxa"/>
            <w:vAlign w:val="bottom"/>
            <w:tcBorders>
              <w:right w:val="single" w:sz="8" w:color="58854E"/>
            </w:tcBorders>
          </w:tcPr>
          <w:p>
            <w:pPr>
              <w:spacing w:after="0"/>
              <w:rPr>
                <w:sz w:val="11"/>
                <w:szCs w:val="11"/>
                <w:color w:val="auto"/>
              </w:rPr>
            </w:pPr>
          </w:p>
        </w:tc>
        <w:tc>
          <w:tcPr>
            <w:tcW w:w="1000" w:type="dxa"/>
            <w:vAlign w:val="bottom"/>
            <w:gridSpan w:val="3"/>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NONQUALIFIED</w:t>
            </w:r>
          </w:p>
        </w:tc>
        <w:tc>
          <w:tcPr>
            <w:tcW w:w="40" w:type="dxa"/>
            <w:vAlign w:val="bottom"/>
          </w:tcPr>
          <w:p>
            <w:pPr>
              <w:spacing w:after="0"/>
              <w:rPr>
                <w:sz w:val="11"/>
                <w:szCs w:val="11"/>
                <w:color w:val="auto"/>
              </w:rPr>
            </w:pPr>
          </w:p>
        </w:tc>
        <w:tc>
          <w:tcPr>
            <w:tcW w:w="180" w:type="dxa"/>
            <w:vAlign w:val="bottom"/>
            <w:tcBorders>
              <w:right w:val="single" w:sz="8" w:color="58854E"/>
            </w:tcBorders>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72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58854E"/>
            </w:tcBorders>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4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0" w:type="dxa"/>
            <w:vAlign w:val="bottom"/>
            <w:tcBorders>
              <w:right w:val="single" w:sz="8" w:color="58854E"/>
            </w:tcBorders>
            <w:shd w:val="clear" w:color="auto" w:fill="58854E"/>
          </w:tcPr>
          <w:p>
            <w:pPr>
              <w:spacing w:after="0"/>
              <w:rPr>
                <w:sz w:val="10"/>
                <w:szCs w:val="10"/>
                <w:color w:val="auto"/>
              </w:rPr>
            </w:pPr>
          </w:p>
        </w:tc>
        <w:tc>
          <w:tcPr>
            <w:tcW w:w="240" w:type="dxa"/>
            <w:vAlign w:val="bottom"/>
            <w:shd w:val="clear" w:color="auto" w:fill="58854E"/>
          </w:tcPr>
          <w:p>
            <w:pPr>
              <w:spacing w:after="0"/>
              <w:rPr>
                <w:sz w:val="10"/>
                <w:szCs w:val="10"/>
                <w:color w:val="auto"/>
              </w:rPr>
            </w:pPr>
          </w:p>
        </w:tc>
        <w:tc>
          <w:tcPr>
            <w:tcW w:w="1300" w:type="dxa"/>
            <w:vAlign w:val="bottom"/>
            <w:shd w:val="clear" w:color="auto" w:fill="58854E"/>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340" w:type="dxa"/>
            <w:vAlign w:val="bottom"/>
            <w:shd w:val="clear" w:color="auto" w:fill="58854E"/>
          </w:tcPr>
          <w:p>
            <w:pPr>
              <w:spacing w:after="0"/>
              <w:rPr>
                <w:sz w:val="10"/>
                <w:szCs w:val="10"/>
                <w:color w:val="auto"/>
              </w:rPr>
            </w:pPr>
          </w:p>
        </w:tc>
        <w:tc>
          <w:tcPr>
            <w:tcW w:w="160" w:type="dxa"/>
            <w:vAlign w:val="bottom"/>
            <w:tcBorders>
              <w:right w:val="single" w:sz="8" w:color="58854E"/>
            </w:tcBorders>
            <w:shd w:val="clear" w:color="auto" w:fill="58854E"/>
          </w:tcPr>
          <w:p>
            <w:pPr>
              <w:spacing w:after="0"/>
              <w:rPr>
                <w:sz w:val="10"/>
                <w:szCs w:val="10"/>
                <w:color w:val="auto"/>
              </w:rPr>
            </w:pPr>
          </w:p>
        </w:tc>
        <w:tc>
          <w:tcPr>
            <w:tcW w:w="60" w:type="dxa"/>
            <w:vAlign w:val="bottom"/>
            <w:shd w:val="clear" w:color="auto" w:fill="58854E"/>
          </w:tcPr>
          <w:p>
            <w:pPr>
              <w:spacing w:after="0"/>
              <w:rPr>
                <w:sz w:val="10"/>
                <w:szCs w:val="10"/>
                <w:color w:val="auto"/>
              </w:rPr>
            </w:pPr>
          </w:p>
        </w:tc>
        <w:tc>
          <w:tcPr>
            <w:tcW w:w="540" w:type="dxa"/>
            <w:vAlign w:val="bottom"/>
            <w:tcBorders>
              <w:right w:val="single" w:sz="8" w:color="58854E"/>
            </w:tcBorders>
            <w:shd w:val="clear" w:color="auto" w:fill="58854E"/>
          </w:tcPr>
          <w:p>
            <w:pPr>
              <w:spacing w:after="0"/>
              <w:rPr>
                <w:sz w:val="10"/>
                <w:szCs w:val="10"/>
                <w:color w:val="auto"/>
              </w:rPr>
            </w:pPr>
          </w:p>
        </w:tc>
        <w:tc>
          <w:tcPr>
            <w:tcW w:w="160" w:type="dxa"/>
            <w:vAlign w:val="bottom"/>
            <w:tcBorders>
              <w:right w:val="single" w:sz="8" w:color="58854E"/>
            </w:tcBorders>
            <w:shd w:val="clear" w:color="auto" w:fill="58854E"/>
          </w:tcPr>
          <w:p>
            <w:pPr>
              <w:spacing w:after="0"/>
              <w:rPr>
                <w:sz w:val="10"/>
                <w:szCs w:val="10"/>
                <w:color w:val="auto"/>
              </w:rPr>
            </w:pPr>
          </w:p>
        </w:tc>
        <w:tc>
          <w:tcPr>
            <w:tcW w:w="100" w:type="dxa"/>
            <w:vAlign w:val="bottom"/>
            <w:tcBorders>
              <w:right w:val="single" w:sz="8" w:color="58854E"/>
            </w:tcBorders>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shd w:val="clear" w:color="auto" w:fill="58854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shd w:val="clear" w:color="auto" w:fill="58854E"/>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280" w:type="dxa"/>
            <w:vAlign w:val="bottom"/>
            <w:shd w:val="clear" w:color="auto" w:fill="58854E"/>
          </w:tcPr>
          <w:p>
            <w:pPr>
              <w:spacing w:after="0"/>
              <w:rPr>
                <w:sz w:val="10"/>
                <w:szCs w:val="10"/>
                <w:color w:val="auto"/>
              </w:rPr>
            </w:pPr>
          </w:p>
        </w:tc>
        <w:tc>
          <w:tcPr>
            <w:tcW w:w="120" w:type="dxa"/>
            <w:vAlign w:val="bottom"/>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right w:val="single" w:sz="8" w:color="58854E"/>
            </w:tcBorders>
            <w:shd w:val="clear" w:color="auto" w:fill="58854E"/>
          </w:tcPr>
          <w:p>
            <w:pPr>
              <w:spacing w:after="0"/>
              <w:rPr>
                <w:sz w:val="10"/>
                <w:szCs w:val="10"/>
                <w:color w:val="auto"/>
              </w:rPr>
            </w:pPr>
          </w:p>
        </w:tc>
        <w:tc>
          <w:tcPr>
            <w:tcW w:w="100" w:type="dxa"/>
            <w:vAlign w:val="bottom"/>
            <w:shd w:val="clear" w:color="auto" w:fill="58854E"/>
          </w:tcPr>
          <w:p>
            <w:pPr>
              <w:spacing w:after="0"/>
              <w:rPr>
                <w:sz w:val="10"/>
                <w:szCs w:val="10"/>
                <w:color w:val="auto"/>
              </w:rPr>
            </w:pPr>
          </w:p>
        </w:tc>
        <w:tc>
          <w:tcPr>
            <w:tcW w:w="120" w:type="dxa"/>
            <w:vAlign w:val="bottom"/>
            <w:shd w:val="clear" w:color="auto" w:fill="58854E"/>
          </w:tcPr>
          <w:p>
            <w:pPr>
              <w:spacing w:after="0"/>
              <w:rPr>
                <w:sz w:val="10"/>
                <w:szCs w:val="10"/>
                <w:color w:val="auto"/>
              </w:rPr>
            </w:pPr>
          </w:p>
        </w:tc>
        <w:tc>
          <w:tcPr>
            <w:tcW w:w="140" w:type="dxa"/>
            <w:vAlign w:val="bottom"/>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shd w:val="clear" w:color="auto" w:fill="58854E"/>
          </w:tcPr>
          <w:p>
            <w:pPr>
              <w:spacing w:after="0"/>
              <w:rPr>
                <w:sz w:val="10"/>
                <w:szCs w:val="10"/>
                <w:color w:val="auto"/>
              </w:rPr>
            </w:pPr>
          </w:p>
        </w:tc>
        <w:tc>
          <w:tcPr>
            <w:tcW w:w="400" w:type="dxa"/>
            <w:vAlign w:val="bottom"/>
            <w:shd w:val="clear" w:color="auto" w:fill="58854E"/>
          </w:tcPr>
          <w:p>
            <w:pPr>
              <w:spacing w:after="0"/>
              <w:rPr>
                <w:sz w:val="10"/>
                <w:szCs w:val="10"/>
                <w:color w:val="auto"/>
              </w:rPr>
            </w:pPr>
          </w:p>
        </w:tc>
        <w:tc>
          <w:tcPr>
            <w:tcW w:w="260" w:type="dxa"/>
            <w:vAlign w:val="bottom"/>
            <w:tcBorders>
              <w:right w:val="single" w:sz="8" w:color="58854E"/>
            </w:tcBorders>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shd w:val="clear" w:color="auto" w:fill="58854E"/>
          </w:tcPr>
          <w:p>
            <w:pPr>
              <w:spacing w:after="0"/>
              <w:rPr>
                <w:sz w:val="10"/>
                <w:szCs w:val="10"/>
                <w:color w:val="auto"/>
              </w:rPr>
            </w:pPr>
          </w:p>
        </w:tc>
        <w:tc>
          <w:tcPr>
            <w:tcW w:w="20" w:type="dxa"/>
            <w:vAlign w:val="bottom"/>
            <w:shd w:val="clear" w:color="auto" w:fill="58854E"/>
          </w:tcPr>
          <w:p>
            <w:pPr>
              <w:spacing w:after="0"/>
              <w:rPr>
                <w:sz w:val="10"/>
                <w:szCs w:val="10"/>
                <w:color w:val="auto"/>
              </w:rPr>
            </w:pPr>
          </w:p>
        </w:tc>
        <w:tc>
          <w:tcPr>
            <w:tcW w:w="40" w:type="dxa"/>
            <w:vAlign w:val="bottom"/>
            <w:shd w:val="clear" w:color="auto" w:fill="58854E"/>
          </w:tcPr>
          <w:p>
            <w:pPr>
              <w:spacing w:after="0"/>
              <w:rPr>
                <w:sz w:val="10"/>
                <w:szCs w:val="10"/>
                <w:color w:val="auto"/>
              </w:rPr>
            </w:pPr>
          </w:p>
        </w:tc>
        <w:tc>
          <w:tcPr>
            <w:tcW w:w="180" w:type="dxa"/>
            <w:vAlign w:val="bottom"/>
            <w:shd w:val="clear" w:color="auto" w:fill="58854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shd w:val="clear" w:color="auto" w:fill="58854E"/>
          </w:tcPr>
          <w:p>
            <w:pPr>
              <w:spacing w:after="0"/>
              <w:rPr>
                <w:sz w:val="10"/>
                <w:szCs w:val="10"/>
                <w:color w:val="auto"/>
              </w:rPr>
            </w:pPr>
          </w:p>
        </w:tc>
        <w:tc>
          <w:tcPr>
            <w:tcW w:w="1020" w:type="dxa"/>
            <w:vAlign w:val="bottom"/>
            <w:gridSpan w:val="3"/>
            <w:vMerge w:val="continue"/>
            <w:shd w:val="clear" w:color="auto" w:fill="58854E"/>
          </w:tcPr>
          <w:p>
            <w:pPr>
              <w:spacing w:after="0"/>
              <w:rPr>
                <w:sz w:val="10"/>
                <w:szCs w:val="10"/>
                <w:color w:val="auto"/>
              </w:rPr>
            </w:pPr>
          </w:p>
        </w:tc>
        <w:tc>
          <w:tcPr>
            <w:tcW w:w="200" w:type="dxa"/>
            <w:vAlign w:val="bottom"/>
            <w:tcBorders>
              <w:right w:val="single" w:sz="8" w:color="58854E"/>
            </w:tcBorders>
          </w:tcPr>
          <w:p>
            <w:pPr>
              <w:spacing w:after="0"/>
              <w:rPr>
                <w:sz w:val="10"/>
                <w:szCs w:val="10"/>
                <w:color w:val="auto"/>
              </w:rPr>
            </w:pPr>
          </w:p>
        </w:tc>
        <w:tc>
          <w:tcPr>
            <w:tcW w:w="860" w:type="dxa"/>
            <w:vAlign w:val="bottom"/>
            <w:gridSpan w:val="2"/>
            <w:shd w:val="clear" w:color="auto" w:fill="58854E"/>
          </w:tcPr>
          <w:p>
            <w:pPr>
              <w:jc w:val="center"/>
              <w:ind w:left="75"/>
              <w:spacing w:after="0" w:line="124" w:lineRule="exact"/>
              <w:rPr>
                <w:sz w:val="20"/>
                <w:szCs w:val="20"/>
                <w:color w:val="auto"/>
              </w:rPr>
            </w:pPr>
            <w:r>
              <w:rPr>
                <w:rFonts w:ascii="Arial" w:cs="Arial" w:eastAsia="Arial" w:hAnsi="Arial"/>
                <w:sz w:val="12"/>
                <w:szCs w:val="12"/>
                <w:b w:val="1"/>
                <w:bCs w:val="1"/>
                <w:color w:val="FFFFFE"/>
              </w:rPr>
              <w:t>DEFERRED</w:t>
            </w:r>
          </w:p>
        </w:tc>
        <w:tc>
          <w:tcPr>
            <w:tcW w:w="140" w:type="dxa"/>
            <w:vAlign w:val="bottom"/>
            <w:shd w:val="clear" w:color="auto" w:fill="58854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right w:val="single" w:sz="8" w:color="58854E"/>
            </w:tcBorders>
          </w:tcPr>
          <w:p>
            <w:pPr>
              <w:spacing w:after="0"/>
              <w:rPr>
                <w:sz w:val="10"/>
                <w:szCs w:val="10"/>
                <w:color w:val="auto"/>
              </w:rPr>
            </w:pPr>
          </w:p>
        </w:tc>
        <w:tc>
          <w:tcPr>
            <w:tcW w:w="120" w:type="dxa"/>
            <w:vAlign w:val="bottom"/>
            <w:shd w:val="clear" w:color="auto" w:fill="58854E"/>
          </w:tcPr>
          <w:p>
            <w:pPr>
              <w:spacing w:after="0"/>
              <w:rPr>
                <w:sz w:val="10"/>
                <w:szCs w:val="10"/>
                <w:color w:val="auto"/>
              </w:rPr>
            </w:pPr>
          </w:p>
        </w:tc>
        <w:tc>
          <w:tcPr>
            <w:tcW w:w="720" w:type="dxa"/>
            <w:vAlign w:val="bottom"/>
            <w:shd w:val="clear" w:color="auto" w:fill="58854E"/>
          </w:tcPr>
          <w:p>
            <w:pPr>
              <w:spacing w:after="0"/>
              <w:rPr>
                <w:sz w:val="10"/>
                <w:szCs w:val="10"/>
                <w:color w:val="auto"/>
              </w:rPr>
            </w:pPr>
          </w:p>
        </w:tc>
        <w:tc>
          <w:tcPr>
            <w:tcW w:w="20" w:type="dxa"/>
            <w:vAlign w:val="bottom"/>
            <w:shd w:val="clear" w:color="auto" w:fill="58854E"/>
          </w:tcPr>
          <w:p>
            <w:pPr>
              <w:spacing w:after="0"/>
              <w:rPr>
                <w:sz w:val="10"/>
                <w:szCs w:val="10"/>
                <w:color w:val="auto"/>
              </w:rPr>
            </w:pPr>
          </w:p>
        </w:tc>
        <w:tc>
          <w:tcPr>
            <w:tcW w:w="40" w:type="dxa"/>
            <w:vAlign w:val="bottom"/>
            <w:shd w:val="clear" w:color="auto" w:fill="58854E"/>
          </w:tcPr>
          <w:p>
            <w:pPr>
              <w:spacing w:after="0"/>
              <w:rPr>
                <w:sz w:val="10"/>
                <w:szCs w:val="10"/>
                <w:color w:val="auto"/>
              </w:rPr>
            </w:pPr>
          </w:p>
        </w:tc>
        <w:tc>
          <w:tcPr>
            <w:tcW w:w="100" w:type="dxa"/>
            <w:vAlign w:val="bottom"/>
            <w:shd w:val="clear" w:color="auto" w:fill="58854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58854E"/>
            </w:tcBorders>
          </w:tcPr>
          <w:p>
            <w:pPr>
              <w:spacing w:after="0"/>
              <w:rPr>
                <w:sz w:val="10"/>
                <w:szCs w:val="10"/>
                <w:color w:val="auto"/>
              </w:rPr>
            </w:pPr>
          </w:p>
        </w:tc>
        <w:tc>
          <w:tcPr>
            <w:tcW w:w="140" w:type="dxa"/>
            <w:vAlign w:val="bottom"/>
            <w:shd w:val="clear" w:color="auto" w:fill="58854E"/>
          </w:tcPr>
          <w:p>
            <w:pPr>
              <w:spacing w:after="0"/>
              <w:rPr>
                <w:sz w:val="10"/>
                <w:szCs w:val="10"/>
                <w:color w:val="auto"/>
              </w:rPr>
            </w:pPr>
          </w:p>
        </w:tc>
        <w:tc>
          <w:tcPr>
            <w:tcW w:w="60" w:type="dxa"/>
            <w:vAlign w:val="bottom"/>
            <w:shd w:val="clear" w:color="auto" w:fill="58854E"/>
          </w:tcPr>
          <w:p>
            <w:pPr>
              <w:spacing w:after="0"/>
              <w:rPr>
                <w:sz w:val="10"/>
                <w:szCs w:val="10"/>
                <w:color w:val="auto"/>
              </w:rPr>
            </w:pPr>
          </w:p>
        </w:tc>
        <w:tc>
          <w:tcPr>
            <w:tcW w:w="440" w:type="dxa"/>
            <w:vAlign w:val="bottom"/>
            <w:shd w:val="clear" w:color="auto" w:fill="58854E"/>
          </w:tcPr>
          <w:p>
            <w:pPr>
              <w:spacing w:after="0"/>
              <w:rPr>
                <w:sz w:val="10"/>
                <w:szCs w:val="10"/>
                <w:color w:val="auto"/>
              </w:rPr>
            </w:pPr>
          </w:p>
        </w:tc>
        <w:tc>
          <w:tcPr>
            <w:tcW w:w="100" w:type="dxa"/>
            <w:vAlign w:val="bottom"/>
            <w:shd w:val="clear" w:color="auto" w:fill="58854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58854E"/>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tcBorders>
              <w:right w:val="single" w:sz="8" w:color="58854E"/>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8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660" w:type="dxa"/>
            <w:vAlign w:val="bottom"/>
            <w:tcBorders>
              <w:right w:val="single" w:sz="8" w:color="58854E"/>
            </w:tcBorders>
            <w:gridSpan w:val="2"/>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STOCK</w:t>
            </w:r>
          </w:p>
        </w:tc>
        <w:tc>
          <w:tcPr>
            <w:tcW w:w="140" w:type="dxa"/>
            <w:vAlign w:val="bottom"/>
          </w:tcPr>
          <w:p>
            <w:pPr>
              <w:spacing w:after="0"/>
              <w:rPr>
                <w:sz w:val="11"/>
                <w:szCs w:val="11"/>
                <w:color w:val="auto"/>
              </w:rPr>
            </w:pPr>
          </w:p>
        </w:tc>
        <w:tc>
          <w:tcPr>
            <w:tcW w:w="600" w:type="dxa"/>
            <w:vAlign w:val="bottom"/>
            <w:gridSpan w:val="4"/>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OPTION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1020" w:type="dxa"/>
            <w:vAlign w:val="bottom"/>
            <w:gridSpan w:val="3"/>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INCENTIVE PLAN</w:t>
            </w:r>
          </w:p>
        </w:tc>
        <w:tc>
          <w:tcPr>
            <w:tcW w:w="200" w:type="dxa"/>
            <w:vAlign w:val="bottom"/>
            <w:tcBorders>
              <w:right w:val="single" w:sz="8" w:color="58854E"/>
            </w:tcBorders>
          </w:tcPr>
          <w:p>
            <w:pPr>
              <w:spacing w:after="0"/>
              <w:rPr>
                <w:sz w:val="11"/>
                <w:szCs w:val="11"/>
                <w:color w:val="auto"/>
              </w:rPr>
            </w:pPr>
          </w:p>
        </w:tc>
        <w:tc>
          <w:tcPr>
            <w:tcW w:w="1000" w:type="dxa"/>
            <w:vAlign w:val="bottom"/>
            <w:gridSpan w:val="3"/>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COMPENSATION</w:t>
            </w:r>
          </w:p>
        </w:tc>
        <w:tc>
          <w:tcPr>
            <w:tcW w:w="40" w:type="dxa"/>
            <w:vAlign w:val="bottom"/>
          </w:tcPr>
          <w:p>
            <w:pPr>
              <w:spacing w:after="0"/>
              <w:rPr>
                <w:sz w:val="11"/>
                <w:szCs w:val="11"/>
                <w:color w:val="auto"/>
              </w:rPr>
            </w:pPr>
          </w:p>
        </w:tc>
        <w:tc>
          <w:tcPr>
            <w:tcW w:w="180" w:type="dxa"/>
            <w:vAlign w:val="bottom"/>
            <w:tcBorders>
              <w:right w:val="single" w:sz="8" w:color="58854E"/>
            </w:tcBorders>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740" w:type="dxa"/>
            <w:vAlign w:val="bottom"/>
            <w:gridSpan w:val="2"/>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ALL OTHER</w:t>
            </w:r>
          </w:p>
        </w:tc>
        <w:tc>
          <w:tcPr>
            <w:tcW w:w="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58854E"/>
            </w:tcBorders>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4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58854E"/>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tcBorders>
              <w:right w:val="single" w:sz="8" w:color="58854E"/>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560" w:type="dxa"/>
            <w:vAlign w:val="bottom"/>
            <w:gridSpan w:val="4"/>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SALARY</w:t>
            </w:r>
          </w:p>
        </w:tc>
        <w:tc>
          <w:tcPr>
            <w:tcW w:w="140" w:type="dxa"/>
            <w:vAlign w:val="bottom"/>
          </w:tcPr>
          <w:p>
            <w:pPr>
              <w:spacing w:after="0"/>
              <w:rPr>
                <w:sz w:val="11"/>
                <w:szCs w:val="11"/>
                <w:color w:val="auto"/>
              </w:rPr>
            </w:pPr>
          </w:p>
        </w:tc>
        <w:tc>
          <w:tcPr>
            <w:tcW w:w="520" w:type="dxa"/>
            <w:vAlign w:val="bottom"/>
            <w:gridSpan w:val="4"/>
            <w:shd w:val="clear" w:color="auto" w:fill="58854E"/>
          </w:tcPr>
          <w:p>
            <w:pPr>
              <w:jc w:val="right"/>
              <w:spacing w:after="0" w:line="137" w:lineRule="exact"/>
              <w:rPr>
                <w:sz w:val="20"/>
                <w:szCs w:val="20"/>
                <w:color w:val="auto"/>
              </w:rPr>
            </w:pPr>
            <w:r>
              <w:rPr>
                <w:rFonts w:ascii="Arial" w:cs="Arial" w:eastAsia="Arial" w:hAnsi="Arial"/>
                <w:sz w:val="12"/>
                <w:szCs w:val="12"/>
                <w:b w:val="1"/>
                <w:bCs w:val="1"/>
                <w:color w:val="FFFFFE"/>
              </w:rPr>
              <w:t>BONUS</w:t>
            </w:r>
          </w:p>
        </w:tc>
        <w:tc>
          <w:tcPr>
            <w:tcW w:w="1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660" w:type="dxa"/>
            <w:vAlign w:val="bottom"/>
            <w:tcBorders>
              <w:right w:val="single" w:sz="8" w:color="58854E"/>
            </w:tcBorders>
            <w:gridSpan w:val="2"/>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6"/>
              </w:rPr>
              <w:t>AWARDS</w:t>
            </w:r>
          </w:p>
        </w:tc>
        <w:tc>
          <w:tcPr>
            <w:tcW w:w="140" w:type="dxa"/>
            <w:vAlign w:val="bottom"/>
          </w:tcPr>
          <w:p>
            <w:pPr>
              <w:spacing w:after="0"/>
              <w:rPr>
                <w:sz w:val="11"/>
                <w:szCs w:val="11"/>
                <w:color w:val="auto"/>
              </w:rPr>
            </w:pPr>
          </w:p>
        </w:tc>
        <w:tc>
          <w:tcPr>
            <w:tcW w:w="600" w:type="dxa"/>
            <w:vAlign w:val="bottom"/>
            <w:gridSpan w:val="4"/>
            <w:shd w:val="clear" w:color="auto" w:fill="58854E"/>
          </w:tcPr>
          <w:p>
            <w:pPr>
              <w:jc w:val="right"/>
              <w:spacing w:after="0" w:line="137" w:lineRule="exact"/>
              <w:rPr>
                <w:sz w:val="20"/>
                <w:szCs w:val="20"/>
                <w:color w:val="auto"/>
              </w:rPr>
            </w:pPr>
            <w:r>
              <w:rPr>
                <w:rFonts w:ascii="Arial" w:cs="Arial" w:eastAsia="Arial" w:hAnsi="Arial"/>
                <w:sz w:val="12"/>
                <w:szCs w:val="12"/>
                <w:b w:val="1"/>
                <w:bCs w:val="1"/>
                <w:color w:val="FFFFFE"/>
              </w:rPr>
              <w:t>AWARDS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1020" w:type="dxa"/>
            <w:vAlign w:val="bottom"/>
            <w:gridSpan w:val="3"/>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COMPENSATION</w:t>
            </w:r>
          </w:p>
        </w:tc>
        <w:tc>
          <w:tcPr>
            <w:tcW w:w="200" w:type="dxa"/>
            <w:vAlign w:val="bottom"/>
            <w:tcBorders>
              <w:right w:val="single" w:sz="8" w:color="58854E"/>
            </w:tcBorders>
          </w:tcPr>
          <w:p>
            <w:pPr>
              <w:spacing w:after="0"/>
              <w:rPr>
                <w:sz w:val="11"/>
                <w:szCs w:val="11"/>
                <w:color w:val="auto"/>
              </w:rPr>
            </w:pPr>
          </w:p>
        </w:tc>
        <w:tc>
          <w:tcPr>
            <w:tcW w:w="860" w:type="dxa"/>
            <w:vAlign w:val="bottom"/>
            <w:gridSpan w:val="2"/>
            <w:shd w:val="clear" w:color="auto" w:fill="58854E"/>
          </w:tcPr>
          <w:p>
            <w:pPr>
              <w:jc w:val="center"/>
              <w:ind w:left="75"/>
              <w:spacing w:after="0" w:line="137" w:lineRule="exact"/>
              <w:rPr>
                <w:sz w:val="20"/>
                <w:szCs w:val="20"/>
                <w:color w:val="auto"/>
              </w:rPr>
            </w:pPr>
            <w:r>
              <w:rPr>
                <w:rFonts w:ascii="Arial" w:cs="Arial" w:eastAsia="Arial" w:hAnsi="Arial"/>
                <w:sz w:val="12"/>
                <w:szCs w:val="12"/>
                <w:b w:val="1"/>
                <w:bCs w:val="1"/>
                <w:color w:val="FFFFFE"/>
              </w:rPr>
              <w:t>EARNINGS</w:t>
            </w:r>
          </w:p>
        </w:tc>
        <w:tc>
          <w:tcPr>
            <w:tcW w:w="140" w:type="dxa"/>
            <w:vAlign w:val="bottom"/>
            <w:shd w:val="clear" w:color="auto" w:fill="58854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right w:val="single" w:sz="8" w:color="58854E"/>
            </w:tcBorders>
          </w:tcPr>
          <w:p>
            <w:pPr>
              <w:spacing w:after="0"/>
              <w:rPr>
                <w:sz w:val="11"/>
                <w:szCs w:val="11"/>
                <w:color w:val="auto"/>
              </w:rPr>
            </w:pPr>
          </w:p>
        </w:tc>
        <w:tc>
          <w:tcPr>
            <w:tcW w:w="1000" w:type="dxa"/>
            <w:vAlign w:val="bottom"/>
            <w:gridSpan w:val="5"/>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COMPENSATION</w:t>
            </w:r>
          </w:p>
        </w:tc>
        <w:tc>
          <w:tcPr>
            <w:tcW w:w="20" w:type="dxa"/>
            <w:vAlign w:val="bottom"/>
          </w:tcPr>
          <w:p>
            <w:pPr>
              <w:spacing w:after="0"/>
              <w:rPr>
                <w:sz w:val="11"/>
                <w:szCs w:val="11"/>
                <w:color w:val="auto"/>
              </w:rPr>
            </w:pPr>
          </w:p>
        </w:tc>
        <w:tc>
          <w:tcPr>
            <w:tcW w:w="140" w:type="dxa"/>
            <w:vAlign w:val="bottom"/>
            <w:tcBorders>
              <w:right w:val="single" w:sz="8" w:color="58854E"/>
            </w:tcBorders>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gridSpan w:val="2"/>
            <w:shd w:val="clear" w:color="auto" w:fill="58854E"/>
          </w:tcPr>
          <w:p>
            <w:pPr>
              <w:jc w:val="right"/>
              <w:ind w:right="140"/>
              <w:spacing w:after="0" w:line="137" w:lineRule="exact"/>
              <w:rPr>
                <w:sz w:val="20"/>
                <w:szCs w:val="20"/>
                <w:color w:val="auto"/>
              </w:rPr>
            </w:pPr>
            <w:r>
              <w:rPr>
                <w:rFonts w:ascii="Arial" w:cs="Arial" w:eastAsia="Arial" w:hAnsi="Arial"/>
                <w:sz w:val="12"/>
                <w:szCs w:val="12"/>
                <w:b w:val="1"/>
                <w:bCs w:val="1"/>
                <w:color w:val="FFFFFE"/>
                <w:w w:val="94"/>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40" w:type="dxa"/>
            <w:vAlign w:val="bottom"/>
            <w:tcBorders>
              <w:right w:val="single" w:sz="8" w:color="58854E"/>
            </w:tcBorders>
            <w:gridSpan w:val="6"/>
            <w:shd w:val="clear" w:color="auto" w:fill="58854E"/>
          </w:tcPr>
          <w:p>
            <w:pPr>
              <w:ind w:left="60"/>
              <w:spacing w:after="0"/>
              <w:rPr>
                <w:sz w:val="20"/>
                <w:szCs w:val="20"/>
                <w:color w:val="auto"/>
              </w:rPr>
            </w:pPr>
            <w:r>
              <w:rPr>
                <w:rFonts w:ascii="Arial" w:cs="Arial" w:eastAsia="Arial" w:hAnsi="Arial"/>
                <w:sz w:val="12"/>
                <w:szCs w:val="12"/>
                <w:b w:val="1"/>
                <w:bCs w:val="1"/>
                <w:color w:val="FFFFFE"/>
              </w:rPr>
              <w:t>NAME AND PRINCIPAL POSITION</w:t>
            </w:r>
          </w:p>
        </w:tc>
        <w:tc>
          <w:tcPr>
            <w:tcW w:w="60" w:type="dxa"/>
            <w:vAlign w:val="bottom"/>
            <w:shd w:val="clear" w:color="auto" w:fill="58854E"/>
          </w:tcPr>
          <w:p>
            <w:pPr>
              <w:spacing w:after="0"/>
              <w:rPr>
                <w:sz w:val="13"/>
                <w:szCs w:val="13"/>
                <w:color w:val="auto"/>
              </w:rPr>
            </w:pPr>
          </w:p>
        </w:tc>
        <w:tc>
          <w:tcPr>
            <w:tcW w:w="540" w:type="dxa"/>
            <w:vAlign w:val="bottom"/>
            <w:tcBorders>
              <w:right w:val="single" w:sz="8" w:color="58854E"/>
            </w:tcBorders>
            <w:shd w:val="clear" w:color="auto" w:fill="58854E"/>
          </w:tcPr>
          <w:p>
            <w:pPr>
              <w:spacing w:after="0"/>
              <w:rPr>
                <w:sz w:val="13"/>
                <w:szCs w:val="13"/>
                <w:color w:val="auto"/>
              </w:rPr>
            </w:pPr>
          </w:p>
        </w:tc>
        <w:tc>
          <w:tcPr>
            <w:tcW w:w="160" w:type="dxa"/>
            <w:vAlign w:val="bottom"/>
            <w:tcBorders>
              <w:right w:val="single" w:sz="8" w:color="58854E"/>
            </w:tcBorders>
            <w:shd w:val="clear" w:color="auto" w:fill="58854E"/>
          </w:tcPr>
          <w:p>
            <w:pPr>
              <w:spacing w:after="0"/>
              <w:rPr>
                <w:sz w:val="13"/>
                <w:szCs w:val="13"/>
                <w:color w:val="auto"/>
              </w:rPr>
            </w:pPr>
          </w:p>
        </w:tc>
        <w:tc>
          <w:tcPr>
            <w:tcW w:w="100" w:type="dxa"/>
            <w:vAlign w:val="bottom"/>
            <w:tcBorders>
              <w:right w:val="single" w:sz="8" w:color="58854E"/>
            </w:tcBorders>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5"/>
              </w:rPr>
              <w:t>YEAR</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shd w:val="clear" w:color="auto" w:fill="58854E"/>
          </w:tcPr>
          <w:p>
            <w:pPr>
              <w:spacing w:after="0"/>
              <w:rPr>
                <w:sz w:val="13"/>
                <w:szCs w:val="13"/>
                <w:color w:val="auto"/>
              </w:rPr>
            </w:pPr>
          </w:p>
        </w:tc>
        <w:tc>
          <w:tcPr>
            <w:tcW w:w="440" w:type="dxa"/>
            <w:vAlign w:val="bottom"/>
            <w:gridSpan w:val="3"/>
            <w:shd w:val="clear" w:color="auto" w:fill="58854E"/>
          </w:tcPr>
          <w:p>
            <w:pPr>
              <w:jc w:val="center"/>
              <w:spacing w:after="0" w:line="160" w:lineRule="exact"/>
              <w:rPr>
                <w:sz w:val="20"/>
                <w:szCs w:val="20"/>
                <w:color w:val="auto"/>
              </w:rPr>
            </w:pPr>
            <w:r>
              <w:rPr>
                <w:rFonts w:ascii="Arial" w:cs="Arial" w:eastAsia="Arial" w:hAnsi="Arial"/>
                <w:sz w:val="12"/>
                <w:szCs w:val="12"/>
                <w:b w:val="1"/>
                <w:bCs w:val="1"/>
                <w:color w:val="FFFFFE"/>
              </w:rPr>
              <w:t>($)</w:t>
            </w:r>
            <w:r>
              <w:rPr>
                <w:rFonts w:ascii="Arial" w:cs="Arial" w:eastAsia="Arial" w:hAnsi="Arial"/>
                <w:sz w:val="18"/>
                <w:szCs w:val="18"/>
                <w:b w:val="1"/>
                <w:bCs w:val="1"/>
                <w:color w:val="FFFFFE"/>
                <w:vertAlign w:val="superscript"/>
              </w:rPr>
              <w:t>1</w:t>
            </w:r>
          </w:p>
        </w:tc>
        <w:tc>
          <w:tcPr>
            <w:tcW w:w="12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right w:val="single" w:sz="8" w:color="58854E"/>
            </w:tcBorders>
            <w:shd w:val="clear" w:color="auto" w:fill="58854E"/>
          </w:tcPr>
          <w:p>
            <w:pPr>
              <w:spacing w:after="0"/>
              <w:rPr>
                <w:sz w:val="13"/>
                <w:szCs w:val="13"/>
                <w:color w:val="auto"/>
              </w:rPr>
            </w:pPr>
          </w:p>
        </w:tc>
        <w:tc>
          <w:tcPr>
            <w:tcW w:w="220" w:type="dxa"/>
            <w:vAlign w:val="bottom"/>
            <w:gridSpan w:val="2"/>
            <w:shd w:val="clear" w:color="auto" w:fill="58854E"/>
          </w:tcPr>
          <w:p>
            <w:pPr>
              <w:jc w:val="right"/>
              <w:spacing w:after="0"/>
              <w:rPr>
                <w:sz w:val="20"/>
                <w:szCs w:val="20"/>
                <w:color w:val="auto"/>
              </w:rPr>
            </w:pPr>
            <w:r>
              <w:rPr>
                <w:rFonts w:ascii="Arial" w:cs="Arial" w:eastAsia="Arial" w:hAnsi="Arial"/>
                <w:sz w:val="12"/>
                <w:szCs w:val="12"/>
                <w:b w:val="1"/>
                <w:bCs w:val="1"/>
                <w:color w:val="FFFFFE"/>
              </w:rPr>
              <w:t>($)</w:t>
            </w:r>
          </w:p>
        </w:tc>
        <w:tc>
          <w:tcPr>
            <w:tcW w:w="14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shd w:val="clear" w:color="auto" w:fill="58854E"/>
          </w:tcPr>
          <w:p>
            <w:pPr>
              <w:spacing w:after="0"/>
              <w:rPr>
                <w:sz w:val="13"/>
                <w:szCs w:val="13"/>
                <w:color w:val="auto"/>
              </w:rPr>
            </w:pPr>
          </w:p>
        </w:tc>
        <w:tc>
          <w:tcPr>
            <w:tcW w:w="660" w:type="dxa"/>
            <w:vAlign w:val="bottom"/>
            <w:tcBorders>
              <w:right w:val="single" w:sz="8" w:color="58854E"/>
            </w:tcBorders>
            <w:gridSpan w:val="2"/>
            <w:shd w:val="clear" w:color="auto" w:fill="58854E"/>
          </w:tcPr>
          <w:p>
            <w:pPr>
              <w:jc w:val="center"/>
              <w:spacing w:after="0" w:line="160" w:lineRule="exact"/>
              <w:rPr>
                <w:sz w:val="20"/>
                <w:szCs w:val="20"/>
                <w:color w:val="auto"/>
              </w:rPr>
            </w:pPr>
            <w:r>
              <w:rPr>
                <w:rFonts w:ascii="Arial" w:cs="Arial" w:eastAsia="Arial" w:hAnsi="Arial"/>
                <w:sz w:val="12"/>
                <w:szCs w:val="12"/>
                <w:b w:val="1"/>
                <w:bCs w:val="1"/>
                <w:color w:val="FFFFFE"/>
                <w:w w:val="93"/>
              </w:rPr>
              <w:t>($)</w:t>
            </w:r>
            <w:r>
              <w:rPr>
                <w:rFonts w:ascii="Arial" w:cs="Arial" w:eastAsia="Arial" w:hAnsi="Arial"/>
                <w:sz w:val="18"/>
                <w:szCs w:val="18"/>
                <w:b w:val="1"/>
                <w:bCs w:val="1"/>
                <w:color w:val="FFFFFE"/>
                <w:w w:val="93"/>
                <w:vertAlign w:val="superscript"/>
              </w:rPr>
              <w:t>2</w:t>
            </w:r>
          </w:p>
        </w:tc>
        <w:tc>
          <w:tcPr>
            <w:tcW w:w="140" w:type="dxa"/>
            <w:vAlign w:val="bottom"/>
          </w:tcPr>
          <w:p>
            <w:pPr>
              <w:spacing w:after="0"/>
              <w:rPr>
                <w:sz w:val="13"/>
                <w:szCs w:val="13"/>
                <w:color w:val="auto"/>
              </w:rPr>
            </w:pPr>
          </w:p>
        </w:tc>
        <w:tc>
          <w:tcPr>
            <w:tcW w:w="420" w:type="dxa"/>
            <w:vAlign w:val="bottom"/>
            <w:gridSpan w:val="3"/>
            <w:shd w:val="clear" w:color="auto" w:fill="58854E"/>
          </w:tcPr>
          <w:p>
            <w:pPr>
              <w:jc w:val="right"/>
              <w:spacing w:after="0"/>
              <w:rPr>
                <w:sz w:val="20"/>
                <w:szCs w:val="20"/>
                <w:color w:val="auto"/>
              </w:rPr>
            </w:pPr>
            <w:r>
              <w:rPr>
                <w:rFonts w:ascii="Arial" w:cs="Arial" w:eastAsia="Arial" w:hAnsi="Arial"/>
                <w:sz w:val="12"/>
                <w:szCs w:val="12"/>
                <w:b w:val="1"/>
                <w:bCs w:val="1"/>
                <w:color w:val="FFFFFE"/>
              </w:rPr>
              <w:t>($)</w:t>
            </w:r>
          </w:p>
        </w:tc>
        <w:tc>
          <w:tcPr>
            <w:tcW w:w="180" w:type="dxa"/>
            <w:vAlign w:val="bottom"/>
            <w:shd w:val="clear" w:color="auto" w:fill="58854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shd w:val="clear" w:color="auto" w:fill="58854E"/>
          </w:tcPr>
          <w:p>
            <w:pPr>
              <w:spacing w:after="0"/>
              <w:rPr>
                <w:sz w:val="13"/>
                <w:szCs w:val="13"/>
                <w:color w:val="auto"/>
              </w:rPr>
            </w:pPr>
          </w:p>
        </w:tc>
        <w:tc>
          <w:tcPr>
            <w:tcW w:w="660" w:type="dxa"/>
            <w:vAlign w:val="bottom"/>
            <w:tcBorders>
              <w:right w:val="single" w:sz="8" w:color="58854E"/>
            </w:tcBorders>
            <w:shd w:val="clear" w:color="auto" w:fill="58854E"/>
          </w:tcPr>
          <w:p>
            <w:pPr>
              <w:jc w:val="center"/>
              <w:ind w:left="313"/>
              <w:spacing w:after="0" w:line="160" w:lineRule="exact"/>
              <w:rPr>
                <w:sz w:val="20"/>
                <w:szCs w:val="20"/>
                <w:color w:val="auto"/>
              </w:rPr>
            </w:pPr>
            <w:r>
              <w:rPr>
                <w:rFonts w:ascii="Arial" w:cs="Arial" w:eastAsia="Arial" w:hAnsi="Arial"/>
                <w:sz w:val="12"/>
                <w:szCs w:val="12"/>
                <w:b w:val="1"/>
                <w:bCs w:val="1"/>
                <w:color w:val="FFFFFE"/>
                <w:w w:val="93"/>
              </w:rPr>
              <w:t>($)</w:t>
            </w:r>
            <w:r>
              <w:rPr>
                <w:rFonts w:ascii="Arial" w:cs="Arial" w:eastAsia="Arial" w:hAnsi="Arial"/>
                <w:sz w:val="18"/>
                <w:szCs w:val="18"/>
                <w:b w:val="1"/>
                <w:bCs w:val="1"/>
                <w:color w:val="FFFFFE"/>
                <w:w w:val="93"/>
                <w:vertAlign w:val="superscript"/>
              </w:rPr>
              <w:t>3</w:t>
            </w:r>
          </w:p>
        </w:tc>
        <w:tc>
          <w:tcPr>
            <w:tcW w:w="120" w:type="dxa"/>
            <w:vAlign w:val="bottom"/>
            <w:shd w:val="clear" w:color="auto" w:fill="58854E"/>
          </w:tcPr>
          <w:p>
            <w:pPr>
              <w:spacing w:after="0"/>
              <w:rPr>
                <w:sz w:val="13"/>
                <w:szCs w:val="13"/>
                <w:color w:val="auto"/>
              </w:rPr>
            </w:pPr>
          </w:p>
        </w:tc>
        <w:tc>
          <w:tcPr>
            <w:tcW w:w="240" w:type="dxa"/>
            <w:vAlign w:val="bottom"/>
            <w:shd w:val="clear" w:color="auto" w:fill="58854E"/>
          </w:tcPr>
          <w:p>
            <w:pPr>
              <w:spacing w:after="0"/>
              <w:rPr>
                <w:sz w:val="13"/>
                <w:szCs w:val="13"/>
                <w:color w:val="auto"/>
              </w:rPr>
            </w:pPr>
          </w:p>
        </w:tc>
        <w:tc>
          <w:tcPr>
            <w:tcW w:w="200" w:type="dxa"/>
            <w:vAlign w:val="bottom"/>
            <w:tcBorders>
              <w:right w:val="single" w:sz="8" w:color="58854E"/>
            </w:tcBorders>
          </w:tcPr>
          <w:p>
            <w:pPr>
              <w:spacing w:after="0"/>
              <w:rPr>
                <w:sz w:val="13"/>
                <w:szCs w:val="13"/>
                <w:color w:val="auto"/>
              </w:rPr>
            </w:pPr>
          </w:p>
        </w:tc>
        <w:tc>
          <w:tcPr>
            <w:tcW w:w="780" w:type="dxa"/>
            <w:vAlign w:val="bottom"/>
            <w:shd w:val="clear" w:color="auto" w:fill="58854E"/>
          </w:tcPr>
          <w:p>
            <w:pPr>
              <w:jc w:val="right"/>
              <w:ind w:right="135"/>
              <w:spacing w:after="0"/>
              <w:rPr>
                <w:sz w:val="20"/>
                <w:szCs w:val="20"/>
                <w:color w:val="auto"/>
              </w:rPr>
            </w:pPr>
            <w:r>
              <w:rPr>
                <w:rFonts w:ascii="Arial" w:cs="Arial" w:eastAsia="Arial" w:hAnsi="Arial"/>
                <w:sz w:val="12"/>
                <w:szCs w:val="12"/>
                <w:b w:val="1"/>
                <w:bCs w:val="1"/>
                <w:color w:val="FFFFFE"/>
              </w:rPr>
              <w:t>($)</w:t>
            </w:r>
          </w:p>
        </w:tc>
        <w:tc>
          <w:tcPr>
            <w:tcW w:w="80" w:type="dxa"/>
            <w:vAlign w:val="bottom"/>
            <w:shd w:val="clear" w:color="auto" w:fill="58854E"/>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right w:val="single" w:sz="8" w:color="58854E"/>
            </w:tcBorders>
          </w:tcPr>
          <w:p>
            <w:pPr>
              <w:spacing w:after="0"/>
              <w:rPr>
                <w:sz w:val="13"/>
                <w:szCs w:val="13"/>
                <w:color w:val="auto"/>
              </w:rPr>
            </w:pPr>
          </w:p>
        </w:tc>
        <w:tc>
          <w:tcPr>
            <w:tcW w:w="840" w:type="dxa"/>
            <w:vAlign w:val="bottom"/>
            <w:gridSpan w:val="2"/>
            <w:shd w:val="clear" w:color="auto" w:fill="58854E"/>
          </w:tcPr>
          <w:p>
            <w:pPr>
              <w:jc w:val="center"/>
              <w:ind w:left="94"/>
              <w:spacing w:after="0" w:line="160" w:lineRule="exact"/>
              <w:rPr>
                <w:sz w:val="20"/>
                <w:szCs w:val="20"/>
                <w:color w:val="auto"/>
              </w:rPr>
            </w:pPr>
            <w:r>
              <w:rPr>
                <w:rFonts w:ascii="Arial" w:cs="Arial" w:eastAsia="Arial" w:hAnsi="Arial"/>
                <w:sz w:val="12"/>
                <w:szCs w:val="12"/>
                <w:b w:val="1"/>
                <w:bCs w:val="1"/>
                <w:color w:val="FFFFFE"/>
                <w:w w:val="93"/>
              </w:rPr>
              <w:t>($)</w:t>
            </w:r>
            <w:r>
              <w:rPr>
                <w:rFonts w:ascii="Arial" w:cs="Arial" w:eastAsia="Arial" w:hAnsi="Arial"/>
                <w:sz w:val="18"/>
                <w:szCs w:val="18"/>
                <w:b w:val="1"/>
                <w:bCs w:val="1"/>
                <w:color w:val="FFFFFE"/>
                <w:w w:val="93"/>
                <w:vertAlign w:val="superscript"/>
              </w:rPr>
              <w:t>4</w:t>
            </w:r>
          </w:p>
        </w:tc>
        <w:tc>
          <w:tcPr>
            <w:tcW w:w="20" w:type="dxa"/>
            <w:vAlign w:val="bottom"/>
            <w:shd w:val="clear" w:color="auto" w:fill="58854E"/>
          </w:tcPr>
          <w:p>
            <w:pPr>
              <w:spacing w:after="0"/>
              <w:rPr>
                <w:sz w:val="13"/>
                <w:szCs w:val="13"/>
                <w:color w:val="auto"/>
              </w:rPr>
            </w:pPr>
          </w:p>
        </w:tc>
        <w:tc>
          <w:tcPr>
            <w:tcW w:w="40" w:type="dxa"/>
            <w:vAlign w:val="bottom"/>
            <w:shd w:val="clear" w:color="auto" w:fill="58854E"/>
          </w:tcPr>
          <w:p>
            <w:pPr>
              <w:spacing w:after="0"/>
              <w:rPr>
                <w:sz w:val="13"/>
                <w:szCs w:val="13"/>
                <w:color w:val="auto"/>
              </w:rPr>
            </w:pPr>
          </w:p>
        </w:tc>
        <w:tc>
          <w:tcPr>
            <w:tcW w:w="100" w:type="dxa"/>
            <w:vAlign w:val="bottom"/>
            <w:shd w:val="clear" w:color="auto" w:fill="58854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right w:val="single" w:sz="8" w:color="58854E"/>
            </w:tcBorders>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60" w:type="dxa"/>
            <w:vAlign w:val="bottom"/>
            <w:shd w:val="clear" w:color="auto" w:fill="58854E"/>
          </w:tcPr>
          <w:p>
            <w:pPr>
              <w:spacing w:after="0"/>
              <w:rPr>
                <w:sz w:val="13"/>
                <w:szCs w:val="13"/>
                <w:color w:val="auto"/>
              </w:rPr>
            </w:pPr>
          </w:p>
        </w:tc>
        <w:tc>
          <w:tcPr>
            <w:tcW w:w="440" w:type="dxa"/>
            <w:vAlign w:val="bottom"/>
            <w:shd w:val="clear" w:color="auto" w:fill="58854E"/>
          </w:tcPr>
          <w:p>
            <w:pPr>
              <w:jc w:val="right"/>
              <w:ind w:right="93"/>
              <w:spacing w:after="0"/>
              <w:rPr>
                <w:sz w:val="20"/>
                <w:szCs w:val="20"/>
                <w:color w:val="auto"/>
              </w:rPr>
            </w:pPr>
            <w:r>
              <w:rPr>
                <w:rFonts w:ascii="Arial" w:cs="Arial" w:eastAsia="Arial" w:hAnsi="Arial"/>
                <w:sz w:val="12"/>
                <w:szCs w:val="12"/>
                <w:b w:val="1"/>
                <w:bCs w:val="1"/>
                <w:color w:val="FFFFFE"/>
              </w:rPr>
              <w:t>($)</w:t>
            </w:r>
          </w:p>
        </w:tc>
        <w:tc>
          <w:tcPr>
            <w:tcW w:w="10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60" w:type="dxa"/>
            <w:vAlign w:val="bottom"/>
            <w:gridSpan w:val="3"/>
          </w:tcPr>
          <w:p>
            <w:pPr>
              <w:ind w:left="60"/>
              <w:spacing w:after="0"/>
              <w:rPr>
                <w:sz w:val="20"/>
                <w:szCs w:val="20"/>
                <w:color w:val="auto"/>
              </w:rPr>
            </w:pPr>
            <w:r>
              <w:rPr>
                <w:rFonts w:ascii="Arial" w:cs="Arial" w:eastAsia="Arial" w:hAnsi="Arial"/>
                <w:sz w:val="15"/>
                <w:szCs w:val="15"/>
                <w:b w:val="1"/>
                <w:bCs w:val="1"/>
                <w:color w:val="auto"/>
              </w:rPr>
              <w:t>Christopher S. Sotos</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2720" w:type="dxa"/>
            <w:vAlign w:val="bottom"/>
            <w:gridSpan w:val="7"/>
          </w:tcPr>
          <w:p>
            <w:pPr>
              <w:ind w:left="60"/>
              <w:spacing w:after="0"/>
              <w:rPr>
                <w:sz w:val="20"/>
                <w:szCs w:val="20"/>
                <w:color w:val="auto"/>
              </w:rPr>
            </w:pPr>
            <w:r>
              <w:rPr>
                <w:rFonts w:ascii="Arial" w:cs="Arial" w:eastAsia="Arial" w:hAnsi="Arial"/>
                <w:sz w:val="15"/>
                <w:szCs w:val="15"/>
                <w:color w:val="auto"/>
              </w:rPr>
              <w:t>President and Chief Executive Officer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center"/>
              <w:ind w:left="87"/>
              <w:spacing w:after="0"/>
              <w:rPr>
                <w:sz w:val="20"/>
                <w:szCs w:val="20"/>
                <w:color w:val="auto"/>
              </w:rPr>
            </w:pPr>
            <w:r>
              <w:rPr>
                <w:rFonts w:ascii="Arial" w:cs="Arial" w:eastAsia="Arial" w:hAnsi="Arial"/>
                <w:sz w:val="15"/>
                <w:szCs w:val="15"/>
                <w:color w:val="auto"/>
              </w:rPr>
              <w:t>2017</w:t>
            </w:r>
          </w:p>
        </w:tc>
        <w:tc>
          <w:tcPr>
            <w:tcW w:w="860" w:type="dxa"/>
            <w:vAlign w:val="bottom"/>
            <w:gridSpan w:val="7"/>
          </w:tcPr>
          <w:p>
            <w:pPr>
              <w:ind w:left="60"/>
              <w:spacing w:after="0"/>
              <w:rPr>
                <w:sz w:val="20"/>
                <w:szCs w:val="20"/>
                <w:color w:val="auto"/>
              </w:rPr>
            </w:pPr>
            <w:r>
              <w:rPr>
                <w:rFonts w:ascii="Arial" w:cs="Arial" w:eastAsia="Arial" w:hAnsi="Arial"/>
                <w:sz w:val="15"/>
                <w:szCs w:val="15"/>
                <w:color w:val="auto"/>
              </w:rPr>
              <w:t>$ 500,000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900" w:type="dxa"/>
            <w:vAlign w:val="bottom"/>
            <w:gridSpan w:val="4"/>
          </w:tcPr>
          <w:p>
            <w:pPr>
              <w:jc w:val="right"/>
              <w:spacing w:after="0"/>
              <w:rPr>
                <w:sz w:val="20"/>
                <w:szCs w:val="20"/>
                <w:color w:val="auto"/>
              </w:rPr>
            </w:pPr>
            <w:r>
              <w:rPr>
                <w:rFonts w:ascii="Arial" w:cs="Arial" w:eastAsia="Arial" w:hAnsi="Arial"/>
                <w:sz w:val="15"/>
                <w:szCs w:val="15"/>
                <w:color w:val="auto"/>
              </w:rPr>
              <w:t>$ 1,250,008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4"/>
          </w:tcPr>
          <w:p>
            <w:pPr>
              <w:jc w:val="right"/>
              <w:ind w:right="129"/>
              <w:spacing w:after="0"/>
              <w:rPr>
                <w:sz w:val="20"/>
                <w:szCs w:val="20"/>
                <w:color w:val="auto"/>
              </w:rPr>
            </w:pPr>
            <w:r>
              <w:rPr>
                <w:rFonts w:ascii="Arial" w:cs="Arial" w:eastAsia="Arial" w:hAnsi="Arial"/>
                <w:sz w:val="15"/>
                <w:szCs w:val="15"/>
                <w:color w:val="auto"/>
              </w:rPr>
              <w:t>685,000</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6"/>
          </w:tcPr>
          <w:p>
            <w:pPr>
              <w:jc w:val="right"/>
              <w:ind w:right="20"/>
              <w:spacing w:after="0"/>
              <w:rPr>
                <w:sz w:val="20"/>
                <w:szCs w:val="20"/>
                <w:color w:val="auto"/>
              </w:rPr>
            </w:pPr>
            <w:r>
              <w:rPr>
                <w:rFonts w:ascii="Arial" w:cs="Arial" w:eastAsia="Arial" w:hAnsi="Arial"/>
                <w:sz w:val="15"/>
                <w:szCs w:val="15"/>
                <w:color w:val="auto"/>
              </w:rPr>
              <w:t>22,750</w:t>
            </w:r>
          </w:p>
        </w:tc>
        <w:tc>
          <w:tcPr>
            <w:tcW w:w="880" w:type="dxa"/>
            <w:vAlign w:val="bottom"/>
            <w:gridSpan w:val="5"/>
          </w:tcPr>
          <w:p>
            <w:pPr>
              <w:jc w:val="right"/>
              <w:spacing w:after="0"/>
              <w:rPr>
                <w:sz w:val="20"/>
                <w:szCs w:val="20"/>
                <w:color w:val="auto"/>
              </w:rPr>
            </w:pPr>
            <w:r>
              <w:rPr>
                <w:rFonts w:ascii="Arial" w:cs="Arial" w:eastAsia="Arial" w:hAnsi="Arial"/>
                <w:sz w:val="15"/>
                <w:szCs w:val="15"/>
                <w:color w:val="auto"/>
              </w:rPr>
              <w:t>$ 2,457,758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58854E"/>
            </w:tcBorders>
          </w:tcPr>
          <w:p>
            <w:pPr>
              <w:spacing w:after="0"/>
              <w:rPr>
                <w:sz w:val="15"/>
                <w:szCs w:val="15"/>
                <w:color w:val="auto"/>
              </w:rPr>
            </w:pPr>
          </w:p>
        </w:tc>
        <w:tc>
          <w:tcPr>
            <w:tcW w:w="240" w:type="dxa"/>
            <w:vAlign w:val="bottom"/>
            <w:tcBorders>
              <w:bottom w:val="single" w:sz="8" w:color="58854E"/>
            </w:tcBorders>
          </w:tcPr>
          <w:p>
            <w:pPr>
              <w:spacing w:after="0"/>
              <w:rPr>
                <w:sz w:val="15"/>
                <w:szCs w:val="15"/>
                <w:color w:val="auto"/>
              </w:rPr>
            </w:pPr>
          </w:p>
        </w:tc>
        <w:tc>
          <w:tcPr>
            <w:tcW w:w="130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340" w:type="dxa"/>
            <w:vAlign w:val="bottom"/>
            <w:tcBorders>
              <w:bottom w:val="single" w:sz="8" w:color="58854E"/>
            </w:tcBorders>
          </w:tcPr>
          <w:p>
            <w:pPr>
              <w:spacing w:after="0"/>
              <w:rPr>
                <w:sz w:val="15"/>
                <w:szCs w:val="15"/>
                <w:color w:val="auto"/>
              </w:rPr>
            </w:pPr>
          </w:p>
        </w:tc>
        <w:tc>
          <w:tcPr>
            <w:tcW w:w="160" w:type="dxa"/>
            <w:vAlign w:val="bottom"/>
            <w:tcBorders>
              <w:bottom w:val="single" w:sz="8" w:color="58854E"/>
            </w:tcBorders>
          </w:tcPr>
          <w:p>
            <w:pPr>
              <w:spacing w:after="0"/>
              <w:rPr>
                <w:sz w:val="15"/>
                <w:szCs w:val="15"/>
                <w:color w:val="auto"/>
              </w:rPr>
            </w:pPr>
          </w:p>
        </w:tc>
        <w:tc>
          <w:tcPr>
            <w:tcW w:w="60" w:type="dxa"/>
            <w:vAlign w:val="bottom"/>
            <w:tcBorders>
              <w:bottom w:val="single" w:sz="8" w:color="58854E"/>
            </w:tcBorders>
          </w:tcPr>
          <w:p>
            <w:pPr>
              <w:spacing w:after="0"/>
              <w:rPr>
                <w:sz w:val="15"/>
                <w:szCs w:val="15"/>
                <w:color w:val="auto"/>
              </w:rPr>
            </w:pPr>
          </w:p>
        </w:tc>
        <w:tc>
          <w:tcPr>
            <w:tcW w:w="540" w:type="dxa"/>
            <w:vAlign w:val="bottom"/>
            <w:tcBorders>
              <w:bottom w:val="single" w:sz="8" w:color="58854E"/>
            </w:tcBorders>
          </w:tcPr>
          <w:p>
            <w:pPr>
              <w:spacing w:after="0"/>
              <w:rPr>
                <w:sz w:val="15"/>
                <w:szCs w:val="15"/>
                <w:color w:val="auto"/>
              </w:rPr>
            </w:pPr>
          </w:p>
        </w:tc>
        <w:tc>
          <w:tcPr>
            <w:tcW w:w="160" w:type="dxa"/>
            <w:vAlign w:val="bottom"/>
            <w:tcBorders>
              <w:bottom w:val="single" w:sz="8" w:color="58854E"/>
            </w:tcBorders>
          </w:tcPr>
          <w:p>
            <w:pPr>
              <w:spacing w:after="0"/>
              <w:rPr>
                <w:sz w:val="15"/>
                <w:szCs w:val="15"/>
                <w:color w:val="auto"/>
              </w:rPr>
            </w:pPr>
          </w:p>
        </w:tc>
        <w:tc>
          <w:tcPr>
            <w:tcW w:w="100" w:type="dxa"/>
            <w:vAlign w:val="bottom"/>
            <w:tcBorders>
              <w:bottom w:val="single" w:sz="8" w:color="58854E"/>
            </w:tcBorders>
          </w:tcPr>
          <w:p>
            <w:pPr>
              <w:spacing w:after="0"/>
              <w:rPr>
                <w:sz w:val="15"/>
                <w:szCs w:val="15"/>
                <w:color w:val="auto"/>
              </w:rPr>
            </w:pPr>
          </w:p>
        </w:tc>
        <w:tc>
          <w:tcPr>
            <w:tcW w:w="620" w:type="dxa"/>
            <w:vAlign w:val="bottom"/>
            <w:tcBorders>
              <w:bottom w:val="single" w:sz="8" w:color="58854E"/>
            </w:tcBorders>
            <w:gridSpan w:val="3"/>
          </w:tcPr>
          <w:p>
            <w:pPr>
              <w:jc w:val="center"/>
              <w:ind w:left="87"/>
              <w:spacing w:after="0"/>
              <w:rPr>
                <w:sz w:val="20"/>
                <w:szCs w:val="20"/>
                <w:color w:val="auto"/>
              </w:rPr>
            </w:pPr>
            <w:r>
              <w:rPr>
                <w:rFonts w:ascii="Arial" w:cs="Arial" w:eastAsia="Arial" w:hAnsi="Arial"/>
                <w:sz w:val="15"/>
                <w:szCs w:val="15"/>
                <w:color w:val="auto"/>
              </w:rPr>
              <w:t>2016</w:t>
            </w:r>
          </w:p>
        </w:tc>
        <w:tc>
          <w:tcPr>
            <w:tcW w:w="860" w:type="dxa"/>
            <w:vAlign w:val="bottom"/>
            <w:tcBorders>
              <w:bottom w:val="single" w:sz="8" w:color="58854E"/>
            </w:tcBorders>
            <w:gridSpan w:val="7"/>
          </w:tcPr>
          <w:p>
            <w:pPr>
              <w:ind w:left="60"/>
              <w:spacing w:after="0"/>
              <w:rPr>
                <w:sz w:val="20"/>
                <w:szCs w:val="20"/>
                <w:color w:val="auto"/>
              </w:rPr>
            </w:pPr>
            <w:r>
              <w:rPr>
                <w:rFonts w:ascii="Arial" w:cs="Arial" w:eastAsia="Arial" w:hAnsi="Arial"/>
                <w:sz w:val="15"/>
                <w:szCs w:val="15"/>
                <w:color w:val="auto"/>
              </w:rPr>
              <w:t>$ 309,615</w:t>
            </w:r>
            <w:r>
              <w:rPr>
                <w:rFonts w:ascii="Arial" w:cs="Arial" w:eastAsia="Arial" w:hAnsi="Arial"/>
                <w:sz w:val="9"/>
                <w:szCs w:val="9"/>
                <w:color w:val="58844D"/>
              </w:rPr>
              <w:t>5</w:t>
            </w:r>
          </w:p>
        </w:tc>
        <w:tc>
          <w:tcPr>
            <w:tcW w:w="160" w:type="dxa"/>
            <w:vAlign w:val="bottom"/>
            <w:tcBorders>
              <w:bottom w:val="single" w:sz="8" w:color="58854E"/>
            </w:tcBorders>
          </w:tcPr>
          <w:p>
            <w:pPr>
              <w:spacing w:after="0"/>
              <w:rPr>
                <w:sz w:val="15"/>
                <w:szCs w:val="15"/>
                <w:color w:val="auto"/>
              </w:rPr>
            </w:pPr>
          </w:p>
        </w:tc>
        <w:tc>
          <w:tcPr>
            <w:tcW w:w="100" w:type="dxa"/>
            <w:vAlign w:val="bottom"/>
            <w:tcBorders>
              <w:bottom w:val="single" w:sz="8" w:color="58854E"/>
            </w:tcBorders>
          </w:tcPr>
          <w:p>
            <w:pPr>
              <w:spacing w:after="0"/>
              <w:rPr>
                <w:sz w:val="15"/>
                <w:szCs w:val="15"/>
                <w:color w:val="auto"/>
              </w:rPr>
            </w:pPr>
          </w:p>
        </w:tc>
        <w:tc>
          <w:tcPr>
            <w:tcW w:w="12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jc w:val="right"/>
              <w:spacing w:after="0"/>
              <w:rPr>
                <w:sz w:val="20"/>
                <w:szCs w:val="20"/>
                <w:color w:val="auto"/>
              </w:rPr>
            </w:pPr>
            <w:r>
              <w:rPr>
                <w:rFonts w:ascii="Arial" w:cs="Arial" w:eastAsia="Arial" w:hAnsi="Arial"/>
                <w:sz w:val="15"/>
                <w:szCs w:val="15"/>
                <w:color w:val="auto"/>
                <w:w w:val="79"/>
              </w:rPr>
              <w:t>—</w:t>
            </w:r>
          </w:p>
        </w:tc>
        <w:tc>
          <w:tcPr>
            <w:tcW w:w="900" w:type="dxa"/>
            <w:vAlign w:val="bottom"/>
            <w:tcBorders>
              <w:bottom w:val="single" w:sz="8" w:color="58854E"/>
            </w:tcBorders>
            <w:gridSpan w:val="4"/>
          </w:tcPr>
          <w:p>
            <w:pPr>
              <w:jc w:val="right"/>
              <w:spacing w:after="0"/>
              <w:rPr>
                <w:sz w:val="20"/>
                <w:szCs w:val="20"/>
                <w:color w:val="auto"/>
              </w:rPr>
            </w:pPr>
            <w:r>
              <w:rPr>
                <w:rFonts w:ascii="Arial" w:cs="Arial" w:eastAsia="Arial" w:hAnsi="Arial"/>
                <w:sz w:val="15"/>
                <w:szCs w:val="15"/>
                <w:color w:val="auto"/>
              </w:rPr>
              <w:t>$ 1,425,012</w:t>
            </w:r>
          </w:p>
        </w:tc>
        <w:tc>
          <w:tcPr>
            <w:tcW w:w="140" w:type="dxa"/>
            <w:vAlign w:val="bottom"/>
            <w:tcBorders>
              <w:bottom w:val="single" w:sz="8" w:color="58854E"/>
            </w:tcBorders>
          </w:tcPr>
          <w:p>
            <w:pPr>
              <w:spacing w:after="0"/>
              <w:rPr>
                <w:sz w:val="15"/>
                <w:szCs w:val="15"/>
                <w:color w:val="auto"/>
              </w:rPr>
            </w:pPr>
          </w:p>
        </w:tc>
        <w:tc>
          <w:tcPr>
            <w:tcW w:w="360" w:type="dxa"/>
            <w:vAlign w:val="bottom"/>
            <w:tcBorders>
              <w:bottom w:val="single" w:sz="8" w:color="58854E"/>
            </w:tcBorders>
          </w:tcPr>
          <w:p>
            <w:pPr>
              <w:spacing w:after="0"/>
              <w:rPr>
                <w:sz w:val="15"/>
                <w:szCs w:val="15"/>
                <w:color w:val="auto"/>
              </w:rPr>
            </w:pPr>
          </w:p>
        </w:tc>
        <w:tc>
          <w:tcPr>
            <w:tcW w:w="20" w:type="dxa"/>
            <w:vAlign w:val="bottom"/>
            <w:tcBorders>
              <w:bottom w:val="single" w:sz="8" w:color="58854E"/>
            </w:tcBorders>
          </w:tcPr>
          <w:p>
            <w:pPr>
              <w:spacing w:after="0"/>
              <w:rPr>
                <w:sz w:val="15"/>
                <w:szCs w:val="15"/>
                <w:color w:val="auto"/>
              </w:rPr>
            </w:pPr>
          </w:p>
        </w:tc>
        <w:tc>
          <w:tcPr>
            <w:tcW w:w="40" w:type="dxa"/>
            <w:vAlign w:val="bottom"/>
            <w:tcBorders>
              <w:bottom w:val="single" w:sz="8" w:color="58854E"/>
            </w:tcBorders>
          </w:tcPr>
          <w:p>
            <w:pPr>
              <w:spacing w:after="0"/>
              <w:rPr>
                <w:sz w:val="15"/>
                <w:szCs w:val="15"/>
                <w:color w:val="auto"/>
              </w:rPr>
            </w:pPr>
          </w:p>
        </w:tc>
        <w:tc>
          <w:tcPr>
            <w:tcW w:w="200" w:type="dxa"/>
            <w:vAlign w:val="bottom"/>
            <w:tcBorders>
              <w:bottom w:val="single" w:sz="8" w:color="58854E"/>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58854E"/>
            </w:tcBorders>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58854E"/>
            </w:tcBorders>
            <w:gridSpan w:val="4"/>
          </w:tcPr>
          <w:p>
            <w:pPr>
              <w:jc w:val="right"/>
              <w:ind w:right="129"/>
              <w:spacing w:after="0"/>
              <w:rPr>
                <w:sz w:val="20"/>
                <w:szCs w:val="20"/>
                <w:color w:val="auto"/>
              </w:rPr>
            </w:pPr>
            <w:r>
              <w:rPr>
                <w:rFonts w:ascii="Arial" w:cs="Arial" w:eastAsia="Arial" w:hAnsi="Arial"/>
                <w:sz w:val="15"/>
                <w:szCs w:val="15"/>
                <w:color w:val="auto"/>
              </w:rPr>
              <w:t>493,151</w:t>
            </w:r>
          </w:p>
        </w:tc>
        <w:tc>
          <w:tcPr>
            <w:tcW w:w="78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180" w:type="dxa"/>
            <w:vAlign w:val="bottom"/>
            <w:tcBorders>
              <w:bottom w:val="single" w:sz="8" w:color="58854E"/>
            </w:tcBorders>
            <w:gridSpan w:val="2"/>
          </w:tcPr>
          <w:p>
            <w:pPr>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58854E"/>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58854E"/>
            </w:tcBorders>
            <w:gridSpan w:val="6"/>
          </w:tcPr>
          <w:p>
            <w:pPr>
              <w:jc w:val="right"/>
              <w:ind w:right="20"/>
              <w:spacing w:after="0"/>
              <w:rPr>
                <w:sz w:val="20"/>
                <w:szCs w:val="20"/>
                <w:color w:val="auto"/>
              </w:rPr>
            </w:pPr>
            <w:r>
              <w:rPr>
                <w:rFonts w:ascii="Arial" w:cs="Arial" w:eastAsia="Arial" w:hAnsi="Arial"/>
                <w:sz w:val="15"/>
                <w:szCs w:val="15"/>
                <w:color w:val="auto"/>
              </w:rPr>
              <w:t>5,543</w:t>
            </w:r>
          </w:p>
        </w:tc>
        <w:tc>
          <w:tcPr>
            <w:tcW w:w="880" w:type="dxa"/>
            <w:vAlign w:val="bottom"/>
            <w:tcBorders>
              <w:bottom w:val="single" w:sz="8" w:color="58854E"/>
            </w:tcBorders>
            <w:gridSpan w:val="5"/>
          </w:tcPr>
          <w:p>
            <w:pPr>
              <w:jc w:val="right"/>
              <w:spacing w:after="0"/>
              <w:rPr>
                <w:sz w:val="20"/>
                <w:szCs w:val="20"/>
                <w:color w:val="auto"/>
              </w:rPr>
            </w:pPr>
            <w:r>
              <w:rPr>
                <w:rFonts w:ascii="Arial" w:cs="Arial" w:eastAsia="Arial" w:hAnsi="Arial"/>
                <w:sz w:val="15"/>
                <w:szCs w:val="15"/>
                <w:color w:val="auto"/>
              </w:rPr>
              <w:t>$ 2,233,321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Chad Plotkin</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980" w:type="dxa"/>
            <w:vAlign w:val="bottom"/>
            <w:gridSpan w:val="9"/>
          </w:tcPr>
          <w:p>
            <w:pPr>
              <w:ind w:left="60"/>
              <w:spacing w:after="0" w:line="171" w:lineRule="exact"/>
              <w:rPr>
                <w:sz w:val="20"/>
                <w:szCs w:val="20"/>
                <w:color w:val="auto"/>
              </w:rPr>
            </w:pPr>
            <w:r>
              <w:rPr>
                <w:rFonts w:ascii="Arial" w:cs="Arial" w:eastAsia="Arial" w:hAnsi="Arial"/>
                <w:sz w:val="15"/>
                <w:szCs w:val="15"/>
                <w:color w:val="auto"/>
              </w:rPr>
              <w:t>Senior Vice President and Chief Financial</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5"/>
                <w:szCs w:val="15"/>
                <w:color w:val="auto"/>
              </w:rPr>
              <w:t>Officer</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center"/>
              <w:ind w:left="87"/>
              <w:spacing w:after="0"/>
              <w:rPr>
                <w:sz w:val="20"/>
                <w:szCs w:val="20"/>
                <w:color w:val="auto"/>
              </w:rPr>
            </w:pPr>
            <w:r>
              <w:rPr>
                <w:rFonts w:ascii="Arial" w:cs="Arial" w:eastAsia="Arial" w:hAnsi="Arial"/>
                <w:sz w:val="15"/>
                <w:szCs w:val="15"/>
                <w:color w:val="auto"/>
              </w:rPr>
              <w:t>2017</w:t>
            </w:r>
          </w:p>
        </w:tc>
        <w:tc>
          <w:tcPr>
            <w:tcW w:w="860" w:type="dxa"/>
            <w:vAlign w:val="bottom"/>
            <w:gridSpan w:val="7"/>
          </w:tcPr>
          <w:p>
            <w:pPr>
              <w:ind w:left="60"/>
              <w:spacing w:after="0"/>
              <w:rPr>
                <w:sz w:val="20"/>
                <w:szCs w:val="20"/>
                <w:color w:val="auto"/>
              </w:rPr>
            </w:pPr>
            <w:r>
              <w:rPr>
                <w:rFonts w:ascii="Arial" w:cs="Arial" w:eastAsia="Arial" w:hAnsi="Arial"/>
                <w:sz w:val="15"/>
                <w:szCs w:val="15"/>
                <w:color w:val="auto"/>
              </w:rPr>
              <w:t>$ 350,000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40" w:type="dxa"/>
            <w:vAlign w:val="bottom"/>
            <w:gridSpan w:val="2"/>
          </w:tcPr>
          <w:p>
            <w:pPr>
              <w:jc w:val="center"/>
              <w:ind w:left="53"/>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350,007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4"/>
          </w:tcPr>
          <w:p>
            <w:pPr>
              <w:jc w:val="right"/>
              <w:ind w:right="129"/>
              <w:spacing w:after="0"/>
              <w:rPr>
                <w:sz w:val="20"/>
                <w:szCs w:val="20"/>
                <w:color w:val="auto"/>
              </w:rPr>
            </w:pPr>
            <w:r>
              <w:rPr>
                <w:rFonts w:ascii="Arial" w:cs="Arial" w:eastAsia="Arial" w:hAnsi="Arial"/>
                <w:sz w:val="15"/>
                <w:szCs w:val="15"/>
                <w:color w:val="auto"/>
              </w:rPr>
              <w:t>239,750</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6"/>
          </w:tcPr>
          <w:p>
            <w:pPr>
              <w:jc w:val="right"/>
              <w:ind w:right="20"/>
              <w:spacing w:after="0"/>
              <w:rPr>
                <w:sz w:val="20"/>
                <w:szCs w:val="20"/>
                <w:color w:val="auto"/>
              </w:rPr>
            </w:pPr>
            <w:r>
              <w:rPr>
                <w:rFonts w:ascii="Arial" w:cs="Arial" w:eastAsia="Arial" w:hAnsi="Arial"/>
                <w:sz w:val="15"/>
                <w:szCs w:val="15"/>
                <w:color w:val="auto"/>
              </w:rPr>
              <w:t>24,248</w:t>
            </w:r>
          </w:p>
        </w:tc>
        <w:tc>
          <w:tcPr>
            <w:tcW w:w="280" w:type="dxa"/>
            <w:vAlign w:val="bottom"/>
            <w:gridSpan w:val="2"/>
          </w:tcPr>
          <w:p>
            <w:pPr>
              <w:jc w:val="right"/>
              <w:ind w:right="19"/>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5"/>
              </w:rPr>
              <w:t>964,005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58854E"/>
            </w:tcBorders>
          </w:tcPr>
          <w:p>
            <w:pPr>
              <w:spacing w:after="0"/>
              <w:rPr>
                <w:sz w:val="15"/>
                <w:szCs w:val="15"/>
                <w:color w:val="auto"/>
              </w:rPr>
            </w:pPr>
          </w:p>
        </w:tc>
        <w:tc>
          <w:tcPr>
            <w:tcW w:w="240" w:type="dxa"/>
            <w:vAlign w:val="bottom"/>
            <w:tcBorders>
              <w:bottom w:val="single" w:sz="8" w:color="58854E"/>
            </w:tcBorders>
          </w:tcPr>
          <w:p>
            <w:pPr>
              <w:spacing w:after="0"/>
              <w:rPr>
                <w:sz w:val="15"/>
                <w:szCs w:val="15"/>
                <w:color w:val="auto"/>
              </w:rPr>
            </w:pPr>
          </w:p>
        </w:tc>
        <w:tc>
          <w:tcPr>
            <w:tcW w:w="130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340" w:type="dxa"/>
            <w:vAlign w:val="bottom"/>
            <w:tcBorders>
              <w:bottom w:val="single" w:sz="8" w:color="58854E"/>
            </w:tcBorders>
          </w:tcPr>
          <w:p>
            <w:pPr>
              <w:spacing w:after="0"/>
              <w:rPr>
                <w:sz w:val="15"/>
                <w:szCs w:val="15"/>
                <w:color w:val="auto"/>
              </w:rPr>
            </w:pPr>
          </w:p>
        </w:tc>
        <w:tc>
          <w:tcPr>
            <w:tcW w:w="160" w:type="dxa"/>
            <w:vAlign w:val="bottom"/>
            <w:tcBorders>
              <w:bottom w:val="single" w:sz="8" w:color="58854E"/>
            </w:tcBorders>
          </w:tcPr>
          <w:p>
            <w:pPr>
              <w:spacing w:after="0"/>
              <w:rPr>
                <w:sz w:val="15"/>
                <w:szCs w:val="15"/>
                <w:color w:val="auto"/>
              </w:rPr>
            </w:pPr>
          </w:p>
        </w:tc>
        <w:tc>
          <w:tcPr>
            <w:tcW w:w="60" w:type="dxa"/>
            <w:vAlign w:val="bottom"/>
            <w:tcBorders>
              <w:bottom w:val="single" w:sz="8" w:color="58854E"/>
            </w:tcBorders>
          </w:tcPr>
          <w:p>
            <w:pPr>
              <w:spacing w:after="0"/>
              <w:rPr>
                <w:sz w:val="15"/>
                <w:szCs w:val="15"/>
                <w:color w:val="auto"/>
              </w:rPr>
            </w:pPr>
          </w:p>
        </w:tc>
        <w:tc>
          <w:tcPr>
            <w:tcW w:w="540" w:type="dxa"/>
            <w:vAlign w:val="bottom"/>
            <w:tcBorders>
              <w:bottom w:val="single" w:sz="8" w:color="58854E"/>
            </w:tcBorders>
          </w:tcPr>
          <w:p>
            <w:pPr>
              <w:spacing w:after="0"/>
              <w:rPr>
                <w:sz w:val="15"/>
                <w:szCs w:val="15"/>
                <w:color w:val="auto"/>
              </w:rPr>
            </w:pPr>
          </w:p>
        </w:tc>
        <w:tc>
          <w:tcPr>
            <w:tcW w:w="160" w:type="dxa"/>
            <w:vAlign w:val="bottom"/>
            <w:tcBorders>
              <w:bottom w:val="single" w:sz="8" w:color="58854E"/>
            </w:tcBorders>
          </w:tcPr>
          <w:p>
            <w:pPr>
              <w:spacing w:after="0"/>
              <w:rPr>
                <w:sz w:val="15"/>
                <w:szCs w:val="15"/>
                <w:color w:val="auto"/>
              </w:rPr>
            </w:pPr>
          </w:p>
        </w:tc>
        <w:tc>
          <w:tcPr>
            <w:tcW w:w="100" w:type="dxa"/>
            <w:vAlign w:val="bottom"/>
            <w:tcBorders>
              <w:bottom w:val="single" w:sz="8" w:color="58854E"/>
            </w:tcBorders>
          </w:tcPr>
          <w:p>
            <w:pPr>
              <w:spacing w:after="0"/>
              <w:rPr>
                <w:sz w:val="15"/>
                <w:szCs w:val="15"/>
                <w:color w:val="auto"/>
              </w:rPr>
            </w:pPr>
          </w:p>
        </w:tc>
        <w:tc>
          <w:tcPr>
            <w:tcW w:w="620" w:type="dxa"/>
            <w:vAlign w:val="bottom"/>
            <w:tcBorders>
              <w:bottom w:val="single" w:sz="8" w:color="58854E"/>
            </w:tcBorders>
            <w:gridSpan w:val="3"/>
          </w:tcPr>
          <w:p>
            <w:pPr>
              <w:jc w:val="center"/>
              <w:ind w:left="87"/>
              <w:spacing w:after="0"/>
              <w:rPr>
                <w:sz w:val="20"/>
                <w:szCs w:val="20"/>
                <w:color w:val="auto"/>
              </w:rPr>
            </w:pPr>
            <w:r>
              <w:rPr>
                <w:rFonts w:ascii="Arial" w:cs="Arial" w:eastAsia="Arial" w:hAnsi="Arial"/>
                <w:sz w:val="15"/>
                <w:szCs w:val="15"/>
                <w:color w:val="auto"/>
              </w:rPr>
              <w:t>2016</w:t>
            </w:r>
          </w:p>
        </w:tc>
        <w:tc>
          <w:tcPr>
            <w:tcW w:w="160" w:type="dxa"/>
            <w:vAlign w:val="bottom"/>
            <w:tcBorders>
              <w:bottom w:val="single" w:sz="8" w:color="58854E"/>
            </w:tcBorders>
            <w:gridSpan w:val="2"/>
          </w:tcPr>
          <w:p>
            <w:pPr>
              <w:ind w:left="6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58854E"/>
            </w:tcBorders>
            <w:gridSpan w:val="5"/>
          </w:tcPr>
          <w:p>
            <w:pPr>
              <w:jc w:val="right"/>
              <w:ind w:right="12"/>
              <w:spacing w:after="0"/>
              <w:rPr>
                <w:sz w:val="20"/>
                <w:szCs w:val="20"/>
                <w:color w:val="auto"/>
              </w:rPr>
            </w:pPr>
            <w:r>
              <w:rPr>
                <w:rFonts w:ascii="Arial" w:cs="Arial" w:eastAsia="Arial" w:hAnsi="Arial"/>
                <w:sz w:val="15"/>
                <w:szCs w:val="15"/>
                <w:color w:val="auto"/>
              </w:rPr>
              <w:t>40,385</w:t>
            </w:r>
            <w:r>
              <w:rPr>
                <w:rFonts w:ascii="Arial" w:cs="Arial" w:eastAsia="Arial" w:hAnsi="Arial"/>
                <w:sz w:val="9"/>
                <w:szCs w:val="9"/>
                <w:color w:val="58844D"/>
              </w:rPr>
              <w:t>6</w:t>
            </w:r>
          </w:p>
        </w:tc>
        <w:tc>
          <w:tcPr>
            <w:tcW w:w="160" w:type="dxa"/>
            <w:vAlign w:val="bottom"/>
            <w:tcBorders>
              <w:bottom w:val="single" w:sz="8" w:color="58854E"/>
            </w:tcBorders>
          </w:tcPr>
          <w:p>
            <w:pPr>
              <w:spacing w:after="0"/>
              <w:rPr>
                <w:sz w:val="15"/>
                <w:szCs w:val="15"/>
                <w:color w:val="auto"/>
              </w:rPr>
            </w:pPr>
          </w:p>
        </w:tc>
        <w:tc>
          <w:tcPr>
            <w:tcW w:w="100" w:type="dxa"/>
            <w:vAlign w:val="bottom"/>
            <w:tcBorders>
              <w:bottom w:val="single" w:sz="8" w:color="58854E"/>
            </w:tcBorders>
          </w:tcPr>
          <w:p>
            <w:pPr>
              <w:spacing w:after="0"/>
              <w:rPr>
                <w:sz w:val="15"/>
                <w:szCs w:val="15"/>
                <w:color w:val="auto"/>
              </w:rPr>
            </w:pPr>
          </w:p>
        </w:tc>
        <w:tc>
          <w:tcPr>
            <w:tcW w:w="12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jc w:val="right"/>
              <w:spacing w:after="0"/>
              <w:rPr>
                <w:sz w:val="20"/>
                <w:szCs w:val="20"/>
                <w:color w:val="auto"/>
              </w:rPr>
            </w:pPr>
            <w:r>
              <w:rPr>
                <w:rFonts w:ascii="Arial" w:cs="Arial" w:eastAsia="Arial" w:hAnsi="Arial"/>
                <w:sz w:val="15"/>
                <w:szCs w:val="15"/>
                <w:color w:val="auto"/>
                <w:w w:val="79"/>
              </w:rPr>
              <w:t>—</w:t>
            </w:r>
          </w:p>
        </w:tc>
        <w:tc>
          <w:tcPr>
            <w:tcW w:w="240" w:type="dxa"/>
            <w:vAlign w:val="bottom"/>
            <w:tcBorders>
              <w:bottom w:val="single" w:sz="8" w:color="58854E"/>
            </w:tcBorders>
            <w:gridSpan w:val="2"/>
          </w:tcPr>
          <w:p>
            <w:pPr>
              <w:jc w:val="center"/>
              <w:ind w:left="5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58854E"/>
            </w:tcBorders>
            <w:gridSpan w:val="2"/>
          </w:tcPr>
          <w:p>
            <w:pPr>
              <w:jc w:val="right"/>
              <w:spacing w:after="0"/>
              <w:rPr>
                <w:sz w:val="20"/>
                <w:szCs w:val="20"/>
                <w:color w:val="auto"/>
              </w:rPr>
            </w:pPr>
            <w:r>
              <w:rPr>
                <w:rFonts w:ascii="Arial" w:cs="Arial" w:eastAsia="Arial" w:hAnsi="Arial"/>
                <w:sz w:val="15"/>
                <w:szCs w:val="15"/>
                <w:color w:val="auto"/>
              </w:rPr>
              <w:t>270,448</w:t>
            </w:r>
          </w:p>
        </w:tc>
        <w:tc>
          <w:tcPr>
            <w:tcW w:w="140" w:type="dxa"/>
            <w:vAlign w:val="bottom"/>
            <w:tcBorders>
              <w:bottom w:val="single" w:sz="8" w:color="58854E"/>
            </w:tcBorders>
          </w:tcPr>
          <w:p>
            <w:pPr>
              <w:spacing w:after="0"/>
              <w:rPr>
                <w:sz w:val="15"/>
                <w:szCs w:val="15"/>
                <w:color w:val="auto"/>
              </w:rPr>
            </w:pPr>
          </w:p>
        </w:tc>
        <w:tc>
          <w:tcPr>
            <w:tcW w:w="360" w:type="dxa"/>
            <w:vAlign w:val="bottom"/>
            <w:tcBorders>
              <w:bottom w:val="single" w:sz="8" w:color="58854E"/>
            </w:tcBorders>
          </w:tcPr>
          <w:p>
            <w:pPr>
              <w:spacing w:after="0"/>
              <w:rPr>
                <w:sz w:val="15"/>
                <w:szCs w:val="15"/>
                <w:color w:val="auto"/>
              </w:rPr>
            </w:pPr>
          </w:p>
        </w:tc>
        <w:tc>
          <w:tcPr>
            <w:tcW w:w="20" w:type="dxa"/>
            <w:vAlign w:val="bottom"/>
            <w:tcBorders>
              <w:bottom w:val="single" w:sz="8" w:color="58854E"/>
            </w:tcBorders>
          </w:tcPr>
          <w:p>
            <w:pPr>
              <w:spacing w:after="0"/>
              <w:rPr>
                <w:sz w:val="15"/>
                <w:szCs w:val="15"/>
                <w:color w:val="auto"/>
              </w:rPr>
            </w:pPr>
          </w:p>
        </w:tc>
        <w:tc>
          <w:tcPr>
            <w:tcW w:w="40" w:type="dxa"/>
            <w:vAlign w:val="bottom"/>
            <w:tcBorders>
              <w:bottom w:val="single" w:sz="8" w:color="58854E"/>
            </w:tcBorders>
          </w:tcPr>
          <w:p>
            <w:pPr>
              <w:spacing w:after="0"/>
              <w:rPr>
                <w:sz w:val="15"/>
                <w:szCs w:val="15"/>
                <w:color w:val="auto"/>
              </w:rPr>
            </w:pPr>
          </w:p>
        </w:tc>
        <w:tc>
          <w:tcPr>
            <w:tcW w:w="200" w:type="dxa"/>
            <w:vAlign w:val="bottom"/>
            <w:tcBorders>
              <w:bottom w:val="single" w:sz="8" w:color="58854E"/>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58854E"/>
            </w:tcBorders>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58854E"/>
            </w:tcBorders>
            <w:gridSpan w:val="4"/>
          </w:tcPr>
          <w:p>
            <w:pPr>
              <w:jc w:val="right"/>
              <w:ind w:right="129"/>
              <w:spacing w:after="0"/>
              <w:rPr>
                <w:sz w:val="20"/>
                <w:szCs w:val="20"/>
                <w:color w:val="auto"/>
              </w:rPr>
            </w:pPr>
            <w:r>
              <w:rPr>
                <w:rFonts w:ascii="Arial" w:cs="Arial" w:eastAsia="Arial" w:hAnsi="Arial"/>
                <w:sz w:val="15"/>
                <w:szCs w:val="15"/>
                <w:color w:val="auto"/>
              </w:rPr>
              <w:t>39,555</w:t>
            </w:r>
          </w:p>
        </w:tc>
        <w:tc>
          <w:tcPr>
            <w:tcW w:w="78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180" w:type="dxa"/>
            <w:vAlign w:val="bottom"/>
            <w:tcBorders>
              <w:bottom w:val="single" w:sz="8" w:color="58854E"/>
            </w:tcBorders>
            <w:gridSpan w:val="2"/>
          </w:tcPr>
          <w:p>
            <w:pPr>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58854E"/>
            </w:tcBorders>
          </w:tcPr>
          <w:p>
            <w:pPr>
              <w:spacing w:after="0"/>
              <w:rPr>
                <w:sz w:val="15"/>
                <w:szCs w:val="15"/>
                <w:color w:val="auto"/>
              </w:rPr>
            </w:pPr>
          </w:p>
        </w:tc>
        <w:tc>
          <w:tcPr>
            <w:tcW w:w="120" w:type="dxa"/>
            <w:vAlign w:val="bottom"/>
            <w:tcBorders>
              <w:bottom w:val="single" w:sz="8" w:color="58854E"/>
            </w:tcBorders>
          </w:tcPr>
          <w:p>
            <w:pPr>
              <w:spacing w:after="0"/>
              <w:rPr>
                <w:sz w:val="15"/>
                <w:szCs w:val="15"/>
                <w:color w:val="auto"/>
              </w:rPr>
            </w:pPr>
          </w:p>
        </w:tc>
        <w:tc>
          <w:tcPr>
            <w:tcW w:w="720" w:type="dxa"/>
            <w:vAlign w:val="bottom"/>
            <w:tcBorders>
              <w:bottom w:val="single" w:sz="8" w:color="58854E"/>
            </w:tcBorders>
          </w:tcPr>
          <w:p>
            <w:pPr>
              <w:spacing w:after="0"/>
              <w:rPr>
                <w:sz w:val="15"/>
                <w:szCs w:val="15"/>
                <w:color w:val="auto"/>
              </w:rPr>
            </w:pPr>
          </w:p>
        </w:tc>
        <w:tc>
          <w:tcPr>
            <w:tcW w:w="20" w:type="dxa"/>
            <w:vAlign w:val="bottom"/>
            <w:tcBorders>
              <w:bottom w:val="single" w:sz="8" w:color="58854E"/>
            </w:tcBorders>
          </w:tcPr>
          <w:p>
            <w:pPr>
              <w:spacing w:after="0"/>
              <w:rPr>
                <w:sz w:val="15"/>
                <w:szCs w:val="15"/>
                <w:color w:val="auto"/>
              </w:rPr>
            </w:pPr>
          </w:p>
        </w:tc>
        <w:tc>
          <w:tcPr>
            <w:tcW w:w="160" w:type="dxa"/>
            <w:vAlign w:val="bottom"/>
            <w:tcBorders>
              <w:bottom w:val="single" w:sz="8" w:color="58854E"/>
            </w:tcBorders>
            <w:gridSpan w:val="3"/>
          </w:tcPr>
          <w:p>
            <w:pPr>
              <w:jc w:val="right"/>
              <w:ind w:right="20"/>
              <w:spacing w:after="0"/>
              <w:rPr>
                <w:sz w:val="20"/>
                <w:szCs w:val="20"/>
                <w:color w:val="auto"/>
              </w:rPr>
            </w:pPr>
            <w:r>
              <w:rPr>
                <w:rFonts w:ascii="Arial" w:cs="Arial" w:eastAsia="Arial" w:hAnsi="Arial"/>
                <w:sz w:val="15"/>
                <w:szCs w:val="15"/>
                <w:color w:val="auto"/>
                <w:w w:val="79"/>
              </w:rPr>
              <w:t>—</w:t>
            </w:r>
          </w:p>
        </w:tc>
        <w:tc>
          <w:tcPr>
            <w:tcW w:w="280" w:type="dxa"/>
            <w:vAlign w:val="bottom"/>
            <w:tcBorders>
              <w:bottom w:val="single" w:sz="8" w:color="58854E"/>
            </w:tcBorders>
            <w:gridSpan w:val="2"/>
          </w:tcPr>
          <w:p>
            <w:pPr>
              <w:jc w:val="right"/>
              <w:ind w:right="19"/>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58854E"/>
            </w:tcBorders>
          </w:tcPr>
          <w:p>
            <w:pPr>
              <w:spacing w:after="0"/>
              <w:rPr>
                <w:sz w:val="15"/>
                <w:szCs w:val="15"/>
                <w:color w:val="auto"/>
              </w:rPr>
            </w:pPr>
          </w:p>
        </w:tc>
        <w:tc>
          <w:tcPr>
            <w:tcW w:w="540" w:type="dxa"/>
            <w:vAlign w:val="bottom"/>
            <w:tcBorders>
              <w:bottom w:val="single" w:sz="8" w:color="58854E"/>
            </w:tcBorders>
            <w:gridSpan w:val="2"/>
          </w:tcPr>
          <w:p>
            <w:pPr>
              <w:jc w:val="right"/>
              <w:spacing w:after="0"/>
              <w:rPr>
                <w:sz w:val="20"/>
                <w:szCs w:val="20"/>
                <w:color w:val="auto"/>
              </w:rPr>
            </w:pPr>
            <w:r>
              <w:rPr>
                <w:rFonts w:ascii="Arial" w:cs="Arial" w:eastAsia="Arial" w:hAnsi="Arial"/>
                <w:sz w:val="15"/>
                <w:szCs w:val="15"/>
                <w:color w:val="auto"/>
                <w:w w:val="95"/>
              </w:rPr>
              <w:t>350,388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20" w:type="dxa"/>
            <w:vAlign w:val="bottom"/>
            <w:tcBorders>
              <w:right w:val="single" w:sz="8" w:color="E9EEE6"/>
            </w:tcBorders>
            <w:shd w:val="clear" w:color="auto" w:fill="E9EEE6"/>
          </w:tcPr>
          <w:p>
            <w:pPr>
              <w:ind w:left="60"/>
              <w:spacing w:after="0"/>
              <w:rPr>
                <w:sz w:val="20"/>
                <w:szCs w:val="20"/>
                <w:color w:val="auto"/>
              </w:rPr>
            </w:pPr>
            <w:r>
              <w:rPr>
                <w:rFonts w:ascii="Arial" w:cs="Arial" w:eastAsia="Arial" w:hAnsi="Arial"/>
                <w:sz w:val="5"/>
                <w:szCs w:val="5"/>
                <w:color w:val="58844D"/>
                <w:w w:val="70"/>
              </w:rPr>
              <w:t>1</w:t>
            </w:r>
          </w:p>
        </w:tc>
        <w:tc>
          <w:tcPr>
            <w:tcW w:w="240" w:type="dxa"/>
            <w:vAlign w:val="bottom"/>
            <w:shd w:val="clear" w:color="auto" w:fill="E9EEE6"/>
          </w:tcPr>
          <w:p>
            <w:pPr>
              <w:spacing w:after="0"/>
              <w:rPr>
                <w:sz w:val="8"/>
                <w:szCs w:val="8"/>
                <w:color w:val="auto"/>
              </w:rPr>
            </w:pPr>
          </w:p>
        </w:tc>
        <w:tc>
          <w:tcPr>
            <w:tcW w:w="1880" w:type="dxa"/>
            <w:vAlign w:val="bottom"/>
            <w:tcBorders>
              <w:right w:val="single" w:sz="8" w:color="E9EEE6"/>
            </w:tcBorders>
            <w:gridSpan w:val="4"/>
            <w:vMerge w:val="restart"/>
            <w:shd w:val="clear" w:color="auto" w:fill="E9EEE6"/>
          </w:tcPr>
          <w:p>
            <w:pPr>
              <w:spacing w:after="0" w:line="128" w:lineRule="exact"/>
              <w:rPr>
                <w:sz w:val="20"/>
                <w:szCs w:val="20"/>
                <w:color w:val="auto"/>
              </w:rPr>
            </w:pPr>
            <w:r>
              <w:rPr>
                <w:rFonts w:ascii="Arial" w:cs="Arial" w:eastAsia="Arial" w:hAnsi="Arial"/>
                <w:sz w:val="12"/>
                <w:szCs w:val="12"/>
                <w:color w:val="auto"/>
              </w:rPr>
              <w:t>Reflects base salary earnings.</w:t>
            </w:r>
          </w:p>
        </w:tc>
        <w:tc>
          <w:tcPr>
            <w:tcW w:w="60" w:type="dxa"/>
            <w:vAlign w:val="bottom"/>
            <w:shd w:val="clear" w:color="auto" w:fill="E9EEE6"/>
          </w:tcPr>
          <w:p>
            <w:pPr>
              <w:spacing w:after="0"/>
              <w:rPr>
                <w:sz w:val="8"/>
                <w:szCs w:val="8"/>
                <w:color w:val="auto"/>
              </w:rPr>
            </w:pPr>
          </w:p>
        </w:tc>
        <w:tc>
          <w:tcPr>
            <w:tcW w:w="540" w:type="dxa"/>
            <w:vAlign w:val="bottom"/>
            <w:tcBorders>
              <w:right w:val="single" w:sz="8" w:color="E9EEE6"/>
            </w:tcBorders>
            <w:shd w:val="clear" w:color="auto" w:fill="E9EEE6"/>
          </w:tcPr>
          <w:p>
            <w:pPr>
              <w:spacing w:after="0"/>
              <w:rPr>
                <w:sz w:val="8"/>
                <w:szCs w:val="8"/>
                <w:color w:val="auto"/>
              </w:rPr>
            </w:pPr>
          </w:p>
        </w:tc>
        <w:tc>
          <w:tcPr>
            <w:tcW w:w="160" w:type="dxa"/>
            <w:vAlign w:val="bottom"/>
            <w:tcBorders>
              <w:right w:val="single" w:sz="8" w:color="E9EEE6"/>
            </w:tcBorders>
            <w:shd w:val="clear" w:color="auto" w:fill="E9EEE6"/>
          </w:tcPr>
          <w:p>
            <w:pPr>
              <w:spacing w:after="0"/>
              <w:rPr>
                <w:sz w:val="8"/>
                <w:szCs w:val="8"/>
                <w:color w:val="auto"/>
              </w:rPr>
            </w:pPr>
          </w:p>
        </w:tc>
        <w:tc>
          <w:tcPr>
            <w:tcW w:w="100" w:type="dxa"/>
            <w:vAlign w:val="bottom"/>
            <w:tcBorders>
              <w:right w:val="single" w:sz="8" w:color="E9EEE6"/>
            </w:tcBorders>
            <w:shd w:val="clear" w:color="auto" w:fill="E9EEE6"/>
          </w:tcPr>
          <w:p>
            <w:pPr>
              <w:spacing w:after="0"/>
              <w:rPr>
                <w:sz w:val="8"/>
                <w:szCs w:val="8"/>
                <w:color w:val="auto"/>
              </w:rPr>
            </w:pPr>
          </w:p>
        </w:tc>
        <w:tc>
          <w:tcPr>
            <w:tcW w:w="140" w:type="dxa"/>
            <w:vAlign w:val="bottom"/>
            <w:shd w:val="clear" w:color="auto" w:fill="E9EEE6"/>
          </w:tcPr>
          <w:p>
            <w:pPr>
              <w:spacing w:after="0"/>
              <w:rPr>
                <w:sz w:val="8"/>
                <w:szCs w:val="8"/>
                <w:color w:val="auto"/>
              </w:rPr>
            </w:pPr>
          </w:p>
        </w:tc>
        <w:tc>
          <w:tcPr>
            <w:tcW w:w="420" w:type="dxa"/>
            <w:vAlign w:val="bottom"/>
            <w:shd w:val="clear" w:color="auto" w:fill="E9EEE6"/>
          </w:tcPr>
          <w:p>
            <w:pPr>
              <w:spacing w:after="0"/>
              <w:rPr>
                <w:sz w:val="8"/>
                <w:szCs w:val="8"/>
                <w:color w:val="auto"/>
              </w:rPr>
            </w:pPr>
          </w:p>
        </w:tc>
        <w:tc>
          <w:tcPr>
            <w:tcW w:w="60" w:type="dxa"/>
            <w:vAlign w:val="bottom"/>
            <w:shd w:val="clear" w:color="auto" w:fill="E9EEE6"/>
          </w:tcPr>
          <w:p>
            <w:pPr>
              <w:spacing w:after="0"/>
              <w:rPr>
                <w:sz w:val="8"/>
                <w:szCs w:val="8"/>
                <w:color w:val="auto"/>
              </w:rPr>
            </w:pPr>
          </w:p>
        </w:tc>
        <w:tc>
          <w:tcPr>
            <w:tcW w:w="60" w:type="dxa"/>
            <w:vAlign w:val="bottom"/>
            <w:shd w:val="clear" w:color="auto" w:fill="E9EEE6"/>
          </w:tcPr>
          <w:p>
            <w:pPr>
              <w:spacing w:after="0"/>
              <w:rPr>
                <w:sz w:val="8"/>
                <w:szCs w:val="8"/>
                <w:color w:val="auto"/>
              </w:rPr>
            </w:pPr>
          </w:p>
        </w:tc>
        <w:tc>
          <w:tcPr>
            <w:tcW w:w="100" w:type="dxa"/>
            <w:vAlign w:val="bottom"/>
            <w:shd w:val="clear" w:color="auto" w:fill="E9EEE6"/>
          </w:tcPr>
          <w:p>
            <w:pPr>
              <w:spacing w:after="0"/>
              <w:rPr>
                <w:sz w:val="8"/>
                <w:szCs w:val="8"/>
                <w:color w:val="auto"/>
              </w:rPr>
            </w:pPr>
          </w:p>
        </w:tc>
        <w:tc>
          <w:tcPr>
            <w:tcW w:w="80" w:type="dxa"/>
            <w:vAlign w:val="bottom"/>
            <w:shd w:val="clear" w:color="auto" w:fill="E9EEE6"/>
          </w:tcPr>
          <w:p>
            <w:pPr>
              <w:spacing w:after="0"/>
              <w:rPr>
                <w:sz w:val="8"/>
                <w:szCs w:val="8"/>
                <w:color w:val="auto"/>
              </w:rPr>
            </w:pPr>
          </w:p>
        </w:tc>
        <w:tc>
          <w:tcPr>
            <w:tcW w:w="80" w:type="dxa"/>
            <w:vAlign w:val="bottom"/>
            <w:shd w:val="clear" w:color="auto" w:fill="E9EEE6"/>
          </w:tcPr>
          <w:p>
            <w:pPr>
              <w:spacing w:after="0"/>
              <w:rPr>
                <w:sz w:val="8"/>
                <w:szCs w:val="8"/>
                <w:color w:val="auto"/>
              </w:rPr>
            </w:pPr>
          </w:p>
        </w:tc>
        <w:tc>
          <w:tcPr>
            <w:tcW w:w="280" w:type="dxa"/>
            <w:vAlign w:val="bottom"/>
            <w:shd w:val="clear" w:color="auto" w:fill="E9EEE6"/>
          </w:tcPr>
          <w:p>
            <w:pPr>
              <w:spacing w:after="0"/>
              <w:rPr>
                <w:sz w:val="8"/>
                <w:szCs w:val="8"/>
                <w:color w:val="auto"/>
              </w:rPr>
            </w:pPr>
          </w:p>
        </w:tc>
        <w:tc>
          <w:tcPr>
            <w:tcW w:w="120" w:type="dxa"/>
            <w:vAlign w:val="bottom"/>
            <w:shd w:val="clear" w:color="auto" w:fill="E9EEE6"/>
          </w:tcPr>
          <w:p>
            <w:pPr>
              <w:spacing w:after="0"/>
              <w:rPr>
                <w:sz w:val="8"/>
                <w:szCs w:val="8"/>
                <w:color w:val="auto"/>
              </w:rPr>
            </w:pPr>
          </w:p>
        </w:tc>
        <w:tc>
          <w:tcPr>
            <w:tcW w:w="140" w:type="dxa"/>
            <w:vAlign w:val="bottom"/>
            <w:shd w:val="clear" w:color="auto" w:fill="E9EEE6"/>
          </w:tcPr>
          <w:p>
            <w:pPr>
              <w:spacing w:after="0"/>
              <w:rPr>
                <w:sz w:val="8"/>
                <w:szCs w:val="8"/>
                <w:color w:val="auto"/>
              </w:rPr>
            </w:pPr>
          </w:p>
        </w:tc>
        <w:tc>
          <w:tcPr>
            <w:tcW w:w="160" w:type="dxa"/>
            <w:vAlign w:val="bottom"/>
            <w:tcBorders>
              <w:right w:val="single" w:sz="8" w:color="E9EEE6"/>
            </w:tcBorders>
            <w:shd w:val="clear" w:color="auto" w:fill="E9EEE6"/>
          </w:tcPr>
          <w:p>
            <w:pPr>
              <w:spacing w:after="0"/>
              <w:rPr>
                <w:sz w:val="8"/>
                <w:szCs w:val="8"/>
                <w:color w:val="auto"/>
              </w:rPr>
            </w:pPr>
          </w:p>
        </w:tc>
        <w:tc>
          <w:tcPr>
            <w:tcW w:w="100" w:type="dxa"/>
            <w:vAlign w:val="bottom"/>
            <w:shd w:val="clear" w:color="auto" w:fill="E9EEE6"/>
          </w:tcPr>
          <w:p>
            <w:pPr>
              <w:spacing w:after="0"/>
              <w:rPr>
                <w:sz w:val="8"/>
                <w:szCs w:val="8"/>
                <w:color w:val="auto"/>
              </w:rPr>
            </w:pPr>
          </w:p>
        </w:tc>
        <w:tc>
          <w:tcPr>
            <w:tcW w:w="120" w:type="dxa"/>
            <w:vAlign w:val="bottom"/>
            <w:shd w:val="clear" w:color="auto" w:fill="E9EEE6"/>
          </w:tcPr>
          <w:p>
            <w:pPr>
              <w:spacing w:after="0"/>
              <w:rPr>
                <w:sz w:val="8"/>
                <w:szCs w:val="8"/>
                <w:color w:val="auto"/>
              </w:rPr>
            </w:pPr>
          </w:p>
        </w:tc>
        <w:tc>
          <w:tcPr>
            <w:tcW w:w="140" w:type="dxa"/>
            <w:vAlign w:val="bottom"/>
            <w:shd w:val="clear" w:color="auto" w:fill="E9EEE6"/>
          </w:tcPr>
          <w:p>
            <w:pPr>
              <w:spacing w:after="0"/>
              <w:rPr>
                <w:sz w:val="8"/>
                <w:szCs w:val="8"/>
                <w:color w:val="auto"/>
              </w:rPr>
            </w:pPr>
          </w:p>
        </w:tc>
        <w:tc>
          <w:tcPr>
            <w:tcW w:w="140" w:type="dxa"/>
            <w:vAlign w:val="bottom"/>
            <w:shd w:val="clear" w:color="auto" w:fill="E9EEE6"/>
          </w:tcPr>
          <w:p>
            <w:pPr>
              <w:spacing w:after="0"/>
              <w:rPr>
                <w:sz w:val="8"/>
                <w:szCs w:val="8"/>
                <w:color w:val="auto"/>
              </w:rPr>
            </w:pPr>
          </w:p>
        </w:tc>
        <w:tc>
          <w:tcPr>
            <w:tcW w:w="100" w:type="dxa"/>
            <w:vAlign w:val="bottom"/>
            <w:shd w:val="clear" w:color="auto" w:fill="E9EEE6"/>
          </w:tcPr>
          <w:p>
            <w:pPr>
              <w:spacing w:after="0"/>
              <w:rPr>
                <w:sz w:val="8"/>
                <w:szCs w:val="8"/>
                <w:color w:val="auto"/>
              </w:rPr>
            </w:pPr>
          </w:p>
        </w:tc>
        <w:tc>
          <w:tcPr>
            <w:tcW w:w="400" w:type="dxa"/>
            <w:vAlign w:val="bottom"/>
            <w:shd w:val="clear" w:color="auto" w:fill="E9EEE6"/>
          </w:tcPr>
          <w:p>
            <w:pPr>
              <w:spacing w:after="0"/>
              <w:rPr>
                <w:sz w:val="8"/>
                <w:szCs w:val="8"/>
                <w:color w:val="auto"/>
              </w:rPr>
            </w:pPr>
          </w:p>
        </w:tc>
        <w:tc>
          <w:tcPr>
            <w:tcW w:w="260" w:type="dxa"/>
            <w:vAlign w:val="bottom"/>
            <w:tcBorders>
              <w:right w:val="single" w:sz="8" w:color="E9EEE6"/>
            </w:tcBorders>
            <w:shd w:val="clear" w:color="auto" w:fill="E9EEE6"/>
          </w:tcPr>
          <w:p>
            <w:pPr>
              <w:spacing w:after="0"/>
              <w:rPr>
                <w:sz w:val="8"/>
                <w:szCs w:val="8"/>
                <w:color w:val="auto"/>
              </w:rPr>
            </w:pPr>
          </w:p>
        </w:tc>
        <w:tc>
          <w:tcPr>
            <w:tcW w:w="140" w:type="dxa"/>
            <w:vAlign w:val="bottom"/>
            <w:tcBorders>
              <w:left w:val="single" w:sz="8" w:color="E9EEE6"/>
            </w:tcBorders>
            <w:shd w:val="clear" w:color="auto" w:fill="E9EEE6"/>
          </w:tcPr>
          <w:p>
            <w:pPr>
              <w:spacing w:after="0"/>
              <w:rPr>
                <w:sz w:val="8"/>
                <w:szCs w:val="8"/>
                <w:color w:val="auto"/>
              </w:rPr>
            </w:pPr>
          </w:p>
        </w:tc>
        <w:tc>
          <w:tcPr>
            <w:tcW w:w="360" w:type="dxa"/>
            <w:vAlign w:val="bottom"/>
            <w:shd w:val="clear" w:color="auto" w:fill="E9EEE6"/>
          </w:tcPr>
          <w:p>
            <w:pPr>
              <w:spacing w:after="0"/>
              <w:rPr>
                <w:sz w:val="8"/>
                <w:szCs w:val="8"/>
                <w:color w:val="auto"/>
              </w:rPr>
            </w:pPr>
          </w:p>
        </w:tc>
        <w:tc>
          <w:tcPr>
            <w:tcW w:w="20" w:type="dxa"/>
            <w:vAlign w:val="bottom"/>
            <w:shd w:val="clear" w:color="auto" w:fill="E9EEE6"/>
          </w:tcPr>
          <w:p>
            <w:pPr>
              <w:spacing w:after="0"/>
              <w:rPr>
                <w:sz w:val="8"/>
                <w:szCs w:val="8"/>
                <w:color w:val="auto"/>
              </w:rPr>
            </w:pPr>
          </w:p>
        </w:tc>
        <w:tc>
          <w:tcPr>
            <w:tcW w:w="40" w:type="dxa"/>
            <w:vAlign w:val="bottom"/>
            <w:shd w:val="clear" w:color="auto" w:fill="E9EEE6"/>
          </w:tcPr>
          <w:p>
            <w:pPr>
              <w:spacing w:after="0"/>
              <w:rPr>
                <w:sz w:val="8"/>
                <w:szCs w:val="8"/>
                <w:color w:val="auto"/>
              </w:rPr>
            </w:pPr>
          </w:p>
        </w:tc>
        <w:tc>
          <w:tcPr>
            <w:tcW w:w="180" w:type="dxa"/>
            <w:vAlign w:val="bottom"/>
            <w:shd w:val="clear" w:color="auto" w:fill="E9EEE6"/>
          </w:tcPr>
          <w:p>
            <w:pPr>
              <w:spacing w:after="0"/>
              <w:rPr>
                <w:sz w:val="8"/>
                <w:szCs w:val="8"/>
                <w:color w:val="auto"/>
              </w:rPr>
            </w:pPr>
          </w:p>
        </w:tc>
        <w:tc>
          <w:tcPr>
            <w:tcW w:w="20" w:type="dxa"/>
            <w:vAlign w:val="bottom"/>
            <w:shd w:val="clear" w:color="auto" w:fill="E9EEE6"/>
          </w:tcPr>
          <w:p>
            <w:pPr>
              <w:spacing w:after="0"/>
              <w:rPr>
                <w:sz w:val="8"/>
                <w:szCs w:val="8"/>
                <w:color w:val="auto"/>
              </w:rPr>
            </w:pPr>
          </w:p>
        </w:tc>
        <w:tc>
          <w:tcPr>
            <w:tcW w:w="120" w:type="dxa"/>
            <w:vAlign w:val="bottom"/>
            <w:shd w:val="clear" w:color="auto" w:fill="E9EEE6"/>
          </w:tcPr>
          <w:p>
            <w:pPr>
              <w:spacing w:after="0"/>
              <w:rPr>
                <w:sz w:val="8"/>
                <w:szCs w:val="8"/>
                <w:color w:val="auto"/>
              </w:rPr>
            </w:pPr>
          </w:p>
        </w:tc>
        <w:tc>
          <w:tcPr>
            <w:tcW w:w="80" w:type="dxa"/>
            <w:vAlign w:val="bottom"/>
            <w:shd w:val="clear" w:color="auto" w:fill="E9EEE6"/>
          </w:tcPr>
          <w:p>
            <w:pPr>
              <w:spacing w:after="0"/>
              <w:rPr>
                <w:sz w:val="8"/>
                <w:szCs w:val="8"/>
                <w:color w:val="auto"/>
              </w:rPr>
            </w:pPr>
          </w:p>
        </w:tc>
        <w:tc>
          <w:tcPr>
            <w:tcW w:w="660" w:type="dxa"/>
            <w:vAlign w:val="bottom"/>
            <w:tcBorders>
              <w:right w:val="single" w:sz="8" w:color="E9EEE6"/>
            </w:tcBorders>
            <w:shd w:val="clear" w:color="auto" w:fill="E9EEE6"/>
          </w:tcPr>
          <w:p>
            <w:pPr>
              <w:spacing w:after="0"/>
              <w:rPr>
                <w:sz w:val="8"/>
                <w:szCs w:val="8"/>
                <w:color w:val="auto"/>
              </w:rPr>
            </w:pPr>
          </w:p>
        </w:tc>
        <w:tc>
          <w:tcPr>
            <w:tcW w:w="120" w:type="dxa"/>
            <w:vAlign w:val="bottom"/>
            <w:shd w:val="clear" w:color="auto" w:fill="E9EEE6"/>
          </w:tcPr>
          <w:p>
            <w:pPr>
              <w:spacing w:after="0"/>
              <w:rPr>
                <w:sz w:val="8"/>
                <w:szCs w:val="8"/>
                <w:color w:val="auto"/>
              </w:rPr>
            </w:pPr>
          </w:p>
        </w:tc>
        <w:tc>
          <w:tcPr>
            <w:tcW w:w="240" w:type="dxa"/>
            <w:vAlign w:val="bottom"/>
            <w:shd w:val="clear" w:color="auto" w:fill="E9EEE6"/>
          </w:tcPr>
          <w:p>
            <w:pPr>
              <w:spacing w:after="0"/>
              <w:rPr>
                <w:sz w:val="8"/>
                <w:szCs w:val="8"/>
                <w:color w:val="auto"/>
              </w:rPr>
            </w:pPr>
          </w:p>
        </w:tc>
        <w:tc>
          <w:tcPr>
            <w:tcW w:w="200" w:type="dxa"/>
            <w:vAlign w:val="bottom"/>
            <w:tcBorders>
              <w:right w:val="single" w:sz="8" w:color="E9EEE6"/>
            </w:tcBorders>
            <w:shd w:val="clear" w:color="auto" w:fill="E9EEE6"/>
          </w:tcPr>
          <w:p>
            <w:pPr>
              <w:spacing w:after="0"/>
              <w:rPr>
                <w:sz w:val="8"/>
                <w:szCs w:val="8"/>
                <w:color w:val="auto"/>
              </w:rPr>
            </w:pPr>
          </w:p>
        </w:tc>
        <w:tc>
          <w:tcPr>
            <w:tcW w:w="780" w:type="dxa"/>
            <w:vAlign w:val="bottom"/>
            <w:shd w:val="clear" w:color="auto" w:fill="E9EEE6"/>
          </w:tcPr>
          <w:p>
            <w:pPr>
              <w:spacing w:after="0"/>
              <w:rPr>
                <w:sz w:val="8"/>
                <w:szCs w:val="8"/>
                <w:color w:val="auto"/>
              </w:rPr>
            </w:pPr>
          </w:p>
        </w:tc>
        <w:tc>
          <w:tcPr>
            <w:tcW w:w="80" w:type="dxa"/>
            <w:vAlign w:val="bottom"/>
            <w:shd w:val="clear" w:color="auto" w:fill="E9EEE6"/>
          </w:tcPr>
          <w:p>
            <w:pPr>
              <w:spacing w:after="0"/>
              <w:rPr>
                <w:sz w:val="8"/>
                <w:szCs w:val="8"/>
                <w:color w:val="auto"/>
              </w:rPr>
            </w:pPr>
          </w:p>
        </w:tc>
        <w:tc>
          <w:tcPr>
            <w:tcW w:w="140" w:type="dxa"/>
            <w:vAlign w:val="bottom"/>
            <w:shd w:val="clear" w:color="auto" w:fill="E9EEE6"/>
          </w:tcPr>
          <w:p>
            <w:pPr>
              <w:spacing w:after="0"/>
              <w:rPr>
                <w:sz w:val="8"/>
                <w:szCs w:val="8"/>
                <w:color w:val="auto"/>
              </w:rPr>
            </w:pPr>
          </w:p>
        </w:tc>
        <w:tc>
          <w:tcPr>
            <w:tcW w:w="40" w:type="dxa"/>
            <w:vAlign w:val="bottom"/>
            <w:shd w:val="clear" w:color="auto" w:fill="E9EEE6"/>
          </w:tcPr>
          <w:p>
            <w:pPr>
              <w:spacing w:after="0"/>
              <w:rPr>
                <w:sz w:val="8"/>
                <w:szCs w:val="8"/>
                <w:color w:val="auto"/>
              </w:rPr>
            </w:pPr>
          </w:p>
        </w:tc>
        <w:tc>
          <w:tcPr>
            <w:tcW w:w="180" w:type="dxa"/>
            <w:vAlign w:val="bottom"/>
            <w:tcBorders>
              <w:right w:val="single" w:sz="8" w:color="E9EEE6"/>
            </w:tcBorders>
            <w:shd w:val="clear" w:color="auto" w:fill="E9EEE6"/>
          </w:tcPr>
          <w:p>
            <w:pPr>
              <w:spacing w:after="0"/>
              <w:rPr>
                <w:sz w:val="8"/>
                <w:szCs w:val="8"/>
                <w:color w:val="auto"/>
              </w:rPr>
            </w:pPr>
          </w:p>
        </w:tc>
        <w:tc>
          <w:tcPr>
            <w:tcW w:w="120" w:type="dxa"/>
            <w:vAlign w:val="bottom"/>
            <w:shd w:val="clear" w:color="auto" w:fill="E9EEE6"/>
          </w:tcPr>
          <w:p>
            <w:pPr>
              <w:spacing w:after="0"/>
              <w:rPr>
                <w:sz w:val="8"/>
                <w:szCs w:val="8"/>
                <w:color w:val="auto"/>
              </w:rPr>
            </w:pPr>
          </w:p>
        </w:tc>
        <w:tc>
          <w:tcPr>
            <w:tcW w:w="720" w:type="dxa"/>
            <w:vAlign w:val="bottom"/>
            <w:shd w:val="clear" w:color="auto" w:fill="E9EEE6"/>
          </w:tcPr>
          <w:p>
            <w:pPr>
              <w:spacing w:after="0"/>
              <w:rPr>
                <w:sz w:val="8"/>
                <w:szCs w:val="8"/>
                <w:color w:val="auto"/>
              </w:rPr>
            </w:pPr>
          </w:p>
        </w:tc>
        <w:tc>
          <w:tcPr>
            <w:tcW w:w="20" w:type="dxa"/>
            <w:vAlign w:val="bottom"/>
            <w:shd w:val="clear" w:color="auto" w:fill="E9EEE6"/>
          </w:tcPr>
          <w:p>
            <w:pPr>
              <w:spacing w:after="0"/>
              <w:rPr>
                <w:sz w:val="8"/>
                <w:szCs w:val="8"/>
                <w:color w:val="auto"/>
              </w:rPr>
            </w:pPr>
          </w:p>
        </w:tc>
        <w:tc>
          <w:tcPr>
            <w:tcW w:w="40" w:type="dxa"/>
            <w:vAlign w:val="bottom"/>
            <w:shd w:val="clear" w:color="auto" w:fill="E9EEE6"/>
          </w:tcPr>
          <w:p>
            <w:pPr>
              <w:spacing w:after="0"/>
              <w:rPr>
                <w:sz w:val="8"/>
                <w:szCs w:val="8"/>
                <w:color w:val="auto"/>
              </w:rPr>
            </w:pPr>
          </w:p>
        </w:tc>
        <w:tc>
          <w:tcPr>
            <w:tcW w:w="100" w:type="dxa"/>
            <w:vAlign w:val="bottom"/>
            <w:shd w:val="clear" w:color="auto" w:fill="E9EEE6"/>
          </w:tcPr>
          <w:p>
            <w:pPr>
              <w:spacing w:after="0"/>
              <w:rPr>
                <w:sz w:val="8"/>
                <w:szCs w:val="8"/>
                <w:color w:val="auto"/>
              </w:rPr>
            </w:pPr>
          </w:p>
        </w:tc>
        <w:tc>
          <w:tcPr>
            <w:tcW w:w="20" w:type="dxa"/>
            <w:vAlign w:val="bottom"/>
            <w:shd w:val="clear" w:color="auto" w:fill="E9EEE6"/>
          </w:tcPr>
          <w:p>
            <w:pPr>
              <w:spacing w:after="0"/>
              <w:rPr>
                <w:sz w:val="8"/>
                <w:szCs w:val="8"/>
                <w:color w:val="auto"/>
              </w:rPr>
            </w:pPr>
          </w:p>
        </w:tc>
        <w:tc>
          <w:tcPr>
            <w:tcW w:w="140" w:type="dxa"/>
            <w:vAlign w:val="bottom"/>
            <w:tcBorders>
              <w:right w:val="single" w:sz="8" w:color="E9EEE6"/>
            </w:tcBorders>
            <w:shd w:val="clear" w:color="auto" w:fill="E9EEE6"/>
          </w:tcPr>
          <w:p>
            <w:pPr>
              <w:spacing w:after="0"/>
              <w:rPr>
                <w:sz w:val="8"/>
                <w:szCs w:val="8"/>
                <w:color w:val="auto"/>
              </w:rPr>
            </w:pPr>
          </w:p>
        </w:tc>
        <w:tc>
          <w:tcPr>
            <w:tcW w:w="140" w:type="dxa"/>
            <w:vAlign w:val="bottom"/>
            <w:shd w:val="clear" w:color="auto" w:fill="E9EEE6"/>
          </w:tcPr>
          <w:p>
            <w:pPr>
              <w:spacing w:after="0"/>
              <w:rPr>
                <w:sz w:val="8"/>
                <w:szCs w:val="8"/>
                <w:color w:val="auto"/>
              </w:rPr>
            </w:pPr>
          </w:p>
        </w:tc>
        <w:tc>
          <w:tcPr>
            <w:tcW w:w="60" w:type="dxa"/>
            <w:vAlign w:val="bottom"/>
            <w:shd w:val="clear" w:color="auto" w:fill="E9EEE6"/>
          </w:tcPr>
          <w:p>
            <w:pPr>
              <w:spacing w:after="0"/>
              <w:rPr>
                <w:sz w:val="8"/>
                <w:szCs w:val="8"/>
                <w:color w:val="auto"/>
              </w:rPr>
            </w:pPr>
          </w:p>
        </w:tc>
        <w:tc>
          <w:tcPr>
            <w:tcW w:w="440" w:type="dxa"/>
            <w:vAlign w:val="bottom"/>
            <w:shd w:val="clear" w:color="auto" w:fill="E9EEE6"/>
          </w:tcPr>
          <w:p>
            <w:pPr>
              <w:spacing w:after="0"/>
              <w:rPr>
                <w:sz w:val="8"/>
                <w:szCs w:val="8"/>
                <w:color w:val="auto"/>
              </w:rPr>
            </w:pPr>
          </w:p>
        </w:tc>
        <w:tc>
          <w:tcPr>
            <w:tcW w:w="100" w:type="dxa"/>
            <w:vAlign w:val="bottom"/>
            <w:shd w:val="clear" w:color="auto" w:fill="E9EEE6"/>
          </w:tcPr>
          <w:p>
            <w:pPr>
              <w:spacing w:after="0"/>
              <w:rPr>
                <w:sz w:val="8"/>
                <w:szCs w:val="8"/>
                <w:color w:val="auto"/>
              </w:rPr>
            </w:pPr>
          </w:p>
        </w:tc>
        <w:tc>
          <w:tcPr>
            <w:tcW w:w="140" w:type="dxa"/>
            <w:vAlign w:val="bottom"/>
            <w:shd w:val="clear" w:color="auto" w:fill="E9EEE6"/>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20" w:type="dxa"/>
            <w:vAlign w:val="bottom"/>
            <w:tcBorders>
              <w:right w:val="single" w:sz="8" w:color="E9EEE6"/>
            </w:tcBorders>
            <w:vMerge w:val="restart"/>
            <w:shd w:val="clear" w:color="auto" w:fill="E9EEE6"/>
          </w:tcPr>
          <w:p>
            <w:pPr>
              <w:ind w:left="60"/>
              <w:spacing w:after="0"/>
              <w:rPr>
                <w:sz w:val="20"/>
                <w:szCs w:val="20"/>
                <w:color w:val="auto"/>
              </w:rPr>
            </w:pPr>
            <w:r>
              <w:rPr>
                <w:rFonts w:ascii="Arial" w:cs="Arial" w:eastAsia="Arial" w:hAnsi="Arial"/>
                <w:sz w:val="5"/>
                <w:szCs w:val="5"/>
                <w:color w:val="58844D"/>
                <w:w w:val="70"/>
              </w:rPr>
              <w:t>2</w:t>
            </w:r>
          </w:p>
        </w:tc>
        <w:tc>
          <w:tcPr>
            <w:tcW w:w="240" w:type="dxa"/>
            <w:vAlign w:val="bottom"/>
            <w:shd w:val="clear" w:color="auto" w:fill="E9EEE6"/>
          </w:tcPr>
          <w:p>
            <w:pPr>
              <w:spacing w:after="0"/>
              <w:rPr>
                <w:sz w:val="2"/>
                <w:szCs w:val="2"/>
                <w:color w:val="auto"/>
              </w:rPr>
            </w:pPr>
          </w:p>
        </w:tc>
        <w:tc>
          <w:tcPr>
            <w:tcW w:w="1880" w:type="dxa"/>
            <w:vAlign w:val="bottom"/>
            <w:tcBorders>
              <w:right w:val="single" w:sz="8" w:color="E9EEE6"/>
            </w:tcBorders>
            <w:gridSpan w:val="4"/>
            <w:vMerge w:val="continue"/>
            <w:shd w:val="clear" w:color="auto" w:fill="E9EEE6"/>
          </w:tcPr>
          <w:p>
            <w:pPr>
              <w:spacing w:after="0"/>
              <w:rPr>
                <w:sz w:val="2"/>
                <w:szCs w:val="2"/>
                <w:color w:val="auto"/>
              </w:rPr>
            </w:pPr>
          </w:p>
        </w:tc>
        <w:tc>
          <w:tcPr>
            <w:tcW w:w="60" w:type="dxa"/>
            <w:vAlign w:val="bottom"/>
            <w:shd w:val="clear" w:color="auto" w:fill="E9EEE6"/>
          </w:tcPr>
          <w:p>
            <w:pPr>
              <w:spacing w:after="0"/>
              <w:rPr>
                <w:sz w:val="2"/>
                <w:szCs w:val="2"/>
                <w:color w:val="auto"/>
              </w:rPr>
            </w:pPr>
          </w:p>
        </w:tc>
        <w:tc>
          <w:tcPr>
            <w:tcW w:w="540" w:type="dxa"/>
            <w:vAlign w:val="bottom"/>
            <w:tcBorders>
              <w:right w:val="single" w:sz="8" w:color="E9EEE6"/>
            </w:tcBorders>
            <w:shd w:val="clear" w:color="auto" w:fill="E9EEE6"/>
          </w:tcPr>
          <w:p>
            <w:pPr>
              <w:spacing w:after="0"/>
              <w:rPr>
                <w:sz w:val="2"/>
                <w:szCs w:val="2"/>
                <w:color w:val="auto"/>
              </w:rPr>
            </w:pPr>
          </w:p>
        </w:tc>
        <w:tc>
          <w:tcPr>
            <w:tcW w:w="160" w:type="dxa"/>
            <w:vAlign w:val="bottom"/>
            <w:tcBorders>
              <w:right w:val="single" w:sz="8" w:color="E9EEE6"/>
            </w:tcBorders>
            <w:shd w:val="clear" w:color="auto" w:fill="E9EEE6"/>
          </w:tcPr>
          <w:p>
            <w:pPr>
              <w:spacing w:after="0"/>
              <w:rPr>
                <w:sz w:val="2"/>
                <w:szCs w:val="2"/>
                <w:color w:val="auto"/>
              </w:rPr>
            </w:pPr>
          </w:p>
        </w:tc>
        <w:tc>
          <w:tcPr>
            <w:tcW w:w="100" w:type="dxa"/>
            <w:vAlign w:val="bottom"/>
            <w:tcBorders>
              <w:right w:val="single" w:sz="8" w:color="E9EEE6"/>
            </w:tcBorders>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420" w:type="dxa"/>
            <w:vAlign w:val="bottom"/>
            <w:shd w:val="clear" w:color="auto" w:fill="E9EEE6"/>
          </w:tcPr>
          <w:p>
            <w:pPr>
              <w:spacing w:after="0"/>
              <w:rPr>
                <w:sz w:val="2"/>
                <w:szCs w:val="2"/>
                <w:color w:val="auto"/>
              </w:rPr>
            </w:pPr>
          </w:p>
        </w:tc>
        <w:tc>
          <w:tcPr>
            <w:tcW w:w="60" w:type="dxa"/>
            <w:vAlign w:val="bottom"/>
            <w:shd w:val="clear" w:color="auto" w:fill="E9EEE6"/>
          </w:tcPr>
          <w:p>
            <w:pPr>
              <w:spacing w:after="0"/>
              <w:rPr>
                <w:sz w:val="2"/>
                <w:szCs w:val="2"/>
                <w:color w:val="auto"/>
              </w:rPr>
            </w:pPr>
          </w:p>
        </w:tc>
        <w:tc>
          <w:tcPr>
            <w:tcW w:w="60" w:type="dxa"/>
            <w:vAlign w:val="bottom"/>
            <w:shd w:val="clear" w:color="auto" w:fill="E9EEE6"/>
          </w:tcPr>
          <w:p>
            <w:pPr>
              <w:spacing w:after="0"/>
              <w:rPr>
                <w:sz w:val="2"/>
                <w:szCs w:val="2"/>
                <w:color w:val="auto"/>
              </w:rPr>
            </w:pPr>
          </w:p>
        </w:tc>
        <w:tc>
          <w:tcPr>
            <w:tcW w:w="100" w:type="dxa"/>
            <w:vAlign w:val="bottom"/>
            <w:shd w:val="clear" w:color="auto" w:fill="E9EEE6"/>
          </w:tcPr>
          <w:p>
            <w:pPr>
              <w:spacing w:after="0"/>
              <w:rPr>
                <w:sz w:val="2"/>
                <w:szCs w:val="2"/>
                <w:color w:val="auto"/>
              </w:rPr>
            </w:pPr>
          </w:p>
        </w:tc>
        <w:tc>
          <w:tcPr>
            <w:tcW w:w="80" w:type="dxa"/>
            <w:vAlign w:val="bottom"/>
            <w:shd w:val="clear" w:color="auto" w:fill="E9EEE6"/>
          </w:tcPr>
          <w:p>
            <w:pPr>
              <w:spacing w:after="0"/>
              <w:rPr>
                <w:sz w:val="2"/>
                <w:szCs w:val="2"/>
                <w:color w:val="auto"/>
              </w:rPr>
            </w:pPr>
          </w:p>
        </w:tc>
        <w:tc>
          <w:tcPr>
            <w:tcW w:w="80" w:type="dxa"/>
            <w:vAlign w:val="bottom"/>
            <w:shd w:val="clear" w:color="auto" w:fill="E9EEE6"/>
          </w:tcPr>
          <w:p>
            <w:pPr>
              <w:spacing w:after="0"/>
              <w:rPr>
                <w:sz w:val="2"/>
                <w:szCs w:val="2"/>
                <w:color w:val="auto"/>
              </w:rPr>
            </w:pPr>
          </w:p>
        </w:tc>
        <w:tc>
          <w:tcPr>
            <w:tcW w:w="280" w:type="dxa"/>
            <w:vAlign w:val="bottom"/>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160" w:type="dxa"/>
            <w:vAlign w:val="bottom"/>
            <w:tcBorders>
              <w:right w:val="single" w:sz="8" w:color="E9EEE6"/>
            </w:tcBorders>
            <w:shd w:val="clear" w:color="auto" w:fill="E9EEE6"/>
          </w:tcPr>
          <w:p>
            <w:pPr>
              <w:spacing w:after="0"/>
              <w:rPr>
                <w:sz w:val="2"/>
                <w:szCs w:val="2"/>
                <w:color w:val="auto"/>
              </w:rPr>
            </w:pPr>
          </w:p>
        </w:tc>
        <w:tc>
          <w:tcPr>
            <w:tcW w:w="100" w:type="dxa"/>
            <w:vAlign w:val="bottom"/>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100" w:type="dxa"/>
            <w:vAlign w:val="bottom"/>
            <w:shd w:val="clear" w:color="auto" w:fill="E9EEE6"/>
          </w:tcPr>
          <w:p>
            <w:pPr>
              <w:spacing w:after="0"/>
              <w:rPr>
                <w:sz w:val="2"/>
                <w:szCs w:val="2"/>
                <w:color w:val="auto"/>
              </w:rPr>
            </w:pPr>
          </w:p>
        </w:tc>
        <w:tc>
          <w:tcPr>
            <w:tcW w:w="400" w:type="dxa"/>
            <w:vAlign w:val="bottom"/>
            <w:shd w:val="clear" w:color="auto" w:fill="E9EEE6"/>
          </w:tcPr>
          <w:p>
            <w:pPr>
              <w:spacing w:after="0"/>
              <w:rPr>
                <w:sz w:val="2"/>
                <w:szCs w:val="2"/>
                <w:color w:val="auto"/>
              </w:rPr>
            </w:pPr>
          </w:p>
        </w:tc>
        <w:tc>
          <w:tcPr>
            <w:tcW w:w="260" w:type="dxa"/>
            <w:vAlign w:val="bottom"/>
            <w:tcBorders>
              <w:right w:val="single" w:sz="8" w:color="E9EEE6"/>
            </w:tcBorders>
            <w:shd w:val="clear" w:color="auto" w:fill="E9EEE6"/>
          </w:tcPr>
          <w:p>
            <w:pPr>
              <w:spacing w:after="0"/>
              <w:rPr>
                <w:sz w:val="2"/>
                <w:szCs w:val="2"/>
                <w:color w:val="auto"/>
              </w:rPr>
            </w:pPr>
          </w:p>
        </w:tc>
        <w:tc>
          <w:tcPr>
            <w:tcW w:w="140" w:type="dxa"/>
            <w:vAlign w:val="bottom"/>
            <w:tcBorders>
              <w:left w:val="single" w:sz="8" w:color="E9EEE6"/>
            </w:tcBorders>
            <w:shd w:val="clear" w:color="auto" w:fill="E9EEE6"/>
          </w:tcPr>
          <w:p>
            <w:pPr>
              <w:spacing w:after="0"/>
              <w:rPr>
                <w:sz w:val="2"/>
                <w:szCs w:val="2"/>
                <w:color w:val="auto"/>
              </w:rPr>
            </w:pPr>
          </w:p>
        </w:tc>
        <w:tc>
          <w:tcPr>
            <w:tcW w:w="36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40" w:type="dxa"/>
            <w:vAlign w:val="bottom"/>
            <w:shd w:val="clear" w:color="auto" w:fill="E9EEE6"/>
          </w:tcPr>
          <w:p>
            <w:pPr>
              <w:spacing w:after="0"/>
              <w:rPr>
                <w:sz w:val="2"/>
                <w:szCs w:val="2"/>
                <w:color w:val="auto"/>
              </w:rPr>
            </w:pPr>
          </w:p>
        </w:tc>
        <w:tc>
          <w:tcPr>
            <w:tcW w:w="18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80" w:type="dxa"/>
            <w:vAlign w:val="bottom"/>
            <w:shd w:val="clear" w:color="auto" w:fill="E9EEE6"/>
          </w:tcPr>
          <w:p>
            <w:pPr>
              <w:spacing w:after="0"/>
              <w:rPr>
                <w:sz w:val="2"/>
                <w:szCs w:val="2"/>
                <w:color w:val="auto"/>
              </w:rPr>
            </w:pPr>
          </w:p>
        </w:tc>
        <w:tc>
          <w:tcPr>
            <w:tcW w:w="660" w:type="dxa"/>
            <w:vAlign w:val="bottom"/>
            <w:tcBorders>
              <w:right w:val="single" w:sz="8" w:color="E9EEE6"/>
            </w:tcBorders>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240" w:type="dxa"/>
            <w:vAlign w:val="bottom"/>
            <w:shd w:val="clear" w:color="auto" w:fill="E9EEE6"/>
          </w:tcPr>
          <w:p>
            <w:pPr>
              <w:spacing w:after="0"/>
              <w:rPr>
                <w:sz w:val="2"/>
                <w:szCs w:val="2"/>
                <w:color w:val="auto"/>
              </w:rPr>
            </w:pPr>
          </w:p>
        </w:tc>
        <w:tc>
          <w:tcPr>
            <w:tcW w:w="200" w:type="dxa"/>
            <w:vAlign w:val="bottom"/>
            <w:tcBorders>
              <w:right w:val="single" w:sz="8" w:color="E9EEE6"/>
            </w:tcBorders>
            <w:shd w:val="clear" w:color="auto" w:fill="E9EEE6"/>
          </w:tcPr>
          <w:p>
            <w:pPr>
              <w:spacing w:after="0"/>
              <w:rPr>
                <w:sz w:val="2"/>
                <w:szCs w:val="2"/>
                <w:color w:val="auto"/>
              </w:rPr>
            </w:pPr>
          </w:p>
        </w:tc>
        <w:tc>
          <w:tcPr>
            <w:tcW w:w="780" w:type="dxa"/>
            <w:vAlign w:val="bottom"/>
            <w:shd w:val="clear" w:color="auto" w:fill="E9EEE6"/>
          </w:tcPr>
          <w:p>
            <w:pPr>
              <w:spacing w:after="0"/>
              <w:rPr>
                <w:sz w:val="2"/>
                <w:szCs w:val="2"/>
                <w:color w:val="auto"/>
              </w:rPr>
            </w:pPr>
          </w:p>
        </w:tc>
        <w:tc>
          <w:tcPr>
            <w:tcW w:w="8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40" w:type="dxa"/>
            <w:vAlign w:val="bottom"/>
            <w:shd w:val="clear" w:color="auto" w:fill="E9EEE6"/>
          </w:tcPr>
          <w:p>
            <w:pPr>
              <w:spacing w:after="0"/>
              <w:rPr>
                <w:sz w:val="2"/>
                <w:szCs w:val="2"/>
                <w:color w:val="auto"/>
              </w:rPr>
            </w:pPr>
          </w:p>
        </w:tc>
        <w:tc>
          <w:tcPr>
            <w:tcW w:w="180" w:type="dxa"/>
            <w:vAlign w:val="bottom"/>
            <w:tcBorders>
              <w:right w:val="single" w:sz="8" w:color="E9EEE6"/>
            </w:tcBorders>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72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40" w:type="dxa"/>
            <w:vAlign w:val="bottom"/>
            <w:shd w:val="clear" w:color="auto" w:fill="E9EEE6"/>
          </w:tcPr>
          <w:p>
            <w:pPr>
              <w:spacing w:after="0"/>
              <w:rPr>
                <w:sz w:val="2"/>
                <w:szCs w:val="2"/>
                <w:color w:val="auto"/>
              </w:rPr>
            </w:pPr>
          </w:p>
        </w:tc>
        <w:tc>
          <w:tcPr>
            <w:tcW w:w="10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140" w:type="dxa"/>
            <w:vAlign w:val="bottom"/>
            <w:tcBorders>
              <w:right w:val="single" w:sz="8" w:color="E9EEE6"/>
            </w:tcBorders>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60" w:type="dxa"/>
            <w:vAlign w:val="bottom"/>
            <w:shd w:val="clear" w:color="auto" w:fill="E9EEE6"/>
          </w:tcPr>
          <w:p>
            <w:pPr>
              <w:spacing w:after="0"/>
              <w:rPr>
                <w:sz w:val="2"/>
                <w:szCs w:val="2"/>
                <w:color w:val="auto"/>
              </w:rPr>
            </w:pPr>
          </w:p>
        </w:tc>
        <w:tc>
          <w:tcPr>
            <w:tcW w:w="440" w:type="dxa"/>
            <w:vAlign w:val="bottom"/>
            <w:shd w:val="clear" w:color="auto" w:fill="E9EEE6"/>
          </w:tcPr>
          <w:p>
            <w:pPr>
              <w:spacing w:after="0"/>
              <w:rPr>
                <w:sz w:val="2"/>
                <w:szCs w:val="2"/>
                <w:color w:val="auto"/>
              </w:rPr>
            </w:pPr>
          </w:p>
        </w:tc>
        <w:tc>
          <w:tcPr>
            <w:tcW w:w="10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120" w:type="dxa"/>
            <w:vAlign w:val="bottom"/>
            <w:tcBorders>
              <w:right w:val="single" w:sz="8" w:color="E9EEE6"/>
            </w:tcBorders>
            <w:vMerge w:val="continue"/>
            <w:shd w:val="clear" w:color="auto" w:fill="E9EEE6"/>
          </w:tcPr>
          <w:p>
            <w:pPr>
              <w:spacing w:after="0"/>
              <w:rPr>
                <w:sz w:val="7"/>
                <w:szCs w:val="7"/>
                <w:color w:val="auto"/>
              </w:rPr>
            </w:pPr>
          </w:p>
        </w:tc>
        <w:tc>
          <w:tcPr>
            <w:tcW w:w="240" w:type="dxa"/>
            <w:vAlign w:val="bottom"/>
            <w:shd w:val="clear" w:color="auto" w:fill="E9EEE6"/>
          </w:tcPr>
          <w:p>
            <w:pPr>
              <w:spacing w:after="0"/>
              <w:rPr>
                <w:sz w:val="7"/>
                <w:szCs w:val="7"/>
                <w:color w:val="auto"/>
              </w:rPr>
            </w:pPr>
          </w:p>
        </w:tc>
        <w:tc>
          <w:tcPr>
            <w:tcW w:w="11080" w:type="dxa"/>
            <w:vAlign w:val="bottom"/>
            <w:gridSpan w:val="55"/>
            <w:vMerge w:val="restart"/>
            <w:shd w:val="clear" w:color="auto" w:fill="E9EEE6"/>
          </w:tcPr>
          <w:p>
            <w:pPr>
              <w:spacing w:after="0"/>
              <w:rPr>
                <w:sz w:val="20"/>
                <w:szCs w:val="20"/>
                <w:color w:val="auto"/>
              </w:rPr>
            </w:pPr>
            <w:r>
              <w:rPr>
                <w:rFonts w:ascii="Arial" w:cs="Arial" w:eastAsia="Arial" w:hAnsi="Arial"/>
                <w:sz w:val="12"/>
                <w:szCs w:val="12"/>
                <w:color w:val="auto"/>
              </w:rPr>
              <w:t>Reflects the grant date fair value determined in accordance with the Financial Accounting Standards Board Accounting Standards Codification Topic 718, Comparison—Stock Compensation. The Company</w:t>
            </w:r>
          </w:p>
        </w:tc>
        <w:tc>
          <w:tcPr>
            <w:tcW w:w="0" w:type="dxa"/>
            <w:vAlign w:val="bottom"/>
          </w:tcPr>
          <w:p>
            <w:pPr>
              <w:spacing w:after="0"/>
              <w:rPr>
                <w:sz w:val="1"/>
                <w:szCs w:val="1"/>
                <w:color w:val="auto"/>
              </w:rPr>
            </w:pPr>
          </w:p>
        </w:tc>
      </w:tr>
      <w:tr>
        <w:trPr>
          <w:trHeight w:val="58"/>
        </w:trPr>
        <w:tc>
          <w:tcPr>
            <w:tcW w:w="120" w:type="dxa"/>
            <w:vAlign w:val="bottom"/>
            <w:tcBorders>
              <w:right w:val="single" w:sz="8" w:color="E9EEE6"/>
            </w:tcBorders>
            <w:shd w:val="clear" w:color="auto" w:fill="E9EEE6"/>
          </w:tcPr>
          <w:p>
            <w:pPr>
              <w:spacing w:after="0"/>
              <w:rPr>
                <w:sz w:val="5"/>
                <w:szCs w:val="5"/>
                <w:color w:val="auto"/>
              </w:rPr>
            </w:pPr>
          </w:p>
        </w:tc>
        <w:tc>
          <w:tcPr>
            <w:tcW w:w="240" w:type="dxa"/>
            <w:vAlign w:val="bottom"/>
            <w:shd w:val="clear" w:color="auto" w:fill="E9EEE6"/>
          </w:tcPr>
          <w:p>
            <w:pPr>
              <w:spacing w:after="0"/>
              <w:rPr>
                <w:sz w:val="5"/>
                <w:szCs w:val="5"/>
                <w:color w:val="auto"/>
              </w:rPr>
            </w:pPr>
          </w:p>
        </w:tc>
        <w:tc>
          <w:tcPr>
            <w:tcW w:w="11080" w:type="dxa"/>
            <w:vAlign w:val="bottom"/>
            <w:gridSpan w:val="55"/>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E9EEE6"/>
            </w:tcBorders>
            <w:shd w:val="clear" w:color="auto" w:fill="E9EEE6"/>
          </w:tcPr>
          <w:p>
            <w:pPr>
              <w:spacing w:after="0"/>
              <w:rPr>
                <w:sz w:val="11"/>
                <w:szCs w:val="11"/>
                <w:color w:val="auto"/>
              </w:rPr>
            </w:pPr>
          </w:p>
        </w:tc>
        <w:tc>
          <w:tcPr>
            <w:tcW w:w="240" w:type="dxa"/>
            <w:vAlign w:val="bottom"/>
            <w:shd w:val="clear" w:color="auto" w:fill="E9EEE6"/>
          </w:tcPr>
          <w:p>
            <w:pPr>
              <w:spacing w:after="0"/>
              <w:rPr>
                <w:sz w:val="11"/>
                <w:szCs w:val="11"/>
                <w:color w:val="auto"/>
              </w:rPr>
            </w:pPr>
          </w:p>
        </w:tc>
        <w:tc>
          <w:tcPr>
            <w:tcW w:w="11080" w:type="dxa"/>
            <w:vAlign w:val="bottom"/>
            <w:gridSpan w:val="55"/>
            <w:shd w:val="clear" w:color="auto" w:fill="E9EEE6"/>
          </w:tcPr>
          <w:p>
            <w:pPr>
              <w:spacing w:after="0" w:line="137" w:lineRule="exact"/>
              <w:rPr>
                <w:sz w:val="20"/>
                <w:szCs w:val="20"/>
                <w:color w:val="auto"/>
              </w:rPr>
            </w:pPr>
            <w:r>
              <w:rPr>
                <w:rFonts w:ascii="Arial" w:cs="Arial" w:eastAsia="Arial" w:hAnsi="Arial"/>
                <w:sz w:val="12"/>
                <w:szCs w:val="12"/>
                <w:color w:val="auto"/>
              </w:rPr>
              <w:t>uses the Company's Class C common stock price on the date of grant as the fair value of the Company's RSUs. The fair value of RPSUs is estimated on the date of grant using a Monte Carlo simulation</w:t>
            </w:r>
          </w:p>
        </w:tc>
        <w:tc>
          <w:tcPr>
            <w:tcW w:w="0" w:type="dxa"/>
            <w:vAlign w:val="bottom"/>
          </w:tcPr>
          <w:p>
            <w:pPr>
              <w:spacing w:after="0"/>
              <w:rPr>
                <w:sz w:val="1"/>
                <w:szCs w:val="1"/>
                <w:color w:val="auto"/>
              </w:rPr>
            </w:pPr>
          </w:p>
        </w:tc>
      </w:tr>
      <w:tr>
        <w:trPr>
          <w:trHeight w:val="133"/>
        </w:trPr>
        <w:tc>
          <w:tcPr>
            <w:tcW w:w="120" w:type="dxa"/>
            <w:vAlign w:val="bottom"/>
            <w:tcBorders>
              <w:right w:val="single" w:sz="8" w:color="E9EEE6"/>
            </w:tcBorders>
            <w:vMerge w:val="restart"/>
            <w:shd w:val="clear" w:color="auto" w:fill="E9EEE6"/>
          </w:tcPr>
          <w:p>
            <w:pPr>
              <w:ind w:left="60"/>
              <w:spacing w:after="0"/>
              <w:rPr>
                <w:sz w:val="20"/>
                <w:szCs w:val="20"/>
                <w:color w:val="auto"/>
              </w:rPr>
            </w:pPr>
            <w:r>
              <w:rPr>
                <w:rFonts w:ascii="Arial" w:cs="Arial" w:eastAsia="Arial" w:hAnsi="Arial"/>
                <w:sz w:val="5"/>
                <w:szCs w:val="5"/>
                <w:color w:val="58844D"/>
                <w:w w:val="70"/>
              </w:rPr>
              <w:t>3</w:t>
            </w:r>
          </w:p>
        </w:tc>
        <w:tc>
          <w:tcPr>
            <w:tcW w:w="240" w:type="dxa"/>
            <w:vAlign w:val="bottom"/>
            <w:shd w:val="clear" w:color="auto" w:fill="E9EEE6"/>
          </w:tcPr>
          <w:p>
            <w:pPr>
              <w:spacing w:after="0"/>
              <w:rPr>
                <w:sz w:val="11"/>
                <w:szCs w:val="11"/>
                <w:color w:val="auto"/>
              </w:rPr>
            </w:pPr>
          </w:p>
        </w:tc>
        <w:tc>
          <w:tcPr>
            <w:tcW w:w="11080" w:type="dxa"/>
            <w:vAlign w:val="bottom"/>
            <w:gridSpan w:val="55"/>
            <w:shd w:val="clear" w:color="auto" w:fill="E9EEE6"/>
          </w:tcPr>
          <w:p>
            <w:pPr>
              <w:spacing w:after="0" w:line="133" w:lineRule="exact"/>
              <w:rPr>
                <w:sz w:val="20"/>
                <w:szCs w:val="20"/>
                <w:color w:val="auto"/>
              </w:rPr>
            </w:pPr>
            <w:r>
              <w:rPr>
                <w:rFonts w:ascii="Arial" w:cs="Arial" w:eastAsia="Arial" w:hAnsi="Arial"/>
                <w:sz w:val="12"/>
                <w:szCs w:val="12"/>
                <w:color w:val="auto"/>
              </w:rPr>
              <w:t>model. For performance-based RPSUs granted in 2017, if the maximum level of performance is achieved, the fair value will be approximately $1,675,013 for Mr. Sotos and $469,004 for Mr. Plotkin.</w:t>
            </w:r>
          </w:p>
        </w:tc>
        <w:tc>
          <w:tcPr>
            <w:tcW w:w="0" w:type="dxa"/>
            <w:vAlign w:val="bottom"/>
          </w:tcPr>
          <w:p>
            <w:pPr>
              <w:spacing w:after="0"/>
              <w:rPr>
                <w:sz w:val="1"/>
                <w:szCs w:val="1"/>
                <w:color w:val="auto"/>
              </w:rPr>
            </w:pPr>
          </w:p>
        </w:tc>
      </w:tr>
      <w:tr>
        <w:trPr>
          <w:trHeight w:val="83"/>
        </w:trPr>
        <w:tc>
          <w:tcPr>
            <w:tcW w:w="120" w:type="dxa"/>
            <w:vAlign w:val="bottom"/>
            <w:tcBorders>
              <w:right w:val="single" w:sz="8" w:color="E9EEE6"/>
            </w:tcBorders>
            <w:vMerge w:val="continue"/>
            <w:shd w:val="clear" w:color="auto" w:fill="E9EEE6"/>
          </w:tcPr>
          <w:p>
            <w:pPr>
              <w:spacing w:after="0"/>
              <w:rPr>
                <w:sz w:val="7"/>
                <w:szCs w:val="7"/>
                <w:color w:val="auto"/>
              </w:rPr>
            </w:pPr>
          </w:p>
        </w:tc>
        <w:tc>
          <w:tcPr>
            <w:tcW w:w="240" w:type="dxa"/>
            <w:vAlign w:val="bottom"/>
            <w:shd w:val="clear" w:color="auto" w:fill="E9EEE6"/>
          </w:tcPr>
          <w:p>
            <w:pPr>
              <w:spacing w:after="0"/>
              <w:rPr>
                <w:sz w:val="7"/>
                <w:szCs w:val="7"/>
                <w:color w:val="auto"/>
              </w:rPr>
            </w:pPr>
          </w:p>
        </w:tc>
        <w:tc>
          <w:tcPr>
            <w:tcW w:w="11080" w:type="dxa"/>
            <w:vAlign w:val="bottom"/>
            <w:gridSpan w:val="55"/>
            <w:vMerge w:val="restart"/>
            <w:shd w:val="clear" w:color="auto" w:fill="E9EEE6"/>
          </w:tcPr>
          <w:p>
            <w:pPr>
              <w:spacing w:after="0"/>
              <w:rPr>
                <w:sz w:val="20"/>
                <w:szCs w:val="20"/>
                <w:color w:val="auto"/>
              </w:rPr>
            </w:pPr>
            <w:r>
              <w:rPr>
                <w:rFonts w:ascii="Arial" w:cs="Arial" w:eastAsia="Arial" w:hAnsi="Arial"/>
                <w:sz w:val="12"/>
                <w:szCs w:val="12"/>
                <w:color w:val="auto"/>
              </w:rPr>
              <w:t>The amounts shown in this column represent the annual incentive bonuses paid to the NEOs. Further information regarding the annual incentive bonuses is included in the "2017 Annual Incentive Bonuses"</w:t>
            </w:r>
          </w:p>
        </w:tc>
        <w:tc>
          <w:tcPr>
            <w:tcW w:w="0" w:type="dxa"/>
            <w:vAlign w:val="bottom"/>
          </w:tcPr>
          <w:p>
            <w:pPr>
              <w:spacing w:after="0"/>
              <w:rPr>
                <w:sz w:val="1"/>
                <w:szCs w:val="1"/>
                <w:color w:val="auto"/>
              </w:rPr>
            </w:pPr>
          </w:p>
        </w:tc>
      </w:tr>
      <w:tr>
        <w:trPr>
          <w:trHeight w:val="58"/>
        </w:trPr>
        <w:tc>
          <w:tcPr>
            <w:tcW w:w="120" w:type="dxa"/>
            <w:vAlign w:val="bottom"/>
            <w:tcBorders>
              <w:right w:val="single" w:sz="8" w:color="E9EEE6"/>
            </w:tcBorders>
            <w:shd w:val="clear" w:color="auto" w:fill="E9EEE6"/>
          </w:tcPr>
          <w:p>
            <w:pPr>
              <w:spacing w:after="0"/>
              <w:rPr>
                <w:sz w:val="5"/>
                <w:szCs w:val="5"/>
                <w:color w:val="auto"/>
              </w:rPr>
            </w:pPr>
          </w:p>
        </w:tc>
        <w:tc>
          <w:tcPr>
            <w:tcW w:w="240" w:type="dxa"/>
            <w:vAlign w:val="bottom"/>
            <w:shd w:val="clear" w:color="auto" w:fill="E9EEE6"/>
          </w:tcPr>
          <w:p>
            <w:pPr>
              <w:spacing w:after="0"/>
              <w:rPr>
                <w:sz w:val="5"/>
                <w:szCs w:val="5"/>
                <w:color w:val="auto"/>
              </w:rPr>
            </w:pPr>
          </w:p>
        </w:tc>
        <w:tc>
          <w:tcPr>
            <w:tcW w:w="11080" w:type="dxa"/>
            <w:vAlign w:val="bottom"/>
            <w:gridSpan w:val="55"/>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E9EEE6"/>
            </w:tcBorders>
            <w:vMerge w:val="restart"/>
            <w:shd w:val="clear" w:color="auto" w:fill="E9EEE6"/>
          </w:tcPr>
          <w:p>
            <w:pPr>
              <w:ind w:left="60"/>
              <w:spacing w:after="0"/>
              <w:rPr>
                <w:sz w:val="20"/>
                <w:szCs w:val="20"/>
                <w:color w:val="auto"/>
              </w:rPr>
            </w:pPr>
            <w:r>
              <w:rPr>
                <w:rFonts w:ascii="Arial" w:cs="Arial" w:eastAsia="Arial" w:hAnsi="Arial"/>
                <w:sz w:val="5"/>
                <w:szCs w:val="5"/>
                <w:color w:val="58844D"/>
                <w:w w:val="70"/>
              </w:rPr>
              <w:t>4</w:t>
            </w:r>
          </w:p>
        </w:tc>
        <w:tc>
          <w:tcPr>
            <w:tcW w:w="2120" w:type="dxa"/>
            <w:vAlign w:val="bottom"/>
            <w:tcBorders>
              <w:right w:val="single" w:sz="8" w:color="E9EEE6"/>
            </w:tcBorders>
            <w:gridSpan w:val="5"/>
            <w:shd w:val="clear" w:color="auto" w:fill="E9EEE6"/>
          </w:tcPr>
          <w:p>
            <w:pPr>
              <w:spacing w:after="0"/>
              <w:rPr>
                <w:sz w:val="20"/>
                <w:szCs w:val="20"/>
                <w:color w:val="auto"/>
              </w:rPr>
            </w:pPr>
            <w:r>
              <w:rPr>
                <w:rFonts w:ascii="Arial" w:cs="Arial" w:eastAsia="Arial" w:hAnsi="Arial"/>
                <w:sz w:val="12"/>
                <w:szCs w:val="12"/>
                <w:color w:val="auto"/>
              </w:rPr>
              <w:t>section of the CD&amp;A.</w:t>
            </w:r>
          </w:p>
        </w:tc>
        <w:tc>
          <w:tcPr>
            <w:tcW w:w="600" w:type="dxa"/>
            <w:vAlign w:val="bottom"/>
            <w:tcBorders>
              <w:right w:val="single" w:sz="8" w:color="E9EEE6"/>
            </w:tcBorders>
            <w:gridSpan w:val="2"/>
            <w:shd w:val="clear" w:color="auto" w:fill="E9EEE6"/>
          </w:tcPr>
          <w:p>
            <w:pPr>
              <w:spacing w:after="0"/>
              <w:rPr>
                <w:sz w:val="11"/>
                <w:szCs w:val="11"/>
                <w:color w:val="auto"/>
              </w:rPr>
            </w:pPr>
          </w:p>
        </w:tc>
        <w:tc>
          <w:tcPr>
            <w:tcW w:w="160" w:type="dxa"/>
            <w:vAlign w:val="bottom"/>
            <w:tcBorders>
              <w:right w:val="single" w:sz="8" w:color="E9EEE6"/>
            </w:tcBorders>
            <w:shd w:val="clear" w:color="auto" w:fill="E9EEE6"/>
          </w:tcPr>
          <w:p>
            <w:pPr>
              <w:spacing w:after="0"/>
              <w:rPr>
                <w:sz w:val="11"/>
                <w:szCs w:val="11"/>
                <w:color w:val="auto"/>
              </w:rPr>
            </w:pPr>
          </w:p>
        </w:tc>
        <w:tc>
          <w:tcPr>
            <w:tcW w:w="100" w:type="dxa"/>
            <w:vAlign w:val="bottom"/>
            <w:tcBorders>
              <w:right w:val="single" w:sz="8" w:color="E9EEE6"/>
            </w:tcBorders>
            <w:shd w:val="clear" w:color="auto" w:fill="E9EEE6"/>
          </w:tcPr>
          <w:p>
            <w:pPr>
              <w:spacing w:after="0"/>
              <w:rPr>
                <w:sz w:val="11"/>
                <w:szCs w:val="11"/>
                <w:color w:val="auto"/>
              </w:rPr>
            </w:pPr>
          </w:p>
        </w:tc>
        <w:tc>
          <w:tcPr>
            <w:tcW w:w="1640" w:type="dxa"/>
            <w:vAlign w:val="bottom"/>
            <w:tcBorders>
              <w:right w:val="single" w:sz="8" w:color="E9EEE6"/>
            </w:tcBorders>
            <w:gridSpan w:val="11"/>
            <w:shd w:val="clear" w:color="auto" w:fill="E9EEE6"/>
          </w:tcPr>
          <w:p>
            <w:pPr>
              <w:spacing w:after="0"/>
              <w:rPr>
                <w:sz w:val="11"/>
                <w:szCs w:val="11"/>
                <w:color w:val="auto"/>
              </w:rPr>
            </w:pPr>
          </w:p>
        </w:tc>
        <w:tc>
          <w:tcPr>
            <w:tcW w:w="1260" w:type="dxa"/>
            <w:vAlign w:val="bottom"/>
            <w:tcBorders>
              <w:right w:val="single" w:sz="8" w:color="E9EEE6"/>
            </w:tcBorders>
            <w:gridSpan w:val="7"/>
            <w:shd w:val="clear" w:color="auto" w:fill="E9EEE6"/>
          </w:tcPr>
          <w:p>
            <w:pPr>
              <w:spacing w:after="0"/>
              <w:rPr>
                <w:sz w:val="11"/>
                <w:szCs w:val="11"/>
                <w:color w:val="auto"/>
              </w:rPr>
            </w:pPr>
          </w:p>
        </w:tc>
        <w:tc>
          <w:tcPr>
            <w:tcW w:w="1620" w:type="dxa"/>
            <w:vAlign w:val="bottom"/>
            <w:tcBorders>
              <w:left w:val="single" w:sz="8" w:color="E9EEE6"/>
              <w:right w:val="single" w:sz="8" w:color="E9EEE6"/>
            </w:tcBorders>
            <w:gridSpan w:val="9"/>
            <w:shd w:val="clear" w:color="auto" w:fill="E9EEE6"/>
          </w:tcPr>
          <w:p>
            <w:pPr>
              <w:spacing w:after="0"/>
              <w:rPr>
                <w:sz w:val="11"/>
                <w:szCs w:val="11"/>
                <w:color w:val="auto"/>
              </w:rPr>
            </w:pPr>
          </w:p>
        </w:tc>
        <w:tc>
          <w:tcPr>
            <w:tcW w:w="560" w:type="dxa"/>
            <w:vAlign w:val="bottom"/>
            <w:tcBorders>
              <w:right w:val="single" w:sz="8" w:color="E9EEE6"/>
            </w:tcBorders>
            <w:gridSpan w:val="3"/>
            <w:shd w:val="clear" w:color="auto" w:fill="E9EEE6"/>
          </w:tcPr>
          <w:p>
            <w:pPr>
              <w:spacing w:after="0"/>
              <w:rPr>
                <w:sz w:val="11"/>
                <w:szCs w:val="11"/>
                <w:color w:val="auto"/>
              </w:rPr>
            </w:pPr>
          </w:p>
        </w:tc>
        <w:tc>
          <w:tcPr>
            <w:tcW w:w="1220" w:type="dxa"/>
            <w:vAlign w:val="bottom"/>
            <w:tcBorders>
              <w:right w:val="single" w:sz="8" w:color="E9EEE6"/>
            </w:tcBorders>
            <w:gridSpan w:val="5"/>
            <w:shd w:val="clear" w:color="auto" w:fill="E9EEE6"/>
          </w:tcPr>
          <w:p>
            <w:pPr>
              <w:spacing w:after="0"/>
              <w:rPr>
                <w:sz w:val="11"/>
                <w:szCs w:val="11"/>
                <w:color w:val="auto"/>
              </w:rPr>
            </w:pPr>
          </w:p>
        </w:tc>
        <w:tc>
          <w:tcPr>
            <w:tcW w:w="1160" w:type="dxa"/>
            <w:vAlign w:val="bottom"/>
            <w:tcBorders>
              <w:right w:val="single" w:sz="8" w:color="E9EEE6"/>
            </w:tcBorders>
            <w:gridSpan w:val="7"/>
            <w:shd w:val="clear" w:color="auto" w:fill="E9EEE6"/>
          </w:tcPr>
          <w:p>
            <w:pPr>
              <w:spacing w:after="0"/>
              <w:rPr>
                <w:sz w:val="11"/>
                <w:szCs w:val="11"/>
                <w:color w:val="auto"/>
              </w:rPr>
            </w:pPr>
          </w:p>
        </w:tc>
        <w:tc>
          <w:tcPr>
            <w:tcW w:w="880" w:type="dxa"/>
            <w:vAlign w:val="bottom"/>
            <w:gridSpan w:val="5"/>
            <w:shd w:val="clear" w:color="auto" w:fill="E9EEE6"/>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20" w:type="dxa"/>
            <w:vAlign w:val="bottom"/>
            <w:tcBorders>
              <w:right w:val="single" w:sz="8" w:color="E9EEE6"/>
            </w:tcBorders>
            <w:vMerge w:val="continue"/>
            <w:shd w:val="clear" w:color="auto" w:fill="E9EEE6"/>
          </w:tcPr>
          <w:p>
            <w:pPr>
              <w:spacing w:after="0"/>
              <w:rPr>
                <w:sz w:val="6"/>
                <w:szCs w:val="6"/>
                <w:color w:val="auto"/>
              </w:rPr>
            </w:pPr>
          </w:p>
        </w:tc>
        <w:tc>
          <w:tcPr>
            <w:tcW w:w="240" w:type="dxa"/>
            <w:vAlign w:val="bottom"/>
            <w:shd w:val="clear" w:color="auto" w:fill="E9EEE6"/>
          </w:tcPr>
          <w:p>
            <w:pPr>
              <w:spacing w:after="0"/>
              <w:rPr>
                <w:sz w:val="6"/>
                <w:szCs w:val="6"/>
                <w:color w:val="auto"/>
              </w:rPr>
            </w:pPr>
          </w:p>
        </w:tc>
        <w:tc>
          <w:tcPr>
            <w:tcW w:w="11080" w:type="dxa"/>
            <w:vAlign w:val="bottom"/>
            <w:gridSpan w:val="55"/>
            <w:vMerge w:val="restart"/>
            <w:shd w:val="clear" w:color="auto" w:fill="E9EEE6"/>
          </w:tcPr>
          <w:p>
            <w:pPr>
              <w:spacing w:after="0" w:line="137" w:lineRule="exact"/>
              <w:rPr>
                <w:sz w:val="20"/>
                <w:szCs w:val="20"/>
                <w:color w:val="auto"/>
              </w:rPr>
            </w:pPr>
            <w:r>
              <w:rPr>
                <w:rFonts w:ascii="Arial" w:cs="Arial" w:eastAsia="Arial" w:hAnsi="Arial"/>
                <w:sz w:val="12"/>
                <w:szCs w:val="12"/>
                <w:color w:val="auto"/>
              </w:rPr>
              <w:t>The amounts provided in the All Other Compensation column represent the additional benefits payable by the Company and include insurance benefits; the employer match under the Company's 401(k)</w:t>
            </w:r>
          </w:p>
        </w:tc>
        <w:tc>
          <w:tcPr>
            <w:tcW w:w="0" w:type="dxa"/>
            <w:vAlign w:val="bottom"/>
          </w:tcPr>
          <w:p>
            <w:pPr>
              <w:spacing w:after="0"/>
              <w:rPr>
                <w:sz w:val="1"/>
                <w:szCs w:val="1"/>
                <w:color w:val="auto"/>
              </w:rPr>
            </w:pPr>
          </w:p>
        </w:tc>
      </w:tr>
      <w:tr>
        <w:trPr>
          <w:trHeight w:val="58"/>
        </w:trPr>
        <w:tc>
          <w:tcPr>
            <w:tcW w:w="120" w:type="dxa"/>
            <w:vAlign w:val="bottom"/>
            <w:tcBorders>
              <w:right w:val="single" w:sz="8" w:color="E9EEE6"/>
            </w:tcBorders>
            <w:shd w:val="clear" w:color="auto" w:fill="E9EEE6"/>
          </w:tcPr>
          <w:p>
            <w:pPr>
              <w:spacing w:after="0"/>
              <w:rPr>
                <w:sz w:val="5"/>
                <w:szCs w:val="5"/>
                <w:color w:val="auto"/>
              </w:rPr>
            </w:pPr>
          </w:p>
        </w:tc>
        <w:tc>
          <w:tcPr>
            <w:tcW w:w="240" w:type="dxa"/>
            <w:vAlign w:val="bottom"/>
            <w:shd w:val="clear" w:color="auto" w:fill="E9EEE6"/>
          </w:tcPr>
          <w:p>
            <w:pPr>
              <w:spacing w:after="0"/>
              <w:rPr>
                <w:sz w:val="5"/>
                <w:szCs w:val="5"/>
                <w:color w:val="auto"/>
              </w:rPr>
            </w:pPr>
          </w:p>
        </w:tc>
        <w:tc>
          <w:tcPr>
            <w:tcW w:w="11080" w:type="dxa"/>
            <w:vAlign w:val="bottom"/>
            <w:gridSpan w:val="55"/>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E9EEE6"/>
            </w:tcBorders>
            <w:shd w:val="clear" w:color="auto" w:fill="E9EEE6"/>
          </w:tcPr>
          <w:p>
            <w:pPr>
              <w:spacing w:after="0"/>
              <w:rPr>
                <w:sz w:val="11"/>
                <w:szCs w:val="11"/>
                <w:color w:val="auto"/>
              </w:rPr>
            </w:pPr>
          </w:p>
        </w:tc>
        <w:tc>
          <w:tcPr>
            <w:tcW w:w="240" w:type="dxa"/>
            <w:vAlign w:val="bottom"/>
            <w:shd w:val="clear" w:color="auto" w:fill="E9EEE6"/>
          </w:tcPr>
          <w:p>
            <w:pPr>
              <w:spacing w:after="0"/>
              <w:rPr>
                <w:sz w:val="11"/>
                <w:szCs w:val="11"/>
                <w:color w:val="auto"/>
              </w:rPr>
            </w:pPr>
          </w:p>
        </w:tc>
        <w:tc>
          <w:tcPr>
            <w:tcW w:w="11080" w:type="dxa"/>
            <w:vAlign w:val="bottom"/>
            <w:gridSpan w:val="55"/>
            <w:shd w:val="clear" w:color="auto" w:fill="E9EEE6"/>
          </w:tcPr>
          <w:p>
            <w:pPr>
              <w:spacing w:after="0" w:line="137" w:lineRule="exact"/>
              <w:rPr>
                <w:sz w:val="20"/>
                <w:szCs w:val="20"/>
                <w:color w:val="auto"/>
              </w:rPr>
            </w:pPr>
            <w:r>
              <w:rPr>
                <w:rFonts w:ascii="Arial" w:cs="Arial" w:eastAsia="Arial" w:hAnsi="Arial"/>
                <w:sz w:val="12"/>
                <w:szCs w:val="12"/>
                <w:color w:val="auto"/>
              </w:rPr>
              <w:t>plan; financial counseling services up to $12,000 per year for Mr. Sotos and up to $3,000 per year for Mr. Plotkin, not including the financial advisor's travel or out-of-pocket expenses; and the amount</w:t>
            </w:r>
          </w:p>
        </w:tc>
        <w:tc>
          <w:tcPr>
            <w:tcW w:w="0" w:type="dxa"/>
            <w:vAlign w:val="bottom"/>
          </w:tcPr>
          <w:p>
            <w:pPr>
              <w:spacing w:after="0"/>
              <w:rPr>
                <w:sz w:val="1"/>
                <w:szCs w:val="1"/>
                <w:color w:val="auto"/>
              </w:rPr>
            </w:pPr>
          </w:p>
        </w:tc>
      </w:tr>
      <w:tr>
        <w:trPr>
          <w:trHeight w:val="133"/>
        </w:trPr>
        <w:tc>
          <w:tcPr>
            <w:tcW w:w="120" w:type="dxa"/>
            <w:vAlign w:val="bottom"/>
            <w:tcBorders>
              <w:right w:val="single" w:sz="8" w:color="E9EEE6"/>
            </w:tcBorders>
            <w:shd w:val="clear" w:color="auto" w:fill="E9EEE6"/>
          </w:tcPr>
          <w:p>
            <w:pPr>
              <w:spacing w:after="0"/>
              <w:rPr>
                <w:sz w:val="11"/>
                <w:szCs w:val="11"/>
                <w:color w:val="auto"/>
              </w:rPr>
            </w:pPr>
          </w:p>
        </w:tc>
        <w:tc>
          <w:tcPr>
            <w:tcW w:w="240" w:type="dxa"/>
            <w:vAlign w:val="bottom"/>
            <w:shd w:val="clear" w:color="auto" w:fill="E9EEE6"/>
          </w:tcPr>
          <w:p>
            <w:pPr>
              <w:spacing w:after="0"/>
              <w:rPr>
                <w:sz w:val="11"/>
                <w:szCs w:val="11"/>
                <w:color w:val="auto"/>
              </w:rPr>
            </w:pPr>
          </w:p>
        </w:tc>
        <w:tc>
          <w:tcPr>
            <w:tcW w:w="8680" w:type="dxa"/>
            <w:vAlign w:val="bottom"/>
            <w:gridSpan w:val="40"/>
            <w:shd w:val="clear" w:color="auto" w:fill="E9EEE6"/>
          </w:tcPr>
          <w:p>
            <w:pPr>
              <w:spacing w:after="0" w:line="133" w:lineRule="exact"/>
              <w:rPr>
                <w:sz w:val="20"/>
                <w:szCs w:val="20"/>
                <w:color w:val="auto"/>
              </w:rPr>
            </w:pPr>
            <w:r>
              <w:rPr>
                <w:rFonts w:ascii="Arial" w:cs="Arial" w:eastAsia="Arial" w:hAnsi="Arial"/>
                <w:sz w:val="12"/>
                <w:szCs w:val="12"/>
                <w:color w:val="auto"/>
              </w:rPr>
              <w:t>payable under the Company's all-employee discretionary contribution to the 401(k) plan. The following table identifies the additional compensation for each NEO.</w:t>
            </w:r>
          </w:p>
        </w:tc>
        <w:tc>
          <w:tcPr>
            <w:tcW w:w="140" w:type="dxa"/>
            <w:vAlign w:val="bottom"/>
            <w:shd w:val="clear" w:color="auto" w:fill="E9EEE6"/>
          </w:tcPr>
          <w:p>
            <w:pPr>
              <w:spacing w:after="0"/>
              <w:rPr>
                <w:sz w:val="11"/>
                <w:szCs w:val="11"/>
                <w:color w:val="auto"/>
              </w:rPr>
            </w:pPr>
          </w:p>
        </w:tc>
        <w:tc>
          <w:tcPr>
            <w:tcW w:w="40" w:type="dxa"/>
            <w:vAlign w:val="bottom"/>
            <w:shd w:val="clear" w:color="auto" w:fill="E9EEE6"/>
          </w:tcPr>
          <w:p>
            <w:pPr>
              <w:spacing w:after="0"/>
              <w:rPr>
                <w:sz w:val="11"/>
                <w:szCs w:val="11"/>
                <w:color w:val="auto"/>
              </w:rPr>
            </w:pPr>
          </w:p>
        </w:tc>
        <w:tc>
          <w:tcPr>
            <w:tcW w:w="180" w:type="dxa"/>
            <w:vAlign w:val="bottom"/>
            <w:tcBorders>
              <w:right w:val="single" w:sz="8" w:color="E9EEE6"/>
            </w:tcBorders>
            <w:shd w:val="clear" w:color="auto" w:fill="E9EEE6"/>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720" w:type="dxa"/>
            <w:vAlign w:val="bottom"/>
            <w:shd w:val="clear" w:color="auto" w:fill="E9EEE6"/>
          </w:tcPr>
          <w:p>
            <w:pPr>
              <w:spacing w:after="0"/>
              <w:rPr>
                <w:sz w:val="11"/>
                <w:szCs w:val="11"/>
                <w:color w:val="auto"/>
              </w:rPr>
            </w:pPr>
          </w:p>
        </w:tc>
        <w:tc>
          <w:tcPr>
            <w:tcW w:w="20" w:type="dxa"/>
            <w:vAlign w:val="bottom"/>
            <w:shd w:val="clear" w:color="auto" w:fill="E9EEE6"/>
          </w:tcPr>
          <w:p>
            <w:pPr>
              <w:spacing w:after="0"/>
              <w:rPr>
                <w:sz w:val="11"/>
                <w:szCs w:val="11"/>
                <w:color w:val="auto"/>
              </w:rPr>
            </w:pPr>
          </w:p>
        </w:tc>
        <w:tc>
          <w:tcPr>
            <w:tcW w:w="40" w:type="dxa"/>
            <w:vAlign w:val="bottom"/>
            <w:shd w:val="clear" w:color="auto" w:fill="E9EEE6"/>
          </w:tcPr>
          <w:p>
            <w:pPr>
              <w:spacing w:after="0"/>
              <w:rPr>
                <w:sz w:val="11"/>
                <w:szCs w:val="11"/>
                <w:color w:val="auto"/>
              </w:rPr>
            </w:pPr>
          </w:p>
        </w:tc>
        <w:tc>
          <w:tcPr>
            <w:tcW w:w="100" w:type="dxa"/>
            <w:vAlign w:val="bottom"/>
            <w:shd w:val="clear" w:color="auto" w:fill="E9EEE6"/>
          </w:tcPr>
          <w:p>
            <w:pPr>
              <w:spacing w:after="0"/>
              <w:rPr>
                <w:sz w:val="11"/>
                <w:szCs w:val="11"/>
                <w:color w:val="auto"/>
              </w:rPr>
            </w:pPr>
          </w:p>
        </w:tc>
        <w:tc>
          <w:tcPr>
            <w:tcW w:w="20" w:type="dxa"/>
            <w:vAlign w:val="bottom"/>
            <w:shd w:val="clear" w:color="auto" w:fill="E9EEE6"/>
          </w:tcPr>
          <w:p>
            <w:pPr>
              <w:spacing w:after="0"/>
              <w:rPr>
                <w:sz w:val="11"/>
                <w:szCs w:val="11"/>
                <w:color w:val="auto"/>
              </w:rPr>
            </w:pPr>
          </w:p>
        </w:tc>
        <w:tc>
          <w:tcPr>
            <w:tcW w:w="140" w:type="dxa"/>
            <w:vAlign w:val="bottom"/>
            <w:tcBorders>
              <w:right w:val="single" w:sz="8" w:color="E9EEE6"/>
            </w:tcBorders>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60" w:type="dxa"/>
            <w:vAlign w:val="bottom"/>
            <w:shd w:val="clear" w:color="auto" w:fill="E9EEE6"/>
          </w:tcPr>
          <w:p>
            <w:pPr>
              <w:spacing w:after="0"/>
              <w:rPr>
                <w:sz w:val="11"/>
                <w:szCs w:val="11"/>
                <w:color w:val="auto"/>
              </w:rPr>
            </w:pPr>
          </w:p>
        </w:tc>
        <w:tc>
          <w:tcPr>
            <w:tcW w:w="440" w:type="dxa"/>
            <w:vAlign w:val="bottom"/>
            <w:shd w:val="clear" w:color="auto" w:fill="E9EEE6"/>
          </w:tcPr>
          <w:p>
            <w:pPr>
              <w:spacing w:after="0"/>
              <w:rPr>
                <w:sz w:val="11"/>
                <w:szCs w:val="11"/>
                <w:color w:val="auto"/>
              </w:rPr>
            </w:pPr>
          </w:p>
        </w:tc>
        <w:tc>
          <w:tcPr>
            <w:tcW w:w="10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0" w:type="dxa"/>
            <w:vAlign w:val="bottom"/>
          </w:tcPr>
          <w:p>
            <w:pPr>
              <w:spacing w:after="0"/>
              <w:rPr>
                <w:sz w:val="1"/>
                <w:szCs w:val="1"/>
                <w:color w:val="auto"/>
              </w:rPr>
            </w:pPr>
          </w:p>
        </w:tc>
      </w:tr>
      <w:tr>
        <w:trPr>
          <w:trHeight w:val="627"/>
        </w:trPr>
        <w:tc>
          <w:tcPr>
            <w:tcW w:w="120" w:type="dxa"/>
            <w:vAlign w:val="bottom"/>
            <w:tcBorders>
              <w:right w:val="single" w:sz="8" w:color="E9EEE6"/>
            </w:tcBorders>
            <w:shd w:val="clear" w:color="auto" w:fill="E9EEE6"/>
          </w:tcPr>
          <w:p>
            <w:pPr>
              <w:spacing w:after="0"/>
              <w:rPr>
                <w:sz w:val="24"/>
                <w:szCs w:val="24"/>
                <w:color w:val="auto"/>
              </w:rPr>
            </w:pPr>
          </w:p>
        </w:tc>
        <w:tc>
          <w:tcPr>
            <w:tcW w:w="240" w:type="dxa"/>
            <w:vAlign w:val="bottom"/>
            <w:shd w:val="clear" w:color="auto" w:fill="E9EEE6"/>
          </w:tcPr>
          <w:p>
            <w:pPr>
              <w:spacing w:after="0"/>
              <w:rPr>
                <w:sz w:val="24"/>
                <w:szCs w:val="24"/>
                <w:color w:val="auto"/>
              </w:rPr>
            </w:pPr>
          </w:p>
        </w:tc>
        <w:tc>
          <w:tcPr>
            <w:tcW w:w="1300" w:type="dxa"/>
            <w:vAlign w:val="bottom"/>
            <w:shd w:val="clear" w:color="auto" w:fill="E9EEE6"/>
          </w:tcPr>
          <w:p>
            <w:pPr>
              <w:spacing w:after="0"/>
              <w:rPr>
                <w:sz w:val="24"/>
                <w:szCs w:val="24"/>
                <w:color w:val="auto"/>
              </w:rPr>
            </w:pPr>
          </w:p>
        </w:tc>
        <w:tc>
          <w:tcPr>
            <w:tcW w:w="80" w:type="dxa"/>
            <w:vAlign w:val="bottom"/>
            <w:shd w:val="clear" w:color="auto" w:fill="E9EEE6"/>
          </w:tcPr>
          <w:p>
            <w:pPr>
              <w:spacing w:after="0"/>
              <w:rPr>
                <w:sz w:val="24"/>
                <w:szCs w:val="24"/>
                <w:color w:val="auto"/>
              </w:rPr>
            </w:pPr>
          </w:p>
        </w:tc>
        <w:tc>
          <w:tcPr>
            <w:tcW w:w="340" w:type="dxa"/>
            <w:vAlign w:val="bottom"/>
            <w:shd w:val="clear" w:color="auto" w:fill="E9EEE6"/>
          </w:tcPr>
          <w:p>
            <w:pPr>
              <w:spacing w:after="0"/>
              <w:rPr>
                <w:sz w:val="24"/>
                <w:szCs w:val="24"/>
                <w:color w:val="auto"/>
              </w:rPr>
            </w:pPr>
          </w:p>
        </w:tc>
        <w:tc>
          <w:tcPr>
            <w:tcW w:w="160" w:type="dxa"/>
            <w:vAlign w:val="bottom"/>
            <w:tcBorders>
              <w:right w:val="single" w:sz="8" w:color="E9EEE6"/>
            </w:tcBorders>
            <w:shd w:val="clear" w:color="auto" w:fill="E9EEE6"/>
          </w:tcPr>
          <w:p>
            <w:pPr>
              <w:spacing w:after="0"/>
              <w:rPr>
                <w:sz w:val="24"/>
                <w:szCs w:val="24"/>
                <w:color w:val="auto"/>
              </w:rPr>
            </w:pPr>
          </w:p>
        </w:tc>
        <w:tc>
          <w:tcPr>
            <w:tcW w:w="60" w:type="dxa"/>
            <w:vAlign w:val="bottom"/>
            <w:shd w:val="clear" w:color="auto" w:fill="E9EEE6"/>
          </w:tcPr>
          <w:p>
            <w:pPr>
              <w:spacing w:after="0"/>
              <w:rPr>
                <w:sz w:val="24"/>
                <w:szCs w:val="24"/>
                <w:color w:val="auto"/>
              </w:rPr>
            </w:pPr>
          </w:p>
        </w:tc>
        <w:tc>
          <w:tcPr>
            <w:tcW w:w="540" w:type="dxa"/>
            <w:vAlign w:val="bottom"/>
            <w:tcBorders>
              <w:right w:val="single" w:sz="8" w:color="E9EEE6"/>
            </w:tcBorders>
            <w:shd w:val="clear" w:color="auto" w:fill="E9EEE6"/>
          </w:tcPr>
          <w:p>
            <w:pPr>
              <w:spacing w:after="0"/>
              <w:rPr>
                <w:sz w:val="24"/>
                <w:szCs w:val="24"/>
                <w:color w:val="auto"/>
              </w:rPr>
            </w:pPr>
          </w:p>
        </w:tc>
        <w:tc>
          <w:tcPr>
            <w:tcW w:w="160" w:type="dxa"/>
            <w:vAlign w:val="bottom"/>
            <w:tcBorders>
              <w:right w:val="single" w:sz="8" w:color="E9EEE6"/>
            </w:tcBorders>
            <w:shd w:val="clear" w:color="auto" w:fill="E9EEE6"/>
          </w:tcPr>
          <w:p>
            <w:pPr>
              <w:spacing w:after="0"/>
              <w:rPr>
                <w:sz w:val="24"/>
                <w:szCs w:val="24"/>
                <w:color w:val="auto"/>
              </w:rPr>
            </w:pPr>
          </w:p>
        </w:tc>
        <w:tc>
          <w:tcPr>
            <w:tcW w:w="100" w:type="dxa"/>
            <w:vAlign w:val="bottom"/>
            <w:tcBorders>
              <w:right w:val="single" w:sz="8" w:color="E9EEE6"/>
            </w:tcBorders>
            <w:shd w:val="clear" w:color="auto" w:fill="E9EEE6"/>
          </w:tcPr>
          <w:p>
            <w:pPr>
              <w:spacing w:after="0"/>
              <w:rPr>
                <w:sz w:val="24"/>
                <w:szCs w:val="24"/>
                <w:color w:val="auto"/>
              </w:rPr>
            </w:pPr>
          </w:p>
        </w:tc>
        <w:tc>
          <w:tcPr>
            <w:tcW w:w="140" w:type="dxa"/>
            <w:vAlign w:val="bottom"/>
            <w:shd w:val="clear" w:color="auto" w:fill="E9EEE6"/>
          </w:tcPr>
          <w:p>
            <w:pPr>
              <w:spacing w:after="0"/>
              <w:rPr>
                <w:sz w:val="24"/>
                <w:szCs w:val="24"/>
                <w:color w:val="auto"/>
              </w:rPr>
            </w:pPr>
          </w:p>
        </w:tc>
        <w:tc>
          <w:tcPr>
            <w:tcW w:w="720" w:type="dxa"/>
            <w:vAlign w:val="bottom"/>
            <w:gridSpan w:val="5"/>
            <w:shd w:val="clear" w:color="auto" w:fill="E9EEE6"/>
          </w:tcPr>
          <w:p>
            <w:pPr>
              <w:spacing w:after="0"/>
              <w:rPr>
                <w:sz w:val="24"/>
                <w:szCs w:val="24"/>
                <w:color w:val="auto"/>
              </w:rPr>
            </w:pPr>
          </w:p>
        </w:tc>
        <w:tc>
          <w:tcPr>
            <w:tcW w:w="80" w:type="dxa"/>
            <w:vAlign w:val="bottom"/>
            <w:shd w:val="clear" w:color="auto" w:fill="E9EEE6"/>
          </w:tcPr>
          <w:p>
            <w:pPr>
              <w:spacing w:after="0"/>
              <w:rPr>
                <w:sz w:val="24"/>
                <w:szCs w:val="24"/>
                <w:color w:val="auto"/>
              </w:rPr>
            </w:pPr>
          </w:p>
        </w:tc>
        <w:tc>
          <w:tcPr>
            <w:tcW w:w="280" w:type="dxa"/>
            <w:vAlign w:val="bottom"/>
            <w:shd w:val="clear" w:color="auto" w:fill="E9EEE6"/>
          </w:tcPr>
          <w:p>
            <w:pPr>
              <w:spacing w:after="0"/>
              <w:rPr>
                <w:sz w:val="24"/>
                <w:szCs w:val="24"/>
                <w:color w:val="auto"/>
              </w:rPr>
            </w:pPr>
          </w:p>
        </w:tc>
        <w:tc>
          <w:tcPr>
            <w:tcW w:w="120" w:type="dxa"/>
            <w:vAlign w:val="bottom"/>
            <w:shd w:val="clear" w:color="auto" w:fill="E9EEE6"/>
          </w:tcPr>
          <w:p>
            <w:pPr>
              <w:spacing w:after="0"/>
              <w:rPr>
                <w:sz w:val="24"/>
                <w:szCs w:val="24"/>
                <w:color w:val="auto"/>
              </w:rPr>
            </w:pPr>
          </w:p>
        </w:tc>
        <w:tc>
          <w:tcPr>
            <w:tcW w:w="140" w:type="dxa"/>
            <w:vAlign w:val="bottom"/>
            <w:shd w:val="clear" w:color="auto" w:fill="E9EEE6"/>
          </w:tcPr>
          <w:p>
            <w:pPr>
              <w:spacing w:after="0"/>
              <w:rPr>
                <w:sz w:val="24"/>
                <w:szCs w:val="24"/>
                <w:color w:val="auto"/>
              </w:rPr>
            </w:pPr>
          </w:p>
        </w:tc>
        <w:tc>
          <w:tcPr>
            <w:tcW w:w="160" w:type="dxa"/>
            <w:vAlign w:val="bottom"/>
            <w:tcBorders>
              <w:right w:val="single" w:sz="8" w:color="E9EEE6"/>
            </w:tcBorders>
            <w:shd w:val="clear" w:color="auto" w:fill="E9EEE6"/>
          </w:tcPr>
          <w:p>
            <w:pPr>
              <w:spacing w:after="0"/>
              <w:rPr>
                <w:sz w:val="24"/>
                <w:szCs w:val="24"/>
                <w:color w:val="auto"/>
              </w:rPr>
            </w:pPr>
          </w:p>
        </w:tc>
        <w:tc>
          <w:tcPr>
            <w:tcW w:w="100" w:type="dxa"/>
            <w:vAlign w:val="bottom"/>
            <w:shd w:val="clear" w:color="auto" w:fill="E9EEE6"/>
          </w:tcPr>
          <w:p>
            <w:pPr>
              <w:spacing w:after="0"/>
              <w:rPr>
                <w:sz w:val="24"/>
                <w:szCs w:val="24"/>
                <w:color w:val="auto"/>
              </w:rPr>
            </w:pPr>
          </w:p>
        </w:tc>
        <w:tc>
          <w:tcPr>
            <w:tcW w:w="120" w:type="dxa"/>
            <w:vAlign w:val="bottom"/>
            <w:shd w:val="clear" w:color="auto" w:fill="E9EEE6"/>
          </w:tcPr>
          <w:p>
            <w:pPr>
              <w:spacing w:after="0"/>
              <w:rPr>
                <w:sz w:val="24"/>
                <w:szCs w:val="24"/>
                <w:color w:val="auto"/>
              </w:rPr>
            </w:pPr>
          </w:p>
        </w:tc>
        <w:tc>
          <w:tcPr>
            <w:tcW w:w="140" w:type="dxa"/>
            <w:vAlign w:val="bottom"/>
            <w:shd w:val="clear" w:color="auto" w:fill="E9EEE6"/>
          </w:tcPr>
          <w:p>
            <w:pPr>
              <w:spacing w:after="0"/>
              <w:rPr>
                <w:sz w:val="24"/>
                <w:szCs w:val="24"/>
                <w:color w:val="auto"/>
              </w:rPr>
            </w:pPr>
          </w:p>
        </w:tc>
        <w:tc>
          <w:tcPr>
            <w:tcW w:w="140" w:type="dxa"/>
            <w:vAlign w:val="bottom"/>
            <w:shd w:val="clear" w:color="auto" w:fill="E9EEE6"/>
          </w:tcPr>
          <w:p>
            <w:pPr>
              <w:spacing w:after="0"/>
              <w:rPr>
                <w:sz w:val="24"/>
                <w:szCs w:val="24"/>
                <w:color w:val="auto"/>
              </w:rPr>
            </w:pPr>
          </w:p>
        </w:tc>
        <w:tc>
          <w:tcPr>
            <w:tcW w:w="100" w:type="dxa"/>
            <w:vAlign w:val="bottom"/>
            <w:shd w:val="clear" w:color="auto" w:fill="E9EEE6"/>
          </w:tcPr>
          <w:p>
            <w:pPr>
              <w:spacing w:after="0"/>
              <w:rPr>
                <w:sz w:val="24"/>
                <w:szCs w:val="24"/>
                <w:color w:val="auto"/>
              </w:rPr>
            </w:pPr>
          </w:p>
        </w:tc>
        <w:tc>
          <w:tcPr>
            <w:tcW w:w="400" w:type="dxa"/>
            <w:vAlign w:val="bottom"/>
            <w:shd w:val="clear" w:color="auto" w:fill="E9EEE6"/>
          </w:tcPr>
          <w:p>
            <w:pPr>
              <w:spacing w:after="0"/>
              <w:rPr>
                <w:sz w:val="24"/>
                <w:szCs w:val="24"/>
                <w:color w:val="auto"/>
              </w:rPr>
            </w:pPr>
          </w:p>
        </w:tc>
        <w:tc>
          <w:tcPr>
            <w:tcW w:w="260" w:type="dxa"/>
            <w:vAlign w:val="bottom"/>
            <w:tcBorders>
              <w:right w:val="single" w:sz="8" w:color="E9EEE6"/>
            </w:tcBorders>
            <w:shd w:val="clear" w:color="auto" w:fill="E9EEE6"/>
          </w:tcPr>
          <w:p>
            <w:pPr>
              <w:spacing w:after="0"/>
              <w:rPr>
                <w:sz w:val="24"/>
                <w:szCs w:val="24"/>
                <w:color w:val="auto"/>
              </w:rPr>
            </w:pPr>
          </w:p>
        </w:tc>
        <w:tc>
          <w:tcPr>
            <w:tcW w:w="140" w:type="dxa"/>
            <w:vAlign w:val="bottom"/>
            <w:tcBorders>
              <w:left w:val="single" w:sz="8" w:color="E9EEE6"/>
            </w:tcBorders>
            <w:shd w:val="clear" w:color="auto" w:fill="E9EEE6"/>
          </w:tcPr>
          <w:p>
            <w:pPr>
              <w:spacing w:after="0"/>
              <w:rPr>
                <w:sz w:val="24"/>
                <w:szCs w:val="24"/>
                <w:color w:val="auto"/>
              </w:rPr>
            </w:pPr>
          </w:p>
        </w:tc>
        <w:tc>
          <w:tcPr>
            <w:tcW w:w="360" w:type="dxa"/>
            <w:vAlign w:val="bottom"/>
            <w:shd w:val="clear" w:color="auto" w:fill="E9EEE6"/>
          </w:tcPr>
          <w:p>
            <w:pPr>
              <w:spacing w:after="0"/>
              <w:rPr>
                <w:sz w:val="24"/>
                <w:szCs w:val="24"/>
                <w:color w:val="auto"/>
              </w:rPr>
            </w:pPr>
          </w:p>
        </w:tc>
        <w:tc>
          <w:tcPr>
            <w:tcW w:w="20" w:type="dxa"/>
            <w:vAlign w:val="bottom"/>
            <w:shd w:val="clear" w:color="auto" w:fill="E9EEE6"/>
          </w:tcPr>
          <w:p>
            <w:pPr>
              <w:spacing w:after="0"/>
              <w:rPr>
                <w:sz w:val="24"/>
                <w:szCs w:val="24"/>
                <w:color w:val="auto"/>
              </w:rPr>
            </w:pPr>
          </w:p>
        </w:tc>
        <w:tc>
          <w:tcPr>
            <w:tcW w:w="40" w:type="dxa"/>
            <w:vAlign w:val="bottom"/>
            <w:shd w:val="clear" w:color="auto" w:fill="E9EEE6"/>
          </w:tcPr>
          <w:p>
            <w:pPr>
              <w:spacing w:after="0"/>
              <w:rPr>
                <w:sz w:val="24"/>
                <w:szCs w:val="24"/>
                <w:color w:val="auto"/>
              </w:rPr>
            </w:pPr>
          </w:p>
        </w:tc>
        <w:tc>
          <w:tcPr>
            <w:tcW w:w="1060" w:type="dxa"/>
            <w:vAlign w:val="bottom"/>
            <w:tcBorders>
              <w:right w:val="single" w:sz="8" w:color="E9EEE6"/>
            </w:tcBorders>
            <w:gridSpan w:val="5"/>
            <w:shd w:val="clear" w:color="auto" w:fill="E9EEE6"/>
          </w:tcPr>
          <w:p>
            <w:pPr>
              <w:spacing w:after="0"/>
              <w:rPr>
                <w:sz w:val="24"/>
                <w:szCs w:val="24"/>
                <w:color w:val="auto"/>
              </w:rPr>
            </w:pPr>
          </w:p>
        </w:tc>
        <w:tc>
          <w:tcPr>
            <w:tcW w:w="120" w:type="dxa"/>
            <w:vAlign w:val="bottom"/>
            <w:shd w:val="clear" w:color="auto" w:fill="E9EEE6"/>
          </w:tcPr>
          <w:p>
            <w:pPr>
              <w:spacing w:after="0"/>
              <w:rPr>
                <w:sz w:val="24"/>
                <w:szCs w:val="24"/>
                <w:color w:val="auto"/>
              </w:rPr>
            </w:pPr>
          </w:p>
        </w:tc>
        <w:tc>
          <w:tcPr>
            <w:tcW w:w="240" w:type="dxa"/>
            <w:vAlign w:val="bottom"/>
            <w:shd w:val="clear" w:color="auto" w:fill="E9EEE6"/>
          </w:tcPr>
          <w:p>
            <w:pPr>
              <w:spacing w:after="0"/>
              <w:rPr>
                <w:sz w:val="24"/>
                <w:szCs w:val="24"/>
                <w:color w:val="auto"/>
              </w:rPr>
            </w:pPr>
          </w:p>
        </w:tc>
        <w:tc>
          <w:tcPr>
            <w:tcW w:w="200" w:type="dxa"/>
            <w:vAlign w:val="bottom"/>
            <w:tcBorders>
              <w:right w:val="single" w:sz="8" w:color="E9EEE6"/>
            </w:tcBorders>
            <w:shd w:val="clear" w:color="auto" w:fill="E9EEE6"/>
          </w:tcPr>
          <w:p>
            <w:pPr>
              <w:spacing w:after="0"/>
              <w:rPr>
                <w:sz w:val="24"/>
                <w:szCs w:val="24"/>
                <w:color w:val="auto"/>
              </w:rPr>
            </w:pPr>
          </w:p>
        </w:tc>
        <w:tc>
          <w:tcPr>
            <w:tcW w:w="780" w:type="dxa"/>
            <w:vAlign w:val="bottom"/>
            <w:shd w:val="clear" w:color="auto" w:fill="E9EEE6"/>
          </w:tcPr>
          <w:p>
            <w:pPr>
              <w:spacing w:after="0"/>
              <w:rPr>
                <w:sz w:val="24"/>
                <w:szCs w:val="24"/>
                <w:color w:val="auto"/>
              </w:rPr>
            </w:pPr>
          </w:p>
        </w:tc>
        <w:tc>
          <w:tcPr>
            <w:tcW w:w="80" w:type="dxa"/>
            <w:vAlign w:val="bottom"/>
            <w:shd w:val="clear" w:color="auto" w:fill="E9EEE6"/>
          </w:tcPr>
          <w:p>
            <w:pPr>
              <w:spacing w:after="0"/>
              <w:rPr>
                <w:sz w:val="24"/>
                <w:szCs w:val="24"/>
                <w:color w:val="auto"/>
              </w:rPr>
            </w:pPr>
          </w:p>
        </w:tc>
        <w:tc>
          <w:tcPr>
            <w:tcW w:w="140" w:type="dxa"/>
            <w:vAlign w:val="bottom"/>
            <w:shd w:val="clear" w:color="auto" w:fill="E9EEE6"/>
          </w:tcPr>
          <w:p>
            <w:pPr>
              <w:spacing w:after="0"/>
              <w:rPr>
                <w:sz w:val="24"/>
                <w:szCs w:val="24"/>
                <w:color w:val="auto"/>
              </w:rPr>
            </w:pPr>
          </w:p>
        </w:tc>
        <w:tc>
          <w:tcPr>
            <w:tcW w:w="40" w:type="dxa"/>
            <w:vAlign w:val="bottom"/>
            <w:shd w:val="clear" w:color="auto" w:fill="E9EEE6"/>
          </w:tcPr>
          <w:p>
            <w:pPr>
              <w:spacing w:after="0"/>
              <w:rPr>
                <w:sz w:val="24"/>
                <w:szCs w:val="24"/>
                <w:color w:val="auto"/>
              </w:rPr>
            </w:pPr>
          </w:p>
        </w:tc>
        <w:tc>
          <w:tcPr>
            <w:tcW w:w="180" w:type="dxa"/>
            <w:vAlign w:val="bottom"/>
            <w:tcBorders>
              <w:right w:val="single" w:sz="8" w:color="E9EEE6"/>
            </w:tcBorders>
            <w:shd w:val="clear" w:color="auto" w:fill="E9EEE6"/>
          </w:tcPr>
          <w:p>
            <w:pPr>
              <w:spacing w:after="0"/>
              <w:rPr>
                <w:sz w:val="24"/>
                <w:szCs w:val="24"/>
                <w:color w:val="auto"/>
              </w:rPr>
            </w:pPr>
          </w:p>
        </w:tc>
        <w:tc>
          <w:tcPr>
            <w:tcW w:w="120" w:type="dxa"/>
            <w:vAlign w:val="bottom"/>
            <w:shd w:val="clear" w:color="auto" w:fill="E9EEE6"/>
          </w:tcPr>
          <w:p>
            <w:pPr>
              <w:spacing w:after="0"/>
              <w:rPr>
                <w:sz w:val="24"/>
                <w:szCs w:val="24"/>
                <w:color w:val="auto"/>
              </w:rPr>
            </w:pPr>
          </w:p>
        </w:tc>
        <w:tc>
          <w:tcPr>
            <w:tcW w:w="720" w:type="dxa"/>
            <w:vAlign w:val="bottom"/>
            <w:shd w:val="clear" w:color="auto" w:fill="E9EEE6"/>
          </w:tcPr>
          <w:p>
            <w:pPr>
              <w:spacing w:after="0"/>
              <w:rPr>
                <w:sz w:val="24"/>
                <w:szCs w:val="24"/>
                <w:color w:val="auto"/>
              </w:rPr>
            </w:pPr>
          </w:p>
        </w:tc>
        <w:tc>
          <w:tcPr>
            <w:tcW w:w="20" w:type="dxa"/>
            <w:vAlign w:val="bottom"/>
            <w:shd w:val="clear" w:color="auto" w:fill="E9EEE6"/>
          </w:tcPr>
          <w:p>
            <w:pPr>
              <w:spacing w:after="0"/>
              <w:rPr>
                <w:sz w:val="24"/>
                <w:szCs w:val="24"/>
                <w:color w:val="auto"/>
              </w:rPr>
            </w:pPr>
          </w:p>
        </w:tc>
        <w:tc>
          <w:tcPr>
            <w:tcW w:w="40" w:type="dxa"/>
            <w:vAlign w:val="bottom"/>
            <w:shd w:val="clear" w:color="auto" w:fill="E9EEE6"/>
          </w:tcPr>
          <w:p>
            <w:pPr>
              <w:spacing w:after="0"/>
              <w:rPr>
                <w:sz w:val="24"/>
                <w:szCs w:val="24"/>
                <w:color w:val="auto"/>
              </w:rPr>
            </w:pPr>
          </w:p>
        </w:tc>
        <w:tc>
          <w:tcPr>
            <w:tcW w:w="100" w:type="dxa"/>
            <w:vAlign w:val="bottom"/>
            <w:shd w:val="clear" w:color="auto" w:fill="E9EEE6"/>
          </w:tcPr>
          <w:p>
            <w:pPr>
              <w:spacing w:after="0"/>
              <w:rPr>
                <w:sz w:val="24"/>
                <w:szCs w:val="24"/>
                <w:color w:val="auto"/>
              </w:rPr>
            </w:pPr>
          </w:p>
        </w:tc>
        <w:tc>
          <w:tcPr>
            <w:tcW w:w="20" w:type="dxa"/>
            <w:vAlign w:val="bottom"/>
            <w:shd w:val="clear" w:color="auto" w:fill="E9EEE6"/>
          </w:tcPr>
          <w:p>
            <w:pPr>
              <w:spacing w:after="0"/>
              <w:rPr>
                <w:sz w:val="24"/>
                <w:szCs w:val="24"/>
                <w:color w:val="auto"/>
              </w:rPr>
            </w:pPr>
          </w:p>
        </w:tc>
        <w:tc>
          <w:tcPr>
            <w:tcW w:w="140" w:type="dxa"/>
            <w:vAlign w:val="bottom"/>
            <w:tcBorders>
              <w:right w:val="single" w:sz="8" w:color="E9EEE6"/>
            </w:tcBorders>
            <w:shd w:val="clear" w:color="auto" w:fill="E9EEE6"/>
          </w:tcPr>
          <w:p>
            <w:pPr>
              <w:spacing w:after="0"/>
              <w:rPr>
                <w:sz w:val="24"/>
                <w:szCs w:val="24"/>
                <w:color w:val="auto"/>
              </w:rPr>
            </w:pPr>
          </w:p>
        </w:tc>
        <w:tc>
          <w:tcPr>
            <w:tcW w:w="140" w:type="dxa"/>
            <w:vAlign w:val="bottom"/>
            <w:shd w:val="clear" w:color="auto" w:fill="E9EEE6"/>
          </w:tcPr>
          <w:p>
            <w:pPr>
              <w:spacing w:after="0"/>
              <w:rPr>
                <w:sz w:val="24"/>
                <w:szCs w:val="24"/>
                <w:color w:val="auto"/>
              </w:rPr>
            </w:pPr>
          </w:p>
        </w:tc>
        <w:tc>
          <w:tcPr>
            <w:tcW w:w="60" w:type="dxa"/>
            <w:vAlign w:val="bottom"/>
            <w:shd w:val="clear" w:color="auto" w:fill="E9EEE6"/>
          </w:tcPr>
          <w:p>
            <w:pPr>
              <w:spacing w:after="0"/>
              <w:rPr>
                <w:sz w:val="24"/>
                <w:szCs w:val="24"/>
                <w:color w:val="auto"/>
              </w:rPr>
            </w:pPr>
          </w:p>
        </w:tc>
        <w:tc>
          <w:tcPr>
            <w:tcW w:w="440" w:type="dxa"/>
            <w:vAlign w:val="bottom"/>
            <w:shd w:val="clear" w:color="auto" w:fill="E9EEE6"/>
          </w:tcPr>
          <w:p>
            <w:pPr>
              <w:spacing w:after="0"/>
              <w:rPr>
                <w:sz w:val="24"/>
                <w:szCs w:val="24"/>
                <w:color w:val="auto"/>
              </w:rPr>
            </w:pPr>
          </w:p>
        </w:tc>
        <w:tc>
          <w:tcPr>
            <w:tcW w:w="100" w:type="dxa"/>
            <w:vAlign w:val="bottom"/>
            <w:shd w:val="clear" w:color="auto" w:fill="E9EEE6"/>
          </w:tcPr>
          <w:p>
            <w:pPr>
              <w:spacing w:after="0"/>
              <w:rPr>
                <w:sz w:val="24"/>
                <w:szCs w:val="24"/>
                <w:color w:val="auto"/>
              </w:rPr>
            </w:pPr>
          </w:p>
        </w:tc>
        <w:tc>
          <w:tcPr>
            <w:tcW w:w="140" w:type="dxa"/>
            <w:vAlign w:val="bottom"/>
            <w:shd w:val="clear" w:color="auto" w:fill="E9EEE6"/>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20" w:type="dxa"/>
            <w:vAlign w:val="bottom"/>
            <w:tcBorders>
              <w:right w:val="single" w:sz="8" w:color="58854E"/>
            </w:tcBorders>
            <w:shd w:val="clear" w:color="auto" w:fill="E9EEE6"/>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E9EEE6"/>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tcBorders>
              <w:right w:val="single" w:sz="8" w:color="E9EEE6"/>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E9EEE6"/>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080" w:type="dxa"/>
            <w:vAlign w:val="bottom"/>
            <w:gridSpan w:val="7"/>
            <w:shd w:val="clear" w:color="auto" w:fill="58854E"/>
          </w:tcPr>
          <w:p>
            <w:pPr>
              <w:jc w:val="center"/>
              <w:ind w:left="96"/>
              <w:spacing w:after="0" w:line="127" w:lineRule="exact"/>
              <w:rPr>
                <w:sz w:val="20"/>
                <w:szCs w:val="20"/>
                <w:color w:val="auto"/>
              </w:rPr>
            </w:pPr>
            <w:r>
              <w:rPr>
                <w:rFonts w:ascii="Arial" w:cs="Arial" w:eastAsia="Arial" w:hAnsi="Arial"/>
                <w:sz w:val="12"/>
                <w:szCs w:val="12"/>
                <w:b w:val="1"/>
                <w:bCs w:val="1"/>
                <w:color w:val="FFFFFE"/>
              </w:rPr>
              <w:t>LIFE AND</w:t>
            </w: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60" w:type="dxa"/>
            <w:vAlign w:val="bottom"/>
            <w:tcBorders>
              <w:right w:val="single" w:sz="8" w:color="E9EEE6"/>
            </w:tcBorders>
            <w:shd w:val="clear" w:color="auto" w:fill="58854E"/>
          </w:tcPr>
          <w:p>
            <w:pPr>
              <w:spacing w:after="0"/>
              <w:rPr>
                <w:sz w:val="11"/>
                <w:szCs w:val="11"/>
                <w:color w:val="auto"/>
              </w:rPr>
            </w:pPr>
          </w:p>
        </w:tc>
        <w:tc>
          <w:tcPr>
            <w:tcW w:w="100" w:type="dxa"/>
            <w:vAlign w:val="bottom"/>
            <w:shd w:val="clear" w:color="auto" w:fill="E9EEE6"/>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400" w:type="dxa"/>
            <w:vAlign w:val="bottom"/>
            <w:shd w:val="clear" w:color="auto" w:fill="58854E"/>
          </w:tcPr>
          <w:p>
            <w:pPr>
              <w:spacing w:after="0"/>
              <w:rPr>
                <w:sz w:val="11"/>
                <w:szCs w:val="11"/>
                <w:color w:val="auto"/>
              </w:rPr>
            </w:pPr>
          </w:p>
        </w:tc>
        <w:tc>
          <w:tcPr>
            <w:tcW w:w="260" w:type="dxa"/>
            <w:vAlign w:val="bottom"/>
            <w:tcBorders>
              <w:right w:val="single" w:sz="8" w:color="E9EEE6"/>
            </w:tcBorders>
            <w:shd w:val="clear" w:color="auto" w:fill="58854E"/>
          </w:tcPr>
          <w:p>
            <w:pPr>
              <w:spacing w:after="0"/>
              <w:rPr>
                <w:sz w:val="11"/>
                <w:szCs w:val="11"/>
                <w:color w:val="auto"/>
              </w:rPr>
            </w:pPr>
          </w:p>
        </w:tc>
        <w:tc>
          <w:tcPr>
            <w:tcW w:w="140" w:type="dxa"/>
            <w:vAlign w:val="bottom"/>
            <w:tcBorders>
              <w:left w:val="single" w:sz="8" w:color="E9EEE6"/>
            </w:tcBorders>
            <w:shd w:val="clear" w:color="auto" w:fill="58854E"/>
          </w:tcPr>
          <w:p>
            <w:pPr>
              <w:spacing w:after="0"/>
              <w:rPr>
                <w:sz w:val="11"/>
                <w:szCs w:val="11"/>
                <w:color w:val="auto"/>
              </w:rPr>
            </w:pPr>
          </w:p>
        </w:tc>
        <w:tc>
          <w:tcPr>
            <w:tcW w:w="36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060" w:type="dxa"/>
            <w:vAlign w:val="bottom"/>
            <w:tcBorders>
              <w:right w:val="single" w:sz="8" w:color="E9EEE6"/>
            </w:tcBorders>
            <w:gridSpan w:val="5"/>
            <w:shd w:val="clear" w:color="auto" w:fill="58854E"/>
          </w:tcPr>
          <w:p>
            <w:pPr>
              <w:jc w:val="center"/>
              <w:ind w:right="393"/>
              <w:spacing w:after="0" w:line="127" w:lineRule="exact"/>
              <w:rPr>
                <w:sz w:val="20"/>
                <w:szCs w:val="20"/>
                <w:color w:val="auto"/>
              </w:rPr>
            </w:pPr>
            <w:r>
              <w:rPr>
                <w:rFonts w:ascii="Arial" w:cs="Arial" w:eastAsia="Arial" w:hAnsi="Arial"/>
                <w:sz w:val="12"/>
                <w:szCs w:val="12"/>
                <w:b w:val="1"/>
                <w:bCs w:val="1"/>
                <w:color w:val="FFFFFE"/>
              </w:rPr>
              <w:t>401(k)</w:t>
            </w:r>
          </w:p>
        </w:tc>
        <w:tc>
          <w:tcPr>
            <w:tcW w:w="120" w:type="dxa"/>
            <w:vAlign w:val="bottom"/>
            <w:shd w:val="clear" w:color="auto" w:fill="E9EEE6"/>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200" w:type="dxa"/>
            <w:vAlign w:val="bottom"/>
            <w:tcBorders>
              <w:right w:val="single" w:sz="8" w:color="58854E"/>
            </w:tcBorders>
            <w:shd w:val="clear" w:color="auto" w:fill="58854E"/>
          </w:tcPr>
          <w:p>
            <w:pPr>
              <w:spacing w:after="0"/>
              <w:rPr>
                <w:sz w:val="11"/>
                <w:szCs w:val="11"/>
                <w:color w:val="auto"/>
              </w:rPr>
            </w:pPr>
          </w:p>
        </w:tc>
        <w:tc>
          <w:tcPr>
            <w:tcW w:w="78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80" w:type="dxa"/>
            <w:vAlign w:val="bottom"/>
            <w:tcBorders>
              <w:right w:val="single" w:sz="8" w:color="58854E"/>
            </w:tcBorders>
            <w:shd w:val="clear" w:color="auto" w:fill="58854E"/>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72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140" w:type="dxa"/>
            <w:vAlign w:val="bottom"/>
            <w:tcBorders>
              <w:right w:val="single" w:sz="8" w:color="58854E"/>
            </w:tcBorders>
            <w:shd w:val="clear" w:color="auto" w:fill="58854E"/>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440" w:type="dxa"/>
            <w:vAlign w:val="bottom"/>
            <w:shd w:val="clear" w:color="auto" w:fill="58854E"/>
          </w:tcPr>
          <w:p>
            <w:pPr>
              <w:spacing w:after="0"/>
              <w:rPr>
                <w:sz w:val="11"/>
                <w:szCs w:val="11"/>
                <w:color w:val="auto"/>
              </w:rPr>
            </w:pPr>
          </w:p>
        </w:tc>
        <w:tc>
          <w:tcPr>
            <w:tcW w:w="10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E9EEE6"/>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E9EEE6"/>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tcBorders>
              <w:right w:val="single" w:sz="8" w:color="E9EEE6"/>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E9EEE6"/>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080" w:type="dxa"/>
            <w:vAlign w:val="bottom"/>
            <w:gridSpan w:val="7"/>
            <w:shd w:val="clear" w:color="auto" w:fill="58854E"/>
          </w:tcPr>
          <w:p>
            <w:pPr>
              <w:jc w:val="center"/>
              <w:ind w:left="96"/>
              <w:spacing w:after="0" w:line="137" w:lineRule="exact"/>
              <w:rPr>
                <w:sz w:val="20"/>
                <w:szCs w:val="20"/>
                <w:color w:val="auto"/>
              </w:rPr>
            </w:pPr>
            <w:r>
              <w:rPr>
                <w:rFonts w:ascii="Arial" w:cs="Arial" w:eastAsia="Arial" w:hAnsi="Arial"/>
                <w:sz w:val="12"/>
                <w:szCs w:val="12"/>
                <w:b w:val="1"/>
                <w:bCs w:val="1"/>
                <w:color w:val="FFFFFE"/>
              </w:rPr>
              <w:t>DISABILITY</w:t>
            </w: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60" w:type="dxa"/>
            <w:vAlign w:val="bottom"/>
            <w:tcBorders>
              <w:right w:val="single" w:sz="8" w:color="E9EEE6"/>
            </w:tcBorders>
            <w:shd w:val="clear" w:color="auto" w:fill="58854E"/>
          </w:tcPr>
          <w:p>
            <w:pPr>
              <w:spacing w:after="0"/>
              <w:rPr>
                <w:sz w:val="11"/>
                <w:szCs w:val="11"/>
                <w:color w:val="auto"/>
              </w:rPr>
            </w:pPr>
          </w:p>
        </w:tc>
        <w:tc>
          <w:tcPr>
            <w:tcW w:w="100" w:type="dxa"/>
            <w:vAlign w:val="bottom"/>
            <w:shd w:val="clear" w:color="auto" w:fill="E9EEE6"/>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040" w:type="dxa"/>
            <w:vAlign w:val="bottom"/>
            <w:tcBorders>
              <w:right w:val="single" w:sz="8" w:color="E9EEE6"/>
            </w:tcBorders>
            <w:gridSpan w:val="5"/>
            <w:shd w:val="clear" w:color="auto" w:fill="58854E"/>
          </w:tcPr>
          <w:p>
            <w:pPr>
              <w:jc w:val="center"/>
              <w:ind w:right="55"/>
              <w:spacing w:after="0" w:line="137" w:lineRule="exact"/>
              <w:rPr>
                <w:sz w:val="20"/>
                <w:szCs w:val="20"/>
                <w:color w:val="auto"/>
              </w:rPr>
            </w:pPr>
            <w:r>
              <w:rPr>
                <w:rFonts w:ascii="Arial" w:cs="Arial" w:eastAsia="Arial" w:hAnsi="Arial"/>
                <w:sz w:val="12"/>
                <w:szCs w:val="12"/>
                <w:b w:val="1"/>
                <w:bCs w:val="1"/>
                <w:color w:val="FFFFFE"/>
                <w:w w:val="98"/>
              </w:rPr>
              <w:t>FINANCIAL</w:t>
            </w:r>
          </w:p>
        </w:tc>
        <w:tc>
          <w:tcPr>
            <w:tcW w:w="140" w:type="dxa"/>
            <w:vAlign w:val="bottom"/>
            <w:tcBorders>
              <w:left w:val="single" w:sz="8" w:color="E9EEE6"/>
            </w:tcBorders>
            <w:shd w:val="clear" w:color="auto" w:fill="58854E"/>
          </w:tcPr>
          <w:p>
            <w:pPr>
              <w:spacing w:after="0"/>
              <w:rPr>
                <w:sz w:val="11"/>
                <w:szCs w:val="11"/>
                <w:color w:val="auto"/>
              </w:rPr>
            </w:pPr>
          </w:p>
        </w:tc>
        <w:tc>
          <w:tcPr>
            <w:tcW w:w="36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1100" w:type="dxa"/>
            <w:vAlign w:val="bottom"/>
            <w:tcBorders>
              <w:right w:val="single" w:sz="8" w:color="E9EEE6"/>
            </w:tcBorders>
            <w:gridSpan w:val="6"/>
            <w:shd w:val="clear" w:color="auto" w:fill="58854E"/>
          </w:tcPr>
          <w:p>
            <w:pPr>
              <w:jc w:val="center"/>
              <w:ind w:right="353"/>
              <w:spacing w:after="0" w:line="137" w:lineRule="exact"/>
              <w:rPr>
                <w:sz w:val="20"/>
                <w:szCs w:val="20"/>
                <w:color w:val="auto"/>
              </w:rPr>
            </w:pPr>
            <w:r>
              <w:rPr>
                <w:rFonts w:ascii="Arial" w:cs="Arial" w:eastAsia="Arial" w:hAnsi="Arial"/>
                <w:sz w:val="12"/>
                <w:szCs w:val="12"/>
                <w:b w:val="1"/>
                <w:bCs w:val="1"/>
                <w:color w:val="FFFFFE"/>
              </w:rPr>
              <w:t>EMPLOYER</w:t>
            </w:r>
          </w:p>
        </w:tc>
        <w:tc>
          <w:tcPr>
            <w:tcW w:w="120" w:type="dxa"/>
            <w:vAlign w:val="bottom"/>
            <w:shd w:val="clear" w:color="auto" w:fill="E9EEE6"/>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200" w:type="dxa"/>
            <w:vAlign w:val="bottom"/>
            <w:tcBorders>
              <w:right w:val="single" w:sz="8" w:color="58854E"/>
            </w:tcBorders>
            <w:shd w:val="clear" w:color="auto" w:fill="58854E"/>
          </w:tcPr>
          <w:p>
            <w:pPr>
              <w:spacing w:after="0"/>
              <w:rPr>
                <w:sz w:val="11"/>
                <w:szCs w:val="11"/>
                <w:color w:val="auto"/>
              </w:rPr>
            </w:pPr>
          </w:p>
        </w:tc>
        <w:tc>
          <w:tcPr>
            <w:tcW w:w="860" w:type="dxa"/>
            <w:vAlign w:val="bottom"/>
            <w:gridSpan w:val="2"/>
            <w:shd w:val="clear" w:color="auto" w:fill="58854E"/>
          </w:tcPr>
          <w:p>
            <w:pPr>
              <w:jc w:val="right"/>
              <w:ind w:right="280"/>
              <w:spacing w:after="0" w:line="137" w:lineRule="exact"/>
              <w:rPr>
                <w:sz w:val="20"/>
                <w:szCs w:val="20"/>
                <w:color w:val="auto"/>
              </w:rPr>
            </w:pPr>
            <w:r>
              <w:rPr>
                <w:rFonts w:ascii="Arial" w:cs="Arial" w:eastAsia="Arial" w:hAnsi="Arial"/>
                <w:sz w:val="12"/>
                <w:szCs w:val="12"/>
                <w:b w:val="1"/>
                <w:bCs w:val="1"/>
                <w:color w:val="FFFFFE"/>
              </w:rPr>
              <w:t>401(k)</w:t>
            </w:r>
          </w:p>
        </w:tc>
        <w:tc>
          <w:tcPr>
            <w:tcW w:w="14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80" w:type="dxa"/>
            <w:vAlign w:val="bottom"/>
            <w:tcBorders>
              <w:right w:val="single" w:sz="8" w:color="58854E"/>
            </w:tcBorders>
            <w:shd w:val="clear" w:color="auto" w:fill="58854E"/>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72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140" w:type="dxa"/>
            <w:vAlign w:val="bottom"/>
            <w:tcBorders>
              <w:right w:val="single" w:sz="8" w:color="58854E"/>
            </w:tcBorders>
            <w:shd w:val="clear" w:color="auto" w:fill="58854E"/>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440" w:type="dxa"/>
            <w:vAlign w:val="bottom"/>
            <w:shd w:val="clear" w:color="auto" w:fill="58854E"/>
          </w:tcPr>
          <w:p>
            <w:pPr>
              <w:spacing w:after="0"/>
              <w:rPr>
                <w:sz w:val="11"/>
                <w:szCs w:val="11"/>
                <w:color w:val="auto"/>
              </w:rPr>
            </w:pPr>
          </w:p>
        </w:tc>
        <w:tc>
          <w:tcPr>
            <w:tcW w:w="10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E9EEE6"/>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E9EEE6"/>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tcBorders>
              <w:right w:val="single" w:sz="8" w:color="E9EEE6"/>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E9EEE6"/>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080" w:type="dxa"/>
            <w:vAlign w:val="bottom"/>
            <w:gridSpan w:val="7"/>
            <w:shd w:val="clear" w:color="auto" w:fill="58854E"/>
          </w:tcPr>
          <w:p>
            <w:pPr>
              <w:jc w:val="center"/>
              <w:ind w:left="96"/>
              <w:spacing w:after="0" w:line="137" w:lineRule="exact"/>
              <w:rPr>
                <w:sz w:val="20"/>
                <w:szCs w:val="20"/>
                <w:color w:val="auto"/>
              </w:rPr>
            </w:pPr>
            <w:r>
              <w:rPr>
                <w:rFonts w:ascii="Arial" w:cs="Arial" w:eastAsia="Arial" w:hAnsi="Arial"/>
                <w:sz w:val="12"/>
                <w:szCs w:val="12"/>
                <w:b w:val="1"/>
                <w:bCs w:val="1"/>
                <w:color w:val="FFFFFE"/>
              </w:rPr>
              <w:t>INSURANCE</w:t>
            </w: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60" w:type="dxa"/>
            <w:vAlign w:val="bottom"/>
            <w:tcBorders>
              <w:right w:val="single" w:sz="8" w:color="E9EEE6"/>
            </w:tcBorders>
            <w:shd w:val="clear" w:color="auto" w:fill="58854E"/>
          </w:tcPr>
          <w:p>
            <w:pPr>
              <w:spacing w:after="0"/>
              <w:rPr>
                <w:sz w:val="11"/>
                <w:szCs w:val="11"/>
                <w:color w:val="auto"/>
              </w:rPr>
            </w:pPr>
          </w:p>
        </w:tc>
        <w:tc>
          <w:tcPr>
            <w:tcW w:w="100" w:type="dxa"/>
            <w:vAlign w:val="bottom"/>
            <w:shd w:val="clear" w:color="auto" w:fill="E9EEE6"/>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640" w:type="dxa"/>
            <w:vAlign w:val="bottom"/>
            <w:gridSpan w:val="3"/>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ADVISOR</w:t>
            </w:r>
          </w:p>
        </w:tc>
        <w:tc>
          <w:tcPr>
            <w:tcW w:w="260" w:type="dxa"/>
            <w:vAlign w:val="bottom"/>
            <w:tcBorders>
              <w:right w:val="single" w:sz="8" w:color="E9EEE6"/>
            </w:tcBorders>
            <w:shd w:val="clear" w:color="auto" w:fill="58854E"/>
          </w:tcPr>
          <w:p>
            <w:pPr>
              <w:spacing w:after="0"/>
              <w:rPr>
                <w:sz w:val="11"/>
                <w:szCs w:val="11"/>
                <w:color w:val="auto"/>
              </w:rPr>
            </w:pPr>
          </w:p>
        </w:tc>
        <w:tc>
          <w:tcPr>
            <w:tcW w:w="140" w:type="dxa"/>
            <w:vAlign w:val="bottom"/>
            <w:tcBorders>
              <w:left w:val="single" w:sz="8" w:color="E9EEE6"/>
            </w:tcBorders>
            <w:shd w:val="clear" w:color="auto" w:fill="58854E"/>
          </w:tcPr>
          <w:p>
            <w:pPr>
              <w:spacing w:after="0"/>
              <w:rPr>
                <w:sz w:val="11"/>
                <w:szCs w:val="11"/>
                <w:color w:val="auto"/>
              </w:rPr>
            </w:pPr>
          </w:p>
        </w:tc>
        <w:tc>
          <w:tcPr>
            <w:tcW w:w="36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1100" w:type="dxa"/>
            <w:vAlign w:val="bottom"/>
            <w:tcBorders>
              <w:right w:val="single" w:sz="8" w:color="E9EEE6"/>
            </w:tcBorders>
            <w:gridSpan w:val="6"/>
            <w:shd w:val="clear" w:color="auto" w:fill="58854E"/>
          </w:tcPr>
          <w:p>
            <w:pPr>
              <w:jc w:val="center"/>
              <w:ind w:right="353"/>
              <w:spacing w:after="0" w:line="137" w:lineRule="exact"/>
              <w:rPr>
                <w:sz w:val="20"/>
                <w:szCs w:val="20"/>
                <w:color w:val="auto"/>
              </w:rPr>
            </w:pPr>
            <w:r>
              <w:rPr>
                <w:rFonts w:ascii="Arial" w:cs="Arial" w:eastAsia="Arial" w:hAnsi="Arial"/>
                <w:sz w:val="12"/>
                <w:szCs w:val="12"/>
                <w:b w:val="1"/>
                <w:bCs w:val="1"/>
                <w:color w:val="FFFFFE"/>
                <w:w w:val="98"/>
              </w:rPr>
              <w:t>MATCHING</w:t>
            </w:r>
          </w:p>
        </w:tc>
        <w:tc>
          <w:tcPr>
            <w:tcW w:w="120" w:type="dxa"/>
            <w:vAlign w:val="bottom"/>
            <w:shd w:val="clear" w:color="auto" w:fill="E9EEE6"/>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240" w:type="dxa"/>
            <w:vAlign w:val="bottom"/>
            <w:gridSpan w:val="5"/>
            <w:shd w:val="clear" w:color="auto" w:fill="58854E"/>
          </w:tcPr>
          <w:p>
            <w:pPr>
              <w:jc w:val="center"/>
              <w:ind w:right="40"/>
              <w:spacing w:after="0" w:line="137" w:lineRule="exact"/>
              <w:rPr>
                <w:sz w:val="20"/>
                <w:szCs w:val="20"/>
                <w:color w:val="auto"/>
              </w:rPr>
            </w:pPr>
            <w:r>
              <w:rPr>
                <w:rFonts w:ascii="Arial" w:cs="Arial" w:eastAsia="Arial" w:hAnsi="Arial"/>
                <w:sz w:val="12"/>
                <w:szCs w:val="12"/>
                <w:b w:val="1"/>
                <w:bCs w:val="1"/>
                <w:color w:val="FFFFFE"/>
              </w:rPr>
              <w:t>DISCRETIONARY</w:t>
            </w:r>
          </w:p>
        </w:tc>
        <w:tc>
          <w:tcPr>
            <w:tcW w:w="180" w:type="dxa"/>
            <w:vAlign w:val="bottom"/>
            <w:tcBorders>
              <w:right w:val="single" w:sz="8" w:color="58854E"/>
            </w:tcBorders>
            <w:shd w:val="clear" w:color="auto" w:fill="58854E"/>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900" w:type="dxa"/>
            <w:vAlign w:val="bottom"/>
            <w:gridSpan w:val="5"/>
            <w:shd w:val="clear" w:color="auto" w:fill="58854E"/>
          </w:tcPr>
          <w:p>
            <w:pPr>
              <w:jc w:val="center"/>
              <w:ind w:left="133"/>
              <w:spacing w:after="0" w:line="137" w:lineRule="exact"/>
              <w:rPr>
                <w:sz w:val="20"/>
                <w:szCs w:val="20"/>
                <w:color w:val="auto"/>
              </w:rPr>
            </w:pPr>
            <w:r>
              <w:rPr>
                <w:rFonts w:ascii="Arial" w:cs="Arial" w:eastAsia="Arial" w:hAnsi="Arial"/>
                <w:sz w:val="12"/>
                <w:szCs w:val="12"/>
                <w:b w:val="1"/>
                <w:bCs w:val="1"/>
                <w:color w:val="FFFFFE"/>
              </w:rPr>
              <w:t>LEGAL</w:t>
            </w:r>
          </w:p>
        </w:tc>
        <w:tc>
          <w:tcPr>
            <w:tcW w:w="140" w:type="dxa"/>
            <w:vAlign w:val="bottom"/>
            <w:tcBorders>
              <w:right w:val="single" w:sz="8" w:color="58854E"/>
            </w:tcBorders>
            <w:shd w:val="clear" w:color="auto" w:fill="58854E"/>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440" w:type="dxa"/>
            <w:vAlign w:val="bottom"/>
            <w:shd w:val="clear" w:color="auto" w:fill="58854E"/>
          </w:tcPr>
          <w:p>
            <w:pPr>
              <w:spacing w:after="0"/>
              <w:rPr>
                <w:sz w:val="11"/>
                <w:szCs w:val="11"/>
                <w:color w:val="auto"/>
              </w:rPr>
            </w:pPr>
          </w:p>
        </w:tc>
        <w:tc>
          <w:tcPr>
            <w:tcW w:w="10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E9EEE6"/>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E9EEE6"/>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540" w:type="dxa"/>
            <w:vAlign w:val="bottom"/>
            <w:tcBorders>
              <w:right w:val="single" w:sz="8" w:color="E9EEE6"/>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E9EEE6"/>
          </w:tcPr>
          <w:p>
            <w:pPr>
              <w:spacing w:after="0"/>
              <w:rPr>
                <w:sz w:val="11"/>
                <w:szCs w:val="11"/>
                <w:color w:val="auto"/>
              </w:rPr>
            </w:pPr>
          </w:p>
        </w:tc>
        <w:tc>
          <w:tcPr>
            <w:tcW w:w="100" w:type="dxa"/>
            <w:vAlign w:val="bottom"/>
            <w:tcBorders>
              <w:right w:val="single" w:sz="8" w:color="58854E"/>
            </w:tcBorders>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500" w:type="dxa"/>
            <w:vAlign w:val="bottom"/>
            <w:tcBorders>
              <w:right w:val="single" w:sz="8" w:color="E9EEE6"/>
            </w:tcBorders>
            <w:gridSpan w:val="10"/>
            <w:shd w:val="clear" w:color="auto" w:fill="58854E"/>
          </w:tcPr>
          <w:p>
            <w:pPr>
              <w:jc w:val="center"/>
              <w:ind w:right="199"/>
              <w:spacing w:after="0" w:line="137" w:lineRule="exact"/>
              <w:rPr>
                <w:sz w:val="20"/>
                <w:szCs w:val="20"/>
                <w:color w:val="auto"/>
              </w:rPr>
            </w:pPr>
            <w:r>
              <w:rPr>
                <w:rFonts w:ascii="Arial" w:cs="Arial" w:eastAsia="Arial" w:hAnsi="Arial"/>
                <w:sz w:val="12"/>
                <w:szCs w:val="12"/>
                <w:b w:val="1"/>
                <w:bCs w:val="1"/>
                <w:color w:val="FFFFFE"/>
              </w:rPr>
              <w:t>REIMBURSEMENT</w:t>
            </w:r>
          </w:p>
        </w:tc>
        <w:tc>
          <w:tcPr>
            <w:tcW w:w="100" w:type="dxa"/>
            <w:vAlign w:val="bottom"/>
            <w:shd w:val="clear" w:color="auto" w:fill="E9EEE6"/>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640" w:type="dxa"/>
            <w:vAlign w:val="bottom"/>
            <w:gridSpan w:val="3"/>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8"/>
              </w:rPr>
              <w:t>SERVICES</w:t>
            </w:r>
          </w:p>
        </w:tc>
        <w:tc>
          <w:tcPr>
            <w:tcW w:w="260" w:type="dxa"/>
            <w:vAlign w:val="bottom"/>
            <w:tcBorders>
              <w:right w:val="single" w:sz="8" w:color="E9EEE6"/>
            </w:tcBorders>
            <w:shd w:val="clear" w:color="auto" w:fill="58854E"/>
          </w:tcPr>
          <w:p>
            <w:pPr>
              <w:spacing w:after="0"/>
              <w:rPr>
                <w:sz w:val="11"/>
                <w:szCs w:val="11"/>
                <w:color w:val="auto"/>
              </w:rPr>
            </w:pPr>
          </w:p>
        </w:tc>
        <w:tc>
          <w:tcPr>
            <w:tcW w:w="140" w:type="dxa"/>
            <w:vAlign w:val="bottom"/>
            <w:tcBorders>
              <w:left w:val="single" w:sz="8" w:color="E9EEE6"/>
            </w:tcBorders>
            <w:shd w:val="clear" w:color="auto" w:fill="58854E"/>
          </w:tcPr>
          <w:p>
            <w:pPr>
              <w:spacing w:after="0"/>
              <w:rPr>
                <w:sz w:val="11"/>
                <w:szCs w:val="11"/>
                <w:color w:val="auto"/>
              </w:rPr>
            </w:pPr>
          </w:p>
        </w:tc>
        <w:tc>
          <w:tcPr>
            <w:tcW w:w="1480" w:type="dxa"/>
            <w:vAlign w:val="bottom"/>
            <w:tcBorders>
              <w:right w:val="single" w:sz="8" w:color="E9EEE6"/>
            </w:tcBorders>
            <w:gridSpan w:val="8"/>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CONTRIBUTION</w:t>
            </w:r>
          </w:p>
        </w:tc>
        <w:tc>
          <w:tcPr>
            <w:tcW w:w="120" w:type="dxa"/>
            <w:vAlign w:val="bottom"/>
            <w:shd w:val="clear" w:color="auto" w:fill="E9EEE6"/>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200" w:type="dxa"/>
            <w:vAlign w:val="bottom"/>
            <w:tcBorders>
              <w:right w:val="single" w:sz="8" w:color="58854E"/>
            </w:tcBorders>
            <w:shd w:val="clear" w:color="auto" w:fill="58854E"/>
          </w:tcPr>
          <w:p>
            <w:pPr>
              <w:spacing w:after="0"/>
              <w:rPr>
                <w:sz w:val="11"/>
                <w:szCs w:val="11"/>
                <w:color w:val="auto"/>
              </w:rPr>
            </w:pPr>
          </w:p>
        </w:tc>
        <w:tc>
          <w:tcPr>
            <w:tcW w:w="1040" w:type="dxa"/>
            <w:vAlign w:val="bottom"/>
            <w:gridSpan w:val="4"/>
            <w:shd w:val="clear" w:color="auto" w:fill="58854E"/>
          </w:tcPr>
          <w:p>
            <w:pPr>
              <w:jc w:val="center"/>
              <w:ind w:right="160"/>
              <w:spacing w:after="0" w:line="137" w:lineRule="exact"/>
              <w:rPr>
                <w:sz w:val="20"/>
                <w:szCs w:val="20"/>
                <w:color w:val="auto"/>
              </w:rPr>
            </w:pPr>
            <w:r>
              <w:rPr>
                <w:rFonts w:ascii="Arial" w:cs="Arial" w:eastAsia="Arial" w:hAnsi="Arial"/>
                <w:sz w:val="12"/>
                <w:szCs w:val="12"/>
                <w:b w:val="1"/>
                <w:bCs w:val="1"/>
                <w:color w:val="FFFFFE"/>
                <w:w w:val="95"/>
              </w:rPr>
              <w:t>CONTRIBUTION</w:t>
            </w:r>
          </w:p>
        </w:tc>
        <w:tc>
          <w:tcPr>
            <w:tcW w:w="180" w:type="dxa"/>
            <w:vAlign w:val="bottom"/>
            <w:tcBorders>
              <w:right w:val="single" w:sz="8" w:color="58854E"/>
            </w:tcBorders>
            <w:shd w:val="clear" w:color="auto" w:fill="58854E"/>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900" w:type="dxa"/>
            <w:vAlign w:val="bottom"/>
            <w:gridSpan w:val="5"/>
            <w:shd w:val="clear" w:color="auto" w:fill="58854E"/>
          </w:tcPr>
          <w:p>
            <w:pPr>
              <w:jc w:val="center"/>
              <w:ind w:left="133"/>
              <w:spacing w:after="0" w:line="137" w:lineRule="exact"/>
              <w:rPr>
                <w:sz w:val="20"/>
                <w:szCs w:val="20"/>
                <w:color w:val="auto"/>
              </w:rPr>
            </w:pPr>
            <w:r>
              <w:rPr>
                <w:rFonts w:ascii="Arial" w:cs="Arial" w:eastAsia="Arial" w:hAnsi="Arial"/>
                <w:sz w:val="12"/>
                <w:szCs w:val="12"/>
                <w:b w:val="1"/>
                <w:bCs w:val="1"/>
                <w:color w:val="FFFFFE"/>
              </w:rPr>
              <w:t>SERVICES</w:t>
            </w:r>
          </w:p>
        </w:tc>
        <w:tc>
          <w:tcPr>
            <w:tcW w:w="140" w:type="dxa"/>
            <w:vAlign w:val="bottom"/>
            <w:tcBorders>
              <w:right w:val="single" w:sz="8" w:color="58854E"/>
            </w:tcBorders>
            <w:shd w:val="clear" w:color="auto" w:fill="58854E"/>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440" w:type="dxa"/>
            <w:vAlign w:val="bottom"/>
            <w:shd w:val="clear" w:color="auto" w:fill="58854E"/>
          </w:tcPr>
          <w:p>
            <w:pPr>
              <w:jc w:val="right"/>
              <w:spacing w:after="0" w:line="137" w:lineRule="exact"/>
              <w:rPr>
                <w:sz w:val="20"/>
                <w:szCs w:val="20"/>
                <w:color w:val="auto"/>
              </w:rPr>
            </w:pPr>
            <w:r>
              <w:rPr>
                <w:rFonts w:ascii="Arial" w:cs="Arial" w:eastAsia="Arial" w:hAnsi="Arial"/>
                <w:sz w:val="12"/>
                <w:szCs w:val="12"/>
                <w:b w:val="1"/>
                <w:bCs w:val="1"/>
                <w:color w:val="FFFFFE"/>
                <w:w w:val="99"/>
              </w:rPr>
              <w:t>TOTAL</w:t>
            </w:r>
          </w:p>
        </w:tc>
        <w:tc>
          <w:tcPr>
            <w:tcW w:w="10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20" w:type="dxa"/>
            <w:vAlign w:val="bottom"/>
            <w:tcBorders>
              <w:right w:val="single" w:sz="8" w:color="58854E"/>
            </w:tcBorders>
            <w:shd w:val="clear" w:color="auto" w:fill="E9EEE6"/>
          </w:tcPr>
          <w:p>
            <w:pPr>
              <w:spacing w:after="0"/>
              <w:rPr>
                <w:sz w:val="12"/>
                <w:szCs w:val="12"/>
                <w:color w:val="auto"/>
              </w:rPr>
            </w:pPr>
          </w:p>
        </w:tc>
        <w:tc>
          <w:tcPr>
            <w:tcW w:w="1540" w:type="dxa"/>
            <w:vAlign w:val="bottom"/>
            <w:gridSpan w:val="2"/>
            <w:shd w:val="clear" w:color="auto" w:fill="58854E"/>
          </w:tcPr>
          <w:p>
            <w:pPr>
              <w:ind w:left="20"/>
              <w:spacing w:after="0"/>
              <w:rPr>
                <w:sz w:val="20"/>
                <w:szCs w:val="20"/>
                <w:color w:val="auto"/>
              </w:rPr>
            </w:pPr>
            <w:r>
              <w:rPr>
                <w:rFonts w:ascii="Arial" w:cs="Arial" w:eastAsia="Arial" w:hAnsi="Arial"/>
                <w:sz w:val="12"/>
                <w:szCs w:val="12"/>
                <w:b w:val="1"/>
                <w:bCs w:val="1"/>
                <w:color w:val="FFFFFE"/>
              </w:rPr>
              <w:t>NAME</w:t>
            </w:r>
          </w:p>
        </w:tc>
        <w:tc>
          <w:tcPr>
            <w:tcW w:w="80" w:type="dxa"/>
            <w:vAlign w:val="bottom"/>
            <w:shd w:val="clear" w:color="auto" w:fill="58854E"/>
          </w:tcPr>
          <w:p>
            <w:pPr>
              <w:spacing w:after="0"/>
              <w:rPr>
                <w:sz w:val="12"/>
                <w:szCs w:val="12"/>
                <w:color w:val="auto"/>
              </w:rPr>
            </w:pPr>
          </w:p>
        </w:tc>
        <w:tc>
          <w:tcPr>
            <w:tcW w:w="340" w:type="dxa"/>
            <w:vAlign w:val="bottom"/>
            <w:shd w:val="clear" w:color="auto" w:fill="58854E"/>
          </w:tcPr>
          <w:p>
            <w:pPr>
              <w:spacing w:after="0"/>
              <w:rPr>
                <w:sz w:val="12"/>
                <w:szCs w:val="12"/>
                <w:color w:val="auto"/>
              </w:rPr>
            </w:pPr>
          </w:p>
        </w:tc>
        <w:tc>
          <w:tcPr>
            <w:tcW w:w="160" w:type="dxa"/>
            <w:vAlign w:val="bottom"/>
            <w:tcBorders>
              <w:right w:val="single" w:sz="8" w:color="58854E"/>
            </w:tcBorders>
            <w:shd w:val="clear" w:color="auto" w:fill="E9EEE6"/>
          </w:tcPr>
          <w:p>
            <w:pPr>
              <w:spacing w:after="0"/>
              <w:rPr>
                <w:sz w:val="12"/>
                <w:szCs w:val="12"/>
                <w:color w:val="auto"/>
              </w:rPr>
            </w:pPr>
          </w:p>
        </w:tc>
        <w:tc>
          <w:tcPr>
            <w:tcW w:w="60" w:type="dxa"/>
            <w:vAlign w:val="bottom"/>
            <w:shd w:val="clear" w:color="auto" w:fill="58854E"/>
          </w:tcPr>
          <w:p>
            <w:pPr>
              <w:spacing w:after="0"/>
              <w:rPr>
                <w:sz w:val="12"/>
                <w:szCs w:val="12"/>
                <w:color w:val="auto"/>
              </w:rPr>
            </w:pPr>
          </w:p>
        </w:tc>
        <w:tc>
          <w:tcPr>
            <w:tcW w:w="540" w:type="dxa"/>
            <w:vAlign w:val="bottom"/>
            <w:tcBorders>
              <w:right w:val="single" w:sz="8" w:color="E9EEE6"/>
            </w:tcBorders>
            <w:shd w:val="clear" w:color="auto" w:fill="58854E"/>
          </w:tcPr>
          <w:p>
            <w:pPr>
              <w:ind w:left="80"/>
              <w:spacing w:after="0"/>
              <w:rPr>
                <w:sz w:val="20"/>
                <w:szCs w:val="20"/>
                <w:color w:val="auto"/>
              </w:rPr>
            </w:pPr>
            <w:r>
              <w:rPr>
                <w:rFonts w:ascii="Arial" w:cs="Arial" w:eastAsia="Arial" w:hAnsi="Arial"/>
                <w:sz w:val="12"/>
                <w:szCs w:val="12"/>
                <w:b w:val="1"/>
                <w:bCs w:val="1"/>
                <w:color w:val="FFFFFE"/>
              </w:rPr>
              <w:t>YEAR</w:t>
            </w:r>
          </w:p>
        </w:tc>
        <w:tc>
          <w:tcPr>
            <w:tcW w:w="160" w:type="dxa"/>
            <w:vAlign w:val="bottom"/>
            <w:tcBorders>
              <w:right w:val="single" w:sz="8" w:color="58854E"/>
            </w:tcBorders>
            <w:shd w:val="clear" w:color="auto" w:fill="E9EEE6"/>
          </w:tcPr>
          <w:p>
            <w:pPr>
              <w:spacing w:after="0"/>
              <w:rPr>
                <w:sz w:val="12"/>
                <w:szCs w:val="12"/>
                <w:color w:val="auto"/>
              </w:rPr>
            </w:pPr>
          </w:p>
        </w:tc>
        <w:tc>
          <w:tcPr>
            <w:tcW w:w="100" w:type="dxa"/>
            <w:vAlign w:val="bottom"/>
            <w:tcBorders>
              <w:right w:val="single" w:sz="8" w:color="58854E"/>
            </w:tcBorders>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420" w:type="dxa"/>
            <w:vAlign w:val="bottom"/>
            <w:shd w:val="clear" w:color="auto" w:fill="58854E"/>
          </w:tcPr>
          <w:p>
            <w:pPr>
              <w:spacing w:after="0"/>
              <w:rPr>
                <w:sz w:val="12"/>
                <w:szCs w:val="12"/>
                <w:color w:val="auto"/>
              </w:rPr>
            </w:pPr>
          </w:p>
        </w:tc>
        <w:tc>
          <w:tcPr>
            <w:tcW w:w="60" w:type="dxa"/>
            <w:vAlign w:val="bottom"/>
            <w:shd w:val="clear" w:color="auto" w:fill="58854E"/>
          </w:tcPr>
          <w:p>
            <w:pPr>
              <w:spacing w:after="0"/>
              <w:rPr>
                <w:sz w:val="12"/>
                <w:szCs w:val="12"/>
                <w:color w:val="auto"/>
              </w:rPr>
            </w:pPr>
          </w:p>
        </w:tc>
        <w:tc>
          <w:tcPr>
            <w:tcW w:w="240" w:type="dxa"/>
            <w:vAlign w:val="bottom"/>
            <w:gridSpan w:val="3"/>
            <w:shd w:val="clear" w:color="auto" w:fill="58854E"/>
          </w:tcPr>
          <w:p>
            <w:pPr>
              <w:ind w:left="60"/>
              <w:spacing w:after="0"/>
              <w:rPr>
                <w:sz w:val="20"/>
                <w:szCs w:val="20"/>
                <w:color w:val="auto"/>
              </w:rPr>
            </w:pPr>
            <w:r>
              <w:rPr>
                <w:rFonts w:ascii="Arial" w:cs="Arial" w:eastAsia="Arial" w:hAnsi="Arial"/>
                <w:sz w:val="12"/>
                <w:szCs w:val="12"/>
                <w:b w:val="1"/>
                <w:bCs w:val="1"/>
                <w:color w:val="FFFFFE"/>
              </w:rPr>
              <w:t>($)</w:t>
            </w:r>
          </w:p>
        </w:tc>
        <w:tc>
          <w:tcPr>
            <w:tcW w:w="80" w:type="dxa"/>
            <w:vAlign w:val="bottom"/>
            <w:shd w:val="clear" w:color="auto" w:fill="58854E"/>
          </w:tcPr>
          <w:p>
            <w:pPr>
              <w:spacing w:after="0"/>
              <w:rPr>
                <w:sz w:val="12"/>
                <w:szCs w:val="12"/>
                <w:color w:val="auto"/>
              </w:rPr>
            </w:pPr>
          </w:p>
        </w:tc>
        <w:tc>
          <w:tcPr>
            <w:tcW w:w="280" w:type="dxa"/>
            <w:vAlign w:val="bottom"/>
            <w:shd w:val="clear" w:color="auto" w:fill="58854E"/>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160" w:type="dxa"/>
            <w:vAlign w:val="bottom"/>
            <w:tcBorders>
              <w:right w:val="single" w:sz="8" w:color="E9EEE6"/>
            </w:tcBorders>
            <w:shd w:val="clear" w:color="auto" w:fill="58854E"/>
          </w:tcPr>
          <w:p>
            <w:pPr>
              <w:spacing w:after="0"/>
              <w:rPr>
                <w:sz w:val="12"/>
                <w:szCs w:val="12"/>
                <w:color w:val="auto"/>
              </w:rPr>
            </w:pPr>
          </w:p>
        </w:tc>
        <w:tc>
          <w:tcPr>
            <w:tcW w:w="100" w:type="dxa"/>
            <w:vAlign w:val="bottom"/>
            <w:shd w:val="clear" w:color="auto" w:fill="E9EEE6"/>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400" w:type="dxa"/>
            <w:vAlign w:val="bottom"/>
            <w:shd w:val="clear" w:color="auto" w:fill="58854E"/>
          </w:tcPr>
          <w:p>
            <w:pPr>
              <w:jc w:val="center"/>
              <w:ind w:right="172"/>
              <w:spacing w:after="0"/>
              <w:rPr>
                <w:sz w:val="20"/>
                <w:szCs w:val="20"/>
                <w:color w:val="auto"/>
              </w:rPr>
            </w:pPr>
            <w:r>
              <w:rPr>
                <w:rFonts w:ascii="Arial" w:cs="Arial" w:eastAsia="Arial" w:hAnsi="Arial"/>
                <w:sz w:val="12"/>
                <w:szCs w:val="12"/>
                <w:b w:val="1"/>
                <w:bCs w:val="1"/>
                <w:color w:val="FFFFFE"/>
              </w:rPr>
              <w:t>($)</w:t>
            </w:r>
          </w:p>
        </w:tc>
        <w:tc>
          <w:tcPr>
            <w:tcW w:w="260" w:type="dxa"/>
            <w:vAlign w:val="bottom"/>
            <w:tcBorders>
              <w:right w:val="single" w:sz="8" w:color="E9EEE6"/>
            </w:tcBorders>
            <w:shd w:val="clear" w:color="auto" w:fill="58854E"/>
          </w:tcPr>
          <w:p>
            <w:pPr>
              <w:spacing w:after="0"/>
              <w:rPr>
                <w:sz w:val="12"/>
                <w:szCs w:val="12"/>
                <w:color w:val="auto"/>
              </w:rPr>
            </w:pPr>
          </w:p>
        </w:tc>
        <w:tc>
          <w:tcPr>
            <w:tcW w:w="140" w:type="dxa"/>
            <w:vAlign w:val="bottom"/>
            <w:tcBorders>
              <w:left w:val="single" w:sz="8" w:color="E9EEE6"/>
            </w:tcBorders>
            <w:shd w:val="clear" w:color="auto" w:fill="58854E"/>
          </w:tcPr>
          <w:p>
            <w:pPr>
              <w:spacing w:after="0"/>
              <w:rPr>
                <w:sz w:val="12"/>
                <w:szCs w:val="12"/>
                <w:color w:val="auto"/>
              </w:rPr>
            </w:pPr>
          </w:p>
        </w:tc>
        <w:tc>
          <w:tcPr>
            <w:tcW w:w="360" w:type="dxa"/>
            <w:vAlign w:val="bottom"/>
            <w:shd w:val="clear" w:color="auto" w:fill="58854E"/>
          </w:tcPr>
          <w:p>
            <w:pPr>
              <w:spacing w:after="0"/>
              <w:rPr>
                <w:sz w:val="12"/>
                <w:szCs w:val="12"/>
                <w:color w:val="auto"/>
              </w:rPr>
            </w:pPr>
          </w:p>
        </w:tc>
        <w:tc>
          <w:tcPr>
            <w:tcW w:w="20" w:type="dxa"/>
            <w:vAlign w:val="bottom"/>
            <w:shd w:val="clear" w:color="auto" w:fill="58854E"/>
          </w:tcPr>
          <w:p>
            <w:pPr>
              <w:spacing w:after="0"/>
              <w:rPr>
                <w:sz w:val="12"/>
                <w:szCs w:val="12"/>
                <w:color w:val="auto"/>
              </w:rPr>
            </w:pPr>
          </w:p>
        </w:tc>
        <w:tc>
          <w:tcPr>
            <w:tcW w:w="40" w:type="dxa"/>
            <w:vAlign w:val="bottom"/>
            <w:shd w:val="clear" w:color="auto" w:fill="58854E"/>
          </w:tcPr>
          <w:p>
            <w:pPr>
              <w:spacing w:after="0"/>
              <w:rPr>
                <w:sz w:val="12"/>
                <w:szCs w:val="12"/>
                <w:color w:val="auto"/>
              </w:rPr>
            </w:pPr>
          </w:p>
        </w:tc>
        <w:tc>
          <w:tcPr>
            <w:tcW w:w="180" w:type="dxa"/>
            <w:vAlign w:val="bottom"/>
            <w:shd w:val="clear" w:color="auto" w:fill="58854E"/>
          </w:tcPr>
          <w:p>
            <w:pPr>
              <w:spacing w:after="0"/>
              <w:rPr>
                <w:sz w:val="12"/>
                <w:szCs w:val="12"/>
                <w:color w:val="auto"/>
              </w:rPr>
            </w:pPr>
          </w:p>
        </w:tc>
        <w:tc>
          <w:tcPr>
            <w:tcW w:w="20" w:type="dxa"/>
            <w:vAlign w:val="bottom"/>
            <w:shd w:val="clear" w:color="auto" w:fill="58854E"/>
          </w:tcPr>
          <w:p>
            <w:pPr>
              <w:spacing w:after="0"/>
              <w:rPr>
                <w:sz w:val="12"/>
                <w:szCs w:val="12"/>
                <w:color w:val="auto"/>
              </w:rPr>
            </w:pPr>
          </w:p>
        </w:tc>
        <w:tc>
          <w:tcPr>
            <w:tcW w:w="200" w:type="dxa"/>
            <w:vAlign w:val="bottom"/>
            <w:gridSpan w:val="2"/>
            <w:shd w:val="clear" w:color="auto" w:fill="58854E"/>
          </w:tcPr>
          <w:p>
            <w:pPr>
              <w:jc w:val="right"/>
              <w:ind w:right="20"/>
              <w:spacing w:after="0"/>
              <w:rPr>
                <w:sz w:val="20"/>
                <w:szCs w:val="20"/>
                <w:color w:val="auto"/>
              </w:rPr>
            </w:pPr>
            <w:r>
              <w:rPr>
                <w:rFonts w:ascii="Arial" w:cs="Arial" w:eastAsia="Arial" w:hAnsi="Arial"/>
                <w:sz w:val="12"/>
                <w:szCs w:val="12"/>
                <w:b w:val="1"/>
                <w:bCs w:val="1"/>
                <w:color w:val="FFFFFE"/>
              </w:rPr>
              <w:t>($)</w:t>
            </w:r>
          </w:p>
        </w:tc>
        <w:tc>
          <w:tcPr>
            <w:tcW w:w="660" w:type="dxa"/>
            <w:vAlign w:val="bottom"/>
            <w:tcBorders>
              <w:right w:val="single" w:sz="8" w:color="E9EEE6"/>
            </w:tcBorders>
            <w:shd w:val="clear" w:color="auto" w:fill="58854E"/>
          </w:tcPr>
          <w:p>
            <w:pPr>
              <w:spacing w:after="0"/>
              <w:rPr>
                <w:sz w:val="12"/>
                <w:szCs w:val="12"/>
                <w:color w:val="auto"/>
              </w:rPr>
            </w:pPr>
          </w:p>
        </w:tc>
        <w:tc>
          <w:tcPr>
            <w:tcW w:w="120" w:type="dxa"/>
            <w:vAlign w:val="bottom"/>
            <w:shd w:val="clear" w:color="auto" w:fill="E9EEE6"/>
          </w:tcPr>
          <w:p>
            <w:pPr>
              <w:spacing w:after="0"/>
              <w:rPr>
                <w:sz w:val="12"/>
                <w:szCs w:val="12"/>
                <w:color w:val="auto"/>
              </w:rPr>
            </w:pPr>
          </w:p>
        </w:tc>
        <w:tc>
          <w:tcPr>
            <w:tcW w:w="240" w:type="dxa"/>
            <w:vAlign w:val="bottom"/>
            <w:shd w:val="clear" w:color="auto" w:fill="58854E"/>
          </w:tcPr>
          <w:p>
            <w:pPr>
              <w:spacing w:after="0"/>
              <w:rPr>
                <w:sz w:val="12"/>
                <w:szCs w:val="12"/>
                <w:color w:val="auto"/>
              </w:rPr>
            </w:pPr>
          </w:p>
        </w:tc>
        <w:tc>
          <w:tcPr>
            <w:tcW w:w="200" w:type="dxa"/>
            <w:vAlign w:val="bottom"/>
            <w:tcBorders>
              <w:right w:val="single" w:sz="8" w:color="58854E"/>
            </w:tcBorders>
            <w:shd w:val="clear" w:color="auto" w:fill="58854E"/>
          </w:tcPr>
          <w:p>
            <w:pPr>
              <w:spacing w:after="0"/>
              <w:rPr>
                <w:sz w:val="12"/>
                <w:szCs w:val="12"/>
                <w:color w:val="auto"/>
              </w:rPr>
            </w:pPr>
          </w:p>
        </w:tc>
        <w:tc>
          <w:tcPr>
            <w:tcW w:w="78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5"/>
              </w:rPr>
              <w:t>($)</w:t>
            </w:r>
          </w:p>
        </w:tc>
        <w:tc>
          <w:tcPr>
            <w:tcW w:w="8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40" w:type="dxa"/>
            <w:vAlign w:val="bottom"/>
            <w:shd w:val="clear" w:color="auto" w:fill="58854E"/>
          </w:tcPr>
          <w:p>
            <w:pPr>
              <w:spacing w:after="0"/>
              <w:rPr>
                <w:sz w:val="12"/>
                <w:szCs w:val="12"/>
                <w:color w:val="auto"/>
              </w:rPr>
            </w:pPr>
          </w:p>
        </w:tc>
        <w:tc>
          <w:tcPr>
            <w:tcW w:w="180" w:type="dxa"/>
            <w:vAlign w:val="bottom"/>
            <w:tcBorders>
              <w:right w:val="single" w:sz="8" w:color="58854E"/>
            </w:tcBorders>
            <w:shd w:val="clear" w:color="auto" w:fill="58854E"/>
          </w:tcPr>
          <w:p>
            <w:pPr>
              <w:spacing w:after="0"/>
              <w:rPr>
                <w:sz w:val="12"/>
                <w:szCs w:val="12"/>
                <w:color w:val="auto"/>
              </w:rPr>
            </w:pPr>
          </w:p>
        </w:tc>
        <w:tc>
          <w:tcPr>
            <w:tcW w:w="120" w:type="dxa"/>
            <w:vAlign w:val="bottom"/>
            <w:shd w:val="clear" w:color="auto" w:fill="E9EEE6"/>
          </w:tcPr>
          <w:p>
            <w:pPr>
              <w:spacing w:after="0"/>
              <w:rPr>
                <w:sz w:val="12"/>
                <w:szCs w:val="12"/>
                <w:color w:val="auto"/>
              </w:rPr>
            </w:pPr>
          </w:p>
        </w:tc>
        <w:tc>
          <w:tcPr>
            <w:tcW w:w="720" w:type="dxa"/>
            <w:vAlign w:val="bottom"/>
            <w:shd w:val="clear" w:color="auto" w:fill="58854E"/>
          </w:tcPr>
          <w:p>
            <w:pPr>
              <w:jc w:val="center"/>
              <w:ind w:left="313"/>
              <w:spacing w:after="0"/>
              <w:rPr>
                <w:sz w:val="20"/>
                <w:szCs w:val="20"/>
                <w:color w:val="auto"/>
              </w:rPr>
            </w:pPr>
            <w:r>
              <w:rPr>
                <w:rFonts w:ascii="Arial" w:cs="Arial" w:eastAsia="Arial" w:hAnsi="Arial"/>
                <w:sz w:val="12"/>
                <w:szCs w:val="12"/>
                <w:b w:val="1"/>
                <w:bCs w:val="1"/>
                <w:color w:val="FFFFFE"/>
                <w:w w:val="95"/>
              </w:rPr>
              <w:t>($)</w:t>
            </w:r>
          </w:p>
        </w:tc>
        <w:tc>
          <w:tcPr>
            <w:tcW w:w="20" w:type="dxa"/>
            <w:vAlign w:val="bottom"/>
            <w:shd w:val="clear" w:color="auto" w:fill="58854E"/>
          </w:tcPr>
          <w:p>
            <w:pPr>
              <w:spacing w:after="0"/>
              <w:rPr>
                <w:sz w:val="12"/>
                <w:szCs w:val="12"/>
                <w:color w:val="auto"/>
              </w:rPr>
            </w:pPr>
          </w:p>
        </w:tc>
        <w:tc>
          <w:tcPr>
            <w:tcW w:w="40" w:type="dxa"/>
            <w:vAlign w:val="bottom"/>
            <w:shd w:val="clear" w:color="auto" w:fill="58854E"/>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20" w:type="dxa"/>
            <w:vAlign w:val="bottom"/>
            <w:shd w:val="clear" w:color="auto" w:fill="58854E"/>
          </w:tcPr>
          <w:p>
            <w:pPr>
              <w:spacing w:after="0"/>
              <w:rPr>
                <w:sz w:val="12"/>
                <w:szCs w:val="12"/>
                <w:color w:val="auto"/>
              </w:rPr>
            </w:pPr>
          </w:p>
        </w:tc>
        <w:tc>
          <w:tcPr>
            <w:tcW w:w="140" w:type="dxa"/>
            <w:vAlign w:val="bottom"/>
            <w:tcBorders>
              <w:right w:val="single" w:sz="8" w:color="58854E"/>
            </w:tcBorders>
            <w:shd w:val="clear" w:color="auto" w:fill="58854E"/>
          </w:tcPr>
          <w:p>
            <w:pPr>
              <w:spacing w:after="0"/>
              <w:rPr>
                <w:sz w:val="12"/>
                <w:szCs w:val="12"/>
                <w:color w:val="auto"/>
              </w:rPr>
            </w:pPr>
          </w:p>
        </w:tc>
        <w:tc>
          <w:tcPr>
            <w:tcW w:w="140" w:type="dxa"/>
            <w:vAlign w:val="bottom"/>
            <w:shd w:val="clear" w:color="auto" w:fill="E9EEE6"/>
          </w:tcPr>
          <w:p>
            <w:pPr>
              <w:spacing w:after="0"/>
              <w:rPr>
                <w:sz w:val="12"/>
                <w:szCs w:val="12"/>
                <w:color w:val="auto"/>
              </w:rPr>
            </w:pPr>
          </w:p>
        </w:tc>
        <w:tc>
          <w:tcPr>
            <w:tcW w:w="60" w:type="dxa"/>
            <w:vAlign w:val="bottom"/>
            <w:shd w:val="clear" w:color="auto" w:fill="58854E"/>
          </w:tcPr>
          <w:p>
            <w:pPr>
              <w:spacing w:after="0"/>
              <w:rPr>
                <w:sz w:val="12"/>
                <w:szCs w:val="12"/>
                <w:color w:val="auto"/>
              </w:rPr>
            </w:pPr>
          </w:p>
        </w:tc>
        <w:tc>
          <w:tcPr>
            <w:tcW w:w="440" w:type="dxa"/>
            <w:vAlign w:val="bottom"/>
            <w:shd w:val="clear" w:color="auto" w:fill="58854E"/>
          </w:tcPr>
          <w:p>
            <w:pPr>
              <w:jc w:val="right"/>
              <w:ind w:right="73"/>
              <w:spacing w:after="0"/>
              <w:rPr>
                <w:sz w:val="20"/>
                <w:szCs w:val="20"/>
                <w:color w:val="auto"/>
              </w:rPr>
            </w:pPr>
            <w:r>
              <w:rPr>
                <w:rFonts w:ascii="Arial" w:cs="Arial" w:eastAsia="Arial" w:hAnsi="Arial"/>
                <w:sz w:val="12"/>
                <w:szCs w:val="12"/>
                <w:b w:val="1"/>
                <w:bCs w:val="1"/>
                <w:color w:val="FFFFFE"/>
              </w:rPr>
              <w:t>($)</w:t>
            </w:r>
          </w:p>
        </w:tc>
        <w:tc>
          <w:tcPr>
            <w:tcW w:w="100" w:type="dxa"/>
            <w:vAlign w:val="bottom"/>
            <w:shd w:val="clear" w:color="auto" w:fill="E9EEE6"/>
          </w:tcPr>
          <w:p>
            <w:pPr>
              <w:spacing w:after="0"/>
              <w:rPr>
                <w:sz w:val="12"/>
                <w:szCs w:val="12"/>
                <w:color w:val="auto"/>
              </w:rPr>
            </w:pPr>
          </w:p>
        </w:tc>
        <w:tc>
          <w:tcPr>
            <w:tcW w:w="140" w:type="dxa"/>
            <w:vAlign w:val="bottom"/>
            <w:shd w:val="clear" w:color="auto" w:fill="E9EEE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Borders>
              <w:right w:val="single" w:sz="8" w:color="E9EEE6"/>
            </w:tcBorders>
            <w:shd w:val="clear" w:color="auto" w:fill="E9EEE6"/>
          </w:tcPr>
          <w:p>
            <w:pPr>
              <w:spacing w:after="0"/>
              <w:rPr>
                <w:sz w:val="13"/>
                <w:szCs w:val="13"/>
                <w:color w:val="auto"/>
              </w:rPr>
            </w:pPr>
          </w:p>
        </w:tc>
        <w:tc>
          <w:tcPr>
            <w:tcW w:w="1540" w:type="dxa"/>
            <w:vAlign w:val="bottom"/>
            <w:gridSpan w:val="2"/>
            <w:shd w:val="clear" w:color="auto" w:fill="E9EEE6"/>
          </w:tcPr>
          <w:p>
            <w:pPr>
              <w:ind w:left="20"/>
              <w:spacing w:after="0"/>
              <w:rPr>
                <w:sz w:val="20"/>
                <w:szCs w:val="20"/>
                <w:color w:val="auto"/>
              </w:rPr>
            </w:pPr>
            <w:r>
              <w:rPr>
                <w:rFonts w:ascii="Arial" w:cs="Arial" w:eastAsia="Arial" w:hAnsi="Arial"/>
                <w:sz w:val="12"/>
                <w:szCs w:val="12"/>
                <w:b w:val="1"/>
                <w:bCs w:val="1"/>
                <w:color w:val="auto"/>
              </w:rPr>
              <w:t>Christopher S. Sotos</w:t>
            </w:r>
          </w:p>
        </w:tc>
        <w:tc>
          <w:tcPr>
            <w:tcW w:w="80" w:type="dxa"/>
            <w:vAlign w:val="bottom"/>
            <w:shd w:val="clear" w:color="auto" w:fill="E9EEE6"/>
          </w:tcPr>
          <w:p>
            <w:pPr>
              <w:spacing w:after="0"/>
              <w:rPr>
                <w:sz w:val="13"/>
                <w:szCs w:val="13"/>
                <w:color w:val="auto"/>
              </w:rPr>
            </w:pPr>
          </w:p>
        </w:tc>
        <w:tc>
          <w:tcPr>
            <w:tcW w:w="340" w:type="dxa"/>
            <w:vAlign w:val="bottom"/>
            <w:shd w:val="clear" w:color="auto" w:fill="E9EEE6"/>
          </w:tcPr>
          <w:p>
            <w:pPr>
              <w:spacing w:after="0"/>
              <w:rPr>
                <w:sz w:val="13"/>
                <w:szCs w:val="13"/>
                <w:color w:val="auto"/>
              </w:rPr>
            </w:pPr>
          </w:p>
        </w:tc>
        <w:tc>
          <w:tcPr>
            <w:tcW w:w="160" w:type="dxa"/>
            <w:vAlign w:val="bottom"/>
            <w:tcBorders>
              <w:right w:val="single" w:sz="8" w:color="E9EEE6"/>
            </w:tcBorders>
            <w:shd w:val="clear" w:color="auto" w:fill="E9EEE6"/>
          </w:tcPr>
          <w:p>
            <w:pPr>
              <w:spacing w:after="0"/>
              <w:rPr>
                <w:sz w:val="13"/>
                <w:szCs w:val="13"/>
                <w:color w:val="auto"/>
              </w:rPr>
            </w:pPr>
          </w:p>
        </w:tc>
        <w:tc>
          <w:tcPr>
            <w:tcW w:w="600" w:type="dxa"/>
            <w:vAlign w:val="bottom"/>
            <w:tcBorders>
              <w:right w:val="single" w:sz="8" w:color="E9EEE6"/>
            </w:tcBorders>
            <w:gridSpan w:val="2"/>
            <w:shd w:val="clear" w:color="auto" w:fill="E9EEE6"/>
          </w:tcPr>
          <w:p>
            <w:pPr>
              <w:jc w:val="center"/>
              <w:ind w:left="193"/>
              <w:spacing w:after="0"/>
              <w:rPr>
                <w:sz w:val="20"/>
                <w:szCs w:val="20"/>
                <w:color w:val="auto"/>
              </w:rPr>
            </w:pPr>
            <w:r>
              <w:rPr>
                <w:rFonts w:ascii="Arial" w:cs="Arial" w:eastAsia="Arial" w:hAnsi="Arial"/>
                <w:sz w:val="12"/>
                <w:szCs w:val="12"/>
                <w:color w:val="auto"/>
                <w:w w:val="97"/>
              </w:rPr>
              <w:t>2017</w:t>
            </w:r>
          </w:p>
        </w:tc>
        <w:tc>
          <w:tcPr>
            <w:tcW w:w="260" w:type="dxa"/>
            <w:vAlign w:val="bottom"/>
            <w:tcBorders>
              <w:right w:val="single" w:sz="8" w:color="E9EEE6"/>
            </w:tcBorders>
            <w:gridSpan w:val="2"/>
            <w:shd w:val="clear" w:color="auto" w:fill="E9EEE6"/>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E9EEE6"/>
          </w:tcPr>
          <w:p>
            <w:pPr>
              <w:spacing w:after="0"/>
              <w:rPr>
                <w:sz w:val="13"/>
                <w:szCs w:val="13"/>
                <w:color w:val="auto"/>
              </w:rPr>
            </w:pPr>
          </w:p>
        </w:tc>
        <w:tc>
          <w:tcPr>
            <w:tcW w:w="420" w:type="dxa"/>
            <w:vAlign w:val="bottom"/>
            <w:shd w:val="clear" w:color="auto" w:fill="E9EEE6"/>
          </w:tcPr>
          <w:p>
            <w:pPr>
              <w:spacing w:after="0"/>
              <w:rPr>
                <w:sz w:val="13"/>
                <w:szCs w:val="13"/>
                <w:color w:val="auto"/>
              </w:rPr>
            </w:pPr>
          </w:p>
        </w:tc>
        <w:tc>
          <w:tcPr>
            <w:tcW w:w="60" w:type="dxa"/>
            <w:vAlign w:val="bottom"/>
            <w:shd w:val="clear" w:color="auto" w:fill="E9EEE6"/>
          </w:tcPr>
          <w:p>
            <w:pPr>
              <w:spacing w:after="0"/>
              <w:rPr>
                <w:sz w:val="13"/>
                <w:szCs w:val="13"/>
                <w:color w:val="auto"/>
              </w:rPr>
            </w:pPr>
          </w:p>
        </w:tc>
        <w:tc>
          <w:tcPr>
            <w:tcW w:w="6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280" w:type="dxa"/>
            <w:vAlign w:val="bottom"/>
            <w:shd w:val="clear" w:color="auto" w:fill="E9EEE6"/>
          </w:tcPr>
          <w:p>
            <w:pPr>
              <w:spacing w:after="0"/>
              <w:rPr>
                <w:sz w:val="13"/>
                <w:szCs w:val="13"/>
                <w:color w:val="auto"/>
              </w:rPr>
            </w:pPr>
          </w:p>
        </w:tc>
        <w:tc>
          <w:tcPr>
            <w:tcW w:w="420" w:type="dxa"/>
            <w:vAlign w:val="bottom"/>
            <w:tcBorders>
              <w:right w:val="single" w:sz="8" w:color="E9EEE6"/>
            </w:tcBorders>
            <w:gridSpan w:val="3"/>
            <w:shd w:val="clear" w:color="auto" w:fill="E9EEE6"/>
          </w:tcPr>
          <w:p>
            <w:pPr>
              <w:jc w:val="right"/>
              <w:spacing w:after="0"/>
              <w:rPr>
                <w:sz w:val="20"/>
                <w:szCs w:val="20"/>
                <w:color w:val="auto"/>
              </w:rPr>
            </w:pPr>
            <w:r>
              <w:rPr>
                <w:rFonts w:ascii="Arial" w:cs="Arial" w:eastAsia="Arial" w:hAnsi="Arial"/>
                <w:sz w:val="12"/>
                <w:szCs w:val="12"/>
                <w:color w:val="auto"/>
              </w:rPr>
              <w:t>4,000</w:t>
            </w:r>
          </w:p>
        </w:tc>
        <w:tc>
          <w:tcPr>
            <w:tcW w:w="100" w:type="dxa"/>
            <w:vAlign w:val="bottom"/>
            <w:shd w:val="clear" w:color="auto" w:fill="E9EEE6"/>
          </w:tcPr>
          <w:p>
            <w:pPr>
              <w:spacing w:after="0"/>
              <w:rPr>
                <w:sz w:val="13"/>
                <w:szCs w:val="13"/>
                <w:color w:val="auto"/>
              </w:rPr>
            </w:pPr>
          </w:p>
        </w:tc>
        <w:tc>
          <w:tcPr>
            <w:tcW w:w="120" w:type="dxa"/>
            <w:vAlign w:val="bottom"/>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400" w:type="dxa"/>
            <w:vAlign w:val="bottom"/>
            <w:shd w:val="clear" w:color="auto" w:fill="E9EEE6"/>
          </w:tcPr>
          <w:p>
            <w:pPr>
              <w:spacing w:after="0"/>
              <w:rPr>
                <w:sz w:val="13"/>
                <w:szCs w:val="13"/>
                <w:color w:val="auto"/>
              </w:rPr>
            </w:pPr>
          </w:p>
        </w:tc>
        <w:tc>
          <w:tcPr>
            <w:tcW w:w="260" w:type="dxa"/>
            <w:vAlign w:val="bottom"/>
            <w:tcBorders>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lef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40" w:type="dxa"/>
            <w:vAlign w:val="bottom"/>
            <w:shd w:val="clear" w:color="auto" w:fill="E9EEE6"/>
          </w:tcPr>
          <w:p>
            <w:pPr>
              <w:spacing w:after="0"/>
              <w:rPr>
                <w:sz w:val="13"/>
                <w:szCs w:val="13"/>
                <w:color w:val="auto"/>
              </w:rPr>
            </w:pPr>
          </w:p>
        </w:tc>
        <w:tc>
          <w:tcPr>
            <w:tcW w:w="18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12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660" w:type="dxa"/>
            <w:vAlign w:val="bottom"/>
            <w:tcBorders>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10,800</w:t>
            </w:r>
          </w:p>
        </w:tc>
        <w:tc>
          <w:tcPr>
            <w:tcW w:w="360" w:type="dxa"/>
            <w:vAlign w:val="bottom"/>
            <w:gridSpan w:val="2"/>
            <w:shd w:val="clear" w:color="auto" w:fill="E9EEE6"/>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E9EEE6"/>
            </w:tcBorders>
            <w:shd w:val="clear" w:color="auto" w:fill="E9EEE6"/>
          </w:tcPr>
          <w:p>
            <w:pPr>
              <w:spacing w:after="0"/>
              <w:rPr>
                <w:sz w:val="13"/>
                <w:szCs w:val="13"/>
                <w:color w:val="auto"/>
              </w:rPr>
            </w:pPr>
          </w:p>
        </w:tc>
        <w:tc>
          <w:tcPr>
            <w:tcW w:w="78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360" w:type="dxa"/>
            <w:vAlign w:val="bottom"/>
            <w:tcBorders>
              <w:right w:val="single" w:sz="8" w:color="E9EEE6"/>
            </w:tcBorders>
            <w:gridSpan w:val="3"/>
            <w:shd w:val="clear" w:color="auto" w:fill="E9EEE6"/>
          </w:tcPr>
          <w:p>
            <w:pPr>
              <w:jc w:val="right"/>
              <w:spacing w:after="0"/>
              <w:rPr>
                <w:sz w:val="20"/>
                <w:szCs w:val="20"/>
                <w:color w:val="auto"/>
              </w:rPr>
            </w:pPr>
            <w:r>
              <w:rPr>
                <w:rFonts w:ascii="Arial" w:cs="Arial" w:eastAsia="Arial" w:hAnsi="Arial"/>
                <w:sz w:val="12"/>
                <w:szCs w:val="12"/>
                <w:color w:val="auto"/>
              </w:rPr>
              <w:t>7,950</w:t>
            </w:r>
          </w:p>
        </w:tc>
        <w:tc>
          <w:tcPr>
            <w:tcW w:w="120" w:type="dxa"/>
            <w:vAlign w:val="bottom"/>
            <w:shd w:val="clear" w:color="auto" w:fill="E9EEE6"/>
          </w:tcPr>
          <w:p>
            <w:pPr>
              <w:spacing w:after="0"/>
              <w:rPr>
                <w:sz w:val="13"/>
                <w:szCs w:val="13"/>
                <w:color w:val="auto"/>
              </w:rPr>
            </w:pPr>
          </w:p>
        </w:tc>
        <w:tc>
          <w:tcPr>
            <w:tcW w:w="72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4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280" w:type="dxa"/>
            <w:vAlign w:val="bottom"/>
            <w:gridSpan w:val="2"/>
            <w:shd w:val="clear" w:color="auto" w:fill="E9EEE6"/>
          </w:tcPr>
          <w:p>
            <w:pPr>
              <w:jc w:val="right"/>
              <w:ind w:right="79"/>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E9EEE6"/>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E9EEE6"/>
          </w:tcPr>
          <w:p>
            <w:pPr>
              <w:jc w:val="right"/>
              <w:spacing w:after="0"/>
              <w:rPr>
                <w:sz w:val="20"/>
                <w:szCs w:val="20"/>
                <w:color w:val="auto"/>
              </w:rPr>
            </w:pPr>
            <w:r>
              <w:rPr>
                <w:rFonts w:ascii="Arial" w:cs="Arial" w:eastAsia="Arial" w:hAnsi="Arial"/>
                <w:sz w:val="12"/>
                <w:szCs w:val="12"/>
                <w:color w:val="auto"/>
              </w:rPr>
              <w:t>22,750</w:t>
            </w:r>
          </w:p>
        </w:tc>
        <w:tc>
          <w:tcPr>
            <w:tcW w:w="100" w:type="dxa"/>
            <w:vAlign w:val="bottom"/>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0" w:type="dxa"/>
            <w:vAlign w:val="bottom"/>
            <w:tcBorders>
              <w:bottom w:val="single" w:sz="8" w:color="E9EEE6"/>
              <w:right w:val="single" w:sz="8" w:color="E9EEE6"/>
            </w:tcBorders>
            <w:shd w:val="clear" w:color="auto" w:fill="E9EEE6"/>
          </w:tcPr>
          <w:p>
            <w:pPr>
              <w:spacing w:after="0"/>
              <w:rPr>
                <w:sz w:val="13"/>
                <w:szCs w:val="13"/>
                <w:color w:val="auto"/>
              </w:rPr>
            </w:pPr>
          </w:p>
        </w:tc>
        <w:tc>
          <w:tcPr>
            <w:tcW w:w="240" w:type="dxa"/>
            <w:vAlign w:val="bottom"/>
            <w:tcBorders>
              <w:bottom w:val="single" w:sz="8" w:color="58854E"/>
            </w:tcBorders>
            <w:shd w:val="clear" w:color="auto" w:fill="E9EEE6"/>
          </w:tcPr>
          <w:p>
            <w:pPr>
              <w:spacing w:after="0"/>
              <w:rPr>
                <w:sz w:val="13"/>
                <w:szCs w:val="13"/>
                <w:color w:val="auto"/>
              </w:rPr>
            </w:pPr>
          </w:p>
        </w:tc>
        <w:tc>
          <w:tcPr>
            <w:tcW w:w="1300" w:type="dxa"/>
            <w:vAlign w:val="bottom"/>
            <w:tcBorders>
              <w:bottom w:val="single" w:sz="8" w:color="58854E"/>
            </w:tcBorders>
            <w:shd w:val="clear" w:color="auto" w:fill="E9EEE6"/>
          </w:tcPr>
          <w:p>
            <w:pPr>
              <w:spacing w:after="0"/>
              <w:rPr>
                <w:sz w:val="13"/>
                <w:szCs w:val="13"/>
                <w:color w:val="auto"/>
              </w:rPr>
            </w:pPr>
          </w:p>
        </w:tc>
        <w:tc>
          <w:tcPr>
            <w:tcW w:w="80" w:type="dxa"/>
            <w:vAlign w:val="bottom"/>
            <w:tcBorders>
              <w:bottom w:val="single" w:sz="8" w:color="58854E"/>
            </w:tcBorders>
            <w:shd w:val="clear" w:color="auto" w:fill="E9EEE6"/>
          </w:tcPr>
          <w:p>
            <w:pPr>
              <w:spacing w:after="0"/>
              <w:rPr>
                <w:sz w:val="13"/>
                <w:szCs w:val="13"/>
                <w:color w:val="auto"/>
              </w:rPr>
            </w:pPr>
          </w:p>
        </w:tc>
        <w:tc>
          <w:tcPr>
            <w:tcW w:w="340" w:type="dxa"/>
            <w:vAlign w:val="bottom"/>
            <w:tcBorders>
              <w:bottom w:val="single" w:sz="8" w:color="58854E"/>
            </w:tcBorders>
            <w:shd w:val="clear" w:color="auto" w:fill="E9EEE6"/>
          </w:tcPr>
          <w:p>
            <w:pPr>
              <w:spacing w:after="0"/>
              <w:rPr>
                <w:sz w:val="13"/>
                <w:szCs w:val="13"/>
                <w:color w:val="auto"/>
              </w:rPr>
            </w:pPr>
          </w:p>
        </w:tc>
        <w:tc>
          <w:tcPr>
            <w:tcW w:w="160" w:type="dxa"/>
            <w:vAlign w:val="bottom"/>
            <w:tcBorders>
              <w:bottom w:val="single" w:sz="8" w:color="58854E"/>
              <w:right w:val="single" w:sz="8" w:color="E9EEE6"/>
            </w:tcBorders>
            <w:shd w:val="clear" w:color="auto" w:fill="E9EEE6"/>
          </w:tcPr>
          <w:p>
            <w:pPr>
              <w:spacing w:after="0"/>
              <w:rPr>
                <w:sz w:val="13"/>
                <w:szCs w:val="13"/>
                <w:color w:val="auto"/>
              </w:rPr>
            </w:pPr>
          </w:p>
        </w:tc>
        <w:tc>
          <w:tcPr>
            <w:tcW w:w="600" w:type="dxa"/>
            <w:vAlign w:val="bottom"/>
            <w:tcBorders>
              <w:bottom w:val="single" w:sz="8" w:color="58854E"/>
              <w:right w:val="single" w:sz="8" w:color="E9EEE6"/>
            </w:tcBorders>
            <w:gridSpan w:val="2"/>
            <w:shd w:val="clear" w:color="auto" w:fill="E9EEE6"/>
          </w:tcPr>
          <w:p>
            <w:pPr>
              <w:jc w:val="center"/>
              <w:ind w:left="193"/>
              <w:spacing w:after="0"/>
              <w:rPr>
                <w:sz w:val="20"/>
                <w:szCs w:val="20"/>
                <w:color w:val="auto"/>
              </w:rPr>
            </w:pPr>
            <w:r>
              <w:rPr>
                <w:rFonts w:ascii="Arial" w:cs="Arial" w:eastAsia="Arial" w:hAnsi="Arial"/>
                <w:sz w:val="12"/>
                <w:szCs w:val="12"/>
                <w:color w:val="auto"/>
                <w:w w:val="97"/>
              </w:rPr>
              <w:t>2016</w:t>
            </w:r>
          </w:p>
        </w:tc>
        <w:tc>
          <w:tcPr>
            <w:tcW w:w="160" w:type="dxa"/>
            <w:vAlign w:val="bottom"/>
            <w:tcBorders>
              <w:bottom w:val="single" w:sz="8" w:color="58854E"/>
              <w:right w:val="single" w:sz="8" w:color="E9EEE6"/>
            </w:tcBorders>
            <w:shd w:val="clear" w:color="auto" w:fill="E9EEE6"/>
          </w:tcPr>
          <w:p>
            <w:pPr>
              <w:spacing w:after="0"/>
              <w:rPr>
                <w:sz w:val="13"/>
                <w:szCs w:val="13"/>
                <w:color w:val="auto"/>
              </w:rPr>
            </w:pPr>
          </w:p>
        </w:tc>
        <w:tc>
          <w:tcPr>
            <w:tcW w:w="100" w:type="dxa"/>
            <w:vAlign w:val="bottom"/>
            <w:tcBorders>
              <w:bottom w:val="single" w:sz="8" w:color="58854E"/>
              <w:right w:val="single" w:sz="8" w:color="E9EEE6"/>
            </w:tcBorders>
            <w:shd w:val="clear" w:color="auto" w:fill="E9EEE6"/>
          </w:tcPr>
          <w:p>
            <w:pPr>
              <w:spacing w:after="0"/>
              <w:rPr>
                <w:sz w:val="13"/>
                <w:szCs w:val="13"/>
                <w:color w:val="auto"/>
              </w:rPr>
            </w:pPr>
          </w:p>
        </w:tc>
        <w:tc>
          <w:tcPr>
            <w:tcW w:w="140" w:type="dxa"/>
            <w:vAlign w:val="bottom"/>
            <w:tcBorders>
              <w:bottom w:val="single" w:sz="8" w:color="58854E"/>
            </w:tcBorders>
            <w:shd w:val="clear" w:color="auto" w:fill="E9EEE6"/>
          </w:tcPr>
          <w:p>
            <w:pPr>
              <w:spacing w:after="0"/>
              <w:rPr>
                <w:sz w:val="13"/>
                <w:szCs w:val="13"/>
                <w:color w:val="auto"/>
              </w:rPr>
            </w:pPr>
          </w:p>
        </w:tc>
        <w:tc>
          <w:tcPr>
            <w:tcW w:w="420" w:type="dxa"/>
            <w:vAlign w:val="bottom"/>
            <w:tcBorders>
              <w:bottom w:val="single" w:sz="8" w:color="58854E"/>
            </w:tcBorders>
            <w:shd w:val="clear" w:color="auto" w:fill="E9EEE6"/>
          </w:tcPr>
          <w:p>
            <w:pPr>
              <w:spacing w:after="0"/>
              <w:rPr>
                <w:sz w:val="13"/>
                <w:szCs w:val="13"/>
                <w:color w:val="auto"/>
              </w:rPr>
            </w:pPr>
          </w:p>
        </w:tc>
        <w:tc>
          <w:tcPr>
            <w:tcW w:w="60" w:type="dxa"/>
            <w:vAlign w:val="bottom"/>
            <w:tcBorders>
              <w:bottom w:val="single" w:sz="8" w:color="58854E"/>
            </w:tcBorders>
            <w:shd w:val="clear" w:color="auto" w:fill="E9EEE6"/>
          </w:tcPr>
          <w:p>
            <w:pPr>
              <w:spacing w:after="0"/>
              <w:rPr>
                <w:sz w:val="13"/>
                <w:szCs w:val="13"/>
                <w:color w:val="auto"/>
              </w:rPr>
            </w:pPr>
          </w:p>
        </w:tc>
        <w:tc>
          <w:tcPr>
            <w:tcW w:w="60" w:type="dxa"/>
            <w:vAlign w:val="bottom"/>
            <w:tcBorders>
              <w:bottom w:val="single" w:sz="8" w:color="58854E"/>
            </w:tcBorders>
            <w:shd w:val="clear" w:color="auto" w:fill="E9EEE6"/>
          </w:tcPr>
          <w:p>
            <w:pPr>
              <w:spacing w:after="0"/>
              <w:rPr>
                <w:sz w:val="13"/>
                <w:szCs w:val="13"/>
                <w:color w:val="auto"/>
              </w:rPr>
            </w:pPr>
          </w:p>
        </w:tc>
        <w:tc>
          <w:tcPr>
            <w:tcW w:w="100" w:type="dxa"/>
            <w:vAlign w:val="bottom"/>
            <w:tcBorders>
              <w:bottom w:val="single" w:sz="8" w:color="58854E"/>
            </w:tcBorders>
            <w:shd w:val="clear" w:color="auto" w:fill="E9EEE6"/>
          </w:tcPr>
          <w:p>
            <w:pPr>
              <w:spacing w:after="0"/>
              <w:rPr>
                <w:sz w:val="13"/>
                <w:szCs w:val="13"/>
                <w:color w:val="auto"/>
              </w:rPr>
            </w:pPr>
          </w:p>
        </w:tc>
        <w:tc>
          <w:tcPr>
            <w:tcW w:w="80" w:type="dxa"/>
            <w:vAlign w:val="bottom"/>
            <w:tcBorders>
              <w:bottom w:val="single" w:sz="8" w:color="58854E"/>
            </w:tcBorders>
            <w:shd w:val="clear" w:color="auto" w:fill="E9EEE6"/>
          </w:tcPr>
          <w:p>
            <w:pPr>
              <w:spacing w:after="0"/>
              <w:rPr>
                <w:sz w:val="13"/>
                <w:szCs w:val="13"/>
                <w:color w:val="auto"/>
              </w:rPr>
            </w:pPr>
          </w:p>
        </w:tc>
        <w:tc>
          <w:tcPr>
            <w:tcW w:w="80" w:type="dxa"/>
            <w:vAlign w:val="bottom"/>
            <w:tcBorders>
              <w:bottom w:val="single" w:sz="8" w:color="58854E"/>
            </w:tcBorders>
            <w:shd w:val="clear" w:color="auto" w:fill="E9EEE6"/>
          </w:tcPr>
          <w:p>
            <w:pPr>
              <w:spacing w:after="0"/>
              <w:rPr>
                <w:sz w:val="13"/>
                <w:szCs w:val="13"/>
                <w:color w:val="auto"/>
              </w:rPr>
            </w:pPr>
          </w:p>
        </w:tc>
        <w:tc>
          <w:tcPr>
            <w:tcW w:w="280" w:type="dxa"/>
            <w:vAlign w:val="bottom"/>
            <w:tcBorders>
              <w:bottom w:val="single" w:sz="8" w:color="58854E"/>
            </w:tcBorders>
            <w:shd w:val="clear" w:color="auto" w:fill="E9EEE6"/>
          </w:tcPr>
          <w:p>
            <w:pPr>
              <w:spacing w:after="0"/>
              <w:rPr>
                <w:sz w:val="13"/>
                <w:szCs w:val="13"/>
                <w:color w:val="auto"/>
              </w:rPr>
            </w:pPr>
          </w:p>
        </w:tc>
        <w:tc>
          <w:tcPr>
            <w:tcW w:w="120" w:type="dxa"/>
            <w:vAlign w:val="bottom"/>
            <w:tcBorders>
              <w:bottom w:val="single" w:sz="8" w:color="58854E"/>
            </w:tcBorders>
            <w:shd w:val="clear" w:color="auto" w:fill="E9EEE6"/>
          </w:tcPr>
          <w:p>
            <w:pPr>
              <w:spacing w:after="0"/>
              <w:rPr>
                <w:sz w:val="13"/>
                <w:szCs w:val="13"/>
                <w:color w:val="auto"/>
              </w:rPr>
            </w:pPr>
          </w:p>
        </w:tc>
        <w:tc>
          <w:tcPr>
            <w:tcW w:w="300" w:type="dxa"/>
            <w:vAlign w:val="bottom"/>
            <w:tcBorders>
              <w:bottom w:val="single" w:sz="8" w:color="58854E"/>
              <w:right w:val="single" w:sz="8" w:color="E9EEE6"/>
            </w:tcBorders>
            <w:gridSpan w:val="2"/>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58854E"/>
            </w:tcBorders>
            <w:shd w:val="clear" w:color="auto" w:fill="E9EEE6"/>
          </w:tcPr>
          <w:p>
            <w:pPr>
              <w:spacing w:after="0"/>
              <w:rPr>
                <w:sz w:val="13"/>
                <w:szCs w:val="13"/>
                <w:color w:val="auto"/>
              </w:rPr>
            </w:pPr>
          </w:p>
        </w:tc>
        <w:tc>
          <w:tcPr>
            <w:tcW w:w="120" w:type="dxa"/>
            <w:vAlign w:val="bottom"/>
            <w:tcBorders>
              <w:bottom w:val="single" w:sz="8" w:color="58854E"/>
            </w:tcBorders>
            <w:shd w:val="clear" w:color="auto" w:fill="E9EEE6"/>
          </w:tcPr>
          <w:p>
            <w:pPr>
              <w:spacing w:after="0"/>
              <w:rPr>
                <w:sz w:val="13"/>
                <w:szCs w:val="13"/>
                <w:color w:val="auto"/>
              </w:rPr>
            </w:pPr>
          </w:p>
        </w:tc>
        <w:tc>
          <w:tcPr>
            <w:tcW w:w="140" w:type="dxa"/>
            <w:vAlign w:val="bottom"/>
            <w:tcBorders>
              <w:bottom w:val="single" w:sz="8" w:color="58854E"/>
            </w:tcBorders>
            <w:shd w:val="clear" w:color="auto" w:fill="E9EEE6"/>
          </w:tcPr>
          <w:p>
            <w:pPr>
              <w:spacing w:after="0"/>
              <w:rPr>
                <w:sz w:val="13"/>
                <w:szCs w:val="13"/>
                <w:color w:val="auto"/>
              </w:rPr>
            </w:pPr>
          </w:p>
        </w:tc>
        <w:tc>
          <w:tcPr>
            <w:tcW w:w="140" w:type="dxa"/>
            <w:vAlign w:val="bottom"/>
            <w:tcBorders>
              <w:bottom w:val="single" w:sz="8" w:color="58854E"/>
            </w:tcBorders>
            <w:shd w:val="clear" w:color="auto" w:fill="E9EEE6"/>
          </w:tcPr>
          <w:p>
            <w:pPr>
              <w:spacing w:after="0"/>
              <w:rPr>
                <w:sz w:val="13"/>
                <w:szCs w:val="13"/>
                <w:color w:val="auto"/>
              </w:rPr>
            </w:pPr>
          </w:p>
        </w:tc>
        <w:tc>
          <w:tcPr>
            <w:tcW w:w="100" w:type="dxa"/>
            <w:vAlign w:val="bottom"/>
            <w:tcBorders>
              <w:bottom w:val="single" w:sz="8" w:color="58854E"/>
            </w:tcBorders>
            <w:shd w:val="clear" w:color="auto" w:fill="E9EEE6"/>
          </w:tcPr>
          <w:p>
            <w:pPr>
              <w:spacing w:after="0"/>
              <w:rPr>
                <w:sz w:val="13"/>
                <w:szCs w:val="13"/>
                <w:color w:val="auto"/>
              </w:rPr>
            </w:pPr>
          </w:p>
        </w:tc>
        <w:tc>
          <w:tcPr>
            <w:tcW w:w="400" w:type="dxa"/>
            <w:vAlign w:val="bottom"/>
            <w:tcBorders>
              <w:bottom w:val="single" w:sz="8" w:color="58854E"/>
            </w:tcBorders>
            <w:shd w:val="clear" w:color="auto" w:fill="E9EEE6"/>
          </w:tcPr>
          <w:p>
            <w:pPr>
              <w:spacing w:after="0"/>
              <w:rPr>
                <w:sz w:val="13"/>
                <w:szCs w:val="13"/>
                <w:color w:val="auto"/>
              </w:rPr>
            </w:pPr>
          </w:p>
        </w:tc>
        <w:tc>
          <w:tcPr>
            <w:tcW w:w="260" w:type="dxa"/>
            <w:vAlign w:val="bottom"/>
            <w:tcBorders>
              <w:bottom w:val="single" w:sz="8" w:color="58854E"/>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left w:val="single" w:sz="8" w:color="E9EEE6"/>
              <w:bottom w:val="single" w:sz="8" w:color="58854E"/>
            </w:tcBorders>
            <w:shd w:val="clear" w:color="auto" w:fill="E9EEE6"/>
          </w:tcPr>
          <w:p>
            <w:pPr>
              <w:spacing w:after="0"/>
              <w:rPr>
                <w:sz w:val="13"/>
                <w:szCs w:val="13"/>
                <w:color w:val="auto"/>
              </w:rPr>
            </w:pPr>
          </w:p>
        </w:tc>
        <w:tc>
          <w:tcPr>
            <w:tcW w:w="360" w:type="dxa"/>
            <w:vAlign w:val="bottom"/>
            <w:tcBorders>
              <w:bottom w:val="single" w:sz="8" w:color="58854E"/>
            </w:tcBorders>
            <w:shd w:val="clear" w:color="auto" w:fill="E9EEE6"/>
          </w:tcPr>
          <w:p>
            <w:pPr>
              <w:spacing w:after="0"/>
              <w:rPr>
                <w:sz w:val="13"/>
                <w:szCs w:val="13"/>
                <w:color w:val="auto"/>
              </w:rPr>
            </w:pPr>
          </w:p>
        </w:tc>
        <w:tc>
          <w:tcPr>
            <w:tcW w:w="20" w:type="dxa"/>
            <w:vAlign w:val="bottom"/>
            <w:tcBorders>
              <w:bottom w:val="single" w:sz="8" w:color="58854E"/>
            </w:tcBorders>
            <w:shd w:val="clear" w:color="auto" w:fill="E9EEE6"/>
          </w:tcPr>
          <w:p>
            <w:pPr>
              <w:spacing w:after="0"/>
              <w:rPr>
                <w:sz w:val="13"/>
                <w:szCs w:val="13"/>
                <w:color w:val="auto"/>
              </w:rPr>
            </w:pPr>
          </w:p>
        </w:tc>
        <w:tc>
          <w:tcPr>
            <w:tcW w:w="40" w:type="dxa"/>
            <w:vAlign w:val="bottom"/>
            <w:tcBorders>
              <w:bottom w:val="single" w:sz="8" w:color="58854E"/>
            </w:tcBorders>
            <w:shd w:val="clear" w:color="auto" w:fill="E9EEE6"/>
          </w:tcPr>
          <w:p>
            <w:pPr>
              <w:spacing w:after="0"/>
              <w:rPr>
                <w:sz w:val="13"/>
                <w:szCs w:val="13"/>
                <w:color w:val="auto"/>
              </w:rPr>
            </w:pPr>
          </w:p>
        </w:tc>
        <w:tc>
          <w:tcPr>
            <w:tcW w:w="180" w:type="dxa"/>
            <w:vAlign w:val="bottom"/>
            <w:tcBorders>
              <w:bottom w:val="single" w:sz="8" w:color="58854E"/>
            </w:tcBorders>
            <w:shd w:val="clear" w:color="auto" w:fill="E9EEE6"/>
          </w:tcPr>
          <w:p>
            <w:pPr>
              <w:spacing w:after="0"/>
              <w:rPr>
                <w:sz w:val="13"/>
                <w:szCs w:val="13"/>
                <w:color w:val="auto"/>
              </w:rPr>
            </w:pPr>
          </w:p>
        </w:tc>
        <w:tc>
          <w:tcPr>
            <w:tcW w:w="20" w:type="dxa"/>
            <w:vAlign w:val="bottom"/>
            <w:tcBorders>
              <w:bottom w:val="single" w:sz="8" w:color="58854E"/>
            </w:tcBorders>
            <w:shd w:val="clear" w:color="auto" w:fill="E9EEE6"/>
          </w:tcPr>
          <w:p>
            <w:pPr>
              <w:spacing w:after="0"/>
              <w:rPr>
                <w:sz w:val="13"/>
                <w:szCs w:val="13"/>
                <w:color w:val="auto"/>
              </w:rPr>
            </w:pPr>
          </w:p>
        </w:tc>
        <w:tc>
          <w:tcPr>
            <w:tcW w:w="120" w:type="dxa"/>
            <w:vAlign w:val="bottom"/>
            <w:tcBorders>
              <w:bottom w:val="single" w:sz="8" w:color="58854E"/>
            </w:tcBorders>
            <w:shd w:val="clear" w:color="auto" w:fill="E9EEE6"/>
          </w:tcPr>
          <w:p>
            <w:pPr>
              <w:spacing w:after="0"/>
              <w:rPr>
                <w:sz w:val="13"/>
                <w:szCs w:val="13"/>
                <w:color w:val="auto"/>
              </w:rPr>
            </w:pPr>
          </w:p>
        </w:tc>
        <w:tc>
          <w:tcPr>
            <w:tcW w:w="80" w:type="dxa"/>
            <w:vAlign w:val="bottom"/>
            <w:tcBorders>
              <w:bottom w:val="single" w:sz="8" w:color="58854E"/>
            </w:tcBorders>
            <w:shd w:val="clear" w:color="auto" w:fill="E9EEE6"/>
          </w:tcPr>
          <w:p>
            <w:pPr>
              <w:spacing w:after="0"/>
              <w:rPr>
                <w:sz w:val="13"/>
                <w:szCs w:val="13"/>
                <w:color w:val="auto"/>
              </w:rPr>
            </w:pPr>
          </w:p>
        </w:tc>
        <w:tc>
          <w:tcPr>
            <w:tcW w:w="660" w:type="dxa"/>
            <w:vAlign w:val="bottom"/>
            <w:tcBorders>
              <w:bottom w:val="single" w:sz="8" w:color="58854E"/>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58854E"/>
            </w:tcBorders>
            <w:shd w:val="clear" w:color="auto" w:fill="E9EEE6"/>
          </w:tcPr>
          <w:p>
            <w:pPr>
              <w:spacing w:after="0"/>
              <w:rPr>
                <w:sz w:val="13"/>
                <w:szCs w:val="13"/>
                <w:color w:val="auto"/>
              </w:rPr>
            </w:pPr>
          </w:p>
        </w:tc>
        <w:tc>
          <w:tcPr>
            <w:tcW w:w="240" w:type="dxa"/>
            <w:vAlign w:val="bottom"/>
            <w:tcBorders>
              <w:bottom w:val="single" w:sz="8" w:color="58854E"/>
            </w:tcBorders>
            <w:shd w:val="clear" w:color="auto" w:fill="E9EEE6"/>
          </w:tcPr>
          <w:p>
            <w:pPr>
              <w:spacing w:after="0"/>
              <w:rPr>
                <w:sz w:val="13"/>
                <w:szCs w:val="13"/>
                <w:color w:val="auto"/>
              </w:rPr>
            </w:pPr>
          </w:p>
        </w:tc>
        <w:tc>
          <w:tcPr>
            <w:tcW w:w="200" w:type="dxa"/>
            <w:vAlign w:val="bottom"/>
            <w:tcBorders>
              <w:bottom w:val="single" w:sz="8" w:color="58854E"/>
              <w:right w:val="single" w:sz="8" w:color="E9EEE6"/>
            </w:tcBorders>
            <w:shd w:val="clear" w:color="auto" w:fill="E9EEE6"/>
          </w:tcPr>
          <w:p>
            <w:pPr>
              <w:spacing w:after="0"/>
              <w:rPr>
                <w:sz w:val="13"/>
                <w:szCs w:val="13"/>
                <w:color w:val="auto"/>
              </w:rPr>
            </w:pPr>
          </w:p>
        </w:tc>
        <w:tc>
          <w:tcPr>
            <w:tcW w:w="780" w:type="dxa"/>
            <w:vAlign w:val="bottom"/>
            <w:tcBorders>
              <w:bottom w:val="single" w:sz="8" w:color="58854E"/>
            </w:tcBorders>
            <w:shd w:val="clear" w:color="auto" w:fill="E9EEE6"/>
          </w:tcPr>
          <w:p>
            <w:pPr>
              <w:spacing w:after="0"/>
              <w:rPr>
                <w:sz w:val="13"/>
                <w:szCs w:val="13"/>
                <w:color w:val="auto"/>
              </w:rPr>
            </w:pPr>
          </w:p>
        </w:tc>
        <w:tc>
          <w:tcPr>
            <w:tcW w:w="80" w:type="dxa"/>
            <w:vAlign w:val="bottom"/>
            <w:tcBorders>
              <w:bottom w:val="single" w:sz="8" w:color="58854E"/>
            </w:tcBorders>
            <w:shd w:val="clear" w:color="auto" w:fill="E9EEE6"/>
          </w:tcPr>
          <w:p>
            <w:pPr>
              <w:spacing w:after="0"/>
              <w:rPr>
                <w:sz w:val="13"/>
                <w:szCs w:val="13"/>
                <w:color w:val="auto"/>
              </w:rPr>
            </w:pPr>
          </w:p>
        </w:tc>
        <w:tc>
          <w:tcPr>
            <w:tcW w:w="140" w:type="dxa"/>
            <w:vAlign w:val="bottom"/>
            <w:tcBorders>
              <w:bottom w:val="single" w:sz="8" w:color="58854E"/>
            </w:tcBorders>
            <w:shd w:val="clear" w:color="auto" w:fill="E9EEE6"/>
          </w:tcPr>
          <w:p>
            <w:pPr>
              <w:spacing w:after="0"/>
              <w:rPr>
                <w:sz w:val="13"/>
                <w:szCs w:val="13"/>
                <w:color w:val="auto"/>
              </w:rPr>
            </w:pPr>
          </w:p>
        </w:tc>
        <w:tc>
          <w:tcPr>
            <w:tcW w:w="40" w:type="dxa"/>
            <w:vAlign w:val="bottom"/>
            <w:tcBorders>
              <w:bottom w:val="single" w:sz="8" w:color="58854E"/>
            </w:tcBorders>
            <w:shd w:val="clear" w:color="auto" w:fill="E9EEE6"/>
          </w:tcPr>
          <w:p>
            <w:pPr>
              <w:spacing w:after="0"/>
              <w:rPr>
                <w:sz w:val="13"/>
                <w:szCs w:val="13"/>
                <w:color w:val="auto"/>
              </w:rPr>
            </w:pPr>
          </w:p>
        </w:tc>
        <w:tc>
          <w:tcPr>
            <w:tcW w:w="180" w:type="dxa"/>
            <w:vAlign w:val="bottom"/>
            <w:tcBorders>
              <w:bottom w:val="single" w:sz="8" w:color="58854E"/>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58854E"/>
            </w:tcBorders>
            <w:gridSpan w:val="2"/>
            <w:shd w:val="clear" w:color="auto" w:fill="E9EEE6"/>
          </w:tcPr>
          <w:p>
            <w:pPr>
              <w:jc w:val="right"/>
              <w:ind w:right="593"/>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58854E"/>
            </w:tcBorders>
            <w:shd w:val="clear" w:color="auto" w:fill="E9EEE6"/>
          </w:tcPr>
          <w:p>
            <w:pPr>
              <w:spacing w:after="0"/>
              <w:rPr>
                <w:sz w:val="13"/>
                <w:szCs w:val="13"/>
                <w:color w:val="auto"/>
              </w:rPr>
            </w:pPr>
          </w:p>
        </w:tc>
        <w:tc>
          <w:tcPr>
            <w:tcW w:w="440" w:type="dxa"/>
            <w:vAlign w:val="bottom"/>
            <w:tcBorders>
              <w:bottom w:val="single" w:sz="8" w:color="58854E"/>
            </w:tcBorders>
            <w:gridSpan w:val="5"/>
            <w:shd w:val="clear" w:color="auto" w:fill="E9EEE6"/>
          </w:tcPr>
          <w:p>
            <w:pPr>
              <w:jc w:val="right"/>
              <w:ind w:right="79"/>
              <w:spacing w:after="0"/>
              <w:rPr>
                <w:sz w:val="20"/>
                <w:szCs w:val="20"/>
                <w:color w:val="auto"/>
              </w:rPr>
            </w:pPr>
            <w:r>
              <w:rPr>
                <w:rFonts w:ascii="Arial" w:cs="Arial" w:eastAsia="Arial" w:hAnsi="Arial"/>
                <w:sz w:val="12"/>
                <w:szCs w:val="12"/>
                <w:color w:val="auto"/>
                <w:w w:val="93"/>
              </w:rPr>
              <w:t>5,543</w:t>
            </w:r>
          </w:p>
        </w:tc>
        <w:tc>
          <w:tcPr>
            <w:tcW w:w="60" w:type="dxa"/>
            <w:vAlign w:val="bottom"/>
            <w:tcBorders>
              <w:bottom w:val="single" w:sz="8" w:color="58854E"/>
            </w:tcBorders>
            <w:shd w:val="clear" w:color="auto" w:fill="E9EEE6"/>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58854E"/>
            </w:tcBorders>
            <w:shd w:val="clear" w:color="auto" w:fill="E9EEE6"/>
          </w:tcPr>
          <w:p>
            <w:pPr>
              <w:jc w:val="right"/>
              <w:spacing w:after="0"/>
              <w:rPr>
                <w:sz w:val="20"/>
                <w:szCs w:val="20"/>
                <w:color w:val="auto"/>
              </w:rPr>
            </w:pPr>
            <w:r>
              <w:rPr>
                <w:rFonts w:ascii="Arial" w:cs="Arial" w:eastAsia="Arial" w:hAnsi="Arial"/>
                <w:sz w:val="12"/>
                <w:szCs w:val="12"/>
                <w:color w:val="auto"/>
              </w:rPr>
              <w:t>5,543</w:t>
            </w:r>
          </w:p>
        </w:tc>
        <w:tc>
          <w:tcPr>
            <w:tcW w:w="100" w:type="dxa"/>
            <w:vAlign w:val="bottom"/>
            <w:tcBorders>
              <w:bottom w:val="single" w:sz="8" w:color="E9EEE6"/>
            </w:tcBorders>
            <w:shd w:val="clear" w:color="auto" w:fill="E9EEE6"/>
          </w:tcPr>
          <w:p>
            <w:pPr>
              <w:spacing w:after="0"/>
              <w:rPr>
                <w:sz w:val="13"/>
                <w:szCs w:val="13"/>
                <w:color w:val="auto"/>
              </w:rPr>
            </w:pPr>
          </w:p>
        </w:tc>
        <w:tc>
          <w:tcPr>
            <w:tcW w:w="140" w:type="dxa"/>
            <w:vAlign w:val="bottom"/>
            <w:tcBorders>
              <w:bottom w:val="single" w:sz="8" w:color="E9EEE6"/>
            </w:tcBorders>
            <w:shd w:val="clear" w:color="auto" w:fill="E9EEE6"/>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 w:type="dxa"/>
            <w:vAlign w:val="bottom"/>
            <w:tcBorders>
              <w:right w:val="single" w:sz="8" w:color="E9EEE6"/>
            </w:tcBorders>
            <w:shd w:val="clear" w:color="auto" w:fill="E9EEE6"/>
          </w:tcPr>
          <w:p>
            <w:pPr>
              <w:spacing w:after="0"/>
              <w:rPr>
                <w:sz w:val="13"/>
                <w:szCs w:val="13"/>
                <w:color w:val="auto"/>
              </w:rPr>
            </w:pPr>
          </w:p>
        </w:tc>
        <w:tc>
          <w:tcPr>
            <w:tcW w:w="1540" w:type="dxa"/>
            <w:vAlign w:val="bottom"/>
            <w:gridSpan w:val="2"/>
            <w:shd w:val="clear" w:color="auto" w:fill="E9EEE6"/>
          </w:tcPr>
          <w:p>
            <w:pPr>
              <w:ind w:left="20"/>
              <w:spacing w:after="0"/>
              <w:rPr>
                <w:sz w:val="20"/>
                <w:szCs w:val="20"/>
                <w:color w:val="auto"/>
              </w:rPr>
            </w:pPr>
            <w:r>
              <w:rPr>
                <w:rFonts w:ascii="Arial" w:cs="Arial" w:eastAsia="Arial" w:hAnsi="Arial"/>
                <w:sz w:val="12"/>
                <w:szCs w:val="12"/>
                <w:b w:val="1"/>
                <w:bCs w:val="1"/>
                <w:color w:val="auto"/>
              </w:rPr>
              <w:t>Chad Plotkin</w:t>
            </w:r>
          </w:p>
        </w:tc>
        <w:tc>
          <w:tcPr>
            <w:tcW w:w="80" w:type="dxa"/>
            <w:vAlign w:val="bottom"/>
            <w:shd w:val="clear" w:color="auto" w:fill="E9EEE6"/>
          </w:tcPr>
          <w:p>
            <w:pPr>
              <w:spacing w:after="0"/>
              <w:rPr>
                <w:sz w:val="13"/>
                <w:szCs w:val="13"/>
                <w:color w:val="auto"/>
              </w:rPr>
            </w:pPr>
          </w:p>
        </w:tc>
        <w:tc>
          <w:tcPr>
            <w:tcW w:w="340" w:type="dxa"/>
            <w:vAlign w:val="bottom"/>
            <w:shd w:val="clear" w:color="auto" w:fill="E9EEE6"/>
          </w:tcPr>
          <w:p>
            <w:pPr>
              <w:spacing w:after="0"/>
              <w:rPr>
                <w:sz w:val="13"/>
                <w:szCs w:val="13"/>
                <w:color w:val="auto"/>
              </w:rPr>
            </w:pPr>
          </w:p>
        </w:tc>
        <w:tc>
          <w:tcPr>
            <w:tcW w:w="160" w:type="dxa"/>
            <w:vAlign w:val="bottom"/>
            <w:tcBorders>
              <w:right w:val="single" w:sz="8" w:color="E9EEE6"/>
            </w:tcBorders>
            <w:shd w:val="clear" w:color="auto" w:fill="E9EEE6"/>
          </w:tcPr>
          <w:p>
            <w:pPr>
              <w:spacing w:after="0"/>
              <w:rPr>
                <w:sz w:val="13"/>
                <w:szCs w:val="13"/>
                <w:color w:val="auto"/>
              </w:rPr>
            </w:pPr>
          </w:p>
        </w:tc>
        <w:tc>
          <w:tcPr>
            <w:tcW w:w="600" w:type="dxa"/>
            <w:vAlign w:val="bottom"/>
            <w:tcBorders>
              <w:right w:val="single" w:sz="8" w:color="E9EEE6"/>
            </w:tcBorders>
            <w:gridSpan w:val="2"/>
            <w:shd w:val="clear" w:color="auto" w:fill="E9EEE6"/>
          </w:tcPr>
          <w:p>
            <w:pPr>
              <w:jc w:val="center"/>
              <w:ind w:left="193"/>
              <w:spacing w:after="0"/>
              <w:rPr>
                <w:sz w:val="20"/>
                <w:szCs w:val="20"/>
                <w:color w:val="auto"/>
              </w:rPr>
            </w:pPr>
            <w:r>
              <w:rPr>
                <w:rFonts w:ascii="Arial" w:cs="Arial" w:eastAsia="Arial" w:hAnsi="Arial"/>
                <w:sz w:val="12"/>
                <w:szCs w:val="12"/>
                <w:color w:val="auto"/>
                <w:w w:val="97"/>
              </w:rPr>
              <w:t>2017</w:t>
            </w:r>
          </w:p>
        </w:tc>
        <w:tc>
          <w:tcPr>
            <w:tcW w:w="260" w:type="dxa"/>
            <w:vAlign w:val="bottom"/>
            <w:tcBorders>
              <w:right w:val="single" w:sz="8" w:color="E9EEE6"/>
            </w:tcBorders>
            <w:gridSpan w:val="2"/>
            <w:shd w:val="clear" w:color="auto" w:fill="E9EEE6"/>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E9EEE6"/>
          </w:tcPr>
          <w:p>
            <w:pPr>
              <w:spacing w:after="0"/>
              <w:rPr>
                <w:sz w:val="13"/>
                <w:szCs w:val="13"/>
                <w:color w:val="auto"/>
              </w:rPr>
            </w:pPr>
          </w:p>
        </w:tc>
        <w:tc>
          <w:tcPr>
            <w:tcW w:w="420" w:type="dxa"/>
            <w:vAlign w:val="bottom"/>
            <w:shd w:val="clear" w:color="auto" w:fill="E9EEE6"/>
          </w:tcPr>
          <w:p>
            <w:pPr>
              <w:spacing w:after="0"/>
              <w:rPr>
                <w:sz w:val="13"/>
                <w:szCs w:val="13"/>
                <w:color w:val="auto"/>
              </w:rPr>
            </w:pPr>
          </w:p>
        </w:tc>
        <w:tc>
          <w:tcPr>
            <w:tcW w:w="60" w:type="dxa"/>
            <w:vAlign w:val="bottom"/>
            <w:shd w:val="clear" w:color="auto" w:fill="E9EEE6"/>
          </w:tcPr>
          <w:p>
            <w:pPr>
              <w:spacing w:after="0"/>
              <w:rPr>
                <w:sz w:val="13"/>
                <w:szCs w:val="13"/>
                <w:color w:val="auto"/>
              </w:rPr>
            </w:pPr>
          </w:p>
        </w:tc>
        <w:tc>
          <w:tcPr>
            <w:tcW w:w="6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280" w:type="dxa"/>
            <w:vAlign w:val="bottom"/>
            <w:shd w:val="clear" w:color="auto" w:fill="E9EEE6"/>
          </w:tcPr>
          <w:p>
            <w:pPr>
              <w:spacing w:after="0"/>
              <w:rPr>
                <w:sz w:val="13"/>
                <w:szCs w:val="13"/>
                <w:color w:val="auto"/>
              </w:rPr>
            </w:pPr>
          </w:p>
        </w:tc>
        <w:tc>
          <w:tcPr>
            <w:tcW w:w="420" w:type="dxa"/>
            <w:vAlign w:val="bottom"/>
            <w:tcBorders>
              <w:right w:val="single" w:sz="8" w:color="E9EEE6"/>
            </w:tcBorders>
            <w:gridSpan w:val="3"/>
            <w:shd w:val="clear" w:color="auto" w:fill="E9EEE6"/>
          </w:tcPr>
          <w:p>
            <w:pPr>
              <w:jc w:val="right"/>
              <w:spacing w:after="0"/>
              <w:rPr>
                <w:sz w:val="20"/>
                <w:szCs w:val="20"/>
                <w:color w:val="auto"/>
              </w:rPr>
            </w:pPr>
            <w:r>
              <w:rPr>
                <w:rFonts w:ascii="Arial" w:cs="Arial" w:eastAsia="Arial" w:hAnsi="Arial"/>
                <w:sz w:val="12"/>
                <w:szCs w:val="12"/>
                <w:color w:val="auto"/>
              </w:rPr>
              <w:t>3,000</w:t>
            </w:r>
          </w:p>
        </w:tc>
        <w:tc>
          <w:tcPr>
            <w:tcW w:w="220" w:type="dxa"/>
            <w:vAlign w:val="bottom"/>
            <w:gridSpan w:val="2"/>
            <w:shd w:val="clear" w:color="auto" w:fill="E9EEE6"/>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660" w:type="dxa"/>
            <w:vAlign w:val="bottom"/>
            <w:tcBorders>
              <w:right w:val="single" w:sz="8" w:color="E9EEE6"/>
            </w:tcBorders>
            <w:gridSpan w:val="2"/>
            <w:shd w:val="clear" w:color="auto" w:fill="E9EEE6"/>
          </w:tcPr>
          <w:p>
            <w:pPr>
              <w:jc w:val="right"/>
              <w:spacing w:after="0"/>
              <w:rPr>
                <w:sz w:val="20"/>
                <w:szCs w:val="20"/>
                <w:color w:val="auto"/>
              </w:rPr>
            </w:pPr>
            <w:r>
              <w:rPr>
                <w:rFonts w:ascii="Arial" w:cs="Arial" w:eastAsia="Arial" w:hAnsi="Arial"/>
                <w:sz w:val="12"/>
                <w:szCs w:val="12"/>
                <w:color w:val="auto"/>
              </w:rPr>
              <w:t>3,000</w:t>
            </w:r>
          </w:p>
        </w:tc>
        <w:tc>
          <w:tcPr>
            <w:tcW w:w="140" w:type="dxa"/>
            <w:vAlign w:val="bottom"/>
            <w:tcBorders>
              <w:lef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40" w:type="dxa"/>
            <w:vAlign w:val="bottom"/>
            <w:shd w:val="clear" w:color="auto" w:fill="E9EEE6"/>
          </w:tcPr>
          <w:p>
            <w:pPr>
              <w:spacing w:after="0"/>
              <w:rPr>
                <w:sz w:val="13"/>
                <w:szCs w:val="13"/>
                <w:color w:val="auto"/>
              </w:rPr>
            </w:pPr>
          </w:p>
        </w:tc>
        <w:tc>
          <w:tcPr>
            <w:tcW w:w="18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12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660" w:type="dxa"/>
            <w:vAlign w:val="bottom"/>
            <w:tcBorders>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10,298</w:t>
            </w:r>
          </w:p>
        </w:tc>
        <w:tc>
          <w:tcPr>
            <w:tcW w:w="360" w:type="dxa"/>
            <w:vAlign w:val="bottom"/>
            <w:gridSpan w:val="2"/>
            <w:shd w:val="clear" w:color="auto" w:fill="E9EEE6"/>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E9EEE6"/>
            </w:tcBorders>
            <w:shd w:val="clear" w:color="auto" w:fill="E9EEE6"/>
          </w:tcPr>
          <w:p>
            <w:pPr>
              <w:spacing w:after="0"/>
              <w:rPr>
                <w:sz w:val="13"/>
                <w:szCs w:val="13"/>
                <w:color w:val="auto"/>
              </w:rPr>
            </w:pPr>
          </w:p>
        </w:tc>
        <w:tc>
          <w:tcPr>
            <w:tcW w:w="78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360" w:type="dxa"/>
            <w:vAlign w:val="bottom"/>
            <w:tcBorders>
              <w:right w:val="single" w:sz="8" w:color="E9EEE6"/>
            </w:tcBorders>
            <w:gridSpan w:val="3"/>
            <w:shd w:val="clear" w:color="auto" w:fill="E9EEE6"/>
          </w:tcPr>
          <w:p>
            <w:pPr>
              <w:jc w:val="right"/>
              <w:spacing w:after="0"/>
              <w:rPr>
                <w:sz w:val="20"/>
                <w:szCs w:val="20"/>
                <w:color w:val="auto"/>
              </w:rPr>
            </w:pPr>
            <w:r>
              <w:rPr>
                <w:rFonts w:ascii="Arial" w:cs="Arial" w:eastAsia="Arial" w:hAnsi="Arial"/>
                <w:sz w:val="12"/>
                <w:szCs w:val="12"/>
                <w:color w:val="auto"/>
              </w:rPr>
              <w:t>7,950</w:t>
            </w:r>
          </w:p>
        </w:tc>
        <w:tc>
          <w:tcPr>
            <w:tcW w:w="120" w:type="dxa"/>
            <w:vAlign w:val="bottom"/>
            <w:shd w:val="clear" w:color="auto" w:fill="E9EEE6"/>
          </w:tcPr>
          <w:p>
            <w:pPr>
              <w:spacing w:after="0"/>
              <w:rPr>
                <w:sz w:val="13"/>
                <w:szCs w:val="13"/>
                <w:color w:val="auto"/>
              </w:rPr>
            </w:pPr>
          </w:p>
        </w:tc>
        <w:tc>
          <w:tcPr>
            <w:tcW w:w="72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4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280" w:type="dxa"/>
            <w:vAlign w:val="bottom"/>
            <w:gridSpan w:val="2"/>
            <w:shd w:val="clear" w:color="auto" w:fill="E9EEE6"/>
          </w:tcPr>
          <w:p>
            <w:pPr>
              <w:jc w:val="right"/>
              <w:ind w:right="79"/>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E9EEE6"/>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E9EEE6"/>
          </w:tcPr>
          <w:p>
            <w:pPr>
              <w:jc w:val="right"/>
              <w:spacing w:after="0"/>
              <w:rPr>
                <w:sz w:val="20"/>
                <w:szCs w:val="20"/>
                <w:color w:val="auto"/>
              </w:rPr>
            </w:pPr>
            <w:r>
              <w:rPr>
                <w:rFonts w:ascii="Arial" w:cs="Arial" w:eastAsia="Arial" w:hAnsi="Arial"/>
                <w:sz w:val="12"/>
                <w:szCs w:val="12"/>
                <w:color w:val="auto"/>
              </w:rPr>
              <w:t>24,248</w:t>
            </w:r>
          </w:p>
        </w:tc>
        <w:tc>
          <w:tcPr>
            <w:tcW w:w="100" w:type="dxa"/>
            <w:vAlign w:val="bottom"/>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0" w:type="dxa"/>
            <w:vAlign w:val="bottom"/>
            <w:tcBorders>
              <w:right w:val="single" w:sz="8" w:color="E9EEE6"/>
            </w:tcBorders>
            <w:shd w:val="clear" w:color="auto" w:fill="E9EEE6"/>
          </w:tcPr>
          <w:p>
            <w:pPr>
              <w:spacing w:after="0"/>
              <w:rPr>
                <w:sz w:val="13"/>
                <w:szCs w:val="13"/>
                <w:color w:val="auto"/>
              </w:rPr>
            </w:pPr>
          </w:p>
        </w:tc>
        <w:tc>
          <w:tcPr>
            <w:tcW w:w="240" w:type="dxa"/>
            <w:vAlign w:val="bottom"/>
            <w:shd w:val="clear" w:color="auto" w:fill="E9EEE6"/>
          </w:tcPr>
          <w:p>
            <w:pPr>
              <w:spacing w:after="0"/>
              <w:rPr>
                <w:sz w:val="13"/>
                <w:szCs w:val="13"/>
                <w:color w:val="auto"/>
              </w:rPr>
            </w:pPr>
          </w:p>
        </w:tc>
        <w:tc>
          <w:tcPr>
            <w:tcW w:w="130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340" w:type="dxa"/>
            <w:vAlign w:val="bottom"/>
            <w:shd w:val="clear" w:color="auto" w:fill="E9EEE6"/>
          </w:tcPr>
          <w:p>
            <w:pPr>
              <w:spacing w:after="0"/>
              <w:rPr>
                <w:sz w:val="13"/>
                <w:szCs w:val="13"/>
                <w:color w:val="auto"/>
              </w:rPr>
            </w:pPr>
          </w:p>
        </w:tc>
        <w:tc>
          <w:tcPr>
            <w:tcW w:w="160" w:type="dxa"/>
            <w:vAlign w:val="bottom"/>
            <w:tcBorders>
              <w:right w:val="single" w:sz="8" w:color="E9EEE6"/>
            </w:tcBorders>
            <w:shd w:val="clear" w:color="auto" w:fill="E9EEE6"/>
          </w:tcPr>
          <w:p>
            <w:pPr>
              <w:spacing w:after="0"/>
              <w:rPr>
                <w:sz w:val="13"/>
                <w:szCs w:val="13"/>
                <w:color w:val="auto"/>
              </w:rPr>
            </w:pPr>
          </w:p>
        </w:tc>
        <w:tc>
          <w:tcPr>
            <w:tcW w:w="600" w:type="dxa"/>
            <w:vAlign w:val="bottom"/>
            <w:tcBorders>
              <w:right w:val="single" w:sz="8" w:color="E9EEE6"/>
            </w:tcBorders>
            <w:gridSpan w:val="2"/>
            <w:shd w:val="clear" w:color="auto" w:fill="E9EEE6"/>
          </w:tcPr>
          <w:p>
            <w:pPr>
              <w:jc w:val="center"/>
              <w:ind w:left="193"/>
              <w:spacing w:after="0"/>
              <w:rPr>
                <w:sz w:val="20"/>
                <w:szCs w:val="20"/>
                <w:color w:val="auto"/>
              </w:rPr>
            </w:pPr>
            <w:r>
              <w:rPr>
                <w:rFonts w:ascii="Arial" w:cs="Arial" w:eastAsia="Arial" w:hAnsi="Arial"/>
                <w:sz w:val="12"/>
                <w:szCs w:val="12"/>
                <w:color w:val="auto"/>
                <w:w w:val="97"/>
              </w:rPr>
              <w:t>2016</w:t>
            </w:r>
          </w:p>
        </w:tc>
        <w:tc>
          <w:tcPr>
            <w:tcW w:w="160" w:type="dxa"/>
            <w:vAlign w:val="bottom"/>
            <w:tcBorders>
              <w:right w:val="single" w:sz="8" w:color="E9EEE6"/>
            </w:tcBorders>
            <w:shd w:val="clear" w:color="auto" w:fill="E9EEE6"/>
          </w:tcPr>
          <w:p>
            <w:pPr>
              <w:spacing w:after="0"/>
              <w:rPr>
                <w:sz w:val="13"/>
                <w:szCs w:val="13"/>
                <w:color w:val="auto"/>
              </w:rPr>
            </w:pPr>
          </w:p>
        </w:tc>
        <w:tc>
          <w:tcPr>
            <w:tcW w:w="100" w:type="dxa"/>
            <w:vAlign w:val="bottom"/>
            <w:tcBorders>
              <w:right w:val="single" w:sz="8" w:color="E9EEE6"/>
            </w:tcBorders>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420" w:type="dxa"/>
            <w:vAlign w:val="bottom"/>
            <w:shd w:val="clear" w:color="auto" w:fill="E9EEE6"/>
          </w:tcPr>
          <w:p>
            <w:pPr>
              <w:spacing w:after="0"/>
              <w:rPr>
                <w:sz w:val="13"/>
                <w:szCs w:val="13"/>
                <w:color w:val="auto"/>
              </w:rPr>
            </w:pPr>
          </w:p>
        </w:tc>
        <w:tc>
          <w:tcPr>
            <w:tcW w:w="60" w:type="dxa"/>
            <w:vAlign w:val="bottom"/>
            <w:shd w:val="clear" w:color="auto" w:fill="E9EEE6"/>
          </w:tcPr>
          <w:p>
            <w:pPr>
              <w:spacing w:after="0"/>
              <w:rPr>
                <w:sz w:val="13"/>
                <w:szCs w:val="13"/>
                <w:color w:val="auto"/>
              </w:rPr>
            </w:pPr>
          </w:p>
        </w:tc>
        <w:tc>
          <w:tcPr>
            <w:tcW w:w="6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280" w:type="dxa"/>
            <w:vAlign w:val="bottom"/>
            <w:shd w:val="clear" w:color="auto" w:fill="E9EEE6"/>
          </w:tcPr>
          <w:p>
            <w:pPr>
              <w:spacing w:after="0"/>
              <w:rPr>
                <w:sz w:val="13"/>
                <w:szCs w:val="13"/>
                <w:color w:val="auto"/>
              </w:rPr>
            </w:pPr>
          </w:p>
        </w:tc>
        <w:tc>
          <w:tcPr>
            <w:tcW w:w="120" w:type="dxa"/>
            <w:vAlign w:val="bottom"/>
            <w:shd w:val="clear" w:color="auto" w:fill="E9EEE6"/>
          </w:tcPr>
          <w:p>
            <w:pPr>
              <w:spacing w:after="0"/>
              <w:rPr>
                <w:sz w:val="13"/>
                <w:szCs w:val="13"/>
                <w:color w:val="auto"/>
              </w:rPr>
            </w:pPr>
          </w:p>
        </w:tc>
        <w:tc>
          <w:tcPr>
            <w:tcW w:w="300" w:type="dxa"/>
            <w:vAlign w:val="bottom"/>
            <w:tcBorders>
              <w:right w:val="single" w:sz="8" w:color="E9EEE6"/>
            </w:tcBorders>
            <w:gridSpan w:val="2"/>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E9EEE6"/>
          </w:tcPr>
          <w:p>
            <w:pPr>
              <w:spacing w:after="0"/>
              <w:rPr>
                <w:sz w:val="13"/>
                <w:szCs w:val="13"/>
                <w:color w:val="auto"/>
              </w:rPr>
            </w:pPr>
          </w:p>
        </w:tc>
        <w:tc>
          <w:tcPr>
            <w:tcW w:w="120" w:type="dxa"/>
            <w:vAlign w:val="bottom"/>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400" w:type="dxa"/>
            <w:vAlign w:val="bottom"/>
            <w:shd w:val="clear" w:color="auto" w:fill="E9EEE6"/>
          </w:tcPr>
          <w:p>
            <w:pPr>
              <w:spacing w:after="0"/>
              <w:rPr>
                <w:sz w:val="13"/>
                <w:szCs w:val="13"/>
                <w:color w:val="auto"/>
              </w:rPr>
            </w:pPr>
          </w:p>
        </w:tc>
        <w:tc>
          <w:tcPr>
            <w:tcW w:w="260" w:type="dxa"/>
            <w:vAlign w:val="bottom"/>
            <w:tcBorders>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left w:val="single" w:sz="8" w:color="E9EEE6"/>
            </w:tcBorders>
            <w:shd w:val="clear" w:color="auto" w:fill="E9EEE6"/>
          </w:tcPr>
          <w:p>
            <w:pPr>
              <w:spacing w:after="0"/>
              <w:rPr>
                <w:sz w:val="13"/>
                <w:szCs w:val="13"/>
                <w:color w:val="auto"/>
              </w:rPr>
            </w:pPr>
          </w:p>
        </w:tc>
        <w:tc>
          <w:tcPr>
            <w:tcW w:w="36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40" w:type="dxa"/>
            <w:vAlign w:val="bottom"/>
            <w:shd w:val="clear" w:color="auto" w:fill="E9EEE6"/>
          </w:tcPr>
          <w:p>
            <w:pPr>
              <w:spacing w:after="0"/>
              <w:rPr>
                <w:sz w:val="13"/>
                <w:szCs w:val="13"/>
                <w:color w:val="auto"/>
              </w:rPr>
            </w:pPr>
          </w:p>
        </w:tc>
        <w:tc>
          <w:tcPr>
            <w:tcW w:w="18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12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660" w:type="dxa"/>
            <w:vAlign w:val="bottom"/>
            <w:tcBorders>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E9EEE6"/>
          </w:tcPr>
          <w:p>
            <w:pPr>
              <w:spacing w:after="0"/>
              <w:rPr>
                <w:sz w:val="13"/>
                <w:szCs w:val="13"/>
                <w:color w:val="auto"/>
              </w:rPr>
            </w:pPr>
          </w:p>
        </w:tc>
        <w:tc>
          <w:tcPr>
            <w:tcW w:w="240" w:type="dxa"/>
            <w:vAlign w:val="bottom"/>
            <w:shd w:val="clear" w:color="auto" w:fill="E9EEE6"/>
          </w:tcPr>
          <w:p>
            <w:pPr>
              <w:spacing w:after="0"/>
              <w:rPr>
                <w:sz w:val="13"/>
                <w:szCs w:val="13"/>
                <w:color w:val="auto"/>
              </w:rPr>
            </w:pPr>
          </w:p>
        </w:tc>
        <w:tc>
          <w:tcPr>
            <w:tcW w:w="200" w:type="dxa"/>
            <w:vAlign w:val="bottom"/>
            <w:tcBorders>
              <w:right w:val="single" w:sz="8" w:color="E9EEE6"/>
            </w:tcBorders>
            <w:shd w:val="clear" w:color="auto" w:fill="E9EEE6"/>
          </w:tcPr>
          <w:p>
            <w:pPr>
              <w:spacing w:after="0"/>
              <w:rPr>
                <w:sz w:val="13"/>
                <w:szCs w:val="13"/>
                <w:color w:val="auto"/>
              </w:rPr>
            </w:pPr>
          </w:p>
        </w:tc>
        <w:tc>
          <w:tcPr>
            <w:tcW w:w="780" w:type="dxa"/>
            <w:vAlign w:val="bottom"/>
            <w:shd w:val="clear" w:color="auto" w:fill="E9EEE6"/>
          </w:tcPr>
          <w:p>
            <w:pPr>
              <w:spacing w:after="0"/>
              <w:rPr>
                <w:sz w:val="13"/>
                <w:szCs w:val="13"/>
                <w:color w:val="auto"/>
              </w:rPr>
            </w:pPr>
          </w:p>
        </w:tc>
        <w:tc>
          <w:tcPr>
            <w:tcW w:w="80" w:type="dxa"/>
            <w:vAlign w:val="bottom"/>
            <w:shd w:val="clear" w:color="auto" w:fill="E9EEE6"/>
          </w:tcPr>
          <w:p>
            <w:pPr>
              <w:spacing w:after="0"/>
              <w:rPr>
                <w:sz w:val="13"/>
                <w:szCs w:val="13"/>
                <w:color w:val="auto"/>
              </w:rPr>
            </w:pPr>
          </w:p>
        </w:tc>
        <w:tc>
          <w:tcPr>
            <w:tcW w:w="140" w:type="dxa"/>
            <w:vAlign w:val="bottom"/>
            <w:shd w:val="clear" w:color="auto" w:fill="E9EEE6"/>
          </w:tcPr>
          <w:p>
            <w:pPr>
              <w:spacing w:after="0"/>
              <w:rPr>
                <w:sz w:val="13"/>
                <w:szCs w:val="13"/>
                <w:color w:val="auto"/>
              </w:rPr>
            </w:pPr>
          </w:p>
        </w:tc>
        <w:tc>
          <w:tcPr>
            <w:tcW w:w="40" w:type="dxa"/>
            <w:vAlign w:val="bottom"/>
            <w:shd w:val="clear" w:color="auto" w:fill="E9EEE6"/>
          </w:tcPr>
          <w:p>
            <w:pPr>
              <w:spacing w:after="0"/>
              <w:rPr>
                <w:sz w:val="13"/>
                <w:szCs w:val="13"/>
                <w:color w:val="auto"/>
              </w:rPr>
            </w:pPr>
          </w:p>
        </w:tc>
        <w:tc>
          <w:tcPr>
            <w:tcW w:w="180" w:type="dxa"/>
            <w:vAlign w:val="bottom"/>
            <w:tcBorders>
              <w:right w:val="single" w:sz="8" w:color="E9EEE6"/>
            </w:tcBorders>
            <w:shd w:val="clear" w:color="auto" w:fill="E9EEE6"/>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E9EEE6"/>
          </w:tcPr>
          <w:p>
            <w:pPr>
              <w:spacing w:after="0"/>
              <w:rPr>
                <w:sz w:val="13"/>
                <w:szCs w:val="13"/>
                <w:color w:val="auto"/>
              </w:rPr>
            </w:pPr>
          </w:p>
        </w:tc>
        <w:tc>
          <w:tcPr>
            <w:tcW w:w="72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40" w:type="dxa"/>
            <w:vAlign w:val="bottom"/>
            <w:shd w:val="clear" w:color="auto" w:fill="E9EEE6"/>
          </w:tcPr>
          <w:p>
            <w:pPr>
              <w:spacing w:after="0"/>
              <w:rPr>
                <w:sz w:val="13"/>
                <w:szCs w:val="13"/>
                <w:color w:val="auto"/>
              </w:rPr>
            </w:pPr>
          </w:p>
        </w:tc>
        <w:tc>
          <w:tcPr>
            <w:tcW w:w="100" w:type="dxa"/>
            <w:vAlign w:val="bottom"/>
            <w:shd w:val="clear" w:color="auto" w:fill="E9EEE6"/>
          </w:tcPr>
          <w:p>
            <w:pPr>
              <w:spacing w:after="0"/>
              <w:rPr>
                <w:sz w:val="13"/>
                <w:szCs w:val="13"/>
                <w:color w:val="auto"/>
              </w:rPr>
            </w:pPr>
          </w:p>
        </w:tc>
        <w:tc>
          <w:tcPr>
            <w:tcW w:w="20" w:type="dxa"/>
            <w:vAlign w:val="bottom"/>
            <w:shd w:val="clear" w:color="auto" w:fill="E9EEE6"/>
          </w:tcPr>
          <w:p>
            <w:pPr>
              <w:spacing w:after="0"/>
              <w:rPr>
                <w:sz w:val="13"/>
                <w:szCs w:val="13"/>
                <w:color w:val="auto"/>
              </w:rPr>
            </w:pPr>
          </w:p>
        </w:tc>
        <w:tc>
          <w:tcPr>
            <w:tcW w:w="280" w:type="dxa"/>
            <w:vAlign w:val="bottom"/>
            <w:gridSpan w:val="2"/>
            <w:shd w:val="clear" w:color="auto" w:fill="E9EEE6"/>
          </w:tcPr>
          <w:p>
            <w:pPr>
              <w:jc w:val="right"/>
              <w:ind w:right="79"/>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E9EEE6"/>
          </w:tcPr>
          <w:p>
            <w:pPr>
              <w:spacing w:after="0"/>
              <w:rPr>
                <w:sz w:val="13"/>
                <w:szCs w:val="13"/>
                <w:color w:val="auto"/>
              </w:rPr>
            </w:pPr>
          </w:p>
        </w:tc>
        <w:tc>
          <w:tcPr>
            <w:tcW w:w="680" w:type="dxa"/>
            <w:vAlign w:val="bottom"/>
            <w:gridSpan w:val="3"/>
            <w:shd w:val="clear" w:color="auto" w:fill="E9EEE6"/>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3"/>
        </w:trPr>
        <w:tc>
          <w:tcPr>
            <w:tcW w:w="120" w:type="dxa"/>
            <w:vAlign w:val="bottom"/>
            <w:tcBorders>
              <w:top w:val="single" w:sz="8" w:color="E9EEE6"/>
              <w:right w:val="single" w:sz="8" w:color="E9EEE6"/>
            </w:tcBorders>
            <w:shd w:val="clear" w:color="auto" w:fill="E9EEE6"/>
          </w:tcPr>
          <w:p>
            <w:pPr>
              <w:spacing w:after="0"/>
              <w:rPr>
                <w:sz w:val="7"/>
                <w:szCs w:val="7"/>
                <w:color w:val="auto"/>
              </w:rPr>
            </w:pPr>
          </w:p>
        </w:tc>
        <w:tc>
          <w:tcPr>
            <w:tcW w:w="2120" w:type="dxa"/>
            <w:vAlign w:val="bottom"/>
            <w:tcBorders>
              <w:top w:val="single" w:sz="8" w:color="58854E"/>
              <w:right w:val="single" w:sz="8" w:color="E9EEE6"/>
            </w:tcBorders>
            <w:gridSpan w:val="5"/>
            <w:shd w:val="clear" w:color="auto" w:fill="E9EEE6"/>
          </w:tcPr>
          <w:p>
            <w:pPr>
              <w:spacing w:after="0"/>
              <w:rPr>
                <w:sz w:val="7"/>
                <w:szCs w:val="7"/>
                <w:color w:val="auto"/>
              </w:rPr>
            </w:pPr>
          </w:p>
        </w:tc>
        <w:tc>
          <w:tcPr>
            <w:tcW w:w="600" w:type="dxa"/>
            <w:vAlign w:val="bottom"/>
            <w:tcBorders>
              <w:top w:val="single" w:sz="8" w:color="58854E"/>
              <w:right w:val="single" w:sz="8" w:color="E9EEE6"/>
            </w:tcBorders>
            <w:gridSpan w:val="2"/>
            <w:shd w:val="clear" w:color="auto" w:fill="E9EEE6"/>
          </w:tcPr>
          <w:p>
            <w:pPr>
              <w:spacing w:after="0"/>
              <w:rPr>
                <w:sz w:val="7"/>
                <w:szCs w:val="7"/>
                <w:color w:val="auto"/>
              </w:rPr>
            </w:pPr>
          </w:p>
        </w:tc>
        <w:tc>
          <w:tcPr>
            <w:tcW w:w="160" w:type="dxa"/>
            <w:vAlign w:val="bottom"/>
            <w:tcBorders>
              <w:top w:val="single" w:sz="8" w:color="58854E"/>
              <w:right w:val="single" w:sz="8" w:color="E9EEE6"/>
            </w:tcBorders>
            <w:shd w:val="clear" w:color="auto" w:fill="E9EEE6"/>
          </w:tcPr>
          <w:p>
            <w:pPr>
              <w:spacing w:after="0"/>
              <w:rPr>
                <w:sz w:val="7"/>
                <w:szCs w:val="7"/>
                <w:color w:val="auto"/>
              </w:rPr>
            </w:pPr>
          </w:p>
        </w:tc>
        <w:tc>
          <w:tcPr>
            <w:tcW w:w="100" w:type="dxa"/>
            <w:vAlign w:val="bottom"/>
            <w:tcBorders>
              <w:top w:val="single" w:sz="8" w:color="58854E"/>
              <w:right w:val="single" w:sz="8" w:color="E9EEE6"/>
            </w:tcBorders>
            <w:shd w:val="clear" w:color="auto" w:fill="E9EEE6"/>
          </w:tcPr>
          <w:p>
            <w:pPr>
              <w:spacing w:after="0"/>
              <w:rPr>
                <w:sz w:val="7"/>
                <w:szCs w:val="7"/>
                <w:color w:val="auto"/>
              </w:rPr>
            </w:pPr>
          </w:p>
        </w:tc>
        <w:tc>
          <w:tcPr>
            <w:tcW w:w="1640" w:type="dxa"/>
            <w:vAlign w:val="bottom"/>
            <w:tcBorders>
              <w:top w:val="single" w:sz="8" w:color="58854E"/>
              <w:right w:val="single" w:sz="8" w:color="E9EEE6"/>
            </w:tcBorders>
            <w:gridSpan w:val="11"/>
            <w:shd w:val="clear" w:color="auto" w:fill="E9EEE6"/>
          </w:tcPr>
          <w:p>
            <w:pPr>
              <w:spacing w:after="0"/>
              <w:rPr>
                <w:sz w:val="7"/>
                <w:szCs w:val="7"/>
                <w:color w:val="auto"/>
              </w:rPr>
            </w:pPr>
          </w:p>
        </w:tc>
        <w:tc>
          <w:tcPr>
            <w:tcW w:w="1260" w:type="dxa"/>
            <w:vAlign w:val="bottom"/>
            <w:tcBorders>
              <w:top w:val="single" w:sz="8" w:color="58854E"/>
              <w:right w:val="single" w:sz="8" w:color="E9EEE6"/>
            </w:tcBorders>
            <w:gridSpan w:val="7"/>
            <w:shd w:val="clear" w:color="auto" w:fill="E9EEE6"/>
          </w:tcPr>
          <w:p>
            <w:pPr>
              <w:spacing w:after="0"/>
              <w:rPr>
                <w:sz w:val="7"/>
                <w:szCs w:val="7"/>
                <w:color w:val="auto"/>
              </w:rPr>
            </w:pPr>
          </w:p>
        </w:tc>
        <w:tc>
          <w:tcPr>
            <w:tcW w:w="1620" w:type="dxa"/>
            <w:vAlign w:val="bottom"/>
            <w:tcBorders>
              <w:top w:val="single" w:sz="8" w:color="58854E"/>
              <w:left w:val="single" w:sz="8" w:color="E9EEE6"/>
              <w:right w:val="single" w:sz="8" w:color="E9EEE6"/>
            </w:tcBorders>
            <w:gridSpan w:val="9"/>
            <w:shd w:val="clear" w:color="auto" w:fill="E9EEE6"/>
          </w:tcPr>
          <w:p>
            <w:pPr>
              <w:spacing w:after="0"/>
              <w:rPr>
                <w:sz w:val="7"/>
                <w:szCs w:val="7"/>
                <w:color w:val="auto"/>
              </w:rPr>
            </w:pPr>
          </w:p>
        </w:tc>
        <w:tc>
          <w:tcPr>
            <w:tcW w:w="560" w:type="dxa"/>
            <w:vAlign w:val="bottom"/>
            <w:tcBorders>
              <w:top w:val="single" w:sz="8" w:color="58854E"/>
              <w:right w:val="single" w:sz="8" w:color="E9EEE6"/>
            </w:tcBorders>
            <w:gridSpan w:val="3"/>
            <w:shd w:val="clear" w:color="auto" w:fill="E9EEE6"/>
          </w:tcPr>
          <w:p>
            <w:pPr>
              <w:spacing w:after="0"/>
              <w:rPr>
                <w:sz w:val="7"/>
                <w:szCs w:val="7"/>
                <w:color w:val="auto"/>
              </w:rPr>
            </w:pPr>
          </w:p>
        </w:tc>
        <w:tc>
          <w:tcPr>
            <w:tcW w:w="1220" w:type="dxa"/>
            <w:vAlign w:val="bottom"/>
            <w:tcBorders>
              <w:top w:val="single" w:sz="8" w:color="58854E"/>
              <w:right w:val="single" w:sz="8" w:color="E9EEE6"/>
            </w:tcBorders>
            <w:gridSpan w:val="5"/>
            <w:shd w:val="clear" w:color="auto" w:fill="E9EEE6"/>
          </w:tcPr>
          <w:p>
            <w:pPr>
              <w:spacing w:after="0"/>
              <w:rPr>
                <w:sz w:val="7"/>
                <w:szCs w:val="7"/>
                <w:color w:val="auto"/>
              </w:rPr>
            </w:pPr>
          </w:p>
        </w:tc>
        <w:tc>
          <w:tcPr>
            <w:tcW w:w="1160" w:type="dxa"/>
            <w:vAlign w:val="bottom"/>
            <w:tcBorders>
              <w:top w:val="single" w:sz="8" w:color="58854E"/>
              <w:right w:val="single" w:sz="8" w:color="E9EEE6"/>
            </w:tcBorders>
            <w:gridSpan w:val="7"/>
            <w:shd w:val="clear" w:color="auto" w:fill="E9EEE6"/>
          </w:tcPr>
          <w:p>
            <w:pPr>
              <w:spacing w:after="0"/>
              <w:rPr>
                <w:sz w:val="7"/>
                <w:szCs w:val="7"/>
                <w:color w:val="auto"/>
              </w:rPr>
            </w:pPr>
          </w:p>
        </w:tc>
        <w:tc>
          <w:tcPr>
            <w:tcW w:w="640" w:type="dxa"/>
            <w:vAlign w:val="bottom"/>
            <w:tcBorders>
              <w:top w:val="single" w:sz="8" w:color="58854E"/>
            </w:tcBorders>
            <w:gridSpan w:val="3"/>
            <w:shd w:val="clear" w:color="auto" w:fill="E9EEE6"/>
          </w:tcPr>
          <w:p>
            <w:pPr>
              <w:spacing w:after="0"/>
              <w:rPr>
                <w:sz w:val="7"/>
                <w:szCs w:val="7"/>
                <w:color w:val="auto"/>
              </w:rPr>
            </w:pPr>
          </w:p>
        </w:tc>
        <w:tc>
          <w:tcPr>
            <w:tcW w:w="240" w:type="dxa"/>
            <w:vAlign w:val="bottom"/>
            <w:tcBorders>
              <w:top w:val="single" w:sz="8" w:color="E9EEE6"/>
            </w:tcBorders>
            <w:gridSpan w:val="2"/>
            <w:shd w:val="clear" w:color="auto" w:fill="E9EEE6"/>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20" w:type="dxa"/>
            <w:vAlign w:val="bottom"/>
            <w:tcBorders>
              <w:right w:val="single" w:sz="8" w:color="E9EEE6"/>
            </w:tcBorders>
            <w:shd w:val="clear" w:color="auto" w:fill="E9EEE6"/>
          </w:tcPr>
          <w:p>
            <w:pPr>
              <w:ind w:left="60"/>
              <w:spacing w:after="0"/>
              <w:rPr>
                <w:sz w:val="20"/>
                <w:szCs w:val="20"/>
                <w:color w:val="auto"/>
              </w:rPr>
            </w:pPr>
            <w:r>
              <w:rPr>
                <w:rFonts w:ascii="Arial" w:cs="Arial" w:eastAsia="Arial" w:hAnsi="Arial"/>
                <w:sz w:val="5"/>
                <w:szCs w:val="5"/>
                <w:color w:val="58844D"/>
                <w:w w:val="70"/>
              </w:rPr>
              <w:t>5</w:t>
            </w:r>
          </w:p>
        </w:tc>
        <w:tc>
          <w:tcPr>
            <w:tcW w:w="240" w:type="dxa"/>
            <w:vAlign w:val="bottom"/>
            <w:shd w:val="clear" w:color="auto" w:fill="E9EEE6"/>
          </w:tcPr>
          <w:p>
            <w:pPr>
              <w:spacing w:after="0"/>
              <w:rPr>
                <w:sz w:val="9"/>
                <w:szCs w:val="9"/>
                <w:color w:val="auto"/>
              </w:rPr>
            </w:pPr>
          </w:p>
        </w:tc>
        <w:tc>
          <w:tcPr>
            <w:tcW w:w="4600" w:type="dxa"/>
            <w:vAlign w:val="bottom"/>
            <w:gridSpan w:val="21"/>
            <w:vMerge w:val="restart"/>
            <w:shd w:val="clear" w:color="auto" w:fill="E9EEE6"/>
          </w:tcPr>
          <w:p>
            <w:pPr>
              <w:spacing w:after="0" w:line="137" w:lineRule="exact"/>
              <w:rPr>
                <w:sz w:val="20"/>
                <w:szCs w:val="20"/>
                <w:color w:val="auto"/>
              </w:rPr>
            </w:pPr>
            <w:r>
              <w:rPr>
                <w:rFonts w:ascii="Arial" w:cs="Arial" w:eastAsia="Arial" w:hAnsi="Arial"/>
                <w:sz w:val="12"/>
                <w:szCs w:val="12"/>
                <w:color w:val="auto"/>
              </w:rPr>
              <w:t>Mr. Sotos was appointed as President and Chief Executive Officer on May 6, 2016.</w:t>
            </w:r>
          </w:p>
        </w:tc>
        <w:tc>
          <w:tcPr>
            <w:tcW w:w="140" w:type="dxa"/>
            <w:vAlign w:val="bottom"/>
            <w:shd w:val="clear" w:color="auto" w:fill="E9EEE6"/>
          </w:tcPr>
          <w:p>
            <w:pPr>
              <w:spacing w:after="0"/>
              <w:rPr>
                <w:sz w:val="9"/>
                <w:szCs w:val="9"/>
                <w:color w:val="auto"/>
              </w:rPr>
            </w:pPr>
          </w:p>
        </w:tc>
        <w:tc>
          <w:tcPr>
            <w:tcW w:w="140" w:type="dxa"/>
            <w:vAlign w:val="bottom"/>
            <w:shd w:val="clear" w:color="auto" w:fill="E9EEE6"/>
          </w:tcPr>
          <w:p>
            <w:pPr>
              <w:spacing w:after="0"/>
              <w:rPr>
                <w:sz w:val="9"/>
                <w:szCs w:val="9"/>
                <w:color w:val="auto"/>
              </w:rPr>
            </w:pPr>
          </w:p>
        </w:tc>
        <w:tc>
          <w:tcPr>
            <w:tcW w:w="100" w:type="dxa"/>
            <w:vAlign w:val="bottom"/>
            <w:shd w:val="clear" w:color="auto" w:fill="E9EEE6"/>
          </w:tcPr>
          <w:p>
            <w:pPr>
              <w:spacing w:after="0"/>
              <w:rPr>
                <w:sz w:val="9"/>
                <w:szCs w:val="9"/>
                <w:color w:val="auto"/>
              </w:rPr>
            </w:pPr>
          </w:p>
        </w:tc>
        <w:tc>
          <w:tcPr>
            <w:tcW w:w="400" w:type="dxa"/>
            <w:vAlign w:val="bottom"/>
            <w:shd w:val="clear" w:color="auto" w:fill="E9EEE6"/>
          </w:tcPr>
          <w:p>
            <w:pPr>
              <w:spacing w:after="0"/>
              <w:rPr>
                <w:sz w:val="9"/>
                <w:szCs w:val="9"/>
                <w:color w:val="auto"/>
              </w:rPr>
            </w:pPr>
          </w:p>
        </w:tc>
        <w:tc>
          <w:tcPr>
            <w:tcW w:w="260" w:type="dxa"/>
            <w:vAlign w:val="bottom"/>
            <w:tcBorders>
              <w:right w:val="single" w:sz="8" w:color="E9EEE6"/>
            </w:tcBorders>
            <w:shd w:val="clear" w:color="auto" w:fill="E9EEE6"/>
          </w:tcPr>
          <w:p>
            <w:pPr>
              <w:spacing w:after="0"/>
              <w:rPr>
                <w:sz w:val="9"/>
                <w:szCs w:val="9"/>
                <w:color w:val="auto"/>
              </w:rPr>
            </w:pPr>
          </w:p>
        </w:tc>
        <w:tc>
          <w:tcPr>
            <w:tcW w:w="140" w:type="dxa"/>
            <w:vAlign w:val="bottom"/>
            <w:tcBorders>
              <w:left w:val="single" w:sz="8" w:color="E9EEE6"/>
            </w:tcBorders>
            <w:shd w:val="clear" w:color="auto" w:fill="E9EEE6"/>
          </w:tcPr>
          <w:p>
            <w:pPr>
              <w:spacing w:after="0"/>
              <w:rPr>
                <w:sz w:val="9"/>
                <w:szCs w:val="9"/>
                <w:color w:val="auto"/>
              </w:rPr>
            </w:pPr>
          </w:p>
        </w:tc>
        <w:tc>
          <w:tcPr>
            <w:tcW w:w="360" w:type="dxa"/>
            <w:vAlign w:val="bottom"/>
            <w:shd w:val="clear" w:color="auto" w:fill="E9EEE6"/>
          </w:tcPr>
          <w:p>
            <w:pPr>
              <w:spacing w:after="0"/>
              <w:rPr>
                <w:sz w:val="9"/>
                <w:szCs w:val="9"/>
                <w:color w:val="auto"/>
              </w:rPr>
            </w:pPr>
          </w:p>
        </w:tc>
        <w:tc>
          <w:tcPr>
            <w:tcW w:w="20" w:type="dxa"/>
            <w:vAlign w:val="bottom"/>
            <w:shd w:val="clear" w:color="auto" w:fill="E9EEE6"/>
          </w:tcPr>
          <w:p>
            <w:pPr>
              <w:spacing w:after="0"/>
              <w:rPr>
                <w:sz w:val="9"/>
                <w:szCs w:val="9"/>
                <w:color w:val="auto"/>
              </w:rPr>
            </w:pPr>
          </w:p>
        </w:tc>
        <w:tc>
          <w:tcPr>
            <w:tcW w:w="40" w:type="dxa"/>
            <w:vAlign w:val="bottom"/>
            <w:shd w:val="clear" w:color="auto" w:fill="E9EEE6"/>
          </w:tcPr>
          <w:p>
            <w:pPr>
              <w:spacing w:after="0"/>
              <w:rPr>
                <w:sz w:val="9"/>
                <w:szCs w:val="9"/>
                <w:color w:val="auto"/>
              </w:rPr>
            </w:pPr>
          </w:p>
        </w:tc>
        <w:tc>
          <w:tcPr>
            <w:tcW w:w="180" w:type="dxa"/>
            <w:vAlign w:val="bottom"/>
            <w:shd w:val="clear" w:color="auto" w:fill="E9EEE6"/>
          </w:tcPr>
          <w:p>
            <w:pPr>
              <w:spacing w:after="0"/>
              <w:rPr>
                <w:sz w:val="9"/>
                <w:szCs w:val="9"/>
                <w:color w:val="auto"/>
              </w:rPr>
            </w:pPr>
          </w:p>
        </w:tc>
        <w:tc>
          <w:tcPr>
            <w:tcW w:w="20" w:type="dxa"/>
            <w:vAlign w:val="bottom"/>
            <w:shd w:val="clear" w:color="auto" w:fill="E9EEE6"/>
          </w:tcPr>
          <w:p>
            <w:pPr>
              <w:spacing w:after="0"/>
              <w:rPr>
                <w:sz w:val="9"/>
                <w:szCs w:val="9"/>
                <w:color w:val="auto"/>
              </w:rPr>
            </w:pPr>
          </w:p>
        </w:tc>
        <w:tc>
          <w:tcPr>
            <w:tcW w:w="120" w:type="dxa"/>
            <w:vAlign w:val="bottom"/>
            <w:shd w:val="clear" w:color="auto" w:fill="E9EEE6"/>
          </w:tcPr>
          <w:p>
            <w:pPr>
              <w:spacing w:after="0"/>
              <w:rPr>
                <w:sz w:val="9"/>
                <w:szCs w:val="9"/>
                <w:color w:val="auto"/>
              </w:rPr>
            </w:pPr>
          </w:p>
        </w:tc>
        <w:tc>
          <w:tcPr>
            <w:tcW w:w="80" w:type="dxa"/>
            <w:vAlign w:val="bottom"/>
            <w:shd w:val="clear" w:color="auto" w:fill="E9EEE6"/>
          </w:tcPr>
          <w:p>
            <w:pPr>
              <w:spacing w:after="0"/>
              <w:rPr>
                <w:sz w:val="9"/>
                <w:szCs w:val="9"/>
                <w:color w:val="auto"/>
              </w:rPr>
            </w:pPr>
          </w:p>
        </w:tc>
        <w:tc>
          <w:tcPr>
            <w:tcW w:w="660" w:type="dxa"/>
            <w:vAlign w:val="bottom"/>
            <w:tcBorders>
              <w:right w:val="single" w:sz="8" w:color="E9EEE6"/>
            </w:tcBorders>
            <w:shd w:val="clear" w:color="auto" w:fill="E9EEE6"/>
          </w:tcPr>
          <w:p>
            <w:pPr>
              <w:spacing w:after="0"/>
              <w:rPr>
                <w:sz w:val="9"/>
                <w:szCs w:val="9"/>
                <w:color w:val="auto"/>
              </w:rPr>
            </w:pPr>
          </w:p>
        </w:tc>
        <w:tc>
          <w:tcPr>
            <w:tcW w:w="120" w:type="dxa"/>
            <w:vAlign w:val="bottom"/>
            <w:shd w:val="clear" w:color="auto" w:fill="E9EEE6"/>
          </w:tcPr>
          <w:p>
            <w:pPr>
              <w:spacing w:after="0"/>
              <w:rPr>
                <w:sz w:val="9"/>
                <w:szCs w:val="9"/>
                <w:color w:val="auto"/>
              </w:rPr>
            </w:pPr>
          </w:p>
        </w:tc>
        <w:tc>
          <w:tcPr>
            <w:tcW w:w="240" w:type="dxa"/>
            <w:vAlign w:val="bottom"/>
            <w:shd w:val="clear" w:color="auto" w:fill="E9EEE6"/>
          </w:tcPr>
          <w:p>
            <w:pPr>
              <w:spacing w:after="0"/>
              <w:rPr>
                <w:sz w:val="9"/>
                <w:szCs w:val="9"/>
                <w:color w:val="auto"/>
              </w:rPr>
            </w:pPr>
          </w:p>
        </w:tc>
        <w:tc>
          <w:tcPr>
            <w:tcW w:w="200" w:type="dxa"/>
            <w:vAlign w:val="bottom"/>
            <w:tcBorders>
              <w:right w:val="single" w:sz="8" w:color="E9EEE6"/>
            </w:tcBorders>
            <w:shd w:val="clear" w:color="auto" w:fill="E9EEE6"/>
          </w:tcPr>
          <w:p>
            <w:pPr>
              <w:spacing w:after="0"/>
              <w:rPr>
                <w:sz w:val="9"/>
                <w:szCs w:val="9"/>
                <w:color w:val="auto"/>
              </w:rPr>
            </w:pPr>
          </w:p>
        </w:tc>
        <w:tc>
          <w:tcPr>
            <w:tcW w:w="780" w:type="dxa"/>
            <w:vAlign w:val="bottom"/>
            <w:shd w:val="clear" w:color="auto" w:fill="E9EEE6"/>
          </w:tcPr>
          <w:p>
            <w:pPr>
              <w:spacing w:after="0"/>
              <w:rPr>
                <w:sz w:val="9"/>
                <w:szCs w:val="9"/>
                <w:color w:val="auto"/>
              </w:rPr>
            </w:pPr>
          </w:p>
        </w:tc>
        <w:tc>
          <w:tcPr>
            <w:tcW w:w="80" w:type="dxa"/>
            <w:vAlign w:val="bottom"/>
            <w:shd w:val="clear" w:color="auto" w:fill="E9EEE6"/>
          </w:tcPr>
          <w:p>
            <w:pPr>
              <w:spacing w:after="0"/>
              <w:rPr>
                <w:sz w:val="9"/>
                <w:szCs w:val="9"/>
                <w:color w:val="auto"/>
              </w:rPr>
            </w:pPr>
          </w:p>
        </w:tc>
        <w:tc>
          <w:tcPr>
            <w:tcW w:w="140" w:type="dxa"/>
            <w:vAlign w:val="bottom"/>
            <w:shd w:val="clear" w:color="auto" w:fill="E9EEE6"/>
          </w:tcPr>
          <w:p>
            <w:pPr>
              <w:spacing w:after="0"/>
              <w:rPr>
                <w:sz w:val="9"/>
                <w:szCs w:val="9"/>
                <w:color w:val="auto"/>
              </w:rPr>
            </w:pPr>
          </w:p>
        </w:tc>
        <w:tc>
          <w:tcPr>
            <w:tcW w:w="40" w:type="dxa"/>
            <w:vAlign w:val="bottom"/>
            <w:shd w:val="clear" w:color="auto" w:fill="E9EEE6"/>
          </w:tcPr>
          <w:p>
            <w:pPr>
              <w:spacing w:after="0"/>
              <w:rPr>
                <w:sz w:val="9"/>
                <w:szCs w:val="9"/>
                <w:color w:val="auto"/>
              </w:rPr>
            </w:pPr>
          </w:p>
        </w:tc>
        <w:tc>
          <w:tcPr>
            <w:tcW w:w="180" w:type="dxa"/>
            <w:vAlign w:val="bottom"/>
            <w:tcBorders>
              <w:right w:val="single" w:sz="8" w:color="E9EEE6"/>
            </w:tcBorders>
            <w:shd w:val="clear" w:color="auto" w:fill="E9EEE6"/>
          </w:tcPr>
          <w:p>
            <w:pPr>
              <w:spacing w:after="0"/>
              <w:rPr>
                <w:sz w:val="9"/>
                <w:szCs w:val="9"/>
                <w:color w:val="auto"/>
              </w:rPr>
            </w:pPr>
          </w:p>
        </w:tc>
        <w:tc>
          <w:tcPr>
            <w:tcW w:w="120" w:type="dxa"/>
            <w:vAlign w:val="bottom"/>
            <w:shd w:val="clear" w:color="auto" w:fill="E9EEE6"/>
          </w:tcPr>
          <w:p>
            <w:pPr>
              <w:spacing w:after="0"/>
              <w:rPr>
                <w:sz w:val="9"/>
                <w:szCs w:val="9"/>
                <w:color w:val="auto"/>
              </w:rPr>
            </w:pPr>
          </w:p>
        </w:tc>
        <w:tc>
          <w:tcPr>
            <w:tcW w:w="720" w:type="dxa"/>
            <w:vAlign w:val="bottom"/>
            <w:shd w:val="clear" w:color="auto" w:fill="E9EEE6"/>
          </w:tcPr>
          <w:p>
            <w:pPr>
              <w:spacing w:after="0"/>
              <w:rPr>
                <w:sz w:val="9"/>
                <w:szCs w:val="9"/>
                <w:color w:val="auto"/>
              </w:rPr>
            </w:pPr>
          </w:p>
        </w:tc>
        <w:tc>
          <w:tcPr>
            <w:tcW w:w="20" w:type="dxa"/>
            <w:vAlign w:val="bottom"/>
            <w:shd w:val="clear" w:color="auto" w:fill="E9EEE6"/>
          </w:tcPr>
          <w:p>
            <w:pPr>
              <w:spacing w:after="0"/>
              <w:rPr>
                <w:sz w:val="9"/>
                <w:szCs w:val="9"/>
                <w:color w:val="auto"/>
              </w:rPr>
            </w:pPr>
          </w:p>
        </w:tc>
        <w:tc>
          <w:tcPr>
            <w:tcW w:w="40" w:type="dxa"/>
            <w:vAlign w:val="bottom"/>
            <w:shd w:val="clear" w:color="auto" w:fill="E9EEE6"/>
          </w:tcPr>
          <w:p>
            <w:pPr>
              <w:spacing w:after="0"/>
              <w:rPr>
                <w:sz w:val="9"/>
                <w:szCs w:val="9"/>
                <w:color w:val="auto"/>
              </w:rPr>
            </w:pPr>
          </w:p>
        </w:tc>
        <w:tc>
          <w:tcPr>
            <w:tcW w:w="100" w:type="dxa"/>
            <w:vAlign w:val="bottom"/>
            <w:shd w:val="clear" w:color="auto" w:fill="E9EEE6"/>
          </w:tcPr>
          <w:p>
            <w:pPr>
              <w:spacing w:after="0"/>
              <w:rPr>
                <w:sz w:val="9"/>
                <w:szCs w:val="9"/>
                <w:color w:val="auto"/>
              </w:rPr>
            </w:pPr>
          </w:p>
        </w:tc>
        <w:tc>
          <w:tcPr>
            <w:tcW w:w="20" w:type="dxa"/>
            <w:vAlign w:val="bottom"/>
            <w:shd w:val="clear" w:color="auto" w:fill="E9EEE6"/>
          </w:tcPr>
          <w:p>
            <w:pPr>
              <w:spacing w:after="0"/>
              <w:rPr>
                <w:sz w:val="9"/>
                <w:szCs w:val="9"/>
                <w:color w:val="auto"/>
              </w:rPr>
            </w:pPr>
          </w:p>
        </w:tc>
        <w:tc>
          <w:tcPr>
            <w:tcW w:w="140" w:type="dxa"/>
            <w:vAlign w:val="bottom"/>
            <w:tcBorders>
              <w:right w:val="single" w:sz="8" w:color="E9EEE6"/>
            </w:tcBorders>
            <w:shd w:val="clear" w:color="auto" w:fill="E9EEE6"/>
          </w:tcPr>
          <w:p>
            <w:pPr>
              <w:spacing w:after="0"/>
              <w:rPr>
                <w:sz w:val="9"/>
                <w:szCs w:val="9"/>
                <w:color w:val="auto"/>
              </w:rPr>
            </w:pPr>
          </w:p>
        </w:tc>
        <w:tc>
          <w:tcPr>
            <w:tcW w:w="140" w:type="dxa"/>
            <w:vAlign w:val="bottom"/>
            <w:shd w:val="clear" w:color="auto" w:fill="E9EEE6"/>
          </w:tcPr>
          <w:p>
            <w:pPr>
              <w:spacing w:after="0"/>
              <w:rPr>
                <w:sz w:val="9"/>
                <w:szCs w:val="9"/>
                <w:color w:val="auto"/>
              </w:rPr>
            </w:pPr>
          </w:p>
        </w:tc>
        <w:tc>
          <w:tcPr>
            <w:tcW w:w="60" w:type="dxa"/>
            <w:vAlign w:val="bottom"/>
            <w:shd w:val="clear" w:color="auto" w:fill="E9EEE6"/>
          </w:tcPr>
          <w:p>
            <w:pPr>
              <w:spacing w:after="0"/>
              <w:rPr>
                <w:sz w:val="9"/>
                <w:szCs w:val="9"/>
                <w:color w:val="auto"/>
              </w:rPr>
            </w:pPr>
          </w:p>
        </w:tc>
        <w:tc>
          <w:tcPr>
            <w:tcW w:w="440" w:type="dxa"/>
            <w:vAlign w:val="bottom"/>
            <w:shd w:val="clear" w:color="auto" w:fill="E9EEE6"/>
          </w:tcPr>
          <w:p>
            <w:pPr>
              <w:spacing w:after="0"/>
              <w:rPr>
                <w:sz w:val="9"/>
                <w:szCs w:val="9"/>
                <w:color w:val="auto"/>
              </w:rPr>
            </w:pPr>
          </w:p>
        </w:tc>
        <w:tc>
          <w:tcPr>
            <w:tcW w:w="100" w:type="dxa"/>
            <w:vAlign w:val="bottom"/>
            <w:shd w:val="clear" w:color="auto" w:fill="E9EEE6"/>
          </w:tcPr>
          <w:p>
            <w:pPr>
              <w:spacing w:after="0"/>
              <w:rPr>
                <w:sz w:val="9"/>
                <w:szCs w:val="9"/>
                <w:color w:val="auto"/>
              </w:rPr>
            </w:pPr>
          </w:p>
        </w:tc>
        <w:tc>
          <w:tcPr>
            <w:tcW w:w="140" w:type="dxa"/>
            <w:vAlign w:val="bottom"/>
            <w:shd w:val="clear" w:color="auto" w:fill="E9EEE6"/>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20" w:type="dxa"/>
            <w:vAlign w:val="bottom"/>
            <w:tcBorders>
              <w:right w:val="single" w:sz="8" w:color="E9EEE6"/>
            </w:tcBorders>
            <w:vMerge w:val="restart"/>
            <w:shd w:val="clear" w:color="auto" w:fill="E9EEE6"/>
          </w:tcPr>
          <w:p>
            <w:pPr>
              <w:ind w:left="60"/>
              <w:spacing w:after="0"/>
              <w:rPr>
                <w:sz w:val="20"/>
                <w:szCs w:val="20"/>
                <w:color w:val="auto"/>
              </w:rPr>
            </w:pPr>
            <w:r>
              <w:rPr>
                <w:rFonts w:ascii="Arial" w:cs="Arial" w:eastAsia="Arial" w:hAnsi="Arial"/>
                <w:sz w:val="5"/>
                <w:szCs w:val="5"/>
                <w:color w:val="58844D"/>
                <w:w w:val="70"/>
              </w:rPr>
              <w:t>6</w:t>
            </w:r>
          </w:p>
        </w:tc>
        <w:tc>
          <w:tcPr>
            <w:tcW w:w="240" w:type="dxa"/>
            <w:vAlign w:val="bottom"/>
            <w:shd w:val="clear" w:color="auto" w:fill="E9EEE6"/>
          </w:tcPr>
          <w:p>
            <w:pPr>
              <w:spacing w:after="0"/>
              <w:rPr>
                <w:sz w:val="2"/>
                <w:szCs w:val="2"/>
                <w:color w:val="auto"/>
              </w:rPr>
            </w:pPr>
          </w:p>
        </w:tc>
        <w:tc>
          <w:tcPr>
            <w:tcW w:w="4600" w:type="dxa"/>
            <w:vAlign w:val="bottom"/>
            <w:gridSpan w:val="21"/>
            <w:vMerge w:val="continue"/>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100" w:type="dxa"/>
            <w:vAlign w:val="bottom"/>
            <w:shd w:val="clear" w:color="auto" w:fill="E9EEE6"/>
          </w:tcPr>
          <w:p>
            <w:pPr>
              <w:spacing w:after="0"/>
              <w:rPr>
                <w:sz w:val="2"/>
                <w:szCs w:val="2"/>
                <w:color w:val="auto"/>
              </w:rPr>
            </w:pPr>
          </w:p>
        </w:tc>
        <w:tc>
          <w:tcPr>
            <w:tcW w:w="400" w:type="dxa"/>
            <w:vAlign w:val="bottom"/>
            <w:shd w:val="clear" w:color="auto" w:fill="E9EEE6"/>
          </w:tcPr>
          <w:p>
            <w:pPr>
              <w:spacing w:after="0"/>
              <w:rPr>
                <w:sz w:val="2"/>
                <w:szCs w:val="2"/>
                <w:color w:val="auto"/>
              </w:rPr>
            </w:pPr>
          </w:p>
        </w:tc>
        <w:tc>
          <w:tcPr>
            <w:tcW w:w="260" w:type="dxa"/>
            <w:vAlign w:val="bottom"/>
            <w:tcBorders>
              <w:right w:val="single" w:sz="8" w:color="E9EEE6"/>
            </w:tcBorders>
            <w:shd w:val="clear" w:color="auto" w:fill="E9EEE6"/>
          </w:tcPr>
          <w:p>
            <w:pPr>
              <w:spacing w:after="0"/>
              <w:rPr>
                <w:sz w:val="2"/>
                <w:szCs w:val="2"/>
                <w:color w:val="auto"/>
              </w:rPr>
            </w:pPr>
          </w:p>
        </w:tc>
        <w:tc>
          <w:tcPr>
            <w:tcW w:w="140" w:type="dxa"/>
            <w:vAlign w:val="bottom"/>
            <w:tcBorders>
              <w:left w:val="single" w:sz="8" w:color="E9EEE6"/>
            </w:tcBorders>
            <w:shd w:val="clear" w:color="auto" w:fill="E9EEE6"/>
          </w:tcPr>
          <w:p>
            <w:pPr>
              <w:spacing w:after="0"/>
              <w:rPr>
                <w:sz w:val="2"/>
                <w:szCs w:val="2"/>
                <w:color w:val="auto"/>
              </w:rPr>
            </w:pPr>
          </w:p>
        </w:tc>
        <w:tc>
          <w:tcPr>
            <w:tcW w:w="36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40" w:type="dxa"/>
            <w:vAlign w:val="bottom"/>
            <w:shd w:val="clear" w:color="auto" w:fill="E9EEE6"/>
          </w:tcPr>
          <w:p>
            <w:pPr>
              <w:spacing w:after="0"/>
              <w:rPr>
                <w:sz w:val="2"/>
                <w:szCs w:val="2"/>
                <w:color w:val="auto"/>
              </w:rPr>
            </w:pPr>
          </w:p>
        </w:tc>
        <w:tc>
          <w:tcPr>
            <w:tcW w:w="18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80" w:type="dxa"/>
            <w:vAlign w:val="bottom"/>
            <w:shd w:val="clear" w:color="auto" w:fill="E9EEE6"/>
          </w:tcPr>
          <w:p>
            <w:pPr>
              <w:spacing w:after="0"/>
              <w:rPr>
                <w:sz w:val="2"/>
                <w:szCs w:val="2"/>
                <w:color w:val="auto"/>
              </w:rPr>
            </w:pPr>
          </w:p>
        </w:tc>
        <w:tc>
          <w:tcPr>
            <w:tcW w:w="660" w:type="dxa"/>
            <w:vAlign w:val="bottom"/>
            <w:tcBorders>
              <w:right w:val="single" w:sz="8" w:color="E9EEE6"/>
            </w:tcBorders>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240" w:type="dxa"/>
            <w:vAlign w:val="bottom"/>
            <w:shd w:val="clear" w:color="auto" w:fill="E9EEE6"/>
          </w:tcPr>
          <w:p>
            <w:pPr>
              <w:spacing w:after="0"/>
              <w:rPr>
                <w:sz w:val="2"/>
                <w:szCs w:val="2"/>
                <w:color w:val="auto"/>
              </w:rPr>
            </w:pPr>
          </w:p>
        </w:tc>
        <w:tc>
          <w:tcPr>
            <w:tcW w:w="200" w:type="dxa"/>
            <w:vAlign w:val="bottom"/>
            <w:tcBorders>
              <w:right w:val="single" w:sz="8" w:color="E9EEE6"/>
            </w:tcBorders>
            <w:shd w:val="clear" w:color="auto" w:fill="E9EEE6"/>
          </w:tcPr>
          <w:p>
            <w:pPr>
              <w:spacing w:after="0"/>
              <w:rPr>
                <w:sz w:val="2"/>
                <w:szCs w:val="2"/>
                <w:color w:val="auto"/>
              </w:rPr>
            </w:pPr>
          </w:p>
        </w:tc>
        <w:tc>
          <w:tcPr>
            <w:tcW w:w="780" w:type="dxa"/>
            <w:vAlign w:val="bottom"/>
            <w:shd w:val="clear" w:color="auto" w:fill="E9EEE6"/>
          </w:tcPr>
          <w:p>
            <w:pPr>
              <w:spacing w:after="0"/>
              <w:rPr>
                <w:sz w:val="2"/>
                <w:szCs w:val="2"/>
                <w:color w:val="auto"/>
              </w:rPr>
            </w:pPr>
          </w:p>
        </w:tc>
        <w:tc>
          <w:tcPr>
            <w:tcW w:w="8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40" w:type="dxa"/>
            <w:vAlign w:val="bottom"/>
            <w:shd w:val="clear" w:color="auto" w:fill="E9EEE6"/>
          </w:tcPr>
          <w:p>
            <w:pPr>
              <w:spacing w:after="0"/>
              <w:rPr>
                <w:sz w:val="2"/>
                <w:szCs w:val="2"/>
                <w:color w:val="auto"/>
              </w:rPr>
            </w:pPr>
          </w:p>
        </w:tc>
        <w:tc>
          <w:tcPr>
            <w:tcW w:w="180" w:type="dxa"/>
            <w:vAlign w:val="bottom"/>
            <w:tcBorders>
              <w:right w:val="single" w:sz="8" w:color="E9EEE6"/>
            </w:tcBorders>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72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40" w:type="dxa"/>
            <w:vAlign w:val="bottom"/>
            <w:shd w:val="clear" w:color="auto" w:fill="E9EEE6"/>
          </w:tcPr>
          <w:p>
            <w:pPr>
              <w:spacing w:after="0"/>
              <w:rPr>
                <w:sz w:val="2"/>
                <w:szCs w:val="2"/>
                <w:color w:val="auto"/>
              </w:rPr>
            </w:pPr>
          </w:p>
        </w:tc>
        <w:tc>
          <w:tcPr>
            <w:tcW w:w="10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140" w:type="dxa"/>
            <w:vAlign w:val="bottom"/>
            <w:tcBorders>
              <w:right w:val="single" w:sz="8" w:color="E9EEE6"/>
            </w:tcBorders>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60" w:type="dxa"/>
            <w:vAlign w:val="bottom"/>
            <w:shd w:val="clear" w:color="auto" w:fill="E9EEE6"/>
          </w:tcPr>
          <w:p>
            <w:pPr>
              <w:spacing w:after="0"/>
              <w:rPr>
                <w:sz w:val="2"/>
                <w:szCs w:val="2"/>
                <w:color w:val="auto"/>
              </w:rPr>
            </w:pPr>
          </w:p>
        </w:tc>
        <w:tc>
          <w:tcPr>
            <w:tcW w:w="440" w:type="dxa"/>
            <w:vAlign w:val="bottom"/>
            <w:shd w:val="clear" w:color="auto" w:fill="E9EEE6"/>
          </w:tcPr>
          <w:p>
            <w:pPr>
              <w:spacing w:after="0"/>
              <w:rPr>
                <w:sz w:val="2"/>
                <w:szCs w:val="2"/>
                <w:color w:val="auto"/>
              </w:rPr>
            </w:pPr>
          </w:p>
        </w:tc>
        <w:tc>
          <w:tcPr>
            <w:tcW w:w="10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 w:type="dxa"/>
            <w:vAlign w:val="bottom"/>
            <w:tcBorders>
              <w:bottom w:val="single" w:sz="8" w:color="E9EEE6"/>
              <w:right w:val="single" w:sz="8" w:color="E9EEE6"/>
            </w:tcBorders>
            <w:vMerge w:val="continue"/>
            <w:shd w:val="clear" w:color="auto" w:fill="E9EEE6"/>
          </w:tcPr>
          <w:p>
            <w:pPr>
              <w:spacing w:after="0"/>
              <w:rPr>
                <w:sz w:val="10"/>
                <w:szCs w:val="10"/>
                <w:color w:val="auto"/>
              </w:rPr>
            </w:pPr>
          </w:p>
        </w:tc>
        <w:tc>
          <w:tcPr>
            <w:tcW w:w="240" w:type="dxa"/>
            <w:vAlign w:val="bottom"/>
            <w:tcBorders>
              <w:bottom w:val="single" w:sz="8" w:color="E9EEE6"/>
            </w:tcBorders>
            <w:shd w:val="clear" w:color="auto" w:fill="E9EEE6"/>
          </w:tcPr>
          <w:p>
            <w:pPr>
              <w:spacing w:after="0"/>
              <w:rPr>
                <w:sz w:val="10"/>
                <w:szCs w:val="10"/>
                <w:color w:val="auto"/>
              </w:rPr>
            </w:pPr>
          </w:p>
        </w:tc>
        <w:tc>
          <w:tcPr>
            <w:tcW w:w="5640" w:type="dxa"/>
            <w:vAlign w:val="bottom"/>
            <w:tcBorders>
              <w:bottom w:val="single" w:sz="8" w:color="E9EEE6"/>
              <w:right w:val="single" w:sz="8" w:color="E9EEE6"/>
            </w:tcBorders>
            <w:gridSpan w:val="26"/>
            <w:shd w:val="clear" w:color="auto" w:fill="E9EEE6"/>
          </w:tcPr>
          <w:p>
            <w:pPr>
              <w:spacing w:after="0" w:line="117" w:lineRule="exact"/>
              <w:rPr>
                <w:sz w:val="20"/>
                <w:szCs w:val="20"/>
                <w:color w:val="auto"/>
              </w:rPr>
            </w:pPr>
            <w:r>
              <w:rPr>
                <w:rFonts w:ascii="Arial" w:cs="Arial" w:eastAsia="Arial" w:hAnsi="Arial"/>
                <w:sz w:val="12"/>
                <w:szCs w:val="12"/>
                <w:color w:val="auto"/>
              </w:rPr>
              <w:t>Mr. Plotkin was appointed as Senior Vice President and Chief Financial Officer on November 7, 2016.</w:t>
            </w:r>
          </w:p>
        </w:tc>
        <w:tc>
          <w:tcPr>
            <w:tcW w:w="140" w:type="dxa"/>
            <w:vAlign w:val="bottom"/>
            <w:tcBorders>
              <w:left w:val="single" w:sz="8" w:color="E9EEE6"/>
              <w:bottom w:val="single" w:sz="8" w:color="E9EEE6"/>
            </w:tcBorders>
            <w:shd w:val="clear" w:color="auto" w:fill="E9EEE6"/>
          </w:tcPr>
          <w:p>
            <w:pPr>
              <w:spacing w:after="0"/>
              <w:rPr>
                <w:sz w:val="10"/>
                <w:szCs w:val="10"/>
                <w:color w:val="auto"/>
              </w:rPr>
            </w:pPr>
          </w:p>
        </w:tc>
        <w:tc>
          <w:tcPr>
            <w:tcW w:w="360" w:type="dxa"/>
            <w:vAlign w:val="bottom"/>
            <w:tcBorders>
              <w:bottom w:val="single" w:sz="8" w:color="E9EEE6"/>
            </w:tcBorders>
            <w:shd w:val="clear" w:color="auto" w:fill="E9EEE6"/>
          </w:tcPr>
          <w:p>
            <w:pPr>
              <w:spacing w:after="0"/>
              <w:rPr>
                <w:sz w:val="10"/>
                <w:szCs w:val="10"/>
                <w:color w:val="auto"/>
              </w:rPr>
            </w:pPr>
          </w:p>
        </w:tc>
        <w:tc>
          <w:tcPr>
            <w:tcW w:w="20" w:type="dxa"/>
            <w:vAlign w:val="bottom"/>
            <w:tcBorders>
              <w:bottom w:val="single" w:sz="8" w:color="E9EEE6"/>
            </w:tcBorders>
            <w:shd w:val="clear" w:color="auto" w:fill="E9EEE6"/>
          </w:tcPr>
          <w:p>
            <w:pPr>
              <w:spacing w:after="0"/>
              <w:rPr>
                <w:sz w:val="10"/>
                <w:szCs w:val="10"/>
                <w:color w:val="auto"/>
              </w:rPr>
            </w:pPr>
          </w:p>
        </w:tc>
        <w:tc>
          <w:tcPr>
            <w:tcW w:w="40" w:type="dxa"/>
            <w:vAlign w:val="bottom"/>
            <w:tcBorders>
              <w:bottom w:val="single" w:sz="8" w:color="E9EEE6"/>
            </w:tcBorders>
            <w:shd w:val="clear" w:color="auto" w:fill="E9EEE6"/>
          </w:tcPr>
          <w:p>
            <w:pPr>
              <w:spacing w:after="0"/>
              <w:rPr>
                <w:sz w:val="10"/>
                <w:szCs w:val="10"/>
                <w:color w:val="auto"/>
              </w:rPr>
            </w:pPr>
          </w:p>
        </w:tc>
        <w:tc>
          <w:tcPr>
            <w:tcW w:w="180" w:type="dxa"/>
            <w:vAlign w:val="bottom"/>
            <w:tcBorders>
              <w:bottom w:val="single" w:sz="8" w:color="E9EEE6"/>
            </w:tcBorders>
            <w:shd w:val="clear" w:color="auto" w:fill="E9EEE6"/>
          </w:tcPr>
          <w:p>
            <w:pPr>
              <w:spacing w:after="0"/>
              <w:rPr>
                <w:sz w:val="10"/>
                <w:szCs w:val="10"/>
                <w:color w:val="auto"/>
              </w:rPr>
            </w:pPr>
          </w:p>
        </w:tc>
        <w:tc>
          <w:tcPr>
            <w:tcW w:w="20" w:type="dxa"/>
            <w:vAlign w:val="bottom"/>
            <w:tcBorders>
              <w:bottom w:val="single" w:sz="8" w:color="E9EEE6"/>
            </w:tcBorders>
            <w:shd w:val="clear" w:color="auto" w:fill="E9EEE6"/>
          </w:tcPr>
          <w:p>
            <w:pPr>
              <w:spacing w:after="0"/>
              <w:rPr>
                <w:sz w:val="10"/>
                <w:szCs w:val="10"/>
                <w:color w:val="auto"/>
              </w:rPr>
            </w:pPr>
          </w:p>
        </w:tc>
        <w:tc>
          <w:tcPr>
            <w:tcW w:w="120" w:type="dxa"/>
            <w:vAlign w:val="bottom"/>
            <w:tcBorders>
              <w:bottom w:val="single" w:sz="8" w:color="E9EEE6"/>
            </w:tcBorders>
            <w:shd w:val="clear" w:color="auto" w:fill="E9EEE6"/>
          </w:tcPr>
          <w:p>
            <w:pPr>
              <w:spacing w:after="0"/>
              <w:rPr>
                <w:sz w:val="10"/>
                <w:szCs w:val="10"/>
                <w:color w:val="auto"/>
              </w:rPr>
            </w:pPr>
          </w:p>
        </w:tc>
        <w:tc>
          <w:tcPr>
            <w:tcW w:w="80" w:type="dxa"/>
            <w:vAlign w:val="bottom"/>
            <w:tcBorders>
              <w:bottom w:val="single" w:sz="8" w:color="E9EEE6"/>
            </w:tcBorders>
            <w:shd w:val="clear" w:color="auto" w:fill="E9EEE6"/>
          </w:tcPr>
          <w:p>
            <w:pPr>
              <w:spacing w:after="0"/>
              <w:rPr>
                <w:sz w:val="10"/>
                <w:szCs w:val="10"/>
                <w:color w:val="auto"/>
              </w:rPr>
            </w:pPr>
          </w:p>
        </w:tc>
        <w:tc>
          <w:tcPr>
            <w:tcW w:w="660" w:type="dxa"/>
            <w:vAlign w:val="bottom"/>
            <w:tcBorders>
              <w:bottom w:val="single" w:sz="8" w:color="E9EEE6"/>
              <w:right w:val="single" w:sz="8" w:color="E9EEE6"/>
            </w:tcBorders>
            <w:shd w:val="clear" w:color="auto" w:fill="E9EEE6"/>
          </w:tcPr>
          <w:p>
            <w:pPr>
              <w:spacing w:after="0"/>
              <w:rPr>
                <w:sz w:val="10"/>
                <w:szCs w:val="10"/>
                <w:color w:val="auto"/>
              </w:rPr>
            </w:pPr>
          </w:p>
        </w:tc>
        <w:tc>
          <w:tcPr>
            <w:tcW w:w="120" w:type="dxa"/>
            <w:vAlign w:val="bottom"/>
            <w:tcBorders>
              <w:bottom w:val="single" w:sz="8" w:color="E9EEE6"/>
            </w:tcBorders>
            <w:shd w:val="clear" w:color="auto" w:fill="E9EEE6"/>
          </w:tcPr>
          <w:p>
            <w:pPr>
              <w:spacing w:after="0"/>
              <w:rPr>
                <w:sz w:val="10"/>
                <w:szCs w:val="10"/>
                <w:color w:val="auto"/>
              </w:rPr>
            </w:pPr>
          </w:p>
        </w:tc>
        <w:tc>
          <w:tcPr>
            <w:tcW w:w="240" w:type="dxa"/>
            <w:vAlign w:val="bottom"/>
            <w:tcBorders>
              <w:bottom w:val="single" w:sz="8" w:color="E9EEE6"/>
            </w:tcBorders>
            <w:shd w:val="clear" w:color="auto" w:fill="E9EEE6"/>
          </w:tcPr>
          <w:p>
            <w:pPr>
              <w:spacing w:after="0"/>
              <w:rPr>
                <w:sz w:val="10"/>
                <w:szCs w:val="10"/>
                <w:color w:val="auto"/>
              </w:rPr>
            </w:pPr>
          </w:p>
        </w:tc>
        <w:tc>
          <w:tcPr>
            <w:tcW w:w="200" w:type="dxa"/>
            <w:vAlign w:val="bottom"/>
            <w:tcBorders>
              <w:bottom w:val="single" w:sz="8" w:color="E9EEE6"/>
              <w:right w:val="single" w:sz="8" w:color="E9EEE6"/>
            </w:tcBorders>
            <w:shd w:val="clear" w:color="auto" w:fill="E9EEE6"/>
          </w:tcPr>
          <w:p>
            <w:pPr>
              <w:spacing w:after="0"/>
              <w:rPr>
                <w:sz w:val="10"/>
                <w:szCs w:val="10"/>
                <w:color w:val="auto"/>
              </w:rPr>
            </w:pPr>
          </w:p>
        </w:tc>
        <w:tc>
          <w:tcPr>
            <w:tcW w:w="780" w:type="dxa"/>
            <w:vAlign w:val="bottom"/>
            <w:tcBorders>
              <w:bottom w:val="single" w:sz="8" w:color="E9EEE6"/>
            </w:tcBorders>
            <w:shd w:val="clear" w:color="auto" w:fill="E9EEE6"/>
          </w:tcPr>
          <w:p>
            <w:pPr>
              <w:spacing w:after="0"/>
              <w:rPr>
                <w:sz w:val="10"/>
                <w:szCs w:val="10"/>
                <w:color w:val="auto"/>
              </w:rPr>
            </w:pPr>
          </w:p>
        </w:tc>
        <w:tc>
          <w:tcPr>
            <w:tcW w:w="80" w:type="dxa"/>
            <w:vAlign w:val="bottom"/>
            <w:tcBorders>
              <w:bottom w:val="single" w:sz="8" w:color="E9EEE6"/>
            </w:tcBorders>
            <w:shd w:val="clear" w:color="auto" w:fill="E9EEE6"/>
          </w:tcPr>
          <w:p>
            <w:pPr>
              <w:spacing w:after="0"/>
              <w:rPr>
                <w:sz w:val="10"/>
                <w:szCs w:val="10"/>
                <w:color w:val="auto"/>
              </w:rPr>
            </w:pPr>
          </w:p>
        </w:tc>
        <w:tc>
          <w:tcPr>
            <w:tcW w:w="140" w:type="dxa"/>
            <w:vAlign w:val="bottom"/>
            <w:tcBorders>
              <w:bottom w:val="single" w:sz="8" w:color="E9EEE6"/>
            </w:tcBorders>
            <w:shd w:val="clear" w:color="auto" w:fill="E9EEE6"/>
          </w:tcPr>
          <w:p>
            <w:pPr>
              <w:spacing w:after="0"/>
              <w:rPr>
                <w:sz w:val="10"/>
                <w:szCs w:val="10"/>
                <w:color w:val="auto"/>
              </w:rPr>
            </w:pPr>
          </w:p>
        </w:tc>
        <w:tc>
          <w:tcPr>
            <w:tcW w:w="40" w:type="dxa"/>
            <w:vAlign w:val="bottom"/>
            <w:tcBorders>
              <w:bottom w:val="single" w:sz="8" w:color="E9EEE6"/>
            </w:tcBorders>
            <w:shd w:val="clear" w:color="auto" w:fill="E9EEE6"/>
          </w:tcPr>
          <w:p>
            <w:pPr>
              <w:spacing w:after="0"/>
              <w:rPr>
                <w:sz w:val="10"/>
                <w:szCs w:val="10"/>
                <w:color w:val="auto"/>
              </w:rPr>
            </w:pPr>
          </w:p>
        </w:tc>
        <w:tc>
          <w:tcPr>
            <w:tcW w:w="180" w:type="dxa"/>
            <w:vAlign w:val="bottom"/>
            <w:tcBorders>
              <w:bottom w:val="single" w:sz="8" w:color="E9EEE6"/>
              <w:right w:val="single" w:sz="8" w:color="E9EEE6"/>
            </w:tcBorders>
            <w:shd w:val="clear" w:color="auto" w:fill="E9EEE6"/>
          </w:tcPr>
          <w:p>
            <w:pPr>
              <w:spacing w:after="0"/>
              <w:rPr>
                <w:sz w:val="10"/>
                <w:szCs w:val="10"/>
                <w:color w:val="auto"/>
              </w:rPr>
            </w:pPr>
          </w:p>
        </w:tc>
        <w:tc>
          <w:tcPr>
            <w:tcW w:w="120" w:type="dxa"/>
            <w:vAlign w:val="bottom"/>
            <w:tcBorders>
              <w:bottom w:val="single" w:sz="8" w:color="E9EEE6"/>
            </w:tcBorders>
            <w:shd w:val="clear" w:color="auto" w:fill="E9EEE6"/>
          </w:tcPr>
          <w:p>
            <w:pPr>
              <w:spacing w:after="0"/>
              <w:rPr>
                <w:sz w:val="10"/>
                <w:szCs w:val="10"/>
                <w:color w:val="auto"/>
              </w:rPr>
            </w:pPr>
          </w:p>
        </w:tc>
        <w:tc>
          <w:tcPr>
            <w:tcW w:w="720" w:type="dxa"/>
            <w:vAlign w:val="bottom"/>
            <w:tcBorders>
              <w:bottom w:val="single" w:sz="8" w:color="E9EEE6"/>
            </w:tcBorders>
            <w:shd w:val="clear" w:color="auto" w:fill="E9EEE6"/>
          </w:tcPr>
          <w:p>
            <w:pPr>
              <w:spacing w:after="0"/>
              <w:rPr>
                <w:sz w:val="10"/>
                <w:szCs w:val="10"/>
                <w:color w:val="auto"/>
              </w:rPr>
            </w:pPr>
          </w:p>
        </w:tc>
        <w:tc>
          <w:tcPr>
            <w:tcW w:w="20" w:type="dxa"/>
            <w:vAlign w:val="bottom"/>
            <w:tcBorders>
              <w:bottom w:val="single" w:sz="8" w:color="E9EEE6"/>
            </w:tcBorders>
            <w:shd w:val="clear" w:color="auto" w:fill="E9EEE6"/>
          </w:tcPr>
          <w:p>
            <w:pPr>
              <w:spacing w:after="0"/>
              <w:rPr>
                <w:sz w:val="10"/>
                <w:szCs w:val="10"/>
                <w:color w:val="auto"/>
              </w:rPr>
            </w:pPr>
          </w:p>
        </w:tc>
        <w:tc>
          <w:tcPr>
            <w:tcW w:w="40" w:type="dxa"/>
            <w:vAlign w:val="bottom"/>
            <w:tcBorders>
              <w:bottom w:val="single" w:sz="8" w:color="E9EEE6"/>
            </w:tcBorders>
            <w:shd w:val="clear" w:color="auto" w:fill="E9EEE6"/>
          </w:tcPr>
          <w:p>
            <w:pPr>
              <w:spacing w:after="0"/>
              <w:rPr>
                <w:sz w:val="10"/>
                <w:szCs w:val="10"/>
                <w:color w:val="auto"/>
              </w:rPr>
            </w:pPr>
          </w:p>
        </w:tc>
        <w:tc>
          <w:tcPr>
            <w:tcW w:w="100" w:type="dxa"/>
            <w:vAlign w:val="bottom"/>
            <w:tcBorders>
              <w:bottom w:val="single" w:sz="8" w:color="E9EEE6"/>
            </w:tcBorders>
            <w:shd w:val="clear" w:color="auto" w:fill="E9EEE6"/>
          </w:tcPr>
          <w:p>
            <w:pPr>
              <w:spacing w:after="0"/>
              <w:rPr>
                <w:sz w:val="10"/>
                <w:szCs w:val="10"/>
                <w:color w:val="auto"/>
              </w:rPr>
            </w:pPr>
          </w:p>
        </w:tc>
        <w:tc>
          <w:tcPr>
            <w:tcW w:w="20" w:type="dxa"/>
            <w:vAlign w:val="bottom"/>
            <w:tcBorders>
              <w:bottom w:val="single" w:sz="8" w:color="E9EEE6"/>
            </w:tcBorders>
            <w:shd w:val="clear" w:color="auto" w:fill="E9EEE6"/>
          </w:tcPr>
          <w:p>
            <w:pPr>
              <w:spacing w:after="0"/>
              <w:rPr>
                <w:sz w:val="10"/>
                <w:szCs w:val="10"/>
                <w:color w:val="auto"/>
              </w:rPr>
            </w:pPr>
          </w:p>
        </w:tc>
        <w:tc>
          <w:tcPr>
            <w:tcW w:w="140" w:type="dxa"/>
            <w:vAlign w:val="bottom"/>
            <w:tcBorders>
              <w:bottom w:val="single" w:sz="8" w:color="E9EEE6"/>
              <w:right w:val="single" w:sz="8" w:color="E9EEE6"/>
            </w:tcBorders>
            <w:shd w:val="clear" w:color="auto" w:fill="E9EEE6"/>
          </w:tcPr>
          <w:p>
            <w:pPr>
              <w:spacing w:after="0"/>
              <w:rPr>
                <w:sz w:val="10"/>
                <w:szCs w:val="10"/>
                <w:color w:val="auto"/>
              </w:rPr>
            </w:pPr>
          </w:p>
        </w:tc>
        <w:tc>
          <w:tcPr>
            <w:tcW w:w="140" w:type="dxa"/>
            <w:vAlign w:val="bottom"/>
            <w:tcBorders>
              <w:bottom w:val="single" w:sz="8" w:color="E9EEE6"/>
            </w:tcBorders>
            <w:shd w:val="clear" w:color="auto" w:fill="E9EEE6"/>
          </w:tcPr>
          <w:p>
            <w:pPr>
              <w:spacing w:after="0"/>
              <w:rPr>
                <w:sz w:val="10"/>
                <w:szCs w:val="10"/>
                <w:color w:val="auto"/>
              </w:rPr>
            </w:pPr>
          </w:p>
        </w:tc>
        <w:tc>
          <w:tcPr>
            <w:tcW w:w="60" w:type="dxa"/>
            <w:vAlign w:val="bottom"/>
            <w:tcBorders>
              <w:bottom w:val="single" w:sz="8" w:color="E9EEE6"/>
            </w:tcBorders>
            <w:shd w:val="clear" w:color="auto" w:fill="E9EEE6"/>
          </w:tcPr>
          <w:p>
            <w:pPr>
              <w:spacing w:after="0"/>
              <w:rPr>
                <w:sz w:val="10"/>
                <w:szCs w:val="10"/>
                <w:color w:val="auto"/>
              </w:rPr>
            </w:pPr>
          </w:p>
        </w:tc>
        <w:tc>
          <w:tcPr>
            <w:tcW w:w="440" w:type="dxa"/>
            <w:vAlign w:val="bottom"/>
            <w:tcBorders>
              <w:bottom w:val="single" w:sz="8" w:color="E9EEE6"/>
            </w:tcBorders>
            <w:shd w:val="clear" w:color="auto" w:fill="E9EEE6"/>
          </w:tcPr>
          <w:p>
            <w:pPr>
              <w:spacing w:after="0"/>
              <w:rPr>
                <w:sz w:val="10"/>
                <w:szCs w:val="10"/>
                <w:color w:val="auto"/>
              </w:rPr>
            </w:pPr>
          </w:p>
        </w:tc>
        <w:tc>
          <w:tcPr>
            <w:tcW w:w="100" w:type="dxa"/>
            <w:vAlign w:val="bottom"/>
            <w:tcBorders>
              <w:bottom w:val="single" w:sz="8" w:color="E9EEE6"/>
            </w:tcBorders>
            <w:shd w:val="clear" w:color="auto" w:fill="E9EEE6"/>
          </w:tcPr>
          <w:p>
            <w:pPr>
              <w:spacing w:after="0"/>
              <w:rPr>
                <w:sz w:val="10"/>
                <w:szCs w:val="10"/>
                <w:color w:val="auto"/>
              </w:rPr>
            </w:pPr>
          </w:p>
        </w:tc>
        <w:tc>
          <w:tcPr>
            <w:tcW w:w="140" w:type="dxa"/>
            <w:vAlign w:val="bottom"/>
            <w:tcBorders>
              <w:bottom w:val="single" w:sz="8" w:color="E9EEE6"/>
            </w:tcBorders>
            <w:shd w:val="clear" w:color="auto" w:fill="E9EEE6"/>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17"/>
          </w:tcPr>
          <w:p>
            <w:pPr>
              <w:jc w:val="right"/>
              <w:ind w:right="40"/>
              <w:spacing w:after="0"/>
              <w:rPr>
                <w:sz w:val="20"/>
                <w:szCs w:val="20"/>
                <w:color w:val="auto"/>
              </w:rPr>
            </w:pPr>
            <w:r>
              <w:rPr>
                <w:rFonts w:ascii="Arial" w:cs="Arial" w:eastAsia="Arial" w:hAnsi="Arial"/>
                <w:sz w:val="18"/>
                <w:szCs w:val="18"/>
                <w:color w:val="58844D"/>
              </w:rPr>
              <w:t>Grants of Plan-Based Awards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80" w:type="dxa"/>
            <w:vAlign w:val="bottom"/>
            <w:gridSpan w:val="20"/>
          </w:tcPr>
          <w:p>
            <w:pPr>
              <w:jc w:val="right"/>
              <w:ind w:right="273"/>
              <w:spacing w:after="0"/>
              <w:rPr>
                <w:sz w:val="20"/>
                <w:szCs w:val="20"/>
                <w:color w:val="auto"/>
              </w:rPr>
            </w:pPr>
            <w:r>
              <w:rPr>
                <w:rFonts w:ascii="Arial" w:cs="Arial" w:eastAsia="Arial" w:hAnsi="Arial"/>
                <w:sz w:val="18"/>
                <w:szCs w:val="18"/>
                <w:color w:val="58844D"/>
              </w:rPr>
              <w:t>Fiscal Year Ended December 31, 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240" w:type="dxa"/>
            <w:vAlign w:val="bottom"/>
            <w:gridSpan w:val="47"/>
          </w:tcPr>
          <w:p>
            <w:pPr>
              <w:spacing w:after="0"/>
              <w:rPr>
                <w:sz w:val="15"/>
                <w:szCs w:val="15"/>
                <w:color w:val="auto"/>
              </w:rPr>
            </w:pPr>
          </w:p>
        </w:tc>
        <w:tc>
          <w:tcPr>
            <w:tcW w:w="20" w:type="dxa"/>
            <w:vAlign w:val="bottom"/>
            <w:vMerge w:val="restart"/>
          </w:tcPr>
          <w:p>
            <w:pPr>
              <w:spacing w:after="0"/>
              <w:rPr>
                <w:sz w:val="15"/>
                <w:szCs w:val="15"/>
                <w:color w:val="auto"/>
              </w:rPr>
            </w:pPr>
          </w:p>
        </w:tc>
        <w:tc>
          <w:tcPr>
            <w:tcW w:w="1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20" w:type="dxa"/>
            <w:vAlign w:val="bottom"/>
            <w:tcBorders>
              <w:right w:val="single" w:sz="8" w:color="58854E"/>
            </w:tcBorders>
            <w:shd w:val="clear" w:color="auto" w:fill="58854E"/>
          </w:tcPr>
          <w:p>
            <w:pPr>
              <w:spacing w:after="0"/>
              <w:rPr>
                <w:sz w:val="11"/>
                <w:szCs w:val="11"/>
                <w:color w:val="auto"/>
              </w:rPr>
            </w:pPr>
          </w:p>
        </w:tc>
        <w:tc>
          <w:tcPr>
            <w:tcW w:w="2120" w:type="dxa"/>
            <w:vAlign w:val="bottom"/>
            <w:tcBorders>
              <w:right w:val="single" w:sz="8" w:color="58854E"/>
            </w:tcBorders>
            <w:gridSpan w:val="5"/>
            <w:shd w:val="clear" w:color="auto" w:fill="58854E"/>
          </w:tcPr>
          <w:p>
            <w:pPr>
              <w:spacing w:after="0"/>
              <w:rPr>
                <w:sz w:val="11"/>
                <w:szCs w:val="11"/>
                <w:color w:val="auto"/>
              </w:rPr>
            </w:pPr>
          </w:p>
        </w:tc>
        <w:tc>
          <w:tcPr>
            <w:tcW w:w="600" w:type="dxa"/>
            <w:vAlign w:val="bottom"/>
            <w:tcBorders>
              <w:right w:val="single" w:sz="8" w:color="58854E"/>
            </w:tcBorders>
            <w:gridSpan w:val="2"/>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1640" w:type="dxa"/>
            <w:vAlign w:val="bottom"/>
            <w:tcBorders>
              <w:right w:val="single" w:sz="8" w:color="58854E"/>
            </w:tcBorders>
            <w:gridSpan w:val="11"/>
            <w:shd w:val="clear" w:color="auto" w:fill="58854E"/>
          </w:tcPr>
          <w:p>
            <w:pPr>
              <w:spacing w:after="0"/>
              <w:rPr>
                <w:sz w:val="11"/>
                <w:szCs w:val="11"/>
                <w:color w:val="auto"/>
              </w:rPr>
            </w:pPr>
          </w:p>
        </w:tc>
        <w:tc>
          <w:tcPr>
            <w:tcW w:w="1260" w:type="dxa"/>
            <w:vAlign w:val="bottom"/>
            <w:tcBorders>
              <w:right w:val="single" w:sz="8" w:color="58854E"/>
            </w:tcBorders>
            <w:gridSpan w:val="7"/>
            <w:shd w:val="clear" w:color="auto" w:fill="58854E"/>
          </w:tcPr>
          <w:p>
            <w:pPr>
              <w:spacing w:after="0"/>
              <w:rPr>
                <w:sz w:val="11"/>
                <w:szCs w:val="11"/>
                <w:color w:val="auto"/>
              </w:rPr>
            </w:pPr>
          </w:p>
        </w:tc>
        <w:tc>
          <w:tcPr>
            <w:tcW w:w="1620" w:type="dxa"/>
            <w:vAlign w:val="bottom"/>
            <w:tcBorders>
              <w:left w:val="single" w:sz="8" w:color="58854E"/>
              <w:right w:val="single" w:sz="8" w:color="58854E"/>
            </w:tcBorders>
            <w:gridSpan w:val="9"/>
            <w:shd w:val="clear" w:color="auto" w:fill="58854E"/>
          </w:tcPr>
          <w:p>
            <w:pPr>
              <w:spacing w:after="0"/>
              <w:rPr>
                <w:sz w:val="11"/>
                <w:szCs w:val="11"/>
                <w:color w:val="auto"/>
              </w:rPr>
            </w:pPr>
          </w:p>
        </w:tc>
        <w:tc>
          <w:tcPr>
            <w:tcW w:w="560" w:type="dxa"/>
            <w:vAlign w:val="bottom"/>
            <w:tcBorders>
              <w:right w:val="single" w:sz="8" w:color="58854E"/>
            </w:tcBorders>
            <w:gridSpan w:val="3"/>
            <w:shd w:val="clear" w:color="auto" w:fill="58854E"/>
          </w:tcPr>
          <w:p>
            <w:pPr>
              <w:spacing w:after="0"/>
              <w:rPr>
                <w:sz w:val="11"/>
                <w:szCs w:val="11"/>
                <w:color w:val="auto"/>
              </w:rPr>
            </w:pPr>
          </w:p>
        </w:tc>
        <w:tc>
          <w:tcPr>
            <w:tcW w:w="1220" w:type="dxa"/>
            <w:vAlign w:val="bottom"/>
            <w:tcBorders>
              <w:right w:val="single" w:sz="8" w:color="58854E"/>
            </w:tcBorders>
            <w:gridSpan w:val="5"/>
            <w:shd w:val="clear" w:color="auto" w:fill="58854E"/>
          </w:tcPr>
          <w:p>
            <w:pPr>
              <w:spacing w:after="0"/>
              <w:rPr>
                <w:sz w:val="11"/>
                <w:szCs w:val="11"/>
                <w:color w:val="auto"/>
              </w:rPr>
            </w:pPr>
          </w:p>
        </w:tc>
        <w:tc>
          <w:tcPr>
            <w:tcW w:w="840" w:type="dxa"/>
            <w:vAlign w:val="bottom"/>
            <w:gridSpan w:val="2"/>
            <w:shd w:val="clear" w:color="auto" w:fill="58854E"/>
          </w:tcPr>
          <w:p>
            <w:pPr>
              <w:jc w:val="center"/>
              <w:ind w:right="153"/>
              <w:spacing w:after="0" w:line="127" w:lineRule="exact"/>
              <w:rPr>
                <w:sz w:val="20"/>
                <w:szCs w:val="20"/>
                <w:color w:val="auto"/>
              </w:rPr>
            </w:pPr>
            <w:r>
              <w:rPr>
                <w:rFonts w:ascii="Arial" w:cs="Arial" w:eastAsia="Arial" w:hAnsi="Arial"/>
                <w:sz w:val="12"/>
                <w:szCs w:val="12"/>
                <w:b w:val="1"/>
                <w:bCs w:val="1"/>
                <w:color w:val="FFFFFE"/>
                <w:w w:val="90"/>
              </w:rPr>
              <w:t>ALL OTHER</w:t>
            </w:r>
          </w:p>
        </w:tc>
        <w:tc>
          <w:tcPr>
            <w:tcW w:w="20" w:type="dxa"/>
            <w:vAlign w:val="bottom"/>
            <w:vMerge w:val="continue"/>
          </w:tcPr>
          <w:p>
            <w:pPr>
              <w:spacing w:after="0"/>
              <w:rPr>
                <w:sz w:val="11"/>
                <w:szCs w:val="11"/>
                <w:color w:val="auto"/>
              </w:rPr>
            </w:pPr>
          </w:p>
        </w:tc>
        <w:tc>
          <w:tcPr>
            <w:tcW w:w="300" w:type="dxa"/>
            <w:vAlign w:val="bottom"/>
            <w:tcBorders>
              <w:right w:val="single" w:sz="8" w:color="58854E"/>
            </w:tcBorders>
            <w:gridSpan w:val="4"/>
          </w:tcPr>
          <w:p>
            <w:pPr>
              <w:spacing w:after="0"/>
              <w:rPr>
                <w:sz w:val="11"/>
                <w:szCs w:val="11"/>
                <w:color w:val="auto"/>
              </w:rPr>
            </w:pPr>
          </w:p>
        </w:tc>
        <w:tc>
          <w:tcPr>
            <w:tcW w:w="880" w:type="dxa"/>
            <w:vAlign w:val="bottom"/>
            <w:gridSpan w:val="5"/>
            <w:shd w:val="clear" w:color="auto" w:fill="58854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58854E"/>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58854E"/>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8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420" w:type="dxa"/>
            <w:vAlign w:val="bottom"/>
            <w:tcBorders>
              <w:right w:val="single" w:sz="8" w:color="58854E"/>
            </w:tcBorders>
            <w:gridSpan w:val="8"/>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ESTIMATED POSSIBLE</w:t>
            </w:r>
          </w:p>
        </w:tc>
        <w:tc>
          <w:tcPr>
            <w:tcW w:w="140" w:type="dxa"/>
            <w:vAlign w:val="bottom"/>
            <w:tcBorders>
              <w:left w:val="single" w:sz="8" w:color="58854E"/>
            </w:tcBorders>
            <w:shd w:val="clear" w:color="auto" w:fill="58854E"/>
          </w:tcPr>
          <w:p>
            <w:pPr>
              <w:spacing w:after="0"/>
              <w:rPr>
                <w:sz w:val="11"/>
                <w:szCs w:val="11"/>
                <w:color w:val="auto"/>
              </w:rPr>
            </w:pPr>
          </w:p>
        </w:tc>
        <w:tc>
          <w:tcPr>
            <w:tcW w:w="36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000" w:type="dxa"/>
            <w:vAlign w:val="bottom"/>
            <w:gridSpan w:val="5"/>
            <w:shd w:val="clear" w:color="auto" w:fill="58854E"/>
          </w:tcPr>
          <w:p>
            <w:pPr>
              <w:jc w:val="center"/>
              <w:ind w:right="235"/>
              <w:spacing w:after="0" w:line="137" w:lineRule="exact"/>
              <w:rPr>
                <w:sz w:val="20"/>
                <w:szCs w:val="20"/>
                <w:color w:val="auto"/>
              </w:rPr>
            </w:pPr>
            <w:r>
              <w:rPr>
                <w:rFonts w:ascii="Arial" w:cs="Arial" w:eastAsia="Arial" w:hAnsi="Arial"/>
                <w:sz w:val="12"/>
                <w:szCs w:val="12"/>
                <w:b w:val="1"/>
                <w:bCs w:val="1"/>
                <w:color w:val="FFFFFE"/>
              </w:rPr>
              <w:t>ESTIMATED FUTURE</w:t>
            </w:r>
          </w:p>
        </w:tc>
        <w:tc>
          <w:tcPr>
            <w:tcW w:w="80" w:type="dxa"/>
            <w:vAlign w:val="bottom"/>
          </w:tcPr>
          <w:p>
            <w:pPr>
              <w:spacing w:after="0"/>
              <w:rPr>
                <w:sz w:val="11"/>
                <w:szCs w:val="11"/>
                <w:color w:val="auto"/>
              </w:rPr>
            </w:pPr>
          </w:p>
        </w:tc>
        <w:tc>
          <w:tcPr>
            <w:tcW w:w="1200" w:type="dxa"/>
            <w:vAlign w:val="bottom"/>
            <w:gridSpan w:val="5"/>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8"/>
              </w:rPr>
              <w:t>STOCK AWARDS: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880" w:type="dxa"/>
            <w:vAlign w:val="bottom"/>
            <w:gridSpan w:val="5"/>
            <w:shd w:val="clear" w:color="auto" w:fill="58854E"/>
          </w:tcPr>
          <w:p>
            <w:pPr>
              <w:jc w:val="center"/>
              <w:ind w:right="20"/>
              <w:spacing w:after="0" w:line="137" w:lineRule="exact"/>
              <w:rPr>
                <w:sz w:val="20"/>
                <w:szCs w:val="20"/>
                <w:color w:val="auto"/>
              </w:rPr>
            </w:pPr>
            <w:r>
              <w:rPr>
                <w:rFonts w:ascii="Arial" w:cs="Arial" w:eastAsia="Arial" w:hAnsi="Arial"/>
                <w:sz w:val="12"/>
                <w:szCs w:val="12"/>
                <w:b w:val="1"/>
                <w:bCs w:val="1"/>
                <w:color w:val="FFFFFE"/>
                <w:w w:val="99"/>
              </w:rPr>
              <w:t>GRANT DATE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58854E"/>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58854E"/>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80" w:type="dxa"/>
            <w:vAlign w:val="bottom"/>
            <w:shd w:val="clear" w:color="auto" w:fill="58854E"/>
          </w:tcPr>
          <w:p>
            <w:pPr>
              <w:spacing w:after="0"/>
              <w:rPr>
                <w:sz w:val="11"/>
                <w:szCs w:val="11"/>
                <w:color w:val="auto"/>
              </w:rPr>
            </w:pPr>
          </w:p>
        </w:tc>
        <w:tc>
          <w:tcPr>
            <w:tcW w:w="2180" w:type="dxa"/>
            <w:vAlign w:val="bottom"/>
            <w:gridSpan w:val="12"/>
            <w:shd w:val="clear" w:color="auto" w:fill="58854E"/>
          </w:tcPr>
          <w:p>
            <w:pPr>
              <w:jc w:val="center"/>
              <w:ind w:right="213"/>
              <w:spacing w:after="0" w:line="137" w:lineRule="exact"/>
              <w:rPr>
                <w:sz w:val="20"/>
                <w:szCs w:val="20"/>
                <w:color w:val="auto"/>
              </w:rPr>
            </w:pPr>
            <w:r>
              <w:rPr>
                <w:rFonts w:ascii="Arial" w:cs="Arial" w:eastAsia="Arial" w:hAnsi="Arial"/>
                <w:sz w:val="12"/>
                <w:szCs w:val="12"/>
                <w:b w:val="1"/>
                <w:bCs w:val="1"/>
                <w:color w:val="FFFFFE"/>
                <w:w w:val="99"/>
              </w:rPr>
              <w:t>PAYOUTS UNDER NON-EQUITY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000" w:type="dxa"/>
            <w:vAlign w:val="bottom"/>
            <w:gridSpan w:val="5"/>
            <w:shd w:val="clear" w:color="auto" w:fill="58854E"/>
          </w:tcPr>
          <w:p>
            <w:pPr>
              <w:jc w:val="center"/>
              <w:ind w:right="255"/>
              <w:spacing w:after="0" w:line="137" w:lineRule="exact"/>
              <w:rPr>
                <w:sz w:val="20"/>
                <w:szCs w:val="20"/>
                <w:color w:val="auto"/>
              </w:rPr>
            </w:pPr>
            <w:r>
              <w:rPr>
                <w:rFonts w:ascii="Arial" w:cs="Arial" w:eastAsia="Arial" w:hAnsi="Arial"/>
                <w:sz w:val="12"/>
                <w:szCs w:val="12"/>
                <w:b w:val="1"/>
                <w:bCs w:val="1"/>
                <w:color w:val="FFFFFE"/>
                <w:w w:val="99"/>
              </w:rPr>
              <w:t>PAYOUTS UNDER EQUITY</w:t>
            </w:r>
          </w:p>
        </w:tc>
        <w:tc>
          <w:tcPr>
            <w:tcW w:w="80" w:type="dxa"/>
            <w:vAlign w:val="bottom"/>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020" w:type="dxa"/>
            <w:vAlign w:val="bottom"/>
            <w:gridSpan w:val="3"/>
            <w:shd w:val="clear" w:color="auto" w:fill="58854E"/>
          </w:tcPr>
          <w:p>
            <w:pPr>
              <w:jc w:val="center"/>
              <w:ind w:right="53"/>
              <w:spacing w:after="0" w:line="137" w:lineRule="exact"/>
              <w:rPr>
                <w:sz w:val="20"/>
                <w:szCs w:val="20"/>
                <w:color w:val="auto"/>
              </w:rPr>
            </w:pPr>
            <w:r>
              <w:rPr>
                <w:rFonts w:ascii="Arial" w:cs="Arial" w:eastAsia="Arial" w:hAnsi="Arial"/>
                <w:sz w:val="12"/>
                <w:szCs w:val="12"/>
                <w:b w:val="1"/>
                <w:bCs w:val="1"/>
                <w:color w:val="FFFFFE"/>
              </w:rPr>
              <w:t>NUMBER 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880" w:type="dxa"/>
            <w:vAlign w:val="bottom"/>
            <w:gridSpan w:val="5"/>
            <w:shd w:val="clear" w:color="auto" w:fill="58854E"/>
          </w:tcPr>
          <w:p>
            <w:pPr>
              <w:jc w:val="center"/>
              <w:ind w:right="20"/>
              <w:spacing w:after="0" w:line="137" w:lineRule="exact"/>
              <w:rPr>
                <w:sz w:val="20"/>
                <w:szCs w:val="20"/>
                <w:color w:val="auto"/>
              </w:rPr>
            </w:pPr>
            <w:r>
              <w:rPr>
                <w:rFonts w:ascii="Arial" w:cs="Arial" w:eastAsia="Arial" w:hAnsi="Arial"/>
                <w:sz w:val="12"/>
                <w:szCs w:val="12"/>
                <w:b w:val="1"/>
                <w:bCs w:val="1"/>
                <w:color w:val="FFFFFE"/>
                <w:w w:val="97"/>
              </w:rPr>
              <w:t>FAIR VALUE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Borders>
              <w:right w:val="single" w:sz="8" w:color="58854E"/>
            </w:tcBorders>
            <w:shd w:val="clear" w:color="auto" w:fill="58854E"/>
          </w:tcPr>
          <w:p>
            <w:pPr>
              <w:spacing w:after="0"/>
              <w:rPr>
                <w:sz w:val="11"/>
                <w:szCs w:val="11"/>
                <w:color w:val="auto"/>
              </w:rPr>
            </w:pPr>
          </w:p>
        </w:tc>
        <w:tc>
          <w:tcPr>
            <w:tcW w:w="240" w:type="dxa"/>
            <w:vAlign w:val="bottom"/>
            <w:shd w:val="clear" w:color="auto" w:fill="58854E"/>
          </w:tcPr>
          <w:p>
            <w:pPr>
              <w:spacing w:after="0"/>
              <w:rPr>
                <w:sz w:val="11"/>
                <w:szCs w:val="11"/>
                <w:color w:val="auto"/>
              </w:rPr>
            </w:pPr>
          </w:p>
        </w:tc>
        <w:tc>
          <w:tcPr>
            <w:tcW w:w="1300" w:type="dxa"/>
            <w:vAlign w:val="bottom"/>
            <w:shd w:val="clear" w:color="auto" w:fill="58854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58854E"/>
            </w:tcBorders>
            <w:shd w:val="clear" w:color="auto" w:fill="58854E"/>
          </w:tcPr>
          <w:p>
            <w:pPr>
              <w:spacing w:after="0"/>
              <w:rPr>
                <w:sz w:val="11"/>
                <w:szCs w:val="11"/>
                <w:color w:val="auto"/>
              </w:rPr>
            </w:pPr>
          </w:p>
        </w:tc>
        <w:tc>
          <w:tcPr>
            <w:tcW w:w="160" w:type="dxa"/>
            <w:vAlign w:val="bottom"/>
            <w:tcBorders>
              <w:right w:val="single" w:sz="8" w:color="58854E"/>
            </w:tcBorders>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8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2060" w:type="dxa"/>
            <w:vAlign w:val="bottom"/>
            <w:gridSpan w:val="11"/>
            <w:shd w:val="clear" w:color="auto" w:fill="58854E"/>
          </w:tcPr>
          <w:p>
            <w:pPr>
              <w:jc w:val="center"/>
              <w:ind w:right="333"/>
              <w:spacing w:after="0" w:line="137" w:lineRule="exact"/>
              <w:rPr>
                <w:sz w:val="20"/>
                <w:szCs w:val="20"/>
                <w:color w:val="auto"/>
              </w:rPr>
            </w:pPr>
            <w:r>
              <w:rPr>
                <w:rFonts w:ascii="Arial" w:cs="Arial" w:eastAsia="Arial" w:hAnsi="Arial"/>
                <w:sz w:val="12"/>
                <w:szCs w:val="12"/>
                <w:b w:val="1"/>
                <w:bCs w:val="1"/>
                <w:color w:val="FFFFFE"/>
              </w:rPr>
              <w:t>INCENTIVE PLAN AWARDS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2000" w:type="dxa"/>
            <w:vAlign w:val="bottom"/>
            <w:gridSpan w:val="5"/>
            <w:shd w:val="clear" w:color="auto" w:fill="58854E"/>
          </w:tcPr>
          <w:p>
            <w:pPr>
              <w:jc w:val="center"/>
              <w:ind w:right="235"/>
              <w:spacing w:after="0" w:line="137" w:lineRule="exact"/>
              <w:rPr>
                <w:sz w:val="20"/>
                <w:szCs w:val="20"/>
                <w:color w:val="auto"/>
              </w:rPr>
            </w:pPr>
            <w:r>
              <w:rPr>
                <w:rFonts w:ascii="Arial" w:cs="Arial" w:eastAsia="Arial" w:hAnsi="Arial"/>
                <w:sz w:val="12"/>
                <w:szCs w:val="12"/>
                <w:b w:val="1"/>
                <w:bCs w:val="1"/>
                <w:color w:val="FFFFFE"/>
              </w:rPr>
              <w:t>INCENTIVE PLAN AWARDS</w:t>
            </w:r>
          </w:p>
        </w:tc>
        <w:tc>
          <w:tcPr>
            <w:tcW w:w="80" w:type="dxa"/>
            <w:vAlign w:val="bottom"/>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40" w:type="dxa"/>
            <w:vAlign w:val="bottom"/>
            <w:shd w:val="clear" w:color="auto" w:fill="58854E"/>
          </w:tcPr>
          <w:p>
            <w:pPr>
              <w:spacing w:after="0"/>
              <w:rPr>
                <w:sz w:val="11"/>
                <w:szCs w:val="11"/>
                <w:color w:val="auto"/>
              </w:rPr>
            </w:pPr>
          </w:p>
        </w:tc>
        <w:tc>
          <w:tcPr>
            <w:tcW w:w="1020" w:type="dxa"/>
            <w:vAlign w:val="bottom"/>
            <w:gridSpan w:val="3"/>
            <w:shd w:val="clear" w:color="auto" w:fill="58854E"/>
          </w:tcPr>
          <w:p>
            <w:pPr>
              <w:jc w:val="center"/>
              <w:ind w:right="53"/>
              <w:spacing w:after="0" w:line="137" w:lineRule="exact"/>
              <w:rPr>
                <w:sz w:val="20"/>
                <w:szCs w:val="20"/>
                <w:color w:val="auto"/>
              </w:rPr>
            </w:pPr>
            <w:r>
              <w:rPr>
                <w:rFonts w:ascii="Arial" w:cs="Arial" w:eastAsia="Arial" w:hAnsi="Arial"/>
                <w:sz w:val="12"/>
                <w:szCs w:val="12"/>
                <w:b w:val="1"/>
                <w:bCs w:val="1"/>
                <w:color w:val="FFFFFE"/>
                <w:w w:val="99"/>
              </w:rPr>
              <w:t>SHARES 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58854E"/>
          </w:tcPr>
          <w:p>
            <w:pPr>
              <w:spacing w:after="0"/>
              <w:rPr>
                <w:sz w:val="11"/>
                <w:szCs w:val="11"/>
                <w:color w:val="auto"/>
              </w:rPr>
            </w:pPr>
          </w:p>
        </w:tc>
        <w:tc>
          <w:tcPr>
            <w:tcW w:w="20" w:type="dxa"/>
            <w:vAlign w:val="bottom"/>
            <w:shd w:val="clear" w:color="auto" w:fill="58854E"/>
          </w:tcPr>
          <w:p>
            <w:pPr>
              <w:spacing w:after="0"/>
              <w:rPr>
                <w:sz w:val="11"/>
                <w:szCs w:val="11"/>
                <w:color w:val="auto"/>
              </w:rPr>
            </w:pPr>
          </w:p>
        </w:tc>
        <w:tc>
          <w:tcPr>
            <w:tcW w:w="140" w:type="dxa"/>
            <w:vAlign w:val="bottom"/>
            <w:tcBorders>
              <w:right w:val="single" w:sz="8" w:color="58854E"/>
            </w:tcBorders>
            <w:shd w:val="clear" w:color="auto" w:fill="58854E"/>
          </w:tcPr>
          <w:p>
            <w:pPr>
              <w:spacing w:after="0"/>
              <w:rPr>
                <w:sz w:val="11"/>
                <w:szCs w:val="11"/>
                <w:color w:val="auto"/>
              </w:rPr>
            </w:pPr>
          </w:p>
        </w:tc>
        <w:tc>
          <w:tcPr>
            <w:tcW w:w="740" w:type="dxa"/>
            <w:vAlign w:val="bottom"/>
            <w:gridSpan w:val="4"/>
            <w:shd w:val="clear" w:color="auto" w:fill="58854E"/>
          </w:tcPr>
          <w:p>
            <w:pPr>
              <w:jc w:val="center"/>
              <w:ind w:right="140"/>
              <w:spacing w:after="0" w:line="137" w:lineRule="exact"/>
              <w:rPr>
                <w:sz w:val="20"/>
                <w:szCs w:val="20"/>
                <w:color w:val="auto"/>
              </w:rPr>
            </w:pPr>
            <w:r>
              <w:rPr>
                <w:rFonts w:ascii="Arial" w:cs="Arial" w:eastAsia="Arial" w:hAnsi="Arial"/>
                <w:sz w:val="12"/>
                <w:szCs w:val="12"/>
                <w:b w:val="1"/>
                <w:bCs w:val="1"/>
                <w:color w:val="FFFFFE"/>
                <w:w w:val="96"/>
              </w:rPr>
              <w:t>OF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20" w:type="dxa"/>
            <w:vAlign w:val="bottom"/>
            <w:tcBorders>
              <w:right w:val="single" w:sz="8" w:color="58854E"/>
            </w:tcBorders>
            <w:shd w:val="clear" w:color="auto" w:fill="58854E"/>
          </w:tcPr>
          <w:p>
            <w:pPr>
              <w:spacing w:after="0"/>
              <w:rPr>
                <w:sz w:val="12"/>
                <w:szCs w:val="12"/>
                <w:color w:val="auto"/>
              </w:rPr>
            </w:pPr>
          </w:p>
        </w:tc>
        <w:tc>
          <w:tcPr>
            <w:tcW w:w="240" w:type="dxa"/>
            <w:vAlign w:val="bottom"/>
            <w:shd w:val="clear" w:color="auto" w:fill="58854E"/>
          </w:tcPr>
          <w:p>
            <w:pPr>
              <w:spacing w:after="0"/>
              <w:rPr>
                <w:sz w:val="12"/>
                <w:szCs w:val="12"/>
                <w:color w:val="auto"/>
              </w:rPr>
            </w:pPr>
          </w:p>
        </w:tc>
        <w:tc>
          <w:tcPr>
            <w:tcW w:w="1300" w:type="dxa"/>
            <w:vAlign w:val="bottom"/>
            <w:shd w:val="clear" w:color="auto" w:fill="58854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shd w:val="clear" w:color="auto" w:fill="58854E"/>
          </w:tcPr>
          <w:p>
            <w:pPr>
              <w:spacing w:after="0"/>
              <w:rPr>
                <w:sz w:val="12"/>
                <w:szCs w:val="12"/>
                <w:color w:val="auto"/>
              </w:rPr>
            </w:pPr>
          </w:p>
        </w:tc>
        <w:tc>
          <w:tcPr>
            <w:tcW w:w="160" w:type="dxa"/>
            <w:vAlign w:val="bottom"/>
            <w:tcBorders>
              <w:right w:val="single" w:sz="8" w:color="58854E"/>
            </w:tcBorders>
            <w:shd w:val="clear" w:color="auto" w:fill="58854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right w:val="single" w:sz="8" w:color="58854E"/>
            </w:tcBorders>
            <w:shd w:val="clear" w:color="auto" w:fill="58854E"/>
          </w:tcPr>
          <w:p>
            <w:pPr>
              <w:spacing w:after="0"/>
              <w:rPr>
                <w:sz w:val="12"/>
                <w:szCs w:val="12"/>
                <w:color w:val="auto"/>
              </w:rPr>
            </w:pPr>
          </w:p>
        </w:tc>
        <w:tc>
          <w:tcPr>
            <w:tcW w:w="160" w:type="dxa"/>
            <w:vAlign w:val="bottom"/>
            <w:tcBorders>
              <w:right w:val="single" w:sz="8" w:color="58854E"/>
            </w:tcBorders>
            <w:shd w:val="clear" w:color="auto" w:fill="58854E"/>
          </w:tcPr>
          <w:p>
            <w:pPr>
              <w:spacing w:after="0"/>
              <w:rPr>
                <w:sz w:val="12"/>
                <w:szCs w:val="12"/>
                <w:color w:val="auto"/>
              </w:rPr>
            </w:pPr>
          </w:p>
        </w:tc>
        <w:tc>
          <w:tcPr>
            <w:tcW w:w="100" w:type="dxa"/>
            <w:vAlign w:val="bottom"/>
            <w:tcBorders>
              <w:right w:val="single" w:sz="8" w:color="58854E"/>
            </w:tcBorders>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420" w:type="dxa"/>
            <w:vAlign w:val="bottom"/>
            <w:shd w:val="clear" w:color="auto" w:fill="58854E"/>
          </w:tcPr>
          <w:p>
            <w:pPr>
              <w:spacing w:after="0"/>
              <w:rPr>
                <w:sz w:val="12"/>
                <w:szCs w:val="12"/>
                <w:color w:val="auto"/>
              </w:rPr>
            </w:pPr>
          </w:p>
        </w:tc>
        <w:tc>
          <w:tcPr>
            <w:tcW w:w="60" w:type="dxa"/>
            <w:vAlign w:val="bottom"/>
            <w:shd w:val="clear" w:color="auto" w:fill="58854E"/>
          </w:tcPr>
          <w:p>
            <w:pPr>
              <w:spacing w:after="0"/>
              <w:rPr>
                <w:sz w:val="12"/>
                <w:szCs w:val="12"/>
                <w:color w:val="auto"/>
              </w:rPr>
            </w:pPr>
          </w:p>
        </w:tc>
        <w:tc>
          <w:tcPr>
            <w:tcW w:w="60" w:type="dxa"/>
            <w:vAlign w:val="bottom"/>
            <w:shd w:val="clear" w:color="auto" w:fill="58854E"/>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920" w:type="dxa"/>
            <w:vAlign w:val="bottom"/>
            <w:gridSpan w:val="6"/>
            <w:vMerge w:val="restart"/>
            <w:shd w:val="clear" w:color="auto" w:fill="58854E"/>
          </w:tcPr>
          <w:p>
            <w:pPr>
              <w:jc w:val="right"/>
              <w:ind w:right="60"/>
              <w:spacing w:after="0"/>
              <w:rPr>
                <w:sz w:val="20"/>
                <w:szCs w:val="20"/>
                <w:color w:val="auto"/>
              </w:rPr>
            </w:pPr>
            <w:r>
              <w:rPr>
                <w:rFonts w:ascii="Arial" w:cs="Arial" w:eastAsia="Arial" w:hAnsi="Arial"/>
                <w:sz w:val="12"/>
                <w:szCs w:val="12"/>
                <w:b w:val="1"/>
                <w:bCs w:val="1"/>
                <w:color w:val="FFFFFE"/>
              </w:rPr>
              <w:t>THRESHOLD</w:t>
            </w:r>
            <w:r>
              <w:rPr>
                <w:rFonts w:ascii="Arial" w:cs="Arial" w:eastAsia="Arial" w:hAnsi="Arial"/>
                <w:sz w:val="18"/>
                <w:szCs w:val="18"/>
                <w:b w:val="1"/>
                <w:bCs w:val="1"/>
                <w:color w:val="FFFFFE"/>
                <w:vertAlign w:val="superscript"/>
              </w:rPr>
              <w:t>1</w:t>
            </w:r>
          </w:p>
        </w:tc>
        <w:tc>
          <w:tcPr>
            <w:tcW w:w="140" w:type="dxa"/>
            <w:vAlign w:val="bottom"/>
            <w:shd w:val="clear" w:color="auto" w:fill="58854E"/>
          </w:tcPr>
          <w:p>
            <w:pPr>
              <w:spacing w:after="0"/>
              <w:rPr>
                <w:sz w:val="12"/>
                <w:szCs w:val="12"/>
                <w:color w:val="auto"/>
              </w:rPr>
            </w:pPr>
          </w:p>
        </w:tc>
        <w:tc>
          <w:tcPr>
            <w:tcW w:w="640" w:type="dxa"/>
            <w:vAlign w:val="bottom"/>
            <w:gridSpan w:val="3"/>
            <w:vMerge w:val="restart"/>
            <w:shd w:val="clear" w:color="auto" w:fill="58854E"/>
          </w:tcPr>
          <w:p>
            <w:pPr>
              <w:jc w:val="right"/>
              <w:ind w:right="12"/>
              <w:spacing w:after="0"/>
              <w:rPr>
                <w:sz w:val="20"/>
                <w:szCs w:val="20"/>
                <w:color w:val="auto"/>
              </w:rPr>
            </w:pPr>
            <w:r>
              <w:rPr>
                <w:rFonts w:ascii="Arial" w:cs="Arial" w:eastAsia="Arial" w:hAnsi="Arial"/>
                <w:sz w:val="12"/>
                <w:szCs w:val="12"/>
                <w:b w:val="1"/>
                <w:bCs w:val="1"/>
                <w:color w:val="FFFFFE"/>
                <w:w w:val="96"/>
              </w:rPr>
              <w:t>TARGET</w:t>
            </w:r>
            <w:r>
              <w:rPr>
                <w:rFonts w:ascii="Arial" w:cs="Arial" w:eastAsia="Arial" w:hAnsi="Arial"/>
                <w:sz w:val="18"/>
                <w:szCs w:val="18"/>
                <w:b w:val="1"/>
                <w:bCs w:val="1"/>
                <w:color w:val="FFFFFE"/>
                <w:w w:val="96"/>
                <w:vertAlign w:val="superscript"/>
              </w:rPr>
              <w:t>2</w:t>
            </w:r>
          </w:p>
        </w:tc>
        <w:tc>
          <w:tcPr>
            <w:tcW w:w="760" w:type="dxa"/>
            <w:vAlign w:val="bottom"/>
            <w:gridSpan w:val="3"/>
            <w:vMerge w:val="restart"/>
            <w:shd w:val="clear" w:color="auto" w:fill="58854E"/>
          </w:tcPr>
          <w:p>
            <w:pPr>
              <w:jc w:val="center"/>
              <w:ind w:left="15"/>
              <w:spacing w:after="0"/>
              <w:rPr>
                <w:sz w:val="20"/>
                <w:szCs w:val="20"/>
                <w:color w:val="auto"/>
              </w:rPr>
            </w:pPr>
            <w:r>
              <w:rPr>
                <w:rFonts w:ascii="Arial" w:cs="Arial" w:eastAsia="Arial" w:hAnsi="Arial"/>
                <w:sz w:val="12"/>
                <w:szCs w:val="12"/>
                <w:b w:val="1"/>
                <w:bCs w:val="1"/>
                <w:color w:val="FFFFFE"/>
                <w:w w:val="97"/>
              </w:rPr>
              <w:t>MAXIMUM</w:t>
            </w:r>
            <w:r>
              <w:rPr>
                <w:rFonts w:ascii="Arial" w:cs="Arial" w:eastAsia="Arial" w:hAnsi="Arial"/>
                <w:sz w:val="18"/>
                <w:szCs w:val="18"/>
                <w:b w:val="1"/>
                <w:bCs w:val="1"/>
                <w:color w:val="FFFFFE"/>
                <w:w w:val="97"/>
                <w:vertAlign w:val="superscript"/>
              </w:rPr>
              <w:t>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shd w:val="clear" w:color="auto" w:fill="58854E"/>
          </w:tcPr>
          <w:p>
            <w:pPr>
              <w:spacing w:after="0"/>
              <w:rPr>
                <w:sz w:val="12"/>
                <w:szCs w:val="12"/>
                <w:color w:val="auto"/>
              </w:rPr>
            </w:pPr>
          </w:p>
        </w:tc>
        <w:tc>
          <w:tcPr>
            <w:tcW w:w="20" w:type="dxa"/>
            <w:vAlign w:val="bottom"/>
            <w:shd w:val="clear" w:color="auto" w:fill="58854E"/>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660" w:type="dxa"/>
            <w:vAlign w:val="bottom"/>
            <w:tcBorders>
              <w:right w:val="single" w:sz="8" w:color="58854E"/>
            </w:tcBorders>
            <w:shd w:val="clear" w:color="auto" w:fill="58854E"/>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240" w:type="dxa"/>
            <w:vAlign w:val="bottom"/>
            <w:shd w:val="clear" w:color="auto" w:fill="58854E"/>
          </w:tcPr>
          <w:p>
            <w:pPr>
              <w:spacing w:after="0"/>
              <w:rPr>
                <w:sz w:val="12"/>
                <w:szCs w:val="12"/>
                <w:color w:val="auto"/>
              </w:rPr>
            </w:pPr>
          </w:p>
        </w:tc>
        <w:tc>
          <w:tcPr>
            <w:tcW w:w="200" w:type="dxa"/>
            <w:vAlign w:val="bottom"/>
            <w:tcBorders>
              <w:right w:val="single" w:sz="8" w:color="58854E"/>
            </w:tcBorders>
            <w:shd w:val="clear" w:color="auto" w:fill="58854E"/>
          </w:tcPr>
          <w:p>
            <w:pPr>
              <w:spacing w:after="0"/>
              <w:rPr>
                <w:sz w:val="12"/>
                <w:szCs w:val="12"/>
                <w:color w:val="auto"/>
              </w:rPr>
            </w:pPr>
          </w:p>
        </w:tc>
        <w:tc>
          <w:tcPr>
            <w:tcW w:w="780" w:type="dxa"/>
            <w:vAlign w:val="bottom"/>
            <w:shd w:val="clear" w:color="auto" w:fill="58854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40" w:type="dxa"/>
            <w:vAlign w:val="bottom"/>
            <w:shd w:val="clear" w:color="auto" w:fill="58854E"/>
          </w:tcPr>
          <w:p>
            <w:pPr>
              <w:spacing w:after="0"/>
              <w:rPr>
                <w:sz w:val="12"/>
                <w:szCs w:val="12"/>
                <w:color w:val="auto"/>
              </w:rPr>
            </w:pPr>
          </w:p>
        </w:tc>
        <w:tc>
          <w:tcPr>
            <w:tcW w:w="180" w:type="dxa"/>
            <w:vAlign w:val="bottom"/>
            <w:tcBorders>
              <w:right w:val="single" w:sz="8" w:color="58854E"/>
            </w:tcBorders>
            <w:shd w:val="clear" w:color="auto" w:fill="58854E"/>
          </w:tcPr>
          <w:p>
            <w:pPr>
              <w:spacing w:after="0"/>
              <w:rPr>
                <w:sz w:val="12"/>
                <w:szCs w:val="12"/>
                <w:color w:val="auto"/>
              </w:rPr>
            </w:pPr>
          </w:p>
        </w:tc>
        <w:tc>
          <w:tcPr>
            <w:tcW w:w="840" w:type="dxa"/>
            <w:vAlign w:val="bottom"/>
            <w:gridSpan w:val="2"/>
            <w:shd w:val="clear" w:color="auto" w:fill="58854E"/>
          </w:tcPr>
          <w:p>
            <w:pPr>
              <w:jc w:val="center"/>
              <w:ind w:right="233"/>
              <w:spacing w:after="0"/>
              <w:rPr>
                <w:sz w:val="20"/>
                <w:szCs w:val="20"/>
                <w:color w:val="auto"/>
              </w:rPr>
            </w:pPr>
            <w:r>
              <w:rPr>
                <w:rFonts w:ascii="Arial" w:cs="Arial" w:eastAsia="Arial" w:hAnsi="Arial"/>
                <w:sz w:val="12"/>
                <w:szCs w:val="12"/>
                <w:b w:val="1"/>
                <w:bCs w:val="1"/>
                <w:color w:val="FFFFFE"/>
                <w:w w:val="99"/>
              </w:rPr>
              <w:t>STOCK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20" w:type="dxa"/>
            <w:vAlign w:val="bottom"/>
            <w:shd w:val="clear" w:color="auto" w:fill="58854E"/>
          </w:tcPr>
          <w:p>
            <w:pPr>
              <w:spacing w:after="0"/>
              <w:rPr>
                <w:sz w:val="12"/>
                <w:szCs w:val="12"/>
                <w:color w:val="auto"/>
              </w:rPr>
            </w:pPr>
          </w:p>
        </w:tc>
        <w:tc>
          <w:tcPr>
            <w:tcW w:w="880" w:type="dxa"/>
            <w:vAlign w:val="bottom"/>
            <w:gridSpan w:val="5"/>
            <w:shd w:val="clear" w:color="auto" w:fill="58854E"/>
          </w:tcPr>
          <w:p>
            <w:pPr>
              <w:jc w:val="center"/>
              <w:ind w:right="20"/>
              <w:spacing w:after="0"/>
              <w:rPr>
                <w:sz w:val="20"/>
                <w:szCs w:val="20"/>
                <w:color w:val="auto"/>
              </w:rPr>
            </w:pPr>
            <w:r>
              <w:rPr>
                <w:rFonts w:ascii="Arial" w:cs="Arial" w:eastAsia="Arial" w:hAnsi="Arial"/>
                <w:sz w:val="12"/>
                <w:szCs w:val="12"/>
                <w:b w:val="1"/>
                <w:bCs w:val="1"/>
                <w:color w:val="FFFFFE"/>
              </w:rPr>
              <w:t>AND OPTION</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3"/>
            <w:shd w:val="clear" w:color="auto" w:fill="58854E"/>
          </w:tcPr>
          <w:p>
            <w:pPr>
              <w:ind w:left="60"/>
              <w:spacing w:after="0"/>
              <w:rPr>
                <w:sz w:val="20"/>
                <w:szCs w:val="20"/>
                <w:color w:val="auto"/>
              </w:rPr>
            </w:pPr>
            <w:r>
              <w:rPr>
                <w:rFonts w:ascii="Arial" w:cs="Arial" w:eastAsia="Arial" w:hAnsi="Arial"/>
                <w:sz w:val="12"/>
                <w:szCs w:val="12"/>
                <w:b w:val="1"/>
                <w:bCs w:val="1"/>
                <w:color w:val="FFFFFE"/>
              </w:rPr>
              <w:t>NAME</w:t>
            </w:r>
          </w:p>
        </w:tc>
        <w:tc>
          <w:tcPr>
            <w:tcW w:w="80" w:type="dxa"/>
            <w:vAlign w:val="bottom"/>
          </w:tcPr>
          <w:p>
            <w:pPr>
              <w:spacing w:after="0"/>
              <w:rPr>
                <w:sz w:val="12"/>
                <w:szCs w:val="12"/>
                <w:color w:val="auto"/>
              </w:rPr>
            </w:pPr>
          </w:p>
        </w:tc>
        <w:tc>
          <w:tcPr>
            <w:tcW w:w="500" w:type="dxa"/>
            <w:vAlign w:val="bottom"/>
            <w:tcBorders>
              <w:right w:val="single" w:sz="8" w:color="58854E"/>
            </w:tcBorders>
            <w:gridSpan w:val="2"/>
            <w:shd w:val="clear" w:color="auto" w:fill="58854E"/>
          </w:tcPr>
          <w:p>
            <w:pPr>
              <w:jc w:val="center"/>
              <w:ind w:right="20"/>
              <w:spacing w:after="0"/>
              <w:rPr>
                <w:sz w:val="20"/>
                <w:szCs w:val="20"/>
                <w:color w:val="auto"/>
              </w:rPr>
            </w:pPr>
            <w:r>
              <w:rPr>
                <w:rFonts w:ascii="Arial" w:cs="Arial" w:eastAsia="Arial" w:hAnsi="Arial"/>
                <w:sz w:val="12"/>
                <w:szCs w:val="12"/>
                <w:b w:val="1"/>
                <w:bCs w:val="1"/>
                <w:color w:val="FFFFFE"/>
                <w:w w:val="95"/>
              </w:rPr>
              <w:t>AWARD</w:t>
            </w:r>
          </w:p>
        </w:tc>
        <w:tc>
          <w:tcPr>
            <w:tcW w:w="60" w:type="dxa"/>
            <w:vAlign w:val="bottom"/>
          </w:tcPr>
          <w:p>
            <w:pPr>
              <w:spacing w:after="0"/>
              <w:rPr>
                <w:sz w:val="12"/>
                <w:szCs w:val="12"/>
                <w:color w:val="auto"/>
              </w:rPr>
            </w:pPr>
          </w:p>
        </w:tc>
        <w:tc>
          <w:tcPr>
            <w:tcW w:w="700" w:type="dxa"/>
            <w:vAlign w:val="bottom"/>
            <w:tcBorders>
              <w:right w:val="single" w:sz="8" w:color="58854E"/>
            </w:tcBorders>
            <w:gridSpan w:val="2"/>
            <w:shd w:val="clear" w:color="auto" w:fill="58854E"/>
          </w:tcPr>
          <w:p>
            <w:pPr>
              <w:jc w:val="center"/>
              <w:spacing w:after="0"/>
              <w:rPr>
                <w:sz w:val="20"/>
                <w:szCs w:val="20"/>
                <w:color w:val="auto"/>
              </w:rPr>
            </w:pPr>
            <w:r>
              <w:rPr>
                <w:rFonts w:ascii="Arial" w:cs="Arial" w:eastAsia="Arial" w:hAnsi="Arial"/>
                <w:sz w:val="12"/>
                <w:szCs w:val="12"/>
                <w:b w:val="1"/>
                <w:bCs w:val="1"/>
                <w:color w:val="FFFFFE"/>
              </w:rPr>
              <w:t>GRANT</w:t>
            </w:r>
          </w:p>
        </w:tc>
        <w:tc>
          <w:tcPr>
            <w:tcW w:w="100" w:type="dxa"/>
            <w:vAlign w:val="bottom"/>
            <w:tcBorders>
              <w:right w:val="single" w:sz="8" w:color="58854E"/>
            </w:tcBorders>
          </w:tcPr>
          <w:p>
            <w:pPr>
              <w:spacing w:after="0"/>
              <w:rPr>
                <w:sz w:val="12"/>
                <w:szCs w:val="12"/>
                <w:color w:val="auto"/>
              </w:rPr>
            </w:pPr>
          </w:p>
        </w:tc>
        <w:tc>
          <w:tcPr>
            <w:tcW w:w="780" w:type="dxa"/>
            <w:vAlign w:val="bottom"/>
            <w:gridSpan w:val="5"/>
            <w:shd w:val="clear" w:color="auto" w:fill="58854E"/>
          </w:tcPr>
          <w:p>
            <w:pPr>
              <w:jc w:val="center"/>
              <w:ind w:right="20"/>
              <w:spacing w:after="0"/>
              <w:rPr>
                <w:sz w:val="20"/>
                <w:szCs w:val="20"/>
                <w:color w:val="auto"/>
              </w:rPr>
            </w:pPr>
            <w:r>
              <w:rPr>
                <w:rFonts w:ascii="Arial" w:cs="Arial" w:eastAsia="Arial" w:hAnsi="Arial"/>
                <w:sz w:val="12"/>
                <w:szCs w:val="12"/>
                <w:b w:val="1"/>
                <w:bCs w:val="1"/>
                <w:color w:val="FFFFFE"/>
              </w:rPr>
              <w:t>APPROVAL</w:t>
            </w:r>
          </w:p>
        </w:tc>
        <w:tc>
          <w:tcPr>
            <w:tcW w:w="8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920" w:type="dxa"/>
            <w:vAlign w:val="bottom"/>
            <w:gridSpan w:val="6"/>
            <w:vMerge w:val="continue"/>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640" w:type="dxa"/>
            <w:vAlign w:val="bottom"/>
            <w:gridSpan w:val="3"/>
            <w:vMerge w:val="continue"/>
            <w:shd w:val="clear" w:color="auto" w:fill="58854E"/>
          </w:tcPr>
          <w:p>
            <w:pPr>
              <w:spacing w:after="0"/>
              <w:rPr>
                <w:sz w:val="12"/>
                <w:szCs w:val="12"/>
                <w:color w:val="auto"/>
              </w:rPr>
            </w:pPr>
          </w:p>
        </w:tc>
        <w:tc>
          <w:tcPr>
            <w:tcW w:w="760" w:type="dxa"/>
            <w:vAlign w:val="bottom"/>
            <w:gridSpan w:val="3"/>
            <w:vMerge w:val="continue"/>
            <w:shd w:val="clear" w:color="auto" w:fill="58854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right w:val="single" w:sz="8" w:color="58854E"/>
            </w:tcBorders>
            <w:gridSpan w:val="5"/>
            <w:shd w:val="clear" w:color="auto" w:fill="58854E"/>
          </w:tcPr>
          <w:p>
            <w:pPr>
              <w:jc w:val="right"/>
              <w:ind w:right="113"/>
              <w:spacing w:after="0"/>
              <w:rPr>
                <w:sz w:val="20"/>
                <w:szCs w:val="20"/>
                <w:color w:val="auto"/>
              </w:rPr>
            </w:pPr>
            <w:r>
              <w:rPr>
                <w:rFonts w:ascii="Arial" w:cs="Arial" w:eastAsia="Arial" w:hAnsi="Arial"/>
                <w:sz w:val="12"/>
                <w:szCs w:val="12"/>
                <w:b w:val="1"/>
                <w:bCs w:val="1"/>
                <w:color w:val="FFFFFE"/>
              </w:rPr>
              <w:t>THRESHOLD</w:t>
            </w:r>
          </w:p>
        </w:tc>
        <w:tc>
          <w:tcPr>
            <w:tcW w:w="560" w:type="dxa"/>
            <w:vAlign w:val="bottom"/>
            <w:tcBorders>
              <w:right w:val="single" w:sz="8" w:color="58854E"/>
            </w:tcBorders>
            <w:gridSpan w:val="3"/>
            <w:shd w:val="clear" w:color="auto" w:fill="58854E"/>
          </w:tcPr>
          <w:p>
            <w:pPr>
              <w:jc w:val="right"/>
              <w:spacing w:after="0"/>
              <w:rPr>
                <w:sz w:val="20"/>
                <w:szCs w:val="20"/>
                <w:color w:val="auto"/>
              </w:rPr>
            </w:pPr>
            <w:r>
              <w:rPr>
                <w:rFonts w:ascii="Arial" w:cs="Arial" w:eastAsia="Arial" w:hAnsi="Arial"/>
                <w:sz w:val="12"/>
                <w:szCs w:val="12"/>
                <w:b w:val="1"/>
                <w:bCs w:val="1"/>
                <w:color w:val="FFFFFE"/>
              </w:rPr>
              <w:t>TARGET</w:t>
            </w:r>
          </w:p>
        </w:tc>
        <w:tc>
          <w:tcPr>
            <w:tcW w:w="780" w:type="dxa"/>
            <w:vAlign w:val="bottom"/>
            <w:shd w:val="clear" w:color="auto" w:fill="58854E"/>
          </w:tcPr>
          <w:p>
            <w:pPr>
              <w:jc w:val="right"/>
              <w:spacing w:after="0"/>
              <w:rPr>
                <w:sz w:val="20"/>
                <w:szCs w:val="20"/>
                <w:color w:val="auto"/>
              </w:rPr>
            </w:pPr>
            <w:r>
              <w:rPr>
                <w:rFonts w:ascii="Arial" w:cs="Arial" w:eastAsia="Arial" w:hAnsi="Arial"/>
                <w:sz w:val="12"/>
                <w:szCs w:val="12"/>
                <w:b w:val="1"/>
                <w:bCs w:val="1"/>
                <w:color w:val="FFFFFE"/>
              </w:rPr>
              <w:t>MAXIMUM</w:t>
            </w:r>
          </w:p>
        </w:tc>
        <w:tc>
          <w:tcPr>
            <w:tcW w:w="80" w:type="dxa"/>
            <w:vAlign w:val="bottom"/>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40" w:type="dxa"/>
            <w:vAlign w:val="bottom"/>
            <w:shd w:val="clear" w:color="auto" w:fill="58854E"/>
          </w:tcPr>
          <w:p>
            <w:pPr>
              <w:spacing w:after="0"/>
              <w:rPr>
                <w:sz w:val="12"/>
                <w:szCs w:val="12"/>
                <w:color w:val="auto"/>
              </w:rPr>
            </w:pPr>
          </w:p>
        </w:tc>
        <w:tc>
          <w:tcPr>
            <w:tcW w:w="180" w:type="dxa"/>
            <w:vAlign w:val="bottom"/>
            <w:tcBorders>
              <w:right w:val="single" w:sz="8" w:color="58854E"/>
            </w:tcBorders>
            <w:shd w:val="clear" w:color="auto" w:fill="58854E"/>
          </w:tcPr>
          <w:p>
            <w:pPr>
              <w:spacing w:after="0"/>
              <w:rPr>
                <w:sz w:val="12"/>
                <w:szCs w:val="12"/>
                <w:color w:val="auto"/>
              </w:rPr>
            </w:pPr>
          </w:p>
        </w:tc>
        <w:tc>
          <w:tcPr>
            <w:tcW w:w="840" w:type="dxa"/>
            <w:vAlign w:val="bottom"/>
            <w:gridSpan w:val="2"/>
            <w:shd w:val="clear" w:color="auto" w:fill="58854E"/>
          </w:tcPr>
          <w:p>
            <w:pPr>
              <w:jc w:val="center"/>
              <w:ind w:right="213"/>
              <w:spacing w:after="0"/>
              <w:rPr>
                <w:sz w:val="20"/>
                <w:szCs w:val="20"/>
                <w:color w:val="auto"/>
              </w:rPr>
            </w:pPr>
            <w:r>
              <w:rPr>
                <w:rFonts w:ascii="Arial" w:cs="Arial" w:eastAsia="Arial" w:hAnsi="Arial"/>
                <w:sz w:val="12"/>
                <w:szCs w:val="12"/>
                <w:b w:val="1"/>
                <w:bCs w:val="1"/>
                <w:color w:val="FFFFFE"/>
                <w:w w:val="97"/>
              </w:rPr>
              <w:t>OR UNITS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shd w:val="clear" w:color="auto" w:fill="58854E"/>
          </w:tcPr>
          <w:p>
            <w:pPr>
              <w:spacing w:after="0"/>
              <w:rPr>
                <w:sz w:val="12"/>
                <w:szCs w:val="12"/>
                <w:color w:val="auto"/>
              </w:rPr>
            </w:pPr>
          </w:p>
        </w:tc>
        <w:tc>
          <w:tcPr>
            <w:tcW w:w="20" w:type="dxa"/>
            <w:vAlign w:val="bottom"/>
            <w:shd w:val="clear" w:color="auto" w:fill="58854E"/>
          </w:tcPr>
          <w:p>
            <w:pPr>
              <w:spacing w:after="0"/>
              <w:rPr>
                <w:sz w:val="12"/>
                <w:szCs w:val="12"/>
                <w:color w:val="auto"/>
              </w:rPr>
            </w:pPr>
          </w:p>
        </w:tc>
        <w:tc>
          <w:tcPr>
            <w:tcW w:w="140" w:type="dxa"/>
            <w:vAlign w:val="bottom"/>
            <w:tcBorders>
              <w:right w:val="single" w:sz="8" w:color="58854E"/>
            </w:tcBorders>
            <w:shd w:val="clear" w:color="auto" w:fill="58854E"/>
          </w:tcPr>
          <w:p>
            <w:pPr>
              <w:spacing w:after="0"/>
              <w:rPr>
                <w:sz w:val="12"/>
                <w:szCs w:val="12"/>
                <w:color w:val="auto"/>
              </w:rPr>
            </w:pPr>
          </w:p>
        </w:tc>
        <w:tc>
          <w:tcPr>
            <w:tcW w:w="740" w:type="dxa"/>
            <w:vAlign w:val="bottom"/>
            <w:gridSpan w:val="4"/>
            <w:shd w:val="clear" w:color="auto" w:fill="58854E"/>
          </w:tcPr>
          <w:p>
            <w:pPr>
              <w:jc w:val="center"/>
              <w:ind w:right="160"/>
              <w:spacing w:after="0"/>
              <w:rPr>
                <w:sz w:val="20"/>
                <w:szCs w:val="20"/>
                <w:color w:val="auto"/>
              </w:rPr>
            </w:pPr>
            <w:r>
              <w:rPr>
                <w:rFonts w:ascii="Arial" w:cs="Arial" w:eastAsia="Arial" w:hAnsi="Arial"/>
                <w:sz w:val="12"/>
                <w:szCs w:val="12"/>
                <w:b w:val="1"/>
                <w:bCs w:val="1"/>
                <w:color w:val="FFFFFE"/>
                <w:w w:val="99"/>
              </w:rPr>
              <w:t>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Borders>
              <w:right w:val="single" w:sz="8" w:color="58854E"/>
            </w:tcBorders>
            <w:shd w:val="clear" w:color="auto" w:fill="58854E"/>
          </w:tcPr>
          <w:p>
            <w:pPr>
              <w:spacing w:after="0"/>
              <w:rPr>
                <w:sz w:val="13"/>
                <w:szCs w:val="13"/>
                <w:color w:val="auto"/>
              </w:rPr>
            </w:pPr>
          </w:p>
        </w:tc>
        <w:tc>
          <w:tcPr>
            <w:tcW w:w="240" w:type="dxa"/>
            <w:vAlign w:val="bottom"/>
            <w:shd w:val="clear" w:color="auto" w:fill="58854E"/>
          </w:tcPr>
          <w:p>
            <w:pPr>
              <w:spacing w:after="0"/>
              <w:rPr>
                <w:sz w:val="13"/>
                <w:szCs w:val="13"/>
                <w:color w:val="auto"/>
              </w:rPr>
            </w:pPr>
          </w:p>
        </w:tc>
        <w:tc>
          <w:tcPr>
            <w:tcW w:w="1300" w:type="dxa"/>
            <w:vAlign w:val="bottom"/>
            <w:shd w:val="clear" w:color="auto" w:fill="58854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right w:val="single" w:sz="8" w:color="58854E"/>
            </w:tcBorders>
            <w:gridSpan w:val="2"/>
            <w:shd w:val="clear" w:color="auto" w:fill="58854E"/>
          </w:tcPr>
          <w:p>
            <w:pPr>
              <w:jc w:val="center"/>
              <w:ind w:right="20"/>
              <w:spacing w:after="0"/>
              <w:rPr>
                <w:sz w:val="20"/>
                <w:szCs w:val="20"/>
                <w:color w:val="auto"/>
              </w:rPr>
            </w:pPr>
            <w:r>
              <w:rPr>
                <w:rFonts w:ascii="Arial" w:cs="Arial" w:eastAsia="Arial" w:hAnsi="Arial"/>
                <w:sz w:val="12"/>
                <w:szCs w:val="12"/>
                <w:b w:val="1"/>
                <w:bCs w:val="1"/>
                <w:color w:val="FFFFFE"/>
              </w:rPr>
              <w:t>TYPE</w:t>
            </w:r>
          </w:p>
        </w:tc>
        <w:tc>
          <w:tcPr>
            <w:tcW w:w="60" w:type="dxa"/>
            <w:vAlign w:val="bottom"/>
          </w:tcPr>
          <w:p>
            <w:pPr>
              <w:spacing w:after="0"/>
              <w:rPr>
                <w:sz w:val="13"/>
                <w:szCs w:val="13"/>
                <w:color w:val="auto"/>
              </w:rPr>
            </w:pPr>
          </w:p>
        </w:tc>
        <w:tc>
          <w:tcPr>
            <w:tcW w:w="540" w:type="dxa"/>
            <w:vAlign w:val="bottom"/>
            <w:tcBorders>
              <w:right w:val="single" w:sz="8" w:color="58854E"/>
            </w:tcBorders>
            <w:shd w:val="clear" w:color="auto" w:fill="58854E"/>
          </w:tcPr>
          <w:p>
            <w:pPr>
              <w:jc w:val="center"/>
              <w:ind w:left="159"/>
              <w:spacing w:after="0"/>
              <w:rPr>
                <w:sz w:val="20"/>
                <w:szCs w:val="20"/>
                <w:color w:val="auto"/>
              </w:rPr>
            </w:pPr>
            <w:r>
              <w:rPr>
                <w:rFonts w:ascii="Arial" w:cs="Arial" w:eastAsia="Arial" w:hAnsi="Arial"/>
                <w:sz w:val="12"/>
                <w:szCs w:val="12"/>
                <w:b w:val="1"/>
                <w:bCs w:val="1"/>
                <w:color w:val="FFFFFE"/>
                <w:w w:val="97"/>
              </w:rPr>
              <w:t>DATE</w:t>
            </w:r>
          </w:p>
        </w:tc>
        <w:tc>
          <w:tcPr>
            <w:tcW w:w="160" w:type="dxa"/>
            <w:vAlign w:val="bottom"/>
            <w:tcBorders>
              <w:right w:val="single" w:sz="8" w:color="58854E"/>
            </w:tcBorders>
            <w:shd w:val="clear" w:color="auto" w:fill="58854E"/>
          </w:tcPr>
          <w:p>
            <w:pPr>
              <w:spacing w:after="0"/>
              <w:rPr>
                <w:sz w:val="13"/>
                <w:szCs w:val="13"/>
                <w:color w:val="auto"/>
              </w:rPr>
            </w:pPr>
          </w:p>
        </w:tc>
        <w:tc>
          <w:tcPr>
            <w:tcW w:w="100" w:type="dxa"/>
            <w:vAlign w:val="bottom"/>
            <w:tcBorders>
              <w:right w:val="single" w:sz="8" w:color="58854E"/>
            </w:tcBorders>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480" w:type="dxa"/>
            <w:vAlign w:val="bottom"/>
            <w:gridSpan w:val="2"/>
            <w:shd w:val="clear" w:color="auto" w:fill="58854E"/>
          </w:tcPr>
          <w:p>
            <w:pPr>
              <w:jc w:val="center"/>
              <w:spacing w:after="0"/>
              <w:rPr>
                <w:sz w:val="20"/>
                <w:szCs w:val="20"/>
                <w:color w:val="auto"/>
              </w:rPr>
            </w:pPr>
            <w:r>
              <w:rPr>
                <w:rFonts w:ascii="Arial" w:cs="Arial" w:eastAsia="Arial" w:hAnsi="Arial"/>
                <w:sz w:val="12"/>
                <w:szCs w:val="12"/>
                <w:b w:val="1"/>
                <w:bCs w:val="1"/>
                <w:color w:val="FFFFFE"/>
                <w:w w:val="97"/>
              </w:rPr>
              <w:t>DATE</w:t>
            </w:r>
          </w:p>
        </w:tc>
        <w:tc>
          <w:tcPr>
            <w:tcW w:w="60" w:type="dxa"/>
            <w:vAlign w:val="bottom"/>
            <w:shd w:val="clear" w:color="auto" w:fill="58854E"/>
          </w:tcPr>
          <w:p>
            <w:pPr>
              <w:spacing w:after="0"/>
              <w:rPr>
                <w:sz w:val="13"/>
                <w:szCs w:val="13"/>
                <w:color w:val="auto"/>
              </w:rPr>
            </w:pPr>
          </w:p>
        </w:tc>
        <w:tc>
          <w:tcPr>
            <w:tcW w:w="100" w:type="dxa"/>
            <w:vAlign w:val="bottom"/>
            <w:shd w:val="clear" w:color="auto" w:fill="58854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58854E"/>
          </w:tcPr>
          <w:p>
            <w:pPr>
              <w:spacing w:after="0"/>
              <w:rPr>
                <w:sz w:val="13"/>
                <w:szCs w:val="13"/>
                <w:color w:val="auto"/>
              </w:rPr>
            </w:pPr>
          </w:p>
        </w:tc>
        <w:tc>
          <w:tcPr>
            <w:tcW w:w="280" w:type="dxa"/>
            <w:vAlign w:val="bottom"/>
            <w:shd w:val="clear" w:color="auto" w:fill="58854E"/>
          </w:tcPr>
          <w:p>
            <w:pPr>
              <w:spacing w:after="0"/>
              <w:rPr>
                <w:sz w:val="13"/>
                <w:szCs w:val="13"/>
                <w:color w:val="auto"/>
              </w:rPr>
            </w:pPr>
          </w:p>
        </w:tc>
        <w:tc>
          <w:tcPr>
            <w:tcW w:w="260" w:type="dxa"/>
            <w:vAlign w:val="bottom"/>
            <w:gridSpan w:val="2"/>
            <w:shd w:val="clear" w:color="auto" w:fill="58854E"/>
          </w:tcPr>
          <w:p>
            <w:pPr>
              <w:jc w:val="right"/>
              <w:spacing w:after="0"/>
              <w:rPr>
                <w:sz w:val="20"/>
                <w:szCs w:val="20"/>
                <w:color w:val="auto"/>
              </w:rPr>
            </w:pPr>
            <w:r>
              <w:rPr>
                <w:rFonts w:ascii="Arial" w:cs="Arial" w:eastAsia="Arial" w:hAnsi="Arial"/>
                <w:sz w:val="12"/>
                <w:szCs w:val="12"/>
                <w:b w:val="1"/>
                <w:bCs w:val="1"/>
                <w:color w:val="FFFFFE"/>
              </w:rPr>
              <w:t>($)</w:t>
            </w:r>
          </w:p>
        </w:tc>
        <w:tc>
          <w:tcPr>
            <w:tcW w:w="160" w:type="dxa"/>
            <w:vAlign w:val="bottom"/>
            <w:tcBorders>
              <w:right w:val="single" w:sz="8" w:color="58854E"/>
            </w:tcBorders>
            <w:shd w:val="clear" w:color="auto" w:fill="58854E"/>
          </w:tcPr>
          <w:p>
            <w:pPr>
              <w:spacing w:after="0"/>
              <w:rPr>
                <w:sz w:val="13"/>
                <w:szCs w:val="13"/>
                <w:color w:val="auto"/>
              </w:rPr>
            </w:pPr>
          </w:p>
        </w:tc>
        <w:tc>
          <w:tcPr>
            <w:tcW w:w="100" w:type="dxa"/>
            <w:vAlign w:val="bottom"/>
            <w:shd w:val="clear" w:color="auto" w:fill="58854E"/>
          </w:tcPr>
          <w:p>
            <w:pPr>
              <w:spacing w:after="0"/>
              <w:rPr>
                <w:sz w:val="13"/>
                <w:szCs w:val="13"/>
                <w:color w:val="auto"/>
              </w:rPr>
            </w:pPr>
          </w:p>
        </w:tc>
        <w:tc>
          <w:tcPr>
            <w:tcW w:w="120" w:type="dxa"/>
            <w:vAlign w:val="bottom"/>
            <w:shd w:val="clear" w:color="auto" w:fill="58854E"/>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640" w:type="dxa"/>
            <w:vAlign w:val="bottom"/>
            <w:gridSpan w:val="3"/>
            <w:shd w:val="clear" w:color="auto" w:fill="58854E"/>
          </w:tcPr>
          <w:p>
            <w:pPr>
              <w:jc w:val="right"/>
              <w:ind w:right="212"/>
              <w:spacing w:after="0"/>
              <w:rPr>
                <w:sz w:val="20"/>
                <w:szCs w:val="20"/>
                <w:color w:val="auto"/>
              </w:rPr>
            </w:pPr>
            <w:r>
              <w:rPr>
                <w:rFonts w:ascii="Arial" w:cs="Arial" w:eastAsia="Arial" w:hAnsi="Arial"/>
                <w:sz w:val="12"/>
                <w:szCs w:val="12"/>
                <w:b w:val="1"/>
                <w:bCs w:val="1"/>
                <w:color w:val="FFFFFE"/>
              </w:rPr>
              <w:t>($)</w:t>
            </w:r>
          </w:p>
        </w:tc>
        <w:tc>
          <w:tcPr>
            <w:tcW w:w="260" w:type="dxa"/>
            <w:vAlign w:val="bottom"/>
            <w:tcBorders>
              <w:right w:val="single" w:sz="8" w:color="58854E"/>
            </w:tcBorders>
            <w:shd w:val="clear" w:color="auto" w:fill="58854E"/>
          </w:tcPr>
          <w:p>
            <w:pPr>
              <w:spacing w:after="0"/>
              <w:rPr>
                <w:sz w:val="13"/>
                <w:szCs w:val="13"/>
                <w:color w:val="auto"/>
              </w:rPr>
            </w:pPr>
          </w:p>
        </w:tc>
        <w:tc>
          <w:tcPr>
            <w:tcW w:w="500" w:type="dxa"/>
            <w:vAlign w:val="bottom"/>
            <w:tcBorders>
              <w:left w:val="single" w:sz="8" w:color="58854E"/>
            </w:tcBorders>
            <w:gridSpan w:val="2"/>
            <w:shd w:val="clear" w:color="auto" w:fill="58854E"/>
          </w:tcPr>
          <w:p>
            <w:pPr>
              <w:jc w:val="right"/>
              <w:ind w:right="193"/>
              <w:spacing w:after="0"/>
              <w:rPr>
                <w:sz w:val="20"/>
                <w:szCs w:val="20"/>
                <w:color w:val="auto"/>
              </w:rPr>
            </w:pPr>
            <w:r>
              <w:rPr>
                <w:rFonts w:ascii="Arial" w:cs="Arial" w:eastAsia="Arial" w:hAnsi="Arial"/>
                <w:sz w:val="12"/>
                <w:szCs w:val="12"/>
                <w:b w:val="1"/>
                <w:bCs w:val="1"/>
                <w:color w:val="FFFFFE"/>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shd w:val="clear" w:color="auto" w:fill="58854E"/>
          </w:tcPr>
          <w:p>
            <w:pPr>
              <w:spacing w:after="0"/>
              <w:rPr>
                <w:sz w:val="13"/>
                <w:szCs w:val="13"/>
                <w:color w:val="auto"/>
              </w:rPr>
            </w:pPr>
          </w:p>
        </w:tc>
        <w:tc>
          <w:tcPr>
            <w:tcW w:w="20" w:type="dxa"/>
            <w:vAlign w:val="bottom"/>
            <w:shd w:val="clear" w:color="auto" w:fill="58854E"/>
          </w:tcPr>
          <w:p>
            <w:pPr>
              <w:spacing w:after="0"/>
              <w:rPr>
                <w:sz w:val="13"/>
                <w:szCs w:val="13"/>
                <w:color w:val="auto"/>
              </w:rPr>
            </w:pPr>
          </w:p>
        </w:tc>
        <w:tc>
          <w:tcPr>
            <w:tcW w:w="120" w:type="dxa"/>
            <w:vAlign w:val="bottom"/>
            <w:shd w:val="clear" w:color="auto" w:fill="58854E"/>
          </w:tcPr>
          <w:p>
            <w:pPr>
              <w:spacing w:after="0"/>
              <w:rPr>
                <w:sz w:val="13"/>
                <w:szCs w:val="13"/>
                <w:color w:val="auto"/>
              </w:rPr>
            </w:pPr>
          </w:p>
        </w:tc>
        <w:tc>
          <w:tcPr>
            <w:tcW w:w="80" w:type="dxa"/>
            <w:vAlign w:val="bottom"/>
            <w:shd w:val="clear" w:color="auto" w:fill="58854E"/>
          </w:tcPr>
          <w:p>
            <w:pPr>
              <w:spacing w:after="0"/>
              <w:rPr>
                <w:sz w:val="13"/>
                <w:szCs w:val="13"/>
                <w:color w:val="auto"/>
              </w:rPr>
            </w:pPr>
          </w:p>
        </w:tc>
        <w:tc>
          <w:tcPr>
            <w:tcW w:w="660" w:type="dxa"/>
            <w:vAlign w:val="bottom"/>
            <w:tcBorders>
              <w:right w:val="single" w:sz="8" w:color="58854E"/>
            </w:tcBorders>
            <w:shd w:val="clear" w:color="auto" w:fill="58854E"/>
          </w:tcPr>
          <w:p>
            <w:pPr>
              <w:jc w:val="right"/>
              <w:ind w:right="413"/>
              <w:spacing w:after="0"/>
              <w:rPr>
                <w:sz w:val="20"/>
                <w:szCs w:val="20"/>
                <w:color w:val="auto"/>
              </w:rPr>
            </w:pPr>
            <w:r>
              <w:rPr>
                <w:rFonts w:ascii="Arial" w:cs="Arial" w:eastAsia="Arial" w:hAnsi="Arial"/>
                <w:sz w:val="12"/>
                <w:szCs w:val="12"/>
                <w:b w:val="1"/>
                <w:bCs w:val="1"/>
                <w:color w:val="FFFFFE"/>
              </w:rPr>
              <w:t>(#)</w:t>
            </w:r>
          </w:p>
        </w:tc>
        <w:tc>
          <w:tcPr>
            <w:tcW w:w="360" w:type="dxa"/>
            <w:vAlign w:val="bottom"/>
            <w:gridSpan w:val="2"/>
            <w:shd w:val="clear" w:color="auto" w:fill="58854E"/>
          </w:tcPr>
          <w:p>
            <w:pPr>
              <w:jc w:val="right"/>
              <w:ind w:right="20"/>
              <w:spacing w:after="0"/>
              <w:rPr>
                <w:sz w:val="20"/>
                <w:szCs w:val="20"/>
                <w:color w:val="auto"/>
              </w:rPr>
            </w:pPr>
            <w:r>
              <w:rPr>
                <w:rFonts w:ascii="Arial" w:cs="Arial" w:eastAsia="Arial" w:hAnsi="Arial"/>
                <w:sz w:val="12"/>
                <w:szCs w:val="12"/>
                <w:b w:val="1"/>
                <w:bCs w:val="1"/>
                <w:color w:val="FFFFFE"/>
              </w:rPr>
              <w:t>(#)</w:t>
            </w:r>
          </w:p>
        </w:tc>
        <w:tc>
          <w:tcPr>
            <w:tcW w:w="200" w:type="dxa"/>
            <w:vAlign w:val="bottom"/>
            <w:tcBorders>
              <w:right w:val="single" w:sz="8" w:color="58854E"/>
            </w:tcBorders>
            <w:shd w:val="clear" w:color="auto" w:fill="58854E"/>
          </w:tcPr>
          <w:p>
            <w:pPr>
              <w:spacing w:after="0"/>
              <w:rPr>
                <w:sz w:val="13"/>
                <w:szCs w:val="13"/>
                <w:color w:val="auto"/>
              </w:rPr>
            </w:pPr>
          </w:p>
        </w:tc>
        <w:tc>
          <w:tcPr>
            <w:tcW w:w="780" w:type="dxa"/>
            <w:vAlign w:val="bottom"/>
            <w:shd w:val="clear" w:color="auto" w:fill="58854E"/>
          </w:tcPr>
          <w:p>
            <w:pPr>
              <w:jc w:val="right"/>
              <w:ind w:right="195"/>
              <w:spacing w:after="0"/>
              <w:rPr>
                <w:sz w:val="20"/>
                <w:szCs w:val="20"/>
                <w:color w:val="auto"/>
              </w:rPr>
            </w:pPr>
            <w:r>
              <w:rPr>
                <w:rFonts w:ascii="Arial" w:cs="Arial" w:eastAsia="Arial" w:hAnsi="Arial"/>
                <w:sz w:val="12"/>
                <w:szCs w:val="12"/>
                <w:b w:val="1"/>
                <w:bCs w:val="1"/>
                <w:color w:val="FFFFFE"/>
              </w:rPr>
              <w:t>(#)</w:t>
            </w:r>
          </w:p>
        </w:tc>
        <w:tc>
          <w:tcPr>
            <w:tcW w:w="80" w:type="dxa"/>
            <w:vAlign w:val="bottom"/>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40" w:type="dxa"/>
            <w:vAlign w:val="bottom"/>
            <w:shd w:val="clear" w:color="auto" w:fill="58854E"/>
          </w:tcPr>
          <w:p>
            <w:pPr>
              <w:spacing w:after="0"/>
              <w:rPr>
                <w:sz w:val="13"/>
                <w:szCs w:val="13"/>
                <w:color w:val="auto"/>
              </w:rPr>
            </w:pPr>
          </w:p>
        </w:tc>
        <w:tc>
          <w:tcPr>
            <w:tcW w:w="180" w:type="dxa"/>
            <w:vAlign w:val="bottom"/>
            <w:tcBorders>
              <w:right w:val="single" w:sz="8" w:color="58854E"/>
            </w:tcBorders>
            <w:shd w:val="clear" w:color="auto" w:fill="58854E"/>
          </w:tcPr>
          <w:p>
            <w:pPr>
              <w:spacing w:after="0"/>
              <w:rPr>
                <w:sz w:val="13"/>
                <w:szCs w:val="13"/>
                <w:color w:val="auto"/>
              </w:rPr>
            </w:pPr>
          </w:p>
        </w:tc>
        <w:tc>
          <w:tcPr>
            <w:tcW w:w="840" w:type="dxa"/>
            <w:vAlign w:val="bottom"/>
            <w:gridSpan w:val="2"/>
            <w:shd w:val="clear" w:color="auto" w:fill="58854E"/>
          </w:tcPr>
          <w:p>
            <w:pPr>
              <w:jc w:val="center"/>
              <w:ind w:right="233"/>
              <w:spacing w:after="0"/>
              <w:rPr>
                <w:sz w:val="20"/>
                <w:szCs w:val="20"/>
                <w:color w:val="auto"/>
              </w:rPr>
            </w:pPr>
            <w:r>
              <w:rPr>
                <w:rFonts w:ascii="Arial" w:cs="Arial" w:eastAsia="Arial" w:hAnsi="Arial"/>
                <w:sz w:val="12"/>
                <w:szCs w:val="12"/>
                <w:b w:val="1"/>
                <w:bCs w:val="1"/>
                <w:color w:val="FFFFFE"/>
                <w:w w:val="95"/>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shd w:val="clear" w:color="auto" w:fill="58854E"/>
          </w:tcPr>
          <w:p>
            <w:pPr>
              <w:spacing w:after="0"/>
              <w:rPr>
                <w:sz w:val="13"/>
                <w:szCs w:val="13"/>
                <w:color w:val="auto"/>
              </w:rPr>
            </w:pPr>
          </w:p>
        </w:tc>
        <w:tc>
          <w:tcPr>
            <w:tcW w:w="20" w:type="dxa"/>
            <w:vAlign w:val="bottom"/>
            <w:shd w:val="clear" w:color="auto" w:fill="58854E"/>
          </w:tcPr>
          <w:p>
            <w:pPr>
              <w:spacing w:after="0"/>
              <w:rPr>
                <w:sz w:val="13"/>
                <w:szCs w:val="13"/>
                <w:color w:val="auto"/>
              </w:rPr>
            </w:pPr>
          </w:p>
        </w:tc>
        <w:tc>
          <w:tcPr>
            <w:tcW w:w="140" w:type="dxa"/>
            <w:vAlign w:val="bottom"/>
            <w:tcBorders>
              <w:right w:val="single" w:sz="8" w:color="58854E"/>
            </w:tcBorders>
            <w:shd w:val="clear" w:color="auto" w:fill="58854E"/>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500" w:type="dxa"/>
            <w:vAlign w:val="bottom"/>
            <w:gridSpan w:val="2"/>
            <w:shd w:val="clear" w:color="auto" w:fill="58854E"/>
          </w:tcPr>
          <w:p>
            <w:pPr>
              <w:jc w:val="center"/>
              <w:ind w:right="133"/>
              <w:spacing w:after="0" w:line="160" w:lineRule="exact"/>
              <w:rPr>
                <w:sz w:val="20"/>
                <w:szCs w:val="20"/>
                <w:color w:val="auto"/>
              </w:rPr>
            </w:pPr>
            <w:r>
              <w:rPr>
                <w:rFonts w:ascii="Arial" w:cs="Arial" w:eastAsia="Arial" w:hAnsi="Arial"/>
                <w:sz w:val="12"/>
                <w:szCs w:val="12"/>
                <w:b w:val="1"/>
                <w:bCs w:val="1"/>
                <w:color w:val="FFFFFE"/>
                <w:w w:val="84"/>
              </w:rPr>
              <w:t>($)</w:t>
            </w:r>
            <w:r>
              <w:rPr>
                <w:rFonts w:ascii="Arial" w:cs="Arial" w:eastAsia="Arial" w:hAnsi="Arial"/>
                <w:sz w:val="18"/>
                <w:szCs w:val="18"/>
                <w:b w:val="1"/>
                <w:bCs w:val="1"/>
                <w:color w:val="FFFFFE"/>
                <w:w w:val="84"/>
                <w:vertAlign w:val="superscript"/>
              </w:rPr>
              <w:t>4</w:t>
            </w:r>
          </w:p>
        </w:tc>
        <w:tc>
          <w:tcPr>
            <w:tcW w:w="10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60" w:type="dxa"/>
            <w:vAlign w:val="bottom"/>
            <w:gridSpan w:val="3"/>
          </w:tcPr>
          <w:p>
            <w:pPr>
              <w:ind w:left="60"/>
              <w:spacing w:after="0"/>
              <w:rPr>
                <w:sz w:val="20"/>
                <w:szCs w:val="20"/>
                <w:color w:val="auto"/>
              </w:rPr>
            </w:pPr>
            <w:r>
              <w:rPr>
                <w:rFonts w:ascii="Arial" w:cs="Arial" w:eastAsia="Arial" w:hAnsi="Arial"/>
                <w:sz w:val="15"/>
                <w:szCs w:val="15"/>
                <w:b w:val="1"/>
                <w:bCs w:val="1"/>
                <w:color w:val="auto"/>
              </w:rPr>
              <w:t>Christopher S. Sotos</w:t>
            </w:r>
          </w:p>
        </w:tc>
        <w:tc>
          <w:tcPr>
            <w:tcW w:w="80" w:type="dxa"/>
            <w:vAlign w:val="bottom"/>
          </w:tcPr>
          <w:p>
            <w:pPr>
              <w:spacing w:after="0"/>
              <w:rPr>
                <w:sz w:val="16"/>
                <w:szCs w:val="16"/>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5"/>
                <w:szCs w:val="15"/>
                <w:color w:val="auto"/>
                <w:w w:val="99"/>
              </w:rPr>
              <w:t>AIP</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6"/>
                <w:szCs w:val="16"/>
                <w:color w:val="auto"/>
              </w:rPr>
            </w:pP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640" w:type="dxa"/>
            <w:vAlign w:val="bottom"/>
            <w:gridSpan w:val="5"/>
          </w:tcPr>
          <w:p>
            <w:pPr>
              <w:jc w:val="right"/>
              <w:ind w:right="20"/>
              <w:spacing w:after="0"/>
              <w:rPr>
                <w:sz w:val="20"/>
                <w:szCs w:val="20"/>
                <w:color w:val="auto"/>
              </w:rPr>
            </w:pPr>
            <w:r>
              <w:rPr>
                <w:rFonts w:ascii="Arial" w:cs="Arial" w:eastAsia="Arial" w:hAnsi="Arial"/>
                <w:sz w:val="15"/>
                <w:szCs w:val="15"/>
                <w:color w:val="auto"/>
              </w:rPr>
              <w:t>250,000</w:t>
            </w:r>
          </w:p>
        </w:tc>
        <w:tc>
          <w:tcPr>
            <w:tcW w:w="780" w:type="dxa"/>
            <w:vAlign w:val="bottom"/>
            <w:gridSpan w:val="4"/>
          </w:tcPr>
          <w:p>
            <w:pPr>
              <w:jc w:val="right"/>
              <w:ind w:right="12"/>
              <w:spacing w:after="0"/>
              <w:rPr>
                <w:sz w:val="20"/>
                <w:szCs w:val="20"/>
                <w:color w:val="auto"/>
              </w:rPr>
            </w:pPr>
            <w:r>
              <w:rPr>
                <w:rFonts w:ascii="Arial" w:cs="Arial" w:eastAsia="Arial" w:hAnsi="Arial"/>
                <w:sz w:val="15"/>
                <w:szCs w:val="15"/>
                <w:color w:val="auto"/>
              </w:rPr>
              <w:t>$ 500,000</w:t>
            </w:r>
          </w:p>
        </w:tc>
        <w:tc>
          <w:tcPr>
            <w:tcW w:w="780" w:type="dxa"/>
            <w:vAlign w:val="bottom"/>
            <w:gridSpan w:val="4"/>
          </w:tcPr>
          <w:p>
            <w:pPr>
              <w:jc w:val="right"/>
              <w:ind w:right="20"/>
              <w:spacing w:after="0"/>
              <w:rPr>
                <w:sz w:val="20"/>
                <w:szCs w:val="20"/>
                <w:color w:val="auto"/>
              </w:rPr>
            </w:pPr>
            <w:r>
              <w:rPr>
                <w:rFonts w:ascii="Arial" w:cs="Arial" w:eastAsia="Arial" w:hAnsi="Arial"/>
                <w:sz w:val="15"/>
                <w:szCs w:val="15"/>
                <w:color w:val="auto"/>
                <w:w w:val="93"/>
              </w:rPr>
              <w:t>$ 1,000,000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5"/>
                <w:szCs w:val="15"/>
                <w:color w:val="auto"/>
                <w:w w:val="95"/>
              </w:rPr>
              <w:t>RPSU</w:t>
            </w:r>
          </w:p>
        </w:tc>
        <w:tc>
          <w:tcPr>
            <w:tcW w:w="860" w:type="dxa"/>
            <w:vAlign w:val="bottom"/>
            <w:gridSpan w:val="4"/>
          </w:tcPr>
          <w:p>
            <w:pPr>
              <w:jc w:val="right"/>
              <w:ind w:right="100"/>
              <w:spacing w:after="0"/>
              <w:rPr>
                <w:sz w:val="20"/>
                <w:szCs w:val="20"/>
                <w:color w:val="auto"/>
              </w:rPr>
            </w:pPr>
            <w:r>
              <w:rPr>
                <w:rFonts w:ascii="Arial" w:cs="Arial" w:eastAsia="Arial" w:hAnsi="Arial"/>
                <w:sz w:val="15"/>
                <w:szCs w:val="15"/>
                <w:color w:val="auto"/>
              </w:rPr>
              <w:t>1/3/2017</w:t>
            </w:r>
          </w:p>
        </w:tc>
        <w:tc>
          <w:tcPr>
            <w:tcW w:w="780" w:type="dxa"/>
            <w:vAlign w:val="bottom"/>
            <w:gridSpan w:val="5"/>
          </w:tcPr>
          <w:p>
            <w:pPr>
              <w:jc w:val="center"/>
              <w:ind w:right="20"/>
              <w:spacing w:after="0"/>
              <w:rPr>
                <w:sz w:val="20"/>
                <w:szCs w:val="20"/>
                <w:color w:val="auto"/>
              </w:rPr>
            </w:pPr>
            <w:r>
              <w:rPr>
                <w:rFonts w:ascii="Arial" w:cs="Arial" w:eastAsia="Arial" w:hAnsi="Arial"/>
                <w:sz w:val="15"/>
                <w:szCs w:val="15"/>
                <w:color w:val="auto"/>
              </w:rPr>
              <w:t>12/16/2016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5"/>
                <w:szCs w:val="15"/>
                <w:color w:val="auto"/>
              </w:rPr>
              <w:t>9,844</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39,375</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78,750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5"/>
                <w:szCs w:val="15"/>
                <w:color w:val="auto"/>
              </w:rPr>
              <w:t>—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5"/>
              </w:rPr>
              <w:t>837,506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58854E"/>
            </w:tcBorders>
          </w:tcPr>
          <w:p>
            <w:pPr>
              <w:spacing w:after="0"/>
              <w:rPr>
                <w:sz w:val="15"/>
                <w:szCs w:val="15"/>
                <w:color w:val="auto"/>
              </w:rPr>
            </w:pPr>
          </w:p>
        </w:tc>
        <w:tc>
          <w:tcPr>
            <w:tcW w:w="240" w:type="dxa"/>
            <w:vAlign w:val="bottom"/>
            <w:tcBorders>
              <w:bottom w:val="single" w:sz="8" w:color="58854E"/>
            </w:tcBorders>
          </w:tcPr>
          <w:p>
            <w:pPr>
              <w:spacing w:after="0"/>
              <w:rPr>
                <w:sz w:val="15"/>
                <w:szCs w:val="15"/>
                <w:color w:val="auto"/>
              </w:rPr>
            </w:pPr>
          </w:p>
        </w:tc>
        <w:tc>
          <w:tcPr>
            <w:tcW w:w="130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500" w:type="dxa"/>
            <w:vAlign w:val="bottom"/>
            <w:tcBorders>
              <w:bottom w:val="single" w:sz="8" w:color="58854E"/>
            </w:tcBorders>
            <w:gridSpan w:val="2"/>
          </w:tcPr>
          <w:p>
            <w:pPr>
              <w:jc w:val="center"/>
              <w:ind w:right="20"/>
              <w:spacing w:after="0"/>
              <w:rPr>
                <w:sz w:val="20"/>
                <w:szCs w:val="20"/>
                <w:color w:val="auto"/>
              </w:rPr>
            </w:pPr>
            <w:r>
              <w:rPr>
                <w:rFonts w:ascii="Arial" w:cs="Arial" w:eastAsia="Arial" w:hAnsi="Arial"/>
                <w:sz w:val="15"/>
                <w:szCs w:val="15"/>
                <w:color w:val="auto"/>
              </w:rPr>
              <w:t>RSU</w:t>
            </w:r>
          </w:p>
        </w:tc>
        <w:tc>
          <w:tcPr>
            <w:tcW w:w="860" w:type="dxa"/>
            <w:vAlign w:val="bottom"/>
            <w:tcBorders>
              <w:bottom w:val="single" w:sz="8" w:color="58854E"/>
            </w:tcBorders>
            <w:gridSpan w:val="4"/>
          </w:tcPr>
          <w:p>
            <w:pPr>
              <w:jc w:val="right"/>
              <w:ind w:right="100"/>
              <w:spacing w:after="0"/>
              <w:rPr>
                <w:sz w:val="20"/>
                <w:szCs w:val="20"/>
                <w:color w:val="auto"/>
              </w:rPr>
            </w:pPr>
            <w:r>
              <w:rPr>
                <w:rFonts w:ascii="Arial" w:cs="Arial" w:eastAsia="Arial" w:hAnsi="Arial"/>
                <w:sz w:val="15"/>
                <w:szCs w:val="15"/>
                <w:color w:val="auto"/>
              </w:rPr>
              <w:t>1/3/2017</w:t>
            </w:r>
          </w:p>
        </w:tc>
        <w:tc>
          <w:tcPr>
            <w:tcW w:w="780" w:type="dxa"/>
            <w:vAlign w:val="bottom"/>
            <w:tcBorders>
              <w:bottom w:val="single" w:sz="8" w:color="58854E"/>
            </w:tcBorders>
            <w:gridSpan w:val="5"/>
          </w:tcPr>
          <w:p>
            <w:pPr>
              <w:jc w:val="center"/>
              <w:ind w:right="20"/>
              <w:spacing w:after="0"/>
              <w:rPr>
                <w:sz w:val="20"/>
                <w:szCs w:val="20"/>
                <w:color w:val="auto"/>
              </w:rPr>
            </w:pPr>
            <w:r>
              <w:rPr>
                <w:rFonts w:ascii="Arial" w:cs="Arial" w:eastAsia="Arial" w:hAnsi="Arial"/>
                <w:sz w:val="15"/>
                <w:szCs w:val="15"/>
                <w:color w:val="auto"/>
              </w:rPr>
              <w:t>12/16/2016</w:t>
            </w:r>
          </w:p>
        </w:tc>
        <w:tc>
          <w:tcPr>
            <w:tcW w:w="8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280" w:type="dxa"/>
            <w:vAlign w:val="bottom"/>
            <w:tcBorders>
              <w:bottom w:val="single" w:sz="8" w:color="58854E"/>
            </w:tcBorders>
          </w:tcPr>
          <w:p>
            <w:pPr>
              <w:spacing w:after="0"/>
              <w:rPr>
                <w:sz w:val="15"/>
                <w:szCs w:val="15"/>
                <w:color w:val="auto"/>
              </w:rPr>
            </w:pPr>
          </w:p>
        </w:tc>
        <w:tc>
          <w:tcPr>
            <w:tcW w:w="12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160" w:type="dxa"/>
            <w:vAlign w:val="bottom"/>
            <w:tcBorders>
              <w:bottom w:val="single" w:sz="8" w:color="58854E"/>
            </w:tcBorders>
          </w:tcPr>
          <w:p>
            <w:pPr>
              <w:spacing w:after="0"/>
              <w:rPr>
                <w:sz w:val="15"/>
                <w:szCs w:val="15"/>
                <w:color w:val="auto"/>
              </w:rPr>
            </w:pPr>
          </w:p>
        </w:tc>
        <w:tc>
          <w:tcPr>
            <w:tcW w:w="220" w:type="dxa"/>
            <w:vAlign w:val="bottom"/>
            <w:tcBorders>
              <w:bottom w:val="single" w:sz="8" w:color="58854E"/>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100" w:type="dxa"/>
            <w:vAlign w:val="bottom"/>
            <w:tcBorders>
              <w:bottom w:val="single" w:sz="8" w:color="58854E"/>
            </w:tcBorders>
          </w:tcPr>
          <w:p>
            <w:pPr>
              <w:spacing w:after="0"/>
              <w:rPr>
                <w:sz w:val="15"/>
                <w:szCs w:val="15"/>
                <w:color w:val="auto"/>
              </w:rPr>
            </w:pPr>
          </w:p>
        </w:tc>
        <w:tc>
          <w:tcPr>
            <w:tcW w:w="400" w:type="dxa"/>
            <w:vAlign w:val="bottom"/>
            <w:tcBorders>
              <w:bottom w:val="single" w:sz="8" w:color="58854E"/>
            </w:tcBorders>
          </w:tcPr>
          <w:p>
            <w:pPr>
              <w:jc w:val="right"/>
              <w:ind w:right="12"/>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380" w:type="dxa"/>
            <w:vAlign w:val="bottom"/>
            <w:tcBorders>
              <w:bottom w:val="single" w:sz="8" w:color="58854E"/>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58854E"/>
            </w:tcBorders>
          </w:tcPr>
          <w:p>
            <w:pPr>
              <w:spacing w:after="0"/>
              <w:rPr>
                <w:sz w:val="15"/>
                <w:szCs w:val="15"/>
                <w:color w:val="auto"/>
              </w:rPr>
            </w:pPr>
          </w:p>
        </w:tc>
        <w:tc>
          <w:tcPr>
            <w:tcW w:w="180" w:type="dxa"/>
            <w:vAlign w:val="bottom"/>
            <w:tcBorders>
              <w:bottom w:val="single" w:sz="8" w:color="58854E"/>
            </w:tcBorders>
          </w:tcPr>
          <w:p>
            <w:pPr>
              <w:spacing w:after="0"/>
              <w:rPr>
                <w:sz w:val="15"/>
                <w:szCs w:val="15"/>
                <w:color w:val="auto"/>
              </w:rPr>
            </w:pPr>
          </w:p>
        </w:tc>
        <w:tc>
          <w:tcPr>
            <w:tcW w:w="20" w:type="dxa"/>
            <w:vAlign w:val="bottom"/>
            <w:tcBorders>
              <w:bottom w:val="single" w:sz="8" w:color="58854E"/>
            </w:tcBorders>
          </w:tcPr>
          <w:p>
            <w:pPr>
              <w:spacing w:after="0"/>
              <w:rPr>
                <w:sz w:val="15"/>
                <w:szCs w:val="15"/>
                <w:color w:val="auto"/>
              </w:rPr>
            </w:pPr>
          </w:p>
        </w:tc>
        <w:tc>
          <w:tcPr>
            <w:tcW w:w="12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660" w:type="dxa"/>
            <w:vAlign w:val="bottom"/>
            <w:tcBorders>
              <w:bottom w:val="single" w:sz="8" w:color="58854E"/>
            </w:tcBorders>
          </w:tcPr>
          <w:p>
            <w:pPr>
              <w:jc w:val="right"/>
              <w:ind w:right="7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58854E"/>
            </w:tcBorders>
          </w:tcPr>
          <w:p>
            <w:pPr>
              <w:spacing w:after="0"/>
              <w:rPr>
                <w:sz w:val="15"/>
                <w:szCs w:val="15"/>
                <w:color w:val="auto"/>
              </w:rPr>
            </w:pPr>
          </w:p>
        </w:tc>
        <w:tc>
          <w:tcPr>
            <w:tcW w:w="240" w:type="dxa"/>
            <w:vAlign w:val="bottom"/>
            <w:tcBorders>
              <w:bottom w:val="single" w:sz="8" w:color="58854E"/>
            </w:tcBorders>
          </w:tcPr>
          <w:p>
            <w:pPr>
              <w:spacing w:after="0"/>
              <w:rPr>
                <w:sz w:val="15"/>
                <w:szCs w:val="15"/>
                <w:color w:val="auto"/>
              </w:rPr>
            </w:pPr>
          </w:p>
        </w:tc>
        <w:tc>
          <w:tcPr>
            <w:tcW w:w="200" w:type="dxa"/>
            <w:vAlign w:val="bottom"/>
            <w:tcBorders>
              <w:bottom w:val="single" w:sz="8" w:color="58854E"/>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58854E"/>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58854E"/>
            </w:tcBorders>
          </w:tcPr>
          <w:p>
            <w:pPr>
              <w:spacing w:after="0"/>
              <w:rPr>
                <w:sz w:val="15"/>
                <w:szCs w:val="15"/>
                <w:color w:val="auto"/>
              </w:rPr>
            </w:pPr>
          </w:p>
        </w:tc>
        <w:tc>
          <w:tcPr>
            <w:tcW w:w="40" w:type="dxa"/>
            <w:vAlign w:val="bottom"/>
            <w:tcBorders>
              <w:bottom w:val="single" w:sz="8" w:color="58854E"/>
            </w:tcBorders>
          </w:tcPr>
          <w:p>
            <w:pPr>
              <w:spacing w:after="0"/>
              <w:rPr>
                <w:sz w:val="15"/>
                <w:szCs w:val="15"/>
                <w:color w:val="auto"/>
              </w:rPr>
            </w:pPr>
          </w:p>
        </w:tc>
        <w:tc>
          <w:tcPr>
            <w:tcW w:w="180" w:type="dxa"/>
            <w:vAlign w:val="bottom"/>
            <w:tcBorders>
              <w:bottom w:val="single" w:sz="8" w:color="58854E"/>
            </w:tcBorders>
          </w:tcPr>
          <w:p>
            <w:pPr>
              <w:spacing w:after="0"/>
              <w:rPr>
                <w:sz w:val="15"/>
                <w:szCs w:val="15"/>
                <w:color w:val="auto"/>
              </w:rPr>
            </w:pPr>
          </w:p>
        </w:tc>
        <w:tc>
          <w:tcPr>
            <w:tcW w:w="860" w:type="dxa"/>
            <w:vAlign w:val="bottom"/>
            <w:tcBorders>
              <w:bottom w:val="single" w:sz="8" w:color="58854E"/>
            </w:tcBorders>
            <w:gridSpan w:val="3"/>
          </w:tcPr>
          <w:p>
            <w:pPr>
              <w:jc w:val="right"/>
              <w:ind w:right="20"/>
              <w:spacing w:after="0"/>
              <w:rPr>
                <w:sz w:val="20"/>
                <w:szCs w:val="20"/>
                <w:color w:val="auto"/>
              </w:rPr>
            </w:pPr>
            <w:r>
              <w:rPr>
                <w:rFonts w:ascii="Arial" w:cs="Arial" w:eastAsia="Arial" w:hAnsi="Arial"/>
                <w:sz w:val="15"/>
                <w:szCs w:val="15"/>
                <w:color w:val="auto"/>
              </w:rPr>
              <w:t>26,274</w:t>
            </w:r>
          </w:p>
        </w:tc>
        <w:tc>
          <w:tcPr>
            <w:tcW w:w="140" w:type="dxa"/>
            <w:vAlign w:val="bottom"/>
            <w:tcBorders>
              <w:bottom w:val="single" w:sz="8" w:color="58854E"/>
            </w:tcBorders>
            <w:gridSpan w:val="2"/>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60" w:type="dxa"/>
            <w:vAlign w:val="bottom"/>
            <w:tcBorders>
              <w:bottom w:val="single" w:sz="8" w:color="58854E"/>
            </w:tcBorders>
          </w:tcPr>
          <w:p>
            <w:pPr>
              <w:spacing w:after="0"/>
              <w:rPr>
                <w:sz w:val="15"/>
                <w:szCs w:val="15"/>
                <w:color w:val="auto"/>
              </w:rPr>
            </w:pPr>
          </w:p>
        </w:tc>
        <w:tc>
          <w:tcPr>
            <w:tcW w:w="540" w:type="dxa"/>
            <w:vAlign w:val="bottom"/>
            <w:tcBorders>
              <w:bottom w:val="single" w:sz="8" w:color="58854E"/>
            </w:tcBorders>
            <w:gridSpan w:val="2"/>
          </w:tcPr>
          <w:p>
            <w:pPr>
              <w:jc w:val="right"/>
              <w:spacing w:after="0"/>
              <w:rPr>
                <w:sz w:val="20"/>
                <w:szCs w:val="20"/>
                <w:color w:val="auto"/>
              </w:rPr>
            </w:pPr>
            <w:r>
              <w:rPr>
                <w:rFonts w:ascii="Arial" w:cs="Arial" w:eastAsia="Arial" w:hAnsi="Arial"/>
                <w:sz w:val="15"/>
                <w:szCs w:val="15"/>
                <w:color w:val="auto"/>
                <w:w w:val="95"/>
              </w:rPr>
              <w:t>412,502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gridSpan w:val="3"/>
          </w:tcPr>
          <w:p>
            <w:pPr>
              <w:ind w:left="60"/>
              <w:spacing w:after="0"/>
              <w:rPr>
                <w:sz w:val="20"/>
                <w:szCs w:val="20"/>
                <w:color w:val="auto"/>
              </w:rPr>
            </w:pPr>
            <w:r>
              <w:rPr>
                <w:rFonts w:ascii="Arial" w:cs="Arial" w:eastAsia="Arial" w:hAnsi="Arial"/>
                <w:sz w:val="15"/>
                <w:szCs w:val="15"/>
                <w:b w:val="1"/>
                <w:bCs w:val="1"/>
                <w:color w:val="auto"/>
              </w:rPr>
              <w:t>Chad Plotkin</w:t>
            </w:r>
          </w:p>
        </w:tc>
        <w:tc>
          <w:tcPr>
            <w:tcW w:w="80" w:type="dxa"/>
            <w:vAlign w:val="bottom"/>
          </w:tcPr>
          <w:p>
            <w:pPr>
              <w:spacing w:after="0"/>
              <w:rPr>
                <w:sz w:val="15"/>
                <w:szCs w:val="15"/>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5"/>
                <w:szCs w:val="15"/>
                <w:color w:val="auto"/>
                <w:w w:val="99"/>
              </w:rPr>
              <w:t>AIP</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5"/>
                <w:szCs w:val="15"/>
                <w:color w:val="auto"/>
              </w:rPr>
            </w:pP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640" w:type="dxa"/>
            <w:vAlign w:val="bottom"/>
            <w:gridSpan w:val="5"/>
          </w:tcPr>
          <w:p>
            <w:pPr>
              <w:jc w:val="right"/>
              <w:ind w:right="20"/>
              <w:spacing w:after="0"/>
              <w:rPr>
                <w:sz w:val="20"/>
                <w:szCs w:val="20"/>
                <w:color w:val="auto"/>
              </w:rPr>
            </w:pPr>
            <w:r>
              <w:rPr>
                <w:rFonts w:ascii="Arial" w:cs="Arial" w:eastAsia="Arial" w:hAnsi="Arial"/>
                <w:sz w:val="15"/>
                <w:szCs w:val="15"/>
                <w:color w:val="auto"/>
              </w:rPr>
              <w:t>87,500</w:t>
            </w:r>
          </w:p>
        </w:tc>
        <w:tc>
          <w:tcPr>
            <w:tcW w:w="780" w:type="dxa"/>
            <w:vAlign w:val="bottom"/>
            <w:gridSpan w:val="4"/>
          </w:tcPr>
          <w:p>
            <w:pPr>
              <w:jc w:val="right"/>
              <w:ind w:right="12"/>
              <w:spacing w:after="0"/>
              <w:rPr>
                <w:sz w:val="20"/>
                <w:szCs w:val="20"/>
                <w:color w:val="auto"/>
              </w:rPr>
            </w:pPr>
            <w:r>
              <w:rPr>
                <w:rFonts w:ascii="Arial" w:cs="Arial" w:eastAsia="Arial" w:hAnsi="Arial"/>
                <w:sz w:val="15"/>
                <w:szCs w:val="15"/>
                <w:color w:val="auto"/>
              </w:rPr>
              <w:t>$ 175,000</w:t>
            </w:r>
          </w:p>
        </w:tc>
        <w:tc>
          <w:tcPr>
            <w:tcW w:w="260" w:type="dxa"/>
            <w:vAlign w:val="bottom"/>
          </w:tcPr>
          <w:p>
            <w:pPr>
              <w:jc w:val="right"/>
              <w:ind w:right="115"/>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w w:val="88"/>
              </w:rPr>
              <w:t>350,000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5"/>
                <w:szCs w:val="15"/>
                <w:color w:val="auto"/>
                <w:w w:val="95"/>
              </w:rPr>
              <w:t>RPSU</w:t>
            </w:r>
          </w:p>
        </w:tc>
        <w:tc>
          <w:tcPr>
            <w:tcW w:w="860" w:type="dxa"/>
            <w:vAlign w:val="bottom"/>
            <w:gridSpan w:val="4"/>
          </w:tcPr>
          <w:p>
            <w:pPr>
              <w:jc w:val="right"/>
              <w:ind w:right="100"/>
              <w:spacing w:after="0"/>
              <w:rPr>
                <w:sz w:val="20"/>
                <w:szCs w:val="20"/>
                <w:color w:val="auto"/>
              </w:rPr>
            </w:pPr>
            <w:r>
              <w:rPr>
                <w:rFonts w:ascii="Arial" w:cs="Arial" w:eastAsia="Arial" w:hAnsi="Arial"/>
                <w:sz w:val="15"/>
                <w:szCs w:val="15"/>
                <w:color w:val="auto"/>
              </w:rPr>
              <w:t>1/3/2017</w:t>
            </w:r>
          </w:p>
        </w:tc>
        <w:tc>
          <w:tcPr>
            <w:tcW w:w="780" w:type="dxa"/>
            <w:vAlign w:val="bottom"/>
            <w:gridSpan w:val="5"/>
          </w:tcPr>
          <w:p>
            <w:pPr>
              <w:jc w:val="center"/>
              <w:ind w:right="20"/>
              <w:spacing w:after="0"/>
              <w:rPr>
                <w:sz w:val="20"/>
                <w:szCs w:val="20"/>
                <w:color w:val="auto"/>
              </w:rPr>
            </w:pPr>
            <w:r>
              <w:rPr>
                <w:rFonts w:ascii="Arial" w:cs="Arial" w:eastAsia="Arial" w:hAnsi="Arial"/>
                <w:sz w:val="15"/>
                <w:szCs w:val="15"/>
                <w:color w:val="auto"/>
              </w:rPr>
              <w:t>12/16/2016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Arial" w:cs="Arial" w:eastAsia="Arial" w:hAnsi="Arial"/>
                <w:sz w:val="15"/>
                <w:szCs w:val="15"/>
                <w:color w:val="auto"/>
              </w:rPr>
              <w:t>2,756</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11,025</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22,050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5"/>
                <w:szCs w:val="15"/>
                <w:color w:val="auto"/>
              </w:rPr>
              <w:t>—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5"/>
              </w:rPr>
              <w:t>234,502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58854E"/>
            </w:tcBorders>
          </w:tcPr>
          <w:p>
            <w:pPr>
              <w:spacing w:after="0"/>
              <w:rPr>
                <w:sz w:val="15"/>
                <w:szCs w:val="15"/>
                <w:color w:val="auto"/>
              </w:rPr>
            </w:pPr>
          </w:p>
        </w:tc>
        <w:tc>
          <w:tcPr>
            <w:tcW w:w="240" w:type="dxa"/>
            <w:vAlign w:val="bottom"/>
            <w:tcBorders>
              <w:bottom w:val="single" w:sz="8" w:color="58854E"/>
            </w:tcBorders>
          </w:tcPr>
          <w:p>
            <w:pPr>
              <w:spacing w:after="0"/>
              <w:rPr>
                <w:sz w:val="15"/>
                <w:szCs w:val="15"/>
                <w:color w:val="auto"/>
              </w:rPr>
            </w:pPr>
          </w:p>
        </w:tc>
        <w:tc>
          <w:tcPr>
            <w:tcW w:w="130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500" w:type="dxa"/>
            <w:vAlign w:val="bottom"/>
            <w:tcBorders>
              <w:bottom w:val="single" w:sz="8" w:color="58854E"/>
            </w:tcBorders>
            <w:gridSpan w:val="2"/>
          </w:tcPr>
          <w:p>
            <w:pPr>
              <w:jc w:val="center"/>
              <w:ind w:right="20"/>
              <w:spacing w:after="0"/>
              <w:rPr>
                <w:sz w:val="20"/>
                <w:szCs w:val="20"/>
                <w:color w:val="auto"/>
              </w:rPr>
            </w:pPr>
            <w:r>
              <w:rPr>
                <w:rFonts w:ascii="Arial" w:cs="Arial" w:eastAsia="Arial" w:hAnsi="Arial"/>
                <w:sz w:val="15"/>
                <w:szCs w:val="15"/>
                <w:color w:val="auto"/>
              </w:rPr>
              <w:t>RSU</w:t>
            </w:r>
          </w:p>
        </w:tc>
        <w:tc>
          <w:tcPr>
            <w:tcW w:w="860" w:type="dxa"/>
            <w:vAlign w:val="bottom"/>
            <w:tcBorders>
              <w:bottom w:val="single" w:sz="8" w:color="58854E"/>
            </w:tcBorders>
            <w:gridSpan w:val="4"/>
          </w:tcPr>
          <w:p>
            <w:pPr>
              <w:jc w:val="right"/>
              <w:ind w:right="100"/>
              <w:spacing w:after="0"/>
              <w:rPr>
                <w:sz w:val="20"/>
                <w:szCs w:val="20"/>
                <w:color w:val="auto"/>
              </w:rPr>
            </w:pPr>
            <w:r>
              <w:rPr>
                <w:rFonts w:ascii="Arial" w:cs="Arial" w:eastAsia="Arial" w:hAnsi="Arial"/>
                <w:sz w:val="15"/>
                <w:szCs w:val="15"/>
                <w:color w:val="auto"/>
              </w:rPr>
              <w:t>1/3/2017</w:t>
            </w:r>
          </w:p>
        </w:tc>
        <w:tc>
          <w:tcPr>
            <w:tcW w:w="780" w:type="dxa"/>
            <w:vAlign w:val="bottom"/>
            <w:tcBorders>
              <w:bottom w:val="single" w:sz="8" w:color="58854E"/>
            </w:tcBorders>
            <w:gridSpan w:val="5"/>
          </w:tcPr>
          <w:p>
            <w:pPr>
              <w:jc w:val="center"/>
              <w:ind w:right="20"/>
              <w:spacing w:after="0"/>
              <w:rPr>
                <w:sz w:val="20"/>
                <w:szCs w:val="20"/>
                <w:color w:val="auto"/>
              </w:rPr>
            </w:pPr>
            <w:r>
              <w:rPr>
                <w:rFonts w:ascii="Arial" w:cs="Arial" w:eastAsia="Arial" w:hAnsi="Arial"/>
                <w:sz w:val="15"/>
                <w:szCs w:val="15"/>
                <w:color w:val="auto"/>
              </w:rPr>
              <w:t>12/16/2016</w:t>
            </w:r>
          </w:p>
        </w:tc>
        <w:tc>
          <w:tcPr>
            <w:tcW w:w="8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280" w:type="dxa"/>
            <w:vAlign w:val="bottom"/>
            <w:tcBorders>
              <w:bottom w:val="single" w:sz="8" w:color="58854E"/>
            </w:tcBorders>
          </w:tcPr>
          <w:p>
            <w:pPr>
              <w:spacing w:after="0"/>
              <w:rPr>
                <w:sz w:val="15"/>
                <w:szCs w:val="15"/>
                <w:color w:val="auto"/>
              </w:rPr>
            </w:pPr>
          </w:p>
        </w:tc>
        <w:tc>
          <w:tcPr>
            <w:tcW w:w="12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160" w:type="dxa"/>
            <w:vAlign w:val="bottom"/>
            <w:tcBorders>
              <w:bottom w:val="single" w:sz="8" w:color="58854E"/>
            </w:tcBorders>
          </w:tcPr>
          <w:p>
            <w:pPr>
              <w:spacing w:after="0"/>
              <w:rPr>
                <w:sz w:val="15"/>
                <w:szCs w:val="15"/>
                <w:color w:val="auto"/>
              </w:rPr>
            </w:pPr>
          </w:p>
        </w:tc>
        <w:tc>
          <w:tcPr>
            <w:tcW w:w="220" w:type="dxa"/>
            <w:vAlign w:val="bottom"/>
            <w:tcBorders>
              <w:bottom w:val="single" w:sz="8" w:color="58854E"/>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100" w:type="dxa"/>
            <w:vAlign w:val="bottom"/>
            <w:tcBorders>
              <w:bottom w:val="single" w:sz="8" w:color="58854E"/>
            </w:tcBorders>
          </w:tcPr>
          <w:p>
            <w:pPr>
              <w:spacing w:after="0"/>
              <w:rPr>
                <w:sz w:val="15"/>
                <w:szCs w:val="15"/>
                <w:color w:val="auto"/>
              </w:rPr>
            </w:pPr>
          </w:p>
        </w:tc>
        <w:tc>
          <w:tcPr>
            <w:tcW w:w="400" w:type="dxa"/>
            <w:vAlign w:val="bottom"/>
            <w:tcBorders>
              <w:bottom w:val="single" w:sz="8" w:color="58854E"/>
            </w:tcBorders>
          </w:tcPr>
          <w:p>
            <w:pPr>
              <w:jc w:val="right"/>
              <w:ind w:right="12"/>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380" w:type="dxa"/>
            <w:vAlign w:val="bottom"/>
            <w:tcBorders>
              <w:bottom w:val="single" w:sz="8" w:color="58854E"/>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58854E"/>
            </w:tcBorders>
          </w:tcPr>
          <w:p>
            <w:pPr>
              <w:spacing w:after="0"/>
              <w:rPr>
                <w:sz w:val="15"/>
                <w:szCs w:val="15"/>
                <w:color w:val="auto"/>
              </w:rPr>
            </w:pPr>
          </w:p>
        </w:tc>
        <w:tc>
          <w:tcPr>
            <w:tcW w:w="180" w:type="dxa"/>
            <w:vAlign w:val="bottom"/>
            <w:tcBorders>
              <w:bottom w:val="single" w:sz="8" w:color="58854E"/>
            </w:tcBorders>
          </w:tcPr>
          <w:p>
            <w:pPr>
              <w:spacing w:after="0"/>
              <w:rPr>
                <w:sz w:val="15"/>
                <w:szCs w:val="15"/>
                <w:color w:val="auto"/>
              </w:rPr>
            </w:pPr>
          </w:p>
        </w:tc>
        <w:tc>
          <w:tcPr>
            <w:tcW w:w="20" w:type="dxa"/>
            <w:vAlign w:val="bottom"/>
            <w:tcBorders>
              <w:bottom w:val="single" w:sz="8" w:color="58854E"/>
            </w:tcBorders>
          </w:tcPr>
          <w:p>
            <w:pPr>
              <w:spacing w:after="0"/>
              <w:rPr>
                <w:sz w:val="15"/>
                <w:szCs w:val="15"/>
                <w:color w:val="auto"/>
              </w:rPr>
            </w:pPr>
          </w:p>
        </w:tc>
        <w:tc>
          <w:tcPr>
            <w:tcW w:w="120" w:type="dxa"/>
            <w:vAlign w:val="bottom"/>
            <w:tcBorders>
              <w:bottom w:val="single" w:sz="8" w:color="58854E"/>
            </w:tcBorders>
          </w:tcPr>
          <w:p>
            <w:pPr>
              <w:spacing w:after="0"/>
              <w:rPr>
                <w:sz w:val="15"/>
                <w:szCs w:val="15"/>
                <w:color w:val="auto"/>
              </w:rPr>
            </w:pPr>
          </w:p>
        </w:tc>
        <w:tc>
          <w:tcPr>
            <w:tcW w:w="80" w:type="dxa"/>
            <w:vAlign w:val="bottom"/>
            <w:tcBorders>
              <w:bottom w:val="single" w:sz="8" w:color="58854E"/>
            </w:tcBorders>
          </w:tcPr>
          <w:p>
            <w:pPr>
              <w:spacing w:after="0"/>
              <w:rPr>
                <w:sz w:val="15"/>
                <w:szCs w:val="15"/>
                <w:color w:val="auto"/>
              </w:rPr>
            </w:pPr>
          </w:p>
        </w:tc>
        <w:tc>
          <w:tcPr>
            <w:tcW w:w="660" w:type="dxa"/>
            <w:vAlign w:val="bottom"/>
            <w:tcBorders>
              <w:bottom w:val="single" w:sz="8" w:color="58854E"/>
            </w:tcBorders>
          </w:tcPr>
          <w:p>
            <w:pPr>
              <w:jc w:val="right"/>
              <w:ind w:right="7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58854E"/>
            </w:tcBorders>
          </w:tcPr>
          <w:p>
            <w:pPr>
              <w:spacing w:after="0"/>
              <w:rPr>
                <w:sz w:val="15"/>
                <w:szCs w:val="15"/>
                <w:color w:val="auto"/>
              </w:rPr>
            </w:pPr>
          </w:p>
        </w:tc>
        <w:tc>
          <w:tcPr>
            <w:tcW w:w="240" w:type="dxa"/>
            <w:vAlign w:val="bottom"/>
            <w:tcBorders>
              <w:bottom w:val="single" w:sz="8" w:color="58854E"/>
            </w:tcBorders>
          </w:tcPr>
          <w:p>
            <w:pPr>
              <w:spacing w:after="0"/>
              <w:rPr>
                <w:sz w:val="15"/>
                <w:szCs w:val="15"/>
                <w:color w:val="auto"/>
              </w:rPr>
            </w:pPr>
          </w:p>
        </w:tc>
        <w:tc>
          <w:tcPr>
            <w:tcW w:w="200" w:type="dxa"/>
            <w:vAlign w:val="bottom"/>
            <w:tcBorders>
              <w:bottom w:val="single" w:sz="8" w:color="58854E"/>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58854E"/>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58854E"/>
            </w:tcBorders>
          </w:tcPr>
          <w:p>
            <w:pPr>
              <w:spacing w:after="0"/>
              <w:rPr>
                <w:sz w:val="15"/>
                <w:szCs w:val="15"/>
                <w:color w:val="auto"/>
              </w:rPr>
            </w:pPr>
          </w:p>
        </w:tc>
        <w:tc>
          <w:tcPr>
            <w:tcW w:w="40" w:type="dxa"/>
            <w:vAlign w:val="bottom"/>
            <w:tcBorders>
              <w:bottom w:val="single" w:sz="8" w:color="58854E"/>
            </w:tcBorders>
          </w:tcPr>
          <w:p>
            <w:pPr>
              <w:spacing w:after="0"/>
              <w:rPr>
                <w:sz w:val="15"/>
                <w:szCs w:val="15"/>
                <w:color w:val="auto"/>
              </w:rPr>
            </w:pPr>
          </w:p>
        </w:tc>
        <w:tc>
          <w:tcPr>
            <w:tcW w:w="180" w:type="dxa"/>
            <w:vAlign w:val="bottom"/>
            <w:tcBorders>
              <w:bottom w:val="single" w:sz="8" w:color="58854E"/>
            </w:tcBorders>
          </w:tcPr>
          <w:p>
            <w:pPr>
              <w:spacing w:after="0"/>
              <w:rPr>
                <w:sz w:val="15"/>
                <w:szCs w:val="15"/>
                <w:color w:val="auto"/>
              </w:rPr>
            </w:pPr>
          </w:p>
        </w:tc>
        <w:tc>
          <w:tcPr>
            <w:tcW w:w="860" w:type="dxa"/>
            <w:vAlign w:val="bottom"/>
            <w:tcBorders>
              <w:bottom w:val="single" w:sz="8" w:color="58854E"/>
            </w:tcBorders>
            <w:gridSpan w:val="3"/>
          </w:tcPr>
          <w:p>
            <w:pPr>
              <w:jc w:val="right"/>
              <w:ind w:right="20"/>
              <w:spacing w:after="0"/>
              <w:rPr>
                <w:sz w:val="20"/>
                <w:szCs w:val="20"/>
                <w:color w:val="auto"/>
              </w:rPr>
            </w:pPr>
            <w:r>
              <w:rPr>
                <w:rFonts w:ascii="Arial" w:cs="Arial" w:eastAsia="Arial" w:hAnsi="Arial"/>
                <w:sz w:val="15"/>
                <w:szCs w:val="15"/>
                <w:color w:val="auto"/>
              </w:rPr>
              <w:t>7,357</w:t>
            </w:r>
          </w:p>
        </w:tc>
        <w:tc>
          <w:tcPr>
            <w:tcW w:w="140" w:type="dxa"/>
            <w:vAlign w:val="bottom"/>
            <w:tcBorders>
              <w:bottom w:val="single" w:sz="8" w:color="58854E"/>
            </w:tcBorders>
            <w:gridSpan w:val="2"/>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140" w:type="dxa"/>
            <w:vAlign w:val="bottom"/>
            <w:tcBorders>
              <w:bottom w:val="single" w:sz="8" w:color="58854E"/>
            </w:tcBorders>
          </w:tcPr>
          <w:p>
            <w:pPr>
              <w:spacing w:after="0"/>
              <w:rPr>
                <w:sz w:val="15"/>
                <w:szCs w:val="15"/>
                <w:color w:val="auto"/>
              </w:rPr>
            </w:pPr>
          </w:p>
        </w:tc>
        <w:tc>
          <w:tcPr>
            <w:tcW w:w="60" w:type="dxa"/>
            <w:vAlign w:val="bottom"/>
            <w:tcBorders>
              <w:bottom w:val="single" w:sz="8" w:color="58854E"/>
            </w:tcBorders>
          </w:tcPr>
          <w:p>
            <w:pPr>
              <w:spacing w:after="0"/>
              <w:rPr>
                <w:sz w:val="15"/>
                <w:szCs w:val="15"/>
                <w:color w:val="auto"/>
              </w:rPr>
            </w:pPr>
          </w:p>
        </w:tc>
        <w:tc>
          <w:tcPr>
            <w:tcW w:w="540" w:type="dxa"/>
            <w:vAlign w:val="bottom"/>
            <w:tcBorders>
              <w:bottom w:val="single" w:sz="8" w:color="58854E"/>
            </w:tcBorders>
            <w:gridSpan w:val="2"/>
          </w:tcPr>
          <w:p>
            <w:pPr>
              <w:jc w:val="right"/>
              <w:spacing w:after="0"/>
              <w:rPr>
                <w:sz w:val="20"/>
                <w:szCs w:val="20"/>
                <w:color w:val="auto"/>
              </w:rPr>
            </w:pPr>
            <w:r>
              <w:rPr>
                <w:rFonts w:ascii="Arial" w:cs="Arial" w:eastAsia="Arial" w:hAnsi="Arial"/>
                <w:sz w:val="15"/>
                <w:szCs w:val="15"/>
                <w:color w:val="auto"/>
                <w:w w:val="95"/>
              </w:rPr>
              <w:t>115,505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20" w:type="dxa"/>
            <w:vAlign w:val="bottom"/>
          </w:tcPr>
          <w:p>
            <w:pPr>
              <w:ind w:left="60"/>
              <w:spacing w:after="0"/>
              <w:rPr>
                <w:sz w:val="20"/>
                <w:szCs w:val="20"/>
                <w:color w:val="auto"/>
              </w:rPr>
            </w:pPr>
            <w:r>
              <w:rPr>
                <w:rFonts w:ascii="Arial" w:cs="Arial" w:eastAsia="Arial" w:hAnsi="Arial"/>
                <w:sz w:val="5"/>
                <w:szCs w:val="5"/>
                <w:color w:val="58844D"/>
                <w:w w:val="70"/>
              </w:rPr>
              <w:t>1</w:t>
            </w:r>
          </w:p>
        </w:tc>
        <w:tc>
          <w:tcPr>
            <w:tcW w:w="240" w:type="dxa"/>
            <w:vAlign w:val="bottom"/>
          </w:tcPr>
          <w:p>
            <w:pPr>
              <w:spacing w:after="0"/>
              <w:rPr>
                <w:sz w:val="8"/>
                <w:szCs w:val="8"/>
                <w:color w:val="auto"/>
              </w:rPr>
            </w:pPr>
          </w:p>
        </w:tc>
        <w:tc>
          <w:tcPr>
            <w:tcW w:w="6400" w:type="dxa"/>
            <w:vAlign w:val="bottom"/>
            <w:gridSpan w:val="32"/>
          </w:tcPr>
          <w:p>
            <w:pPr>
              <w:spacing w:after="0" w:line="103" w:lineRule="exact"/>
              <w:rPr>
                <w:sz w:val="20"/>
                <w:szCs w:val="20"/>
                <w:color w:val="auto"/>
              </w:rPr>
            </w:pPr>
            <w:r>
              <w:rPr>
                <w:rFonts w:ascii="Arial" w:cs="Arial" w:eastAsia="Arial" w:hAnsi="Arial"/>
                <w:sz w:val="11"/>
                <w:szCs w:val="11"/>
                <w:color w:val="auto"/>
              </w:rPr>
              <w:t>Threshold non-equity incentive plan awards include annual incentive threshold payments, as presented in the CD&amp;A.</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-2335530</wp:posOffset>
            </wp:positionV>
            <wp:extent cx="715200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2005" cy="698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-2125980</wp:posOffset>
            </wp:positionV>
            <wp:extent cx="715200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2005" cy="6985"/>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-960120</wp:posOffset>
            </wp:positionV>
            <wp:extent cx="317817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7817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434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8210" cy="43434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09"/>
        </w:trPr>
        <w:tc>
          <w:tcPr>
            <w:tcW w:w="160" w:type="dxa"/>
            <w:vAlign w:val="bottom"/>
          </w:tcPr>
          <w:p>
            <w:pPr>
              <w:jc w:val="right"/>
              <w:ind w:right="97"/>
              <w:spacing w:after="0"/>
              <w:rPr>
                <w:sz w:val="20"/>
                <w:szCs w:val="20"/>
                <w:color w:val="auto"/>
              </w:rPr>
            </w:pPr>
            <w:r>
              <w:rPr>
                <w:rFonts w:ascii="Arial" w:cs="Arial" w:eastAsia="Arial" w:hAnsi="Arial"/>
                <w:sz w:val="5"/>
                <w:szCs w:val="5"/>
                <w:color w:val="58844D"/>
                <w:w w:val="70"/>
              </w:rPr>
              <w:t>2</w:t>
            </w:r>
          </w:p>
        </w:tc>
        <w:tc>
          <w:tcPr>
            <w:tcW w:w="11120" w:type="dxa"/>
            <w:vAlign w:val="bottom"/>
            <w:vMerge w:val="restart"/>
          </w:tcPr>
          <w:p>
            <w:pPr>
              <w:ind w:left="140"/>
              <w:spacing w:after="0"/>
              <w:rPr>
                <w:sz w:val="20"/>
                <w:szCs w:val="20"/>
                <w:color w:val="auto"/>
              </w:rPr>
            </w:pPr>
            <w:r>
              <w:rPr>
                <w:rFonts w:ascii="Arial" w:cs="Arial" w:eastAsia="Arial" w:hAnsi="Arial"/>
                <w:sz w:val="12"/>
                <w:szCs w:val="12"/>
                <w:color w:val="auto"/>
              </w:rPr>
              <w:t>Target non-equity incentive plan awards include annual incentive target payments, as presented in the CD&amp;A.</w:t>
            </w:r>
          </w:p>
        </w:tc>
        <w:tc>
          <w:tcPr>
            <w:tcW w:w="0" w:type="dxa"/>
            <w:vAlign w:val="bottom"/>
          </w:tcPr>
          <w:p>
            <w:pPr>
              <w:spacing w:after="0"/>
              <w:rPr>
                <w:sz w:val="1"/>
                <w:szCs w:val="1"/>
                <w:color w:val="auto"/>
              </w:rPr>
            </w:pPr>
          </w:p>
        </w:tc>
      </w:tr>
      <w:tr>
        <w:trPr>
          <w:trHeight w:val="58"/>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3</w:t>
            </w:r>
          </w:p>
        </w:tc>
        <w:tc>
          <w:tcPr>
            <w:tcW w:w="1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60" w:type="dxa"/>
            <w:vAlign w:val="bottom"/>
            <w:vMerge w:val="continue"/>
          </w:tcPr>
          <w:p>
            <w:pPr>
              <w:spacing w:after="0"/>
              <w:rPr>
                <w:sz w:val="6"/>
                <w:szCs w:val="6"/>
                <w:color w:val="auto"/>
              </w:rPr>
            </w:pPr>
          </w:p>
        </w:tc>
        <w:tc>
          <w:tcPr>
            <w:tcW w:w="11120" w:type="dxa"/>
            <w:vAlign w:val="bottom"/>
            <w:vMerge w:val="restart"/>
          </w:tcPr>
          <w:p>
            <w:pPr>
              <w:ind w:left="140"/>
              <w:spacing w:after="0" w:line="137" w:lineRule="exact"/>
              <w:rPr>
                <w:sz w:val="20"/>
                <w:szCs w:val="20"/>
                <w:color w:val="auto"/>
              </w:rPr>
            </w:pPr>
            <w:r>
              <w:rPr>
                <w:rFonts w:ascii="Arial" w:cs="Arial" w:eastAsia="Arial" w:hAnsi="Arial"/>
                <w:sz w:val="12"/>
                <w:szCs w:val="12"/>
                <w:color w:val="auto"/>
              </w:rPr>
              <w:t>Maximum non-equity incentive plan awards include annual incentive maximum payments, as presented in the CD&amp;A.</w:t>
            </w:r>
          </w:p>
        </w:tc>
        <w:tc>
          <w:tcPr>
            <w:tcW w:w="0" w:type="dxa"/>
            <w:vAlign w:val="bottom"/>
          </w:tcPr>
          <w:p>
            <w:pPr>
              <w:spacing w:after="0"/>
              <w:rPr>
                <w:sz w:val="1"/>
                <w:szCs w:val="1"/>
                <w:color w:val="auto"/>
              </w:rPr>
            </w:pPr>
          </w:p>
        </w:tc>
      </w:tr>
      <w:tr>
        <w:trPr>
          <w:trHeight w:val="58"/>
        </w:trPr>
        <w:tc>
          <w:tcPr>
            <w:tcW w:w="160" w:type="dxa"/>
            <w:vAlign w:val="bottom"/>
            <w:vMerge w:val="restart"/>
          </w:tcPr>
          <w:p>
            <w:pPr>
              <w:jc w:val="right"/>
              <w:ind w:right="97"/>
              <w:spacing w:after="0"/>
              <w:rPr>
                <w:sz w:val="20"/>
                <w:szCs w:val="20"/>
                <w:color w:val="auto"/>
              </w:rPr>
            </w:pPr>
            <w:r>
              <w:rPr>
                <w:rFonts w:ascii="Arial" w:cs="Arial" w:eastAsia="Arial" w:hAnsi="Arial"/>
                <w:sz w:val="5"/>
                <w:szCs w:val="5"/>
                <w:color w:val="58844D"/>
                <w:w w:val="70"/>
              </w:rPr>
              <w:t>4</w:t>
            </w:r>
          </w:p>
        </w:tc>
        <w:tc>
          <w:tcPr>
            <w:tcW w:w="1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60" w:type="dxa"/>
            <w:vAlign w:val="bottom"/>
            <w:vMerge w:val="continue"/>
          </w:tcPr>
          <w:p>
            <w:pPr>
              <w:spacing w:after="0"/>
              <w:rPr>
                <w:sz w:val="6"/>
                <w:szCs w:val="6"/>
                <w:color w:val="auto"/>
              </w:rPr>
            </w:pPr>
          </w:p>
        </w:tc>
        <w:tc>
          <w:tcPr>
            <w:tcW w:w="11120" w:type="dxa"/>
            <w:vAlign w:val="bottom"/>
            <w:vMerge w:val="restart"/>
          </w:tcPr>
          <w:p>
            <w:pPr>
              <w:ind w:left="140"/>
              <w:spacing w:after="0" w:line="137" w:lineRule="exact"/>
              <w:rPr>
                <w:sz w:val="20"/>
                <w:szCs w:val="20"/>
                <w:color w:val="auto"/>
              </w:rPr>
            </w:pPr>
            <w:r>
              <w:rPr>
                <w:rFonts w:ascii="Arial" w:cs="Arial" w:eastAsia="Arial" w:hAnsi="Arial"/>
                <w:sz w:val="12"/>
                <w:szCs w:val="12"/>
                <w:color w:val="auto"/>
              </w:rPr>
              <w:t>The Company uses the Class C common stock price on the date of grant as the fair value of the Company's RSUs. The fair value of RPSUs is estimated on the date of grant using a Monte Carlo simulation</w:t>
            </w:r>
          </w:p>
        </w:tc>
        <w:tc>
          <w:tcPr>
            <w:tcW w:w="0" w:type="dxa"/>
            <w:vAlign w:val="bottom"/>
          </w:tcPr>
          <w:p>
            <w:pPr>
              <w:spacing w:after="0"/>
              <w:rPr>
                <w:sz w:val="1"/>
                <w:szCs w:val="1"/>
                <w:color w:val="auto"/>
              </w:rPr>
            </w:pPr>
          </w:p>
        </w:tc>
      </w:tr>
      <w:tr>
        <w:trPr>
          <w:trHeight w:val="58"/>
        </w:trPr>
        <w:tc>
          <w:tcPr>
            <w:tcW w:w="160" w:type="dxa"/>
            <w:vAlign w:val="bottom"/>
          </w:tcPr>
          <w:p>
            <w:pPr>
              <w:spacing w:after="0"/>
              <w:rPr>
                <w:sz w:val="5"/>
                <w:szCs w:val="5"/>
                <w:color w:val="auto"/>
              </w:rPr>
            </w:pPr>
          </w:p>
        </w:tc>
        <w:tc>
          <w:tcPr>
            <w:tcW w:w="1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1120" w:type="dxa"/>
            <w:vAlign w:val="bottom"/>
          </w:tcPr>
          <w:p>
            <w:pPr>
              <w:ind w:left="140"/>
              <w:spacing w:after="0"/>
              <w:rPr>
                <w:sz w:val="20"/>
                <w:szCs w:val="20"/>
                <w:color w:val="auto"/>
              </w:rPr>
            </w:pPr>
            <w:r>
              <w:rPr>
                <w:rFonts w:ascii="Arial" w:cs="Arial" w:eastAsia="Arial" w:hAnsi="Arial"/>
                <w:sz w:val="12"/>
                <w:szCs w:val="12"/>
                <w:color w:val="auto"/>
              </w:rPr>
              <w:t>model.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wp:posOffset>
            </wp:positionV>
            <wp:extent cx="7273290"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80" w:type="dxa"/>
            <w:vAlign w:val="bottom"/>
            <w:gridSpan w:val="5"/>
          </w:tcPr>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46</w:t>
            </w: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gridSpan w:val="8"/>
          </w:tcPr>
          <w:p>
            <w:pPr>
              <w:jc w:val="center"/>
              <w:ind w:left="631"/>
              <w:spacing w:after="0"/>
              <w:rPr>
                <w:sz w:val="20"/>
                <w:szCs w:val="20"/>
                <w:color w:val="auto"/>
              </w:rPr>
            </w:pPr>
            <w:r>
              <w:rPr>
                <w:rFonts w:ascii="Arial" w:cs="Arial" w:eastAsia="Arial" w:hAnsi="Arial"/>
                <w:sz w:val="18"/>
                <w:szCs w:val="18"/>
                <w:color w:val="58844D"/>
              </w:rPr>
              <w:t>Outstanding Equity Awards at Fiscal Year-End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8"/>
          </w:tcPr>
          <w:p>
            <w:pPr>
              <w:jc w:val="center"/>
              <w:ind w:left="651"/>
              <w:spacing w:after="0"/>
              <w:rPr>
                <w:sz w:val="20"/>
                <w:szCs w:val="20"/>
                <w:color w:val="auto"/>
              </w:rPr>
            </w:pPr>
            <w:r>
              <w:rPr>
                <w:rFonts w:ascii="Arial" w:cs="Arial" w:eastAsia="Arial" w:hAnsi="Arial"/>
                <w:sz w:val="18"/>
                <w:szCs w:val="18"/>
                <w:color w:val="58844D"/>
              </w:rPr>
              <w:t>Fiscal Year Ended December 31, 2017</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0" w:type="dxa"/>
            <w:vAlign w:val="bottom"/>
            <w:shd w:val="clear" w:color="auto" w:fill="58854E"/>
          </w:tcPr>
          <w:p>
            <w:pPr>
              <w:spacing w:after="0"/>
              <w:rPr>
                <w:sz w:val="15"/>
                <w:szCs w:val="15"/>
                <w:color w:val="auto"/>
              </w:rPr>
            </w:pPr>
          </w:p>
        </w:tc>
        <w:tc>
          <w:tcPr>
            <w:tcW w:w="140" w:type="dxa"/>
            <w:vAlign w:val="bottom"/>
            <w:shd w:val="clear" w:color="auto" w:fill="58854E"/>
          </w:tcPr>
          <w:p>
            <w:pPr>
              <w:spacing w:after="0"/>
              <w:rPr>
                <w:sz w:val="15"/>
                <w:szCs w:val="15"/>
                <w:color w:val="auto"/>
              </w:rPr>
            </w:pPr>
          </w:p>
        </w:tc>
        <w:tc>
          <w:tcPr>
            <w:tcW w:w="1260" w:type="dxa"/>
            <w:vAlign w:val="bottom"/>
            <w:shd w:val="clear" w:color="auto" w:fill="58854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shd w:val="clear" w:color="auto" w:fill="58854E"/>
          </w:tcPr>
          <w:p>
            <w:pPr>
              <w:spacing w:after="0"/>
              <w:rPr>
                <w:sz w:val="15"/>
                <w:szCs w:val="15"/>
                <w:color w:val="auto"/>
              </w:rPr>
            </w:pPr>
          </w:p>
        </w:tc>
        <w:tc>
          <w:tcPr>
            <w:tcW w:w="140" w:type="dxa"/>
            <w:vAlign w:val="bottom"/>
            <w:shd w:val="clear" w:color="auto" w:fill="58854E"/>
          </w:tcPr>
          <w:p>
            <w:pPr>
              <w:spacing w:after="0"/>
              <w:rPr>
                <w:sz w:val="15"/>
                <w:szCs w:val="15"/>
                <w:color w:val="auto"/>
              </w:rPr>
            </w:pPr>
          </w:p>
        </w:tc>
        <w:tc>
          <w:tcPr>
            <w:tcW w:w="340" w:type="dxa"/>
            <w:vAlign w:val="bottom"/>
            <w:shd w:val="clear" w:color="auto" w:fill="58854E"/>
          </w:tcPr>
          <w:p>
            <w:pPr>
              <w:spacing w:after="0"/>
              <w:rPr>
                <w:sz w:val="15"/>
                <w:szCs w:val="15"/>
                <w:color w:val="auto"/>
              </w:rPr>
            </w:pPr>
          </w:p>
        </w:tc>
        <w:tc>
          <w:tcPr>
            <w:tcW w:w="2380" w:type="dxa"/>
            <w:vAlign w:val="bottom"/>
            <w:gridSpan w:val="2"/>
            <w:shd w:val="clear" w:color="auto" w:fill="58854E"/>
          </w:tcPr>
          <w:p>
            <w:pPr>
              <w:ind w:left="460"/>
              <w:spacing w:after="0"/>
              <w:rPr>
                <w:sz w:val="20"/>
                <w:szCs w:val="20"/>
                <w:color w:val="auto"/>
              </w:rPr>
            </w:pPr>
            <w:r>
              <w:rPr>
                <w:rFonts w:ascii="Arial" w:cs="Arial" w:eastAsia="Arial" w:hAnsi="Arial"/>
                <w:sz w:val="12"/>
                <w:szCs w:val="12"/>
                <w:b w:val="1"/>
                <w:bCs w:val="1"/>
                <w:color w:val="FFFFFE"/>
              </w:rPr>
              <w:t>OPTION AWARDS</w:t>
            </w:r>
          </w:p>
        </w:tc>
        <w:tc>
          <w:tcPr>
            <w:tcW w:w="860" w:type="dxa"/>
            <w:vAlign w:val="bottom"/>
            <w:shd w:val="clear" w:color="auto" w:fill="58854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shd w:val="clear" w:color="auto" w:fill="58854E"/>
          </w:tcPr>
          <w:p>
            <w:pPr>
              <w:spacing w:after="0"/>
              <w:rPr>
                <w:sz w:val="15"/>
                <w:szCs w:val="15"/>
                <w:color w:val="auto"/>
              </w:rPr>
            </w:pPr>
          </w:p>
        </w:tc>
        <w:tc>
          <w:tcPr>
            <w:tcW w:w="360" w:type="dxa"/>
            <w:vAlign w:val="bottom"/>
            <w:shd w:val="clear" w:color="auto" w:fill="58854E"/>
          </w:tcPr>
          <w:p>
            <w:pPr>
              <w:spacing w:after="0"/>
              <w:rPr>
                <w:sz w:val="15"/>
                <w:szCs w:val="15"/>
                <w:color w:val="auto"/>
              </w:rPr>
            </w:pPr>
          </w:p>
        </w:tc>
        <w:tc>
          <w:tcPr>
            <w:tcW w:w="140" w:type="dxa"/>
            <w:vAlign w:val="bottom"/>
            <w:shd w:val="clear" w:color="auto" w:fill="58854E"/>
          </w:tcPr>
          <w:p>
            <w:pPr>
              <w:spacing w:after="0"/>
              <w:rPr>
                <w:sz w:val="15"/>
                <w:szCs w:val="15"/>
                <w:color w:val="auto"/>
              </w:rPr>
            </w:pPr>
          </w:p>
        </w:tc>
        <w:tc>
          <w:tcPr>
            <w:tcW w:w="480" w:type="dxa"/>
            <w:vAlign w:val="bottom"/>
            <w:shd w:val="clear" w:color="auto" w:fill="58854E"/>
          </w:tcPr>
          <w:p>
            <w:pPr>
              <w:spacing w:after="0"/>
              <w:rPr>
                <w:sz w:val="15"/>
                <w:szCs w:val="15"/>
                <w:color w:val="auto"/>
              </w:rPr>
            </w:pPr>
          </w:p>
        </w:tc>
        <w:tc>
          <w:tcPr>
            <w:tcW w:w="120" w:type="dxa"/>
            <w:vAlign w:val="bottom"/>
            <w:shd w:val="clear" w:color="auto" w:fill="58854E"/>
          </w:tcPr>
          <w:p>
            <w:pPr>
              <w:spacing w:after="0"/>
              <w:rPr>
                <w:sz w:val="15"/>
                <w:szCs w:val="15"/>
                <w:color w:val="auto"/>
              </w:rPr>
            </w:pPr>
          </w:p>
        </w:tc>
        <w:tc>
          <w:tcPr>
            <w:tcW w:w="1840" w:type="dxa"/>
            <w:vAlign w:val="bottom"/>
            <w:gridSpan w:val="2"/>
            <w:shd w:val="clear" w:color="auto" w:fill="58854E"/>
          </w:tcPr>
          <w:p>
            <w:pPr>
              <w:jc w:val="right"/>
              <w:ind w:right="74"/>
              <w:spacing w:after="0"/>
              <w:rPr>
                <w:sz w:val="20"/>
                <w:szCs w:val="20"/>
                <w:color w:val="auto"/>
              </w:rPr>
            </w:pPr>
            <w:r>
              <w:rPr>
                <w:rFonts w:ascii="Arial" w:cs="Arial" w:eastAsia="Arial" w:hAnsi="Arial"/>
                <w:sz w:val="12"/>
                <w:szCs w:val="12"/>
                <w:b w:val="1"/>
                <w:bCs w:val="1"/>
                <w:color w:val="FFFFFE"/>
              </w:rPr>
              <w:t>STOCK AWARDS</w:t>
            </w:r>
          </w:p>
        </w:tc>
        <w:tc>
          <w:tcPr>
            <w:tcW w:w="420" w:type="dxa"/>
            <w:vAlign w:val="bottom"/>
            <w:shd w:val="clear" w:color="auto" w:fill="58854E"/>
          </w:tcPr>
          <w:p>
            <w:pPr>
              <w:spacing w:after="0"/>
              <w:rPr>
                <w:sz w:val="15"/>
                <w:szCs w:val="15"/>
                <w:color w:val="auto"/>
              </w:rPr>
            </w:pPr>
          </w:p>
        </w:tc>
        <w:tc>
          <w:tcPr>
            <w:tcW w:w="160" w:type="dxa"/>
            <w:vAlign w:val="bottom"/>
            <w:shd w:val="clear" w:color="auto" w:fill="58854E"/>
          </w:tcPr>
          <w:p>
            <w:pPr>
              <w:spacing w:after="0"/>
              <w:rPr>
                <w:sz w:val="15"/>
                <w:szCs w:val="15"/>
                <w:color w:val="auto"/>
              </w:rPr>
            </w:pPr>
          </w:p>
        </w:tc>
        <w:tc>
          <w:tcPr>
            <w:tcW w:w="1160" w:type="dxa"/>
            <w:vAlign w:val="bottom"/>
            <w:shd w:val="clear" w:color="auto" w:fill="58854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126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340" w:type="dxa"/>
            <w:vAlign w:val="bottom"/>
            <w:shd w:val="clear" w:color="auto" w:fill="58854E"/>
          </w:tcPr>
          <w:p>
            <w:pPr>
              <w:spacing w:after="0"/>
              <w:rPr>
                <w:sz w:val="12"/>
                <w:szCs w:val="12"/>
                <w:color w:val="auto"/>
              </w:rPr>
            </w:pPr>
          </w:p>
        </w:tc>
        <w:tc>
          <w:tcPr>
            <w:tcW w:w="1480" w:type="dxa"/>
            <w:vAlign w:val="bottom"/>
            <w:shd w:val="clear" w:color="auto" w:fill="58854E"/>
          </w:tcPr>
          <w:p>
            <w:pPr>
              <w:spacing w:after="0"/>
              <w:rPr>
                <w:sz w:val="12"/>
                <w:szCs w:val="12"/>
                <w:color w:val="auto"/>
              </w:rPr>
            </w:pPr>
          </w:p>
        </w:tc>
        <w:tc>
          <w:tcPr>
            <w:tcW w:w="900" w:type="dxa"/>
            <w:vAlign w:val="bottom"/>
            <w:shd w:val="clear" w:color="auto" w:fill="58854E"/>
          </w:tcPr>
          <w:p>
            <w:pPr>
              <w:spacing w:after="0"/>
              <w:rPr>
                <w:sz w:val="12"/>
                <w:szCs w:val="12"/>
                <w:color w:val="auto"/>
              </w:rPr>
            </w:pPr>
          </w:p>
        </w:tc>
        <w:tc>
          <w:tcPr>
            <w:tcW w:w="86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36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480" w:type="dxa"/>
            <w:vAlign w:val="bottom"/>
            <w:shd w:val="clear" w:color="auto" w:fill="58854E"/>
          </w:tcPr>
          <w:p>
            <w:pPr>
              <w:spacing w:after="0"/>
              <w:rPr>
                <w:sz w:val="12"/>
                <w:szCs w:val="12"/>
                <w:color w:val="auto"/>
              </w:rPr>
            </w:pPr>
          </w:p>
        </w:tc>
        <w:tc>
          <w:tcPr>
            <w:tcW w:w="120" w:type="dxa"/>
            <w:vAlign w:val="bottom"/>
            <w:shd w:val="clear" w:color="auto" w:fill="58854E"/>
          </w:tcPr>
          <w:p>
            <w:pPr>
              <w:spacing w:after="0"/>
              <w:rPr>
                <w:sz w:val="12"/>
                <w:szCs w:val="12"/>
                <w:color w:val="auto"/>
              </w:rPr>
            </w:pPr>
          </w:p>
        </w:tc>
        <w:tc>
          <w:tcPr>
            <w:tcW w:w="1220" w:type="dxa"/>
            <w:vAlign w:val="bottom"/>
            <w:shd w:val="clear" w:color="auto" w:fill="58854E"/>
          </w:tcPr>
          <w:p>
            <w:pPr>
              <w:jc w:val="center"/>
              <w:ind w:right="238"/>
              <w:spacing w:after="0"/>
              <w:rPr>
                <w:sz w:val="20"/>
                <w:szCs w:val="20"/>
                <w:color w:val="auto"/>
              </w:rPr>
            </w:pPr>
            <w:r>
              <w:rPr>
                <w:rFonts w:ascii="Arial" w:cs="Arial" w:eastAsia="Arial" w:hAnsi="Arial"/>
                <w:sz w:val="12"/>
                <w:szCs w:val="12"/>
                <w:b w:val="1"/>
                <w:bCs w:val="1"/>
                <w:color w:val="FFFFFE"/>
              </w:rPr>
              <w:t>MARKET</w:t>
            </w:r>
          </w:p>
        </w:tc>
        <w:tc>
          <w:tcPr>
            <w:tcW w:w="2360" w:type="dxa"/>
            <w:vAlign w:val="bottom"/>
            <w:gridSpan w:val="4"/>
            <w:shd w:val="clear" w:color="auto" w:fill="58854E"/>
          </w:tcPr>
          <w:p>
            <w:pPr>
              <w:jc w:val="center"/>
              <w:ind w:right="15"/>
              <w:spacing w:after="0"/>
              <w:rPr>
                <w:sz w:val="20"/>
                <w:szCs w:val="20"/>
                <w:color w:val="auto"/>
              </w:rPr>
            </w:pPr>
            <w:r>
              <w:rPr>
                <w:rFonts w:ascii="Arial" w:cs="Arial" w:eastAsia="Arial" w:hAnsi="Arial"/>
                <w:sz w:val="12"/>
                <w:szCs w:val="12"/>
                <w:b w:val="1"/>
                <w:bCs w:val="1"/>
                <w:color w:val="FFFFFE"/>
                <w:w w:val="99"/>
              </w:rPr>
              <w:t>EQUITY INCENTIVE PLAN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126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shd w:val="clear" w:color="auto" w:fill="58854E"/>
          </w:tcPr>
          <w:p>
            <w:pPr>
              <w:jc w:val="center"/>
              <w:ind w:right="180"/>
              <w:spacing w:after="0"/>
              <w:rPr>
                <w:sz w:val="20"/>
                <w:szCs w:val="20"/>
                <w:color w:val="auto"/>
              </w:rPr>
            </w:pPr>
            <w:r>
              <w:rPr>
                <w:rFonts w:ascii="Arial" w:cs="Arial" w:eastAsia="Arial" w:hAnsi="Arial"/>
                <w:sz w:val="12"/>
                <w:szCs w:val="12"/>
                <w:b w:val="1"/>
                <w:bCs w:val="1"/>
                <w:color w:val="FFFFFE"/>
              </w:rPr>
              <w:t>NUMBER OF</w:t>
            </w:r>
          </w:p>
        </w:tc>
        <w:tc>
          <w:tcPr>
            <w:tcW w:w="1480" w:type="dxa"/>
            <w:vAlign w:val="bottom"/>
            <w:shd w:val="clear" w:color="auto" w:fill="58854E"/>
          </w:tcPr>
          <w:p>
            <w:pPr>
              <w:jc w:val="center"/>
              <w:ind w:right="231"/>
              <w:spacing w:after="0"/>
              <w:rPr>
                <w:sz w:val="20"/>
                <w:szCs w:val="20"/>
                <w:color w:val="auto"/>
              </w:rPr>
            </w:pPr>
            <w:r>
              <w:rPr>
                <w:rFonts w:ascii="Arial" w:cs="Arial" w:eastAsia="Arial" w:hAnsi="Arial"/>
                <w:sz w:val="12"/>
                <w:szCs w:val="12"/>
                <w:b w:val="1"/>
                <w:bCs w:val="1"/>
                <w:color w:val="FFFFFE"/>
              </w:rPr>
              <w:t>NUMBER OF</w:t>
            </w:r>
          </w:p>
        </w:tc>
        <w:tc>
          <w:tcPr>
            <w:tcW w:w="900" w:type="dxa"/>
            <w:vAlign w:val="bottom"/>
            <w:shd w:val="clear" w:color="auto" w:fill="58854E"/>
          </w:tcPr>
          <w:p>
            <w:pPr>
              <w:spacing w:after="0"/>
              <w:rPr>
                <w:sz w:val="12"/>
                <w:szCs w:val="12"/>
                <w:color w:val="auto"/>
              </w:rPr>
            </w:pPr>
          </w:p>
        </w:tc>
        <w:tc>
          <w:tcPr>
            <w:tcW w:w="86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980" w:type="dxa"/>
            <w:vAlign w:val="bottom"/>
            <w:gridSpan w:val="3"/>
            <w:shd w:val="clear" w:color="auto" w:fill="58854E"/>
          </w:tcPr>
          <w:p>
            <w:pPr>
              <w:jc w:val="center"/>
              <w:ind w:right="180"/>
              <w:spacing w:after="0"/>
              <w:rPr>
                <w:sz w:val="20"/>
                <w:szCs w:val="20"/>
                <w:color w:val="auto"/>
              </w:rPr>
            </w:pPr>
            <w:r>
              <w:rPr>
                <w:rFonts w:ascii="Arial" w:cs="Arial" w:eastAsia="Arial" w:hAnsi="Arial"/>
                <w:sz w:val="12"/>
                <w:szCs w:val="12"/>
                <w:b w:val="1"/>
                <w:bCs w:val="1"/>
                <w:color w:val="FFFFFE"/>
                <w:w w:val="99"/>
              </w:rPr>
              <w:t>NUMBER OF</w:t>
            </w:r>
          </w:p>
        </w:tc>
        <w:tc>
          <w:tcPr>
            <w:tcW w:w="120" w:type="dxa"/>
            <w:vAlign w:val="bottom"/>
            <w:shd w:val="clear" w:color="auto" w:fill="58854E"/>
          </w:tcPr>
          <w:p>
            <w:pPr>
              <w:spacing w:after="0"/>
              <w:rPr>
                <w:sz w:val="12"/>
                <w:szCs w:val="12"/>
                <w:color w:val="auto"/>
              </w:rPr>
            </w:pPr>
          </w:p>
        </w:tc>
        <w:tc>
          <w:tcPr>
            <w:tcW w:w="1220" w:type="dxa"/>
            <w:vAlign w:val="bottom"/>
            <w:shd w:val="clear" w:color="auto" w:fill="58854E"/>
          </w:tcPr>
          <w:p>
            <w:pPr>
              <w:jc w:val="center"/>
              <w:ind w:right="218"/>
              <w:spacing w:after="0"/>
              <w:rPr>
                <w:sz w:val="20"/>
                <w:szCs w:val="20"/>
                <w:color w:val="auto"/>
              </w:rPr>
            </w:pPr>
            <w:r>
              <w:rPr>
                <w:rFonts w:ascii="Arial" w:cs="Arial" w:eastAsia="Arial" w:hAnsi="Arial"/>
                <w:sz w:val="12"/>
                <w:szCs w:val="12"/>
                <w:b w:val="1"/>
                <w:bCs w:val="1"/>
                <w:color w:val="FFFFFE"/>
              </w:rPr>
              <w:t>VALUE OF</w:t>
            </w:r>
          </w:p>
        </w:tc>
        <w:tc>
          <w:tcPr>
            <w:tcW w:w="620" w:type="dxa"/>
            <w:vAlign w:val="bottom"/>
            <w:shd w:val="clear" w:color="auto" w:fill="58854E"/>
          </w:tcPr>
          <w:p>
            <w:pPr>
              <w:spacing w:after="0"/>
              <w:rPr>
                <w:sz w:val="12"/>
                <w:szCs w:val="12"/>
                <w:color w:val="auto"/>
              </w:rPr>
            </w:pPr>
          </w:p>
        </w:tc>
        <w:tc>
          <w:tcPr>
            <w:tcW w:w="1740" w:type="dxa"/>
            <w:vAlign w:val="bottom"/>
            <w:gridSpan w:val="3"/>
            <w:shd w:val="clear" w:color="auto" w:fill="58854E"/>
          </w:tcPr>
          <w:p>
            <w:pPr>
              <w:jc w:val="center"/>
              <w:ind w:right="635"/>
              <w:spacing w:after="0"/>
              <w:rPr>
                <w:sz w:val="20"/>
                <w:szCs w:val="20"/>
                <w:color w:val="auto"/>
              </w:rPr>
            </w:pPr>
            <w:r>
              <w:rPr>
                <w:rFonts w:ascii="Arial" w:cs="Arial" w:eastAsia="Arial" w:hAnsi="Arial"/>
                <w:sz w:val="12"/>
                <w:szCs w:val="12"/>
                <w:b w:val="1"/>
                <w:bCs w:val="1"/>
                <w:color w:val="FFFFFE"/>
                <w:w w:val="96"/>
              </w:rPr>
              <w:t>AWARDS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58854E"/>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1260" w:type="dxa"/>
            <w:vAlign w:val="bottom"/>
            <w:shd w:val="clear" w:color="auto" w:fill="58854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shd w:val="clear" w:color="auto" w:fill="58854E"/>
          </w:tcPr>
          <w:p>
            <w:pPr>
              <w:jc w:val="center"/>
              <w:ind w:right="180"/>
              <w:spacing w:after="0"/>
              <w:rPr>
                <w:sz w:val="20"/>
                <w:szCs w:val="20"/>
                <w:color w:val="auto"/>
              </w:rPr>
            </w:pPr>
            <w:r>
              <w:rPr>
                <w:rFonts w:ascii="Arial" w:cs="Arial" w:eastAsia="Arial" w:hAnsi="Arial"/>
                <w:sz w:val="12"/>
                <w:szCs w:val="12"/>
                <w:b w:val="1"/>
                <w:bCs w:val="1"/>
                <w:color w:val="FFFFFE"/>
              </w:rPr>
              <w:t>SECURITIES</w:t>
            </w:r>
          </w:p>
        </w:tc>
        <w:tc>
          <w:tcPr>
            <w:tcW w:w="1480" w:type="dxa"/>
            <w:vAlign w:val="bottom"/>
            <w:shd w:val="clear" w:color="auto" w:fill="58854E"/>
          </w:tcPr>
          <w:p>
            <w:pPr>
              <w:jc w:val="center"/>
              <w:ind w:right="231"/>
              <w:spacing w:after="0"/>
              <w:rPr>
                <w:sz w:val="20"/>
                <w:szCs w:val="20"/>
                <w:color w:val="auto"/>
              </w:rPr>
            </w:pPr>
            <w:r>
              <w:rPr>
                <w:rFonts w:ascii="Arial" w:cs="Arial" w:eastAsia="Arial" w:hAnsi="Arial"/>
                <w:sz w:val="12"/>
                <w:szCs w:val="12"/>
                <w:b w:val="1"/>
                <w:bCs w:val="1"/>
                <w:color w:val="FFFFFE"/>
              </w:rPr>
              <w:t>SECURITIES</w:t>
            </w:r>
          </w:p>
        </w:tc>
        <w:tc>
          <w:tcPr>
            <w:tcW w:w="900" w:type="dxa"/>
            <w:vAlign w:val="bottom"/>
            <w:shd w:val="clear" w:color="auto" w:fill="58854E"/>
          </w:tcPr>
          <w:p>
            <w:pPr>
              <w:spacing w:after="0"/>
              <w:rPr>
                <w:sz w:val="12"/>
                <w:szCs w:val="12"/>
                <w:color w:val="auto"/>
              </w:rPr>
            </w:pPr>
          </w:p>
        </w:tc>
        <w:tc>
          <w:tcPr>
            <w:tcW w:w="860" w:type="dxa"/>
            <w:vAlign w:val="bottom"/>
            <w:shd w:val="clear" w:color="auto" w:fill="58854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shd w:val="clear" w:color="auto" w:fill="58854E"/>
          </w:tcPr>
          <w:p>
            <w:pPr>
              <w:spacing w:after="0"/>
              <w:rPr>
                <w:sz w:val="12"/>
                <w:szCs w:val="12"/>
                <w:color w:val="auto"/>
              </w:rPr>
            </w:pPr>
          </w:p>
        </w:tc>
        <w:tc>
          <w:tcPr>
            <w:tcW w:w="980" w:type="dxa"/>
            <w:vAlign w:val="bottom"/>
            <w:gridSpan w:val="3"/>
            <w:shd w:val="clear" w:color="auto" w:fill="58854E"/>
          </w:tcPr>
          <w:p>
            <w:pPr>
              <w:jc w:val="center"/>
              <w:ind w:right="180"/>
              <w:spacing w:after="0"/>
              <w:rPr>
                <w:sz w:val="20"/>
                <w:szCs w:val="20"/>
                <w:color w:val="auto"/>
              </w:rPr>
            </w:pPr>
            <w:r>
              <w:rPr>
                <w:rFonts w:ascii="Arial" w:cs="Arial" w:eastAsia="Arial" w:hAnsi="Arial"/>
                <w:sz w:val="12"/>
                <w:szCs w:val="12"/>
                <w:b w:val="1"/>
                <w:bCs w:val="1"/>
                <w:color w:val="FFFFFE"/>
              </w:rPr>
              <w:t>SHARES OR</w:t>
            </w:r>
          </w:p>
        </w:tc>
        <w:tc>
          <w:tcPr>
            <w:tcW w:w="120" w:type="dxa"/>
            <w:vAlign w:val="bottom"/>
            <w:shd w:val="clear" w:color="auto" w:fill="58854E"/>
          </w:tcPr>
          <w:p>
            <w:pPr>
              <w:spacing w:after="0"/>
              <w:rPr>
                <w:sz w:val="12"/>
                <w:szCs w:val="12"/>
                <w:color w:val="auto"/>
              </w:rPr>
            </w:pPr>
          </w:p>
        </w:tc>
        <w:tc>
          <w:tcPr>
            <w:tcW w:w="1220" w:type="dxa"/>
            <w:vAlign w:val="bottom"/>
            <w:shd w:val="clear" w:color="auto" w:fill="58854E"/>
          </w:tcPr>
          <w:p>
            <w:pPr>
              <w:jc w:val="center"/>
              <w:ind w:right="238"/>
              <w:spacing w:after="0"/>
              <w:rPr>
                <w:sz w:val="20"/>
                <w:szCs w:val="20"/>
                <w:color w:val="auto"/>
              </w:rPr>
            </w:pPr>
            <w:r>
              <w:rPr>
                <w:rFonts w:ascii="Arial" w:cs="Arial" w:eastAsia="Arial" w:hAnsi="Arial"/>
                <w:sz w:val="12"/>
                <w:szCs w:val="12"/>
                <w:b w:val="1"/>
                <w:bCs w:val="1"/>
                <w:color w:val="FFFFFE"/>
              </w:rPr>
              <w:t>SHARES OR</w:t>
            </w:r>
          </w:p>
        </w:tc>
        <w:tc>
          <w:tcPr>
            <w:tcW w:w="1040" w:type="dxa"/>
            <w:vAlign w:val="bottom"/>
            <w:gridSpan w:val="2"/>
            <w:shd w:val="clear" w:color="auto" w:fill="58854E"/>
          </w:tcPr>
          <w:p>
            <w:pPr>
              <w:jc w:val="center"/>
              <w:ind w:right="113"/>
              <w:spacing w:after="0"/>
              <w:rPr>
                <w:sz w:val="20"/>
                <w:szCs w:val="20"/>
                <w:color w:val="auto"/>
              </w:rPr>
            </w:pPr>
            <w:r>
              <w:rPr>
                <w:rFonts w:ascii="Arial" w:cs="Arial" w:eastAsia="Arial" w:hAnsi="Arial"/>
                <w:sz w:val="12"/>
                <w:szCs w:val="12"/>
                <w:b w:val="1"/>
                <w:bCs w:val="1"/>
                <w:color w:val="FFFFFE"/>
              </w:rPr>
              <w:t>NUMBER OF</w:t>
            </w:r>
          </w:p>
        </w:tc>
        <w:tc>
          <w:tcPr>
            <w:tcW w:w="160" w:type="dxa"/>
            <w:vAlign w:val="bottom"/>
            <w:shd w:val="clear" w:color="auto" w:fill="58854E"/>
          </w:tcPr>
          <w:p>
            <w:pPr>
              <w:spacing w:after="0"/>
              <w:rPr>
                <w:sz w:val="12"/>
                <w:szCs w:val="12"/>
                <w:color w:val="auto"/>
              </w:rPr>
            </w:pPr>
          </w:p>
        </w:tc>
        <w:tc>
          <w:tcPr>
            <w:tcW w:w="11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MARKET VALUE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26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shd w:val="clear" w:color="auto" w:fill="58854E"/>
          </w:tcPr>
          <w:p>
            <w:pPr>
              <w:jc w:val="center"/>
              <w:ind w:right="180"/>
              <w:spacing w:after="0" w:line="137" w:lineRule="exact"/>
              <w:rPr>
                <w:sz w:val="20"/>
                <w:szCs w:val="20"/>
                <w:color w:val="auto"/>
              </w:rPr>
            </w:pPr>
            <w:r>
              <w:rPr>
                <w:rFonts w:ascii="Arial" w:cs="Arial" w:eastAsia="Arial" w:hAnsi="Arial"/>
                <w:sz w:val="12"/>
                <w:szCs w:val="12"/>
                <w:b w:val="1"/>
                <w:bCs w:val="1"/>
                <w:color w:val="FFFFFE"/>
                <w:w w:val="98"/>
              </w:rPr>
              <w:t>UNDERLYING</w:t>
            </w:r>
          </w:p>
        </w:tc>
        <w:tc>
          <w:tcPr>
            <w:tcW w:w="1480" w:type="dxa"/>
            <w:vAlign w:val="bottom"/>
            <w:shd w:val="clear" w:color="auto" w:fill="58854E"/>
          </w:tcPr>
          <w:p>
            <w:pPr>
              <w:jc w:val="center"/>
              <w:ind w:right="231"/>
              <w:spacing w:after="0" w:line="137" w:lineRule="exact"/>
              <w:rPr>
                <w:sz w:val="20"/>
                <w:szCs w:val="20"/>
                <w:color w:val="auto"/>
              </w:rPr>
            </w:pPr>
            <w:r>
              <w:rPr>
                <w:rFonts w:ascii="Arial" w:cs="Arial" w:eastAsia="Arial" w:hAnsi="Arial"/>
                <w:sz w:val="12"/>
                <w:szCs w:val="12"/>
                <w:b w:val="1"/>
                <w:bCs w:val="1"/>
                <w:color w:val="FFFFFE"/>
                <w:w w:val="98"/>
              </w:rPr>
              <w:t>UNDERLYING</w:t>
            </w:r>
          </w:p>
        </w:tc>
        <w:tc>
          <w:tcPr>
            <w:tcW w:w="900" w:type="dxa"/>
            <w:vAlign w:val="bottom"/>
            <w:shd w:val="clear" w:color="auto" w:fill="58854E"/>
          </w:tcPr>
          <w:p>
            <w:pPr>
              <w:spacing w:after="0"/>
              <w:rPr>
                <w:sz w:val="11"/>
                <w:szCs w:val="11"/>
                <w:color w:val="auto"/>
              </w:rPr>
            </w:pPr>
          </w:p>
        </w:tc>
        <w:tc>
          <w:tcPr>
            <w:tcW w:w="860" w:type="dxa"/>
            <w:vAlign w:val="bottom"/>
            <w:shd w:val="clear" w:color="auto" w:fill="58854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980" w:type="dxa"/>
            <w:vAlign w:val="bottom"/>
            <w:gridSpan w:val="3"/>
            <w:shd w:val="clear" w:color="auto" w:fill="58854E"/>
          </w:tcPr>
          <w:p>
            <w:pPr>
              <w:jc w:val="center"/>
              <w:ind w:right="180"/>
              <w:spacing w:after="0" w:line="137" w:lineRule="exact"/>
              <w:rPr>
                <w:sz w:val="20"/>
                <w:szCs w:val="20"/>
                <w:color w:val="auto"/>
              </w:rPr>
            </w:pPr>
            <w:r>
              <w:rPr>
                <w:rFonts w:ascii="Arial" w:cs="Arial" w:eastAsia="Arial" w:hAnsi="Arial"/>
                <w:sz w:val="12"/>
                <w:szCs w:val="12"/>
                <w:b w:val="1"/>
                <w:bCs w:val="1"/>
                <w:color w:val="FFFFFE"/>
                <w:w w:val="99"/>
              </w:rPr>
              <w:t>UNITS OF</w:t>
            </w:r>
          </w:p>
        </w:tc>
        <w:tc>
          <w:tcPr>
            <w:tcW w:w="120" w:type="dxa"/>
            <w:vAlign w:val="bottom"/>
            <w:shd w:val="clear" w:color="auto" w:fill="58854E"/>
          </w:tcPr>
          <w:p>
            <w:pPr>
              <w:spacing w:after="0"/>
              <w:rPr>
                <w:sz w:val="11"/>
                <w:szCs w:val="11"/>
                <w:color w:val="auto"/>
              </w:rPr>
            </w:pPr>
          </w:p>
        </w:tc>
        <w:tc>
          <w:tcPr>
            <w:tcW w:w="1220" w:type="dxa"/>
            <w:vAlign w:val="bottom"/>
            <w:shd w:val="clear" w:color="auto" w:fill="58854E"/>
          </w:tcPr>
          <w:p>
            <w:pPr>
              <w:jc w:val="center"/>
              <w:ind w:right="218"/>
              <w:spacing w:after="0" w:line="137" w:lineRule="exact"/>
              <w:rPr>
                <w:sz w:val="20"/>
                <w:szCs w:val="20"/>
                <w:color w:val="auto"/>
              </w:rPr>
            </w:pPr>
            <w:r>
              <w:rPr>
                <w:rFonts w:ascii="Arial" w:cs="Arial" w:eastAsia="Arial" w:hAnsi="Arial"/>
                <w:sz w:val="12"/>
                <w:szCs w:val="12"/>
                <w:b w:val="1"/>
                <w:bCs w:val="1"/>
                <w:color w:val="FFFFFE"/>
              </w:rPr>
              <w:t>UNITS OF</w:t>
            </w:r>
          </w:p>
        </w:tc>
        <w:tc>
          <w:tcPr>
            <w:tcW w:w="1040" w:type="dxa"/>
            <w:vAlign w:val="bottom"/>
            <w:gridSpan w:val="2"/>
            <w:shd w:val="clear" w:color="auto" w:fill="58854E"/>
          </w:tcPr>
          <w:p>
            <w:pPr>
              <w:jc w:val="center"/>
              <w:ind w:right="113"/>
              <w:spacing w:after="0" w:line="137" w:lineRule="exact"/>
              <w:rPr>
                <w:sz w:val="20"/>
                <w:szCs w:val="20"/>
                <w:color w:val="auto"/>
              </w:rPr>
            </w:pPr>
            <w:r>
              <w:rPr>
                <w:rFonts w:ascii="Arial" w:cs="Arial" w:eastAsia="Arial" w:hAnsi="Arial"/>
                <w:sz w:val="12"/>
                <w:szCs w:val="12"/>
                <w:b w:val="1"/>
                <w:bCs w:val="1"/>
                <w:color w:val="FFFFFE"/>
              </w:rPr>
              <w:t>UNEARNED</w:t>
            </w:r>
          </w:p>
        </w:tc>
        <w:tc>
          <w:tcPr>
            <w:tcW w:w="160" w:type="dxa"/>
            <w:vAlign w:val="bottom"/>
            <w:shd w:val="clear" w:color="auto" w:fill="58854E"/>
          </w:tcPr>
          <w:p>
            <w:pPr>
              <w:spacing w:after="0"/>
              <w:rPr>
                <w:sz w:val="11"/>
                <w:szCs w:val="11"/>
                <w:color w:val="auto"/>
              </w:rPr>
            </w:pPr>
          </w:p>
        </w:tc>
        <w:tc>
          <w:tcPr>
            <w:tcW w:w="11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OF UNEARNED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26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shd w:val="clear" w:color="auto" w:fill="58854E"/>
          </w:tcPr>
          <w:p>
            <w:pPr>
              <w:jc w:val="center"/>
              <w:ind w:right="180"/>
              <w:spacing w:after="0" w:line="137" w:lineRule="exact"/>
              <w:rPr>
                <w:sz w:val="20"/>
                <w:szCs w:val="20"/>
                <w:color w:val="auto"/>
              </w:rPr>
            </w:pPr>
            <w:r>
              <w:rPr>
                <w:rFonts w:ascii="Arial" w:cs="Arial" w:eastAsia="Arial" w:hAnsi="Arial"/>
                <w:sz w:val="12"/>
                <w:szCs w:val="12"/>
                <w:b w:val="1"/>
                <w:bCs w:val="1"/>
                <w:color w:val="FFFFFE"/>
                <w:w w:val="99"/>
              </w:rPr>
              <w:t>UNEXERCISED</w:t>
            </w:r>
          </w:p>
        </w:tc>
        <w:tc>
          <w:tcPr>
            <w:tcW w:w="1480" w:type="dxa"/>
            <w:vAlign w:val="bottom"/>
            <w:shd w:val="clear" w:color="auto" w:fill="58854E"/>
          </w:tcPr>
          <w:p>
            <w:pPr>
              <w:jc w:val="center"/>
              <w:ind w:right="251"/>
              <w:spacing w:after="0" w:line="137" w:lineRule="exact"/>
              <w:rPr>
                <w:sz w:val="20"/>
                <w:szCs w:val="20"/>
                <w:color w:val="auto"/>
              </w:rPr>
            </w:pPr>
            <w:r>
              <w:rPr>
                <w:rFonts w:ascii="Arial" w:cs="Arial" w:eastAsia="Arial" w:hAnsi="Arial"/>
                <w:sz w:val="12"/>
                <w:szCs w:val="12"/>
                <w:b w:val="1"/>
                <w:bCs w:val="1"/>
                <w:color w:val="FFFFFE"/>
              </w:rPr>
              <w:t>UNEXERCISED</w:t>
            </w:r>
          </w:p>
        </w:tc>
        <w:tc>
          <w:tcPr>
            <w:tcW w:w="900" w:type="dxa"/>
            <w:vAlign w:val="bottom"/>
            <w:shd w:val="clear" w:color="auto" w:fill="58854E"/>
          </w:tcPr>
          <w:p>
            <w:pPr>
              <w:jc w:val="center"/>
              <w:ind w:right="213"/>
              <w:spacing w:after="0" w:line="137" w:lineRule="exact"/>
              <w:rPr>
                <w:sz w:val="20"/>
                <w:szCs w:val="20"/>
                <w:color w:val="auto"/>
              </w:rPr>
            </w:pPr>
            <w:r>
              <w:rPr>
                <w:rFonts w:ascii="Arial" w:cs="Arial" w:eastAsia="Arial" w:hAnsi="Arial"/>
                <w:sz w:val="12"/>
                <w:szCs w:val="12"/>
                <w:b w:val="1"/>
                <w:bCs w:val="1"/>
                <w:color w:val="FFFFFE"/>
                <w:w w:val="99"/>
              </w:rPr>
              <w:t>OPTION</w:t>
            </w:r>
          </w:p>
        </w:tc>
        <w:tc>
          <w:tcPr>
            <w:tcW w:w="860" w:type="dxa"/>
            <w:vAlign w:val="bottom"/>
            <w:shd w:val="clear" w:color="auto" w:fill="58854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980" w:type="dxa"/>
            <w:vAlign w:val="bottom"/>
            <w:gridSpan w:val="3"/>
            <w:shd w:val="clear" w:color="auto" w:fill="58854E"/>
          </w:tcPr>
          <w:p>
            <w:pPr>
              <w:jc w:val="center"/>
              <w:ind w:right="180"/>
              <w:spacing w:after="0" w:line="137" w:lineRule="exact"/>
              <w:rPr>
                <w:sz w:val="20"/>
                <w:szCs w:val="20"/>
                <w:color w:val="auto"/>
              </w:rPr>
            </w:pPr>
            <w:r>
              <w:rPr>
                <w:rFonts w:ascii="Arial" w:cs="Arial" w:eastAsia="Arial" w:hAnsi="Arial"/>
                <w:sz w:val="12"/>
                <w:szCs w:val="12"/>
                <w:b w:val="1"/>
                <w:bCs w:val="1"/>
                <w:color w:val="FFFFFE"/>
                <w:w w:val="98"/>
              </w:rPr>
              <w:t>STOCK THAT</w:t>
            </w:r>
          </w:p>
        </w:tc>
        <w:tc>
          <w:tcPr>
            <w:tcW w:w="120" w:type="dxa"/>
            <w:vAlign w:val="bottom"/>
            <w:shd w:val="clear" w:color="auto" w:fill="58854E"/>
          </w:tcPr>
          <w:p>
            <w:pPr>
              <w:spacing w:after="0"/>
              <w:rPr>
                <w:sz w:val="11"/>
                <w:szCs w:val="11"/>
                <w:color w:val="auto"/>
              </w:rPr>
            </w:pPr>
          </w:p>
        </w:tc>
        <w:tc>
          <w:tcPr>
            <w:tcW w:w="1220" w:type="dxa"/>
            <w:vAlign w:val="bottom"/>
            <w:shd w:val="clear" w:color="auto" w:fill="58854E"/>
          </w:tcPr>
          <w:p>
            <w:pPr>
              <w:jc w:val="center"/>
              <w:ind w:right="218"/>
              <w:spacing w:after="0" w:line="137" w:lineRule="exact"/>
              <w:rPr>
                <w:sz w:val="20"/>
                <w:szCs w:val="20"/>
                <w:color w:val="auto"/>
              </w:rPr>
            </w:pPr>
            <w:r>
              <w:rPr>
                <w:rFonts w:ascii="Arial" w:cs="Arial" w:eastAsia="Arial" w:hAnsi="Arial"/>
                <w:sz w:val="12"/>
                <w:szCs w:val="12"/>
                <w:b w:val="1"/>
                <w:bCs w:val="1"/>
                <w:color w:val="FFFFFE"/>
              </w:rPr>
              <w:t>STOCK THAT</w:t>
            </w:r>
          </w:p>
        </w:tc>
        <w:tc>
          <w:tcPr>
            <w:tcW w:w="1040" w:type="dxa"/>
            <w:vAlign w:val="bottom"/>
            <w:gridSpan w:val="2"/>
            <w:shd w:val="clear" w:color="auto" w:fill="58854E"/>
          </w:tcPr>
          <w:p>
            <w:pPr>
              <w:jc w:val="center"/>
              <w:ind w:right="113"/>
              <w:spacing w:after="0" w:line="137" w:lineRule="exact"/>
              <w:rPr>
                <w:sz w:val="20"/>
                <w:szCs w:val="20"/>
                <w:color w:val="auto"/>
              </w:rPr>
            </w:pPr>
            <w:r>
              <w:rPr>
                <w:rFonts w:ascii="Arial" w:cs="Arial" w:eastAsia="Arial" w:hAnsi="Arial"/>
                <w:sz w:val="12"/>
                <w:szCs w:val="12"/>
                <w:b w:val="1"/>
                <w:bCs w:val="1"/>
                <w:color w:val="FFFFFE"/>
              </w:rPr>
              <w:t>SHARES THAT</w:t>
            </w:r>
          </w:p>
        </w:tc>
        <w:tc>
          <w:tcPr>
            <w:tcW w:w="160" w:type="dxa"/>
            <w:vAlign w:val="bottom"/>
            <w:shd w:val="clear" w:color="auto" w:fill="58854E"/>
          </w:tcPr>
          <w:p>
            <w:pPr>
              <w:spacing w:after="0"/>
              <w:rPr>
                <w:sz w:val="11"/>
                <w:szCs w:val="11"/>
                <w:color w:val="auto"/>
              </w:rPr>
            </w:pPr>
          </w:p>
        </w:tc>
        <w:tc>
          <w:tcPr>
            <w:tcW w:w="11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SHARES THAT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26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shd w:val="clear" w:color="auto" w:fill="58854E"/>
          </w:tcPr>
          <w:p>
            <w:pPr>
              <w:jc w:val="center"/>
              <w:ind w:right="180"/>
              <w:spacing w:after="0" w:line="137" w:lineRule="exact"/>
              <w:rPr>
                <w:sz w:val="20"/>
                <w:szCs w:val="20"/>
                <w:color w:val="auto"/>
              </w:rPr>
            </w:pPr>
            <w:r>
              <w:rPr>
                <w:rFonts w:ascii="Arial" w:cs="Arial" w:eastAsia="Arial" w:hAnsi="Arial"/>
                <w:sz w:val="12"/>
                <w:szCs w:val="12"/>
                <w:b w:val="1"/>
                <w:bCs w:val="1"/>
                <w:color w:val="FFFFFE"/>
                <w:w w:val="99"/>
              </w:rPr>
              <w:t>OPTIONS</w:t>
            </w:r>
          </w:p>
        </w:tc>
        <w:tc>
          <w:tcPr>
            <w:tcW w:w="1480" w:type="dxa"/>
            <w:vAlign w:val="bottom"/>
            <w:shd w:val="clear" w:color="auto" w:fill="58854E"/>
          </w:tcPr>
          <w:p>
            <w:pPr>
              <w:jc w:val="center"/>
              <w:ind w:right="231"/>
              <w:spacing w:after="0" w:line="137" w:lineRule="exact"/>
              <w:rPr>
                <w:sz w:val="20"/>
                <w:szCs w:val="20"/>
                <w:color w:val="auto"/>
              </w:rPr>
            </w:pPr>
            <w:r>
              <w:rPr>
                <w:rFonts w:ascii="Arial" w:cs="Arial" w:eastAsia="Arial" w:hAnsi="Arial"/>
                <w:sz w:val="12"/>
                <w:szCs w:val="12"/>
                <w:b w:val="1"/>
                <w:bCs w:val="1"/>
                <w:color w:val="FFFFFE"/>
                <w:w w:val="99"/>
              </w:rPr>
              <w:t>OPTIONS</w:t>
            </w:r>
          </w:p>
        </w:tc>
        <w:tc>
          <w:tcPr>
            <w:tcW w:w="900" w:type="dxa"/>
            <w:vAlign w:val="bottom"/>
            <w:shd w:val="clear" w:color="auto" w:fill="58854E"/>
          </w:tcPr>
          <w:p>
            <w:pPr>
              <w:jc w:val="center"/>
              <w:ind w:right="213"/>
              <w:spacing w:after="0" w:line="137" w:lineRule="exact"/>
              <w:rPr>
                <w:sz w:val="20"/>
                <w:szCs w:val="20"/>
                <w:color w:val="auto"/>
              </w:rPr>
            </w:pPr>
            <w:r>
              <w:rPr>
                <w:rFonts w:ascii="Arial" w:cs="Arial" w:eastAsia="Arial" w:hAnsi="Arial"/>
                <w:sz w:val="12"/>
                <w:szCs w:val="12"/>
                <w:b w:val="1"/>
                <w:bCs w:val="1"/>
                <w:color w:val="FFFFFE"/>
              </w:rPr>
              <w:t>EXERCISE</w:t>
            </w: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OPTION</w:t>
            </w:r>
          </w:p>
        </w:tc>
        <w:tc>
          <w:tcPr>
            <w:tcW w:w="120" w:type="dxa"/>
            <w:vAlign w:val="bottom"/>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980" w:type="dxa"/>
            <w:vAlign w:val="bottom"/>
            <w:gridSpan w:val="3"/>
            <w:shd w:val="clear" w:color="auto" w:fill="58854E"/>
          </w:tcPr>
          <w:p>
            <w:pPr>
              <w:jc w:val="center"/>
              <w:ind w:right="200"/>
              <w:spacing w:after="0" w:line="137" w:lineRule="exact"/>
              <w:rPr>
                <w:sz w:val="20"/>
                <w:szCs w:val="20"/>
                <w:color w:val="auto"/>
              </w:rPr>
            </w:pPr>
            <w:r>
              <w:rPr>
                <w:rFonts w:ascii="Arial" w:cs="Arial" w:eastAsia="Arial" w:hAnsi="Arial"/>
                <w:sz w:val="12"/>
                <w:szCs w:val="12"/>
                <w:b w:val="1"/>
                <w:bCs w:val="1"/>
                <w:color w:val="FFFFFE"/>
                <w:w w:val="99"/>
              </w:rPr>
              <w:t>HAVE NOT</w:t>
            </w:r>
          </w:p>
        </w:tc>
        <w:tc>
          <w:tcPr>
            <w:tcW w:w="120" w:type="dxa"/>
            <w:vAlign w:val="bottom"/>
            <w:shd w:val="clear" w:color="auto" w:fill="58854E"/>
          </w:tcPr>
          <w:p>
            <w:pPr>
              <w:spacing w:after="0"/>
              <w:rPr>
                <w:sz w:val="11"/>
                <w:szCs w:val="11"/>
                <w:color w:val="auto"/>
              </w:rPr>
            </w:pPr>
          </w:p>
        </w:tc>
        <w:tc>
          <w:tcPr>
            <w:tcW w:w="1220" w:type="dxa"/>
            <w:vAlign w:val="bottom"/>
            <w:shd w:val="clear" w:color="auto" w:fill="58854E"/>
          </w:tcPr>
          <w:p>
            <w:pPr>
              <w:jc w:val="center"/>
              <w:ind w:right="218"/>
              <w:spacing w:after="0" w:line="137" w:lineRule="exact"/>
              <w:rPr>
                <w:sz w:val="20"/>
                <w:szCs w:val="20"/>
                <w:color w:val="auto"/>
              </w:rPr>
            </w:pPr>
            <w:r>
              <w:rPr>
                <w:rFonts w:ascii="Arial" w:cs="Arial" w:eastAsia="Arial" w:hAnsi="Arial"/>
                <w:sz w:val="12"/>
                <w:szCs w:val="12"/>
                <w:b w:val="1"/>
                <w:bCs w:val="1"/>
                <w:color w:val="FFFFFE"/>
                <w:w w:val="99"/>
              </w:rPr>
              <w:t>HAVE NOT</w:t>
            </w:r>
          </w:p>
        </w:tc>
        <w:tc>
          <w:tcPr>
            <w:tcW w:w="1040" w:type="dxa"/>
            <w:vAlign w:val="bottom"/>
            <w:gridSpan w:val="2"/>
            <w:shd w:val="clear" w:color="auto" w:fill="58854E"/>
          </w:tcPr>
          <w:p>
            <w:pPr>
              <w:jc w:val="center"/>
              <w:ind w:right="113"/>
              <w:spacing w:after="0" w:line="137" w:lineRule="exact"/>
              <w:rPr>
                <w:sz w:val="20"/>
                <w:szCs w:val="20"/>
                <w:color w:val="auto"/>
              </w:rPr>
            </w:pPr>
            <w:r>
              <w:rPr>
                <w:rFonts w:ascii="Arial" w:cs="Arial" w:eastAsia="Arial" w:hAnsi="Arial"/>
                <w:sz w:val="12"/>
                <w:szCs w:val="12"/>
                <w:b w:val="1"/>
                <w:bCs w:val="1"/>
                <w:color w:val="FFFFFE"/>
                <w:w w:val="99"/>
              </w:rPr>
              <w:t>HAVE NOT</w:t>
            </w:r>
          </w:p>
        </w:tc>
        <w:tc>
          <w:tcPr>
            <w:tcW w:w="160" w:type="dxa"/>
            <w:vAlign w:val="bottom"/>
            <w:shd w:val="clear" w:color="auto" w:fill="58854E"/>
          </w:tcPr>
          <w:p>
            <w:pPr>
              <w:spacing w:after="0"/>
              <w:rPr>
                <w:sz w:val="11"/>
                <w:szCs w:val="11"/>
                <w:color w:val="auto"/>
              </w:rPr>
            </w:pPr>
          </w:p>
        </w:tc>
        <w:tc>
          <w:tcPr>
            <w:tcW w:w="11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HAVE NOT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26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shd w:val="clear" w:color="auto" w:fill="58854E"/>
          </w:tcPr>
          <w:p>
            <w:pPr>
              <w:jc w:val="center"/>
              <w:ind w:left="239"/>
              <w:spacing w:after="0" w:line="137" w:lineRule="exact"/>
              <w:rPr>
                <w:sz w:val="20"/>
                <w:szCs w:val="20"/>
                <w:color w:val="auto"/>
              </w:rPr>
            </w:pPr>
            <w:r>
              <w:rPr>
                <w:rFonts w:ascii="Arial" w:cs="Arial" w:eastAsia="Arial" w:hAnsi="Arial"/>
                <w:sz w:val="12"/>
                <w:szCs w:val="12"/>
                <w:b w:val="1"/>
                <w:bCs w:val="1"/>
                <w:color w:val="FFFFFE"/>
                <w:w w:val="95"/>
              </w:rPr>
              <w:t>(#)</w:t>
            </w:r>
          </w:p>
        </w:tc>
        <w:tc>
          <w:tcPr>
            <w:tcW w:w="140" w:type="dxa"/>
            <w:vAlign w:val="bottom"/>
            <w:shd w:val="clear" w:color="auto" w:fill="58854E"/>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480" w:type="dxa"/>
            <w:vAlign w:val="bottom"/>
            <w:shd w:val="clear" w:color="auto" w:fill="58854E"/>
          </w:tcPr>
          <w:p>
            <w:pPr>
              <w:jc w:val="center"/>
              <w:ind w:right="231"/>
              <w:spacing w:after="0" w:line="137" w:lineRule="exact"/>
              <w:rPr>
                <w:sz w:val="20"/>
                <w:szCs w:val="20"/>
                <w:color w:val="auto"/>
              </w:rPr>
            </w:pPr>
            <w:r>
              <w:rPr>
                <w:rFonts w:ascii="Arial" w:cs="Arial" w:eastAsia="Arial" w:hAnsi="Arial"/>
                <w:sz w:val="12"/>
                <w:szCs w:val="12"/>
                <w:b w:val="1"/>
                <w:bCs w:val="1"/>
                <w:color w:val="FFFFFE"/>
                <w:w w:val="95"/>
              </w:rPr>
              <w:t>(#)</w:t>
            </w:r>
          </w:p>
        </w:tc>
        <w:tc>
          <w:tcPr>
            <w:tcW w:w="900" w:type="dxa"/>
            <w:vAlign w:val="bottom"/>
            <w:shd w:val="clear" w:color="auto" w:fill="58854E"/>
          </w:tcPr>
          <w:p>
            <w:pPr>
              <w:jc w:val="center"/>
              <w:ind w:right="213"/>
              <w:spacing w:after="0" w:line="137" w:lineRule="exact"/>
              <w:rPr>
                <w:sz w:val="20"/>
                <w:szCs w:val="20"/>
                <w:color w:val="auto"/>
              </w:rPr>
            </w:pPr>
            <w:r>
              <w:rPr>
                <w:rFonts w:ascii="Arial" w:cs="Arial" w:eastAsia="Arial" w:hAnsi="Arial"/>
                <w:sz w:val="12"/>
                <w:szCs w:val="12"/>
                <w:b w:val="1"/>
                <w:bCs w:val="1"/>
                <w:color w:val="FFFFFE"/>
              </w:rPr>
              <w:t>PRICE</w:t>
            </w: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EXPIRATION</w:t>
            </w:r>
          </w:p>
        </w:tc>
        <w:tc>
          <w:tcPr>
            <w:tcW w:w="120" w:type="dxa"/>
            <w:vAlign w:val="bottom"/>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980" w:type="dxa"/>
            <w:vAlign w:val="bottom"/>
            <w:gridSpan w:val="3"/>
            <w:shd w:val="clear" w:color="auto" w:fill="58854E"/>
          </w:tcPr>
          <w:p>
            <w:pPr>
              <w:jc w:val="center"/>
              <w:ind w:right="180"/>
              <w:spacing w:after="0" w:line="137" w:lineRule="exact"/>
              <w:rPr>
                <w:sz w:val="20"/>
                <w:szCs w:val="20"/>
                <w:color w:val="auto"/>
              </w:rPr>
            </w:pPr>
            <w:r>
              <w:rPr>
                <w:rFonts w:ascii="Arial" w:cs="Arial" w:eastAsia="Arial" w:hAnsi="Arial"/>
                <w:sz w:val="12"/>
                <w:szCs w:val="12"/>
                <w:b w:val="1"/>
                <w:bCs w:val="1"/>
                <w:color w:val="FFFFFE"/>
                <w:w w:val="99"/>
              </w:rPr>
              <w:t>VESTED</w:t>
            </w:r>
          </w:p>
        </w:tc>
        <w:tc>
          <w:tcPr>
            <w:tcW w:w="120" w:type="dxa"/>
            <w:vAlign w:val="bottom"/>
            <w:shd w:val="clear" w:color="auto" w:fill="58854E"/>
          </w:tcPr>
          <w:p>
            <w:pPr>
              <w:spacing w:after="0"/>
              <w:rPr>
                <w:sz w:val="11"/>
                <w:szCs w:val="11"/>
                <w:color w:val="auto"/>
              </w:rPr>
            </w:pPr>
          </w:p>
        </w:tc>
        <w:tc>
          <w:tcPr>
            <w:tcW w:w="1220" w:type="dxa"/>
            <w:vAlign w:val="bottom"/>
            <w:shd w:val="clear" w:color="auto" w:fill="58854E"/>
          </w:tcPr>
          <w:p>
            <w:pPr>
              <w:jc w:val="center"/>
              <w:ind w:right="218"/>
              <w:spacing w:after="0" w:line="137" w:lineRule="exact"/>
              <w:rPr>
                <w:sz w:val="20"/>
                <w:szCs w:val="20"/>
                <w:color w:val="auto"/>
              </w:rPr>
            </w:pPr>
            <w:r>
              <w:rPr>
                <w:rFonts w:ascii="Arial" w:cs="Arial" w:eastAsia="Arial" w:hAnsi="Arial"/>
                <w:sz w:val="12"/>
                <w:szCs w:val="12"/>
                <w:b w:val="1"/>
                <w:bCs w:val="1"/>
                <w:color w:val="FFFFFE"/>
              </w:rPr>
              <w:t>VESTED</w:t>
            </w:r>
          </w:p>
        </w:tc>
        <w:tc>
          <w:tcPr>
            <w:tcW w:w="1040" w:type="dxa"/>
            <w:vAlign w:val="bottom"/>
            <w:gridSpan w:val="2"/>
            <w:shd w:val="clear" w:color="auto" w:fill="58854E"/>
          </w:tcPr>
          <w:p>
            <w:pPr>
              <w:jc w:val="center"/>
              <w:ind w:right="93"/>
              <w:spacing w:after="0" w:line="137" w:lineRule="exact"/>
              <w:rPr>
                <w:sz w:val="20"/>
                <w:szCs w:val="20"/>
                <w:color w:val="auto"/>
              </w:rPr>
            </w:pPr>
            <w:r>
              <w:rPr>
                <w:rFonts w:ascii="Arial" w:cs="Arial" w:eastAsia="Arial" w:hAnsi="Arial"/>
                <w:sz w:val="12"/>
                <w:szCs w:val="12"/>
                <w:b w:val="1"/>
                <w:bCs w:val="1"/>
                <w:color w:val="FFFFFE"/>
                <w:w w:val="99"/>
              </w:rPr>
              <w:t>VESTED</w:t>
            </w:r>
          </w:p>
        </w:tc>
        <w:tc>
          <w:tcPr>
            <w:tcW w:w="160" w:type="dxa"/>
            <w:vAlign w:val="bottom"/>
            <w:shd w:val="clear" w:color="auto" w:fill="58854E"/>
          </w:tcPr>
          <w:p>
            <w:pPr>
              <w:spacing w:after="0"/>
              <w:rPr>
                <w:sz w:val="11"/>
                <w:szCs w:val="11"/>
                <w:color w:val="auto"/>
              </w:rPr>
            </w:pPr>
          </w:p>
        </w:tc>
        <w:tc>
          <w:tcPr>
            <w:tcW w:w="11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VESTED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 w:type="dxa"/>
            <w:vAlign w:val="bottom"/>
            <w:gridSpan w:val="2"/>
            <w:shd w:val="clear" w:color="auto" w:fill="58854E"/>
          </w:tcPr>
          <w:p>
            <w:pPr>
              <w:spacing w:after="0"/>
              <w:rPr>
                <w:sz w:val="20"/>
                <w:szCs w:val="20"/>
                <w:color w:val="auto"/>
              </w:rPr>
            </w:pPr>
            <w:r>
              <w:rPr>
                <w:rFonts w:ascii="Arial" w:cs="Arial" w:eastAsia="Arial" w:hAnsi="Arial"/>
                <w:sz w:val="12"/>
                <w:szCs w:val="12"/>
                <w:b w:val="1"/>
                <w:bCs w:val="1"/>
                <w:color w:val="FFFFFE"/>
                <w:w w:val="96"/>
              </w:rPr>
              <w:t>NAME</w:t>
            </w:r>
          </w:p>
        </w:tc>
        <w:tc>
          <w:tcPr>
            <w:tcW w:w="126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shd w:val="clear" w:color="auto" w:fill="58854E"/>
          </w:tcPr>
          <w:p>
            <w:pPr>
              <w:jc w:val="center"/>
              <w:ind w:right="180"/>
              <w:spacing w:after="0"/>
              <w:rPr>
                <w:sz w:val="20"/>
                <w:szCs w:val="20"/>
                <w:color w:val="auto"/>
              </w:rPr>
            </w:pPr>
            <w:r>
              <w:rPr>
                <w:rFonts w:ascii="Arial" w:cs="Arial" w:eastAsia="Arial" w:hAnsi="Arial"/>
                <w:sz w:val="12"/>
                <w:szCs w:val="12"/>
                <w:b w:val="1"/>
                <w:bCs w:val="1"/>
                <w:color w:val="FFFFFE"/>
              </w:rPr>
              <w:t>EXERCISABLE</w:t>
            </w:r>
          </w:p>
        </w:tc>
        <w:tc>
          <w:tcPr>
            <w:tcW w:w="1480" w:type="dxa"/>
            <w:vAlign w:val="bottom"/>
            <w:shd w:val="clear" w:color="auto" w:fill="58854E"/>
          </w:tcPr>
          <w:p>
            <w:pPr>
              <w:jc w:val="center"/>
              <w:ind w:right="251"/>
              <w:spacing w:after="0"/>
              <w:rPr>
                <w:sz w:val="20"/>
                <w:szCs w:val="20"/>
                <w:color w:val="auto"/>
              </w:rPr>
            </w:pPr>
            <w:r>
              <w:rPr>
                <w:rFonts w:ascii="Arial" w:cs="Arial" w:eastAsia="Arial" w:hAnsi="Arial"/>
                <w:sz w:val="12"/>
                <w:szCs w:val="12"/>
                <w:b w:val="1"/>
                <w:bCs w:val="1"/>
                <w:color w:val="FFFFFE"/>
              </w:rPr>
              <w:t>UNEXERCISABLE</w:t>
            </w:r>
          </w:p>
        </w:tc>
        <w:tc>
          <w:tcPr>
            <w:tcW w:w="900" w:type="dxa"/>
            <w:vAlign w:val="bottom"/>
            <w:shd w:val="clear" w:color="auto" w:fill="58854E"/>
          </w:tcPr>
          <w:p>
            <w:pPr>
              <w:jc w:val="center"/>
              <w:ind w:right="213"/>
              <w:spacing w:after="0"/>
              <w:rPr>
                <w:sz w:val="20"/>
                <w:szCs w:val="20"/>
                <w:color w:val="auto"/>
              </w:rPr>
            </w:pPr>
            <w:r>
              <w:rPr>
                <w:rFonts w:ascii="Arial" w:cs="Arial" w:eastAsia="Arial" w:hAnsi="Arial"/>
                <w:sz w:val="12"/>
                <w:szCs w:val="12"/>
                <w:b w:val="1"/>
                <w:bCs w:val="1"/>
                <w:color w:val="FFFFFE"/>
                <w:w w:val="95"/>
              </w:rPr>
              <w:t>($)</w:t>
            </w:r>
          </w:p>
        </w:tc>
        <w:tc>
          <w:tcPr>
            <w:tcW w:w="8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7"/>
              </w:rPr>
              <w:t>DATE</w:t>
            </w:r>
          </w:p>
        </w:tc>
        <w:tc>
          <w:tcPr>
            <w:tcW w:w="120" w:type="dxa"/>
            <w:vAlign w:val="bottom"/>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500" w:type="dxa"/>
            <w:vAlign w:val="bottom"/>
            <w:gridSpan w:val="2"/>
            <w:shd w:val="clear" w:color="auto" w:fill="58854E"/>
          </w:tcPr>
          <w:p>
            <w:pPr>
              <w:jc w:val="center"/>
              <w:ind w:left="234"/>
              <w:spacing w:after="0"/>
              <w:rPr>
                <w:sz w:val="20"/>
                <w:szCs w:val="20"/>
                <w:color w:val="auto"/>
              </w:rPr>
            </w:pPr>
            <w:r>
              <w:rPr>
                <w:rFonts w:ascii="Arial" w:cs="Arial" w:eastAsia="Arial" w:hAnsi="Arial"/>
                <w:sz w:val="12"/>
                <w:szCs w:val="12"/>
                <w:b w:val="1"/>
                <w:bCs w:val="1"/>
                <w:color w:val="FFFFFE"/>
              </w:rPr>
              <w:t>(#)</w:t>
            </w:r>
          </w:p>
        </w:tc>
        <w:tc>
          <w:tcPr>
            <w:tcW w:w="480" w:type="dxa"/>
            <w:vAlign w:val="bottom"/>
            <w:shd w:val="clear" w:color="auto" w:fill="58854E"/>
          </w:tcPr>
          <w:p>
            <w:pPr>
              <w:spacing w:after="0"/>
              <w:rPr>
                <w:sz w:val="13"/>
                <w:szCs w:val="13"/>
                <w:color w:val="auto"/>
              </w:rPr>
            </w:pPr>
          </w:p>
        </w:tc>
        <w:tc>
          <w:tcPr>
            <w:tcW w:w="120" w:type="dxa"/>
            <w:vAlign w:val="bottom"/>
            <w:shd w:val="clear" w:color="auto" w:fill="58854E"/>
          </w:tcPr>
          <w:p>
            <w:pPr>
              <w:spacing w:after="0"/>
              <w:rPr>
                <w:sz w:val="13"/>
                <w:szCs w:val="13"/>
                <w:color w:val="auto"/>
              </w:rPr>
            </w:pPr>
          </w:p>
        </w:tc>
        <w:tc>
          <w:tcPr>
            <w:tcW w:w="1220" w:type="dxa"/>
            <w:vAlign w:val="bottom"/>
            <w:shd w:val="clear" w:color="auto" w:fill="58854E"/>
          </w:tcPr>
          <w:p>
            <w:pPr>
              <w:jc w:val="center"/>
              <w:ind w:right="218"/>
              <w:spacing w:after="0"/>
              <w:rPr>
                <w:sz w:val="20"/>
                <w:szCs w:val="20"/>
                <w:color w:val="auto"/>
              </w:rPr>
            </w:pPr>
            <w:r>
              <w:rPr>
                <w:rFonts w:ascii="Arial" w:cs="Arial" w:eastAsia="Arial" w:hAnsi="Arial"/>
                <w:sz w:val="12"/>
                <w:szCs w:val="12"/>
                <w:b w:val="1"/>
                <w:bCs w:val="1"/>
                <w:color w:val="FFFFFE"/>
                <w:w w:val="95"/>
              </w:rPr>
              <w:t>($)</w:t>
            </w:r>
          </w:p>
        </w:tc>
        <w:tc>
          <w:tcPr>
            <w:tcW w:w="620" w:type="dxa"/>
            <w:vAlign w:val="bottom"/>
            <w:shd w:val="clear" w:color="auto" w:fill="58854E"/>
          </w:tcPr>
          <w:p>
            <w:pPr>
              <w:jc w:val="center"/>
              <w:ind w:left="174"/>
              <w:spacing w:after="0"/>
              <w:rPr>
                <w:sz w:val="20"/>
                <w:szCs w:val="20"/>
                <w:color w:val="auto"/>
              </w:rPr>
            </w:pPr>
            <w:r>
              <w:rPr>
                <w:rFonts w:ascii="Arial" w:cs="Arial" w:eastAsia="Arial" w:hAnsi="Arial"/>
                <w:sz w:val="12"/>
                <w:szCs w:val="12"/>
                <w:b w:val="1"/>
                <w:bCs w:val="1"/>
                <w:color w:val="FFFFFE"/>
                <w:w w:val="95"/>
              </w:rPr>
              <w:t>(#)</w:t>
            </w:r>
          </w:p>
        </w:tc>
        <w:tc>
          <w:tcPr>
            <w:tcW w:w="420" w:type="dxa"/>
            <w:vAlign w:val="bottom"/>
            <w:shd w:val="clear" w:color="auto" w:fill="58854E"/>
          </w:tcPr>
          <w:p>
            <w:pPr>
              <w:spacing w:after="0"/>
              <w:rPr>
                <w:sz w:val="13"/>
                <w:szCs w:val="13"/>
                <w:color w:val="auto"/>
              </w:rPr>
            </w:pPr>
          </w:p>
        </w:tc>
        <w:tc>
          <w:tcPr>
            <w:tcW w:w="160" w:type="dxa"/>
            <w:vAlign w:val="bottom"/>
            <w:shd w:val="clear" w:color="auto" w:fill="58854E"/>
          </w:tcPr>
          <w:p>
            <w:pPr>
              <w:spacing w:after="0"/>
              <w:rPr>
                <w:sz w:val="13"/>
                <w:szCs w:val="13"/>
                <w:color w:val="auto"/>
              </w:rPr>
            </w:pPr>
          </w:p>
        </w:tc>
        <w:tc>
          <w:tcPr>
            <w:tcW w:w="1160" w:type="dxa"/>
            <w:vAlign w:val="bottom"/>
            <w:shd w:val="clear" w:color="auto" w:fill="58854E"/>
          </w:tcPr>
          <w:p>
            <w:pPr>
              <w:jc w:val="center"/>
              <w:spacing w:after="0" w:line="160" w:lineRule="exact"/>
              <w:rPr>
                <w:sz w:val="20"/>
                <w:szCs w:val="20"/>
                <w:color w:val="auto"/>
              </w:rPr>
            </w:pPr>
            <w:r>
              <w:rPr>
                <w:rFonts w:ascii="Arial" w:cs="Arial" w:eastAsia="Arial" w:hAnsi="Arial"/>
                <w:sz w:val="12"/>
                <w:szCs w:val="12"/>
                <w:b w:val="1"/>
                <w:bCs w:val="1"/>
                <w:color w:val="FFFFFE"/>
                <w:w w:val="93"/>
              </w:rPr>
              <w:t>($)</w:t>
            </w:r>
            <w:r>
              <w:rPr>
                <w:rFonts w:ascii="Arial" w:cs="Arial" w:eastAsia="Arial" w:hAnsi="Arial"/>
                <w:sz w:val="18"/>
                <w:szCs w:val="18"/>
                <w:b w:val="1"/>
                <w:bCs w:val="1"/>
                <w:color w:val="FFFFFE"/>
                <w:w w:val="93"/>
                <w:vertAlign w:val="superscript"/>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60" w:type="dxa"/>
            <w:vAlign w:val="bottom"/>
            <w:tcBorders>
              <w:bottom w:val="single" w:sz="8" w:color="58854E"/>
            </w:tcBorders>
            <w:gridSpan w:val="4"/>
          </w:tcPr>
          <w:p>
            <w:pPr>
              <w:spacing w:after="0" w:line="171" w:lineRule="exact"/>
              <w:rPr>
                <w:sz w:val="20"/>
                <w:szCs w:val="20"/>
                <w:color w:val="auto"/>
              </w:rPr>
            </w:pPr>
            <w:r>
              <w:rPr>
                <w:rFonts w:ascii="Arial" w:cs="Arial" w:eastAsia="Arial" w:hAnsi="Arial"/>
                <w:sz w:val="15"/>
                <w:szCs w:val="15"/>
                <w:color w:val="auto"/>
              </w:rPr>
              <w:t>Christopher S. Sotos</w:t>
            </w:r>
          </w:p>
        </w:tc>
        <w:tc>
          <w:tcPr>
            <w:tcW w:w="880" w:type="dxa"/>
            <w:vAlign w:val="bottom"/>
            <w:tcBorders>
              <w:bottom w:val="single" w:sz="8" w:color="58854E"/>
            </w:tcBorders>
          </w:tcPr>
          <w:p>
            <w:pPr>
              <w:spacing w:after="0"/>
              <w:rPr>
                <w:sz w:val="14"/>
                <w:szCs w:val="14"/>
                <w:color w:val="auto"/>
              </w:rPr>
            </w:pPr>
          </w:p>
        </w:tc>
        <w:tc>
          <w:tcPr>
            <w:tcW w:w="480" w:type="dxa"/>
            <w:vAlign w:val="bottom"/>
            <w:tcBorders>
              <w:bottom w:val="single" w:sz="8" w:color="58854E"/>
            </w:tcBorders>
            <w:gridSpan w:val="2"/>
          </w:tcPr>
          <w:p>
            <w:pPr>
              <w:ind w:left="80"/>
              <w:spacing w:after="0" w:line="171" w:lineRule="exact"/>
              <w:rPr>
                <w:sz w:val="20"/>
                <w:szCs w:val="20"/>
                <w:color w:val="auto"/>
              </w:rPr>
            </w:pPr>
            <w:r>
              <w:rPr>
                <w:rFonts w:ascii="Arial" w:cs="Arial" w:eastAsia="Arial" w:hAnsi="Arial"/>
                <w:sz w:val="15"/>
                <w:szCs w:val="15"/>
                <w:color w:val="auto"/>
              </w:rPr>
              <w:t>—</w:t>
            </w:r>
          </w:p>
        </w:tc>
        <w:tc>
          <w:tcPr>
            <w:tcW w:w="1480" w:type="dxa"/>
            <w:vAlign w:val="bottom"/>
            <w:tcBorders>
              <w:bottom w:val="single" w:sz="8" w:color="58854E"/>
            </w:tcBorders>
          </w:tcPr>
          <w:p>
            <w:pPr>
              <w:ind w:left="1060"/>
              <w:spacing w:after="0" w:line="171"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58854E"/>
            </w:tcBorders>
          </w:tcPr>
          <w:p>
            <w:pPr>
              <w:ind w:left="520"/>
              <w:spacing w:after="0" w:line="171"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58854E"/>
            </w:tcBorders>
            <w:gridSpan w:val="3"/>
          </w:tcPr>
          <w:p>
            <w:pPr>
              <w:ind w:left="700"/>
              <w:spacing w:after="0" w:line="171"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58854E"/>
            </w:tcBorders>
            <w:gridSpan w:val="3"/>
          </w:tcPr>
          <w:p>
            <w:pPr>
              <w:jc w:val="right"/>
              <w:ind w:right="60"/>
              <w:spacing w:after="0" w:line="171" w:lineRule="exact"/>
              <w:rPr>
                <w:sz w:val="20"/>
                <w:szCs w:val="20"/>
                <w:color w:val="auto"/>
              </w:rPr>
            </w:pPr>
            <w:r>
              <w:rPr>
                <w:rFonts w:ascii="Arial" w:cs="Arial" w:eastAsia="Arial" w:hAnsi="Arial"/>
                <w:sz w:val="15"/>
                <w:szCs w:val="15"/>
                <w:color w:val="auto"/>
              </w:rPr>
              <w:t>101,654</w:t>
            </w:r>
            <w:r>
              <w:rPr>
                <w:rFonts w:ascii="Arial" w:cs="Arial" w:eastAsia="Arial" w:hAnsi="Arial"/>
                <w:sz w:val="9"/>
                <w:szCs w:val="9"/>
                <w:color w:val="58844D"/>
              </w:rPr>
              <w:t>2</w:t>
            </w:r>
          </w:p>
        </w:tc>
        <w:tc>
          <w:tcPr>
            <w:tcW w:w="120" w:type="dxa"/>
            <w:vAlign w:val="bottom"/>
            <w:tcBorders>
              <w:bottom w:val="single" w:sz="8" w:color="58854E"/>
            </w:tcBorders>
          </w:tcPr>
          <w:p>
            <w:pPr>
              <w:jc w:val="right"/>
              <w:spacing w:after="0" w:line="171" w:lineRule="exact"/>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58854E"/>
            </w:tcBorders>
          </w:tcPr>
          <w:p>
            <w:pPr>
              <w:jc w:val="right"/>
              <w:ind w:right="218"/>
              <w:spacing w:after="0" w:line="171" w:lineRule="exact"/>
              <w:rPr>
                <w:sz w:val="20"/>
                <w:szCs w:val="20"/>
                <w:color w:val="auto"/>
              </w:rPr>
            </w:pPr>
            <w:r>
              <w:rPr>
                <w:rFonts w:ascii="Arial" w:cs="Arial" w:eastAsia="Arial" w:hAnsi="Arial"/>
                <w:sz w:val="15"/>
                <w:szCs w:val="15"/>
                <w:color w:val="auto"/>
              </w:rPr>
              <w:t>1,921,261</w:t>
            </w:r>
          </w:p>
        </w:tc>
        <w:tc>
          <w:tcPr>
            <w:tcW w:w="1040" w:type="dxa"/>
            <w:vAlign w:val="bottom"/>
            <w:tcBorders>
              <w:bottom w:val="single" w:sz="8" w:color="58854E"/>
            </w:tcBorders>
            <w:gridSpan w:val="2"/>
          </w:tcPr>
          <w:p>
            <w:pPr>
              <w:jc w:val="center"/>
              <w:ind w:left="394"/>
              <w:spacing w:after="0" w:line="171" w:lineRule="exact"/>
              <w:rPr>
                <w:sz w:val="20"/>
                <w:szCs w:val="20"/>
                <w:color w:val="auto"/>
              </w:rPr>
            </w:pPr>
            <w:r>
              <w:rPr>
                <w:rFonts w:ascii="Arial" w:cs="Arial" w:eastAsia="Arial" w:hAnsi="Arial"/>
                <w:sz w:val="15"/>
                <w:szCs w:val="15"/>
                <w:color w:val="auto"/>
                <w:w w:val="98"/>
              </w:rPr>
              <w:t>39,375</w:t>
            </w:r>
            <w:r>
              <w:rPr>
                <w:rFonts w:ascii="Arial" w:cs="Arial" w:eastAsia="Arial" w:hAnsi="Arial"/>
                <w:sz w:val="9"/>
                <w:szCs w:val="9"/>
                <w:color w:val="58844D"/>
                <w:w w:val="98"/>
              </w:rPr>
              <w:t>3</w:t>
            </w:r>
          </w:p>
        </w:tc>
        <w:tc>
          <w:tcPr>
            <w:tcW w:w="160" w:type="dxa"/>
            <w:vAlign w:val="bottom"/>
            <w:tcBorders>
              <w:bottom w:val="single" w:sz="8" w:color="58854E"/>
            </w:tcBorders>
          </w:tcPr>
          <w:p>
            <w:pPr>
              <w:jc w:val="center"/>
              <w:spacing w:after="0" w:line="171" w:lineRule="exact"/>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58854E"/>
            </w:tcBorders>
            <w:gridSpan w:val="2"/>
          </w:tcPr>
          <w:p>
            <w:pPr>
              <w:ind w:left="620"/>
              <w:spacing w:after="0" w:line="171" w:lineRule="exact"/>
              <w:rPr>
                <w:sz w:val="20"/>
                <w:szCs w:val="20"/>
                <w:color w:val="auto"/>
              </w:rPr>
            </w:pPr>
            <w:r>
              <w:rPr>
                <w:rFonts w:ascii="Arial" w:cs="Arial" w:eastAsia="Arial" w:hAnsi="Arial"/>
                <w:sz w:val="15"/>
                <w:szCs w:val="15"/>
                <w:color w:val="auto"/>
                <w:w w:val="99"/>
              </w:rPr>
              <w:t>744,188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4"/>
          </w:tcPr>
          <w:p>
            <w:pPr>
              <w:spacing w:after="0" w:line="162" w:lineRule="exact"/>
              <w:rPr>
                <w:sz w:val="20"/>
                <w:szCs w:val="20"/>
                <w:color w:val="auto"/>
              </w:rPr>
            </w:pPr>
            <w:r>
              <w:rPr>
                <w:rFonts w:ascii="Arial" w:cs="Arial" w:eastAsia="Arial" w:hAnsi="Arial"/>
                <w:sz w:val="15"/>
                <w:szCs w:val="15"/>
                <w:color w:val="auto"/>
              </w:rPr>
              <w:t>Chad Plotkin</w:t>
            </w:r>
          </w:p>
        </w:tc>
        <w:tc>
          <w:tcPr>
            <w:tcW w:w="880" w:type="dxa"/>
            <w:vAlign w:val="bottom"/>
          </w:tcPr>
          <w:p>
            <w:pPr>
              <w:spacing w:after="0"/>
              <w:rPr>
                <w:sz w:val="14"/>
                <w:szCs w:val="14"/>
                <w:color w:val="auto"/>
              </w:rPr>
            </w:pPr>
          </w:p>
        </w:tc>
        <w:tc>
          <w:tcPr>
            <w:tcW w:w="4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w:t>
            </w:r>
          </w:p>
        </w:tc>
        <w:tc>
          <w:tcPr>
            <w:tcW w:w="1480" w:type="dxa"/>
            <w:vAlign w:val="bottom"/>
          </w:tcPr>
          <w:p>
            <w:pPr>
              <w:ind w:left="106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ind w:left="520"/>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3"/>
          </w:tcPr>
          <w:p>
            <w:pPr>
              <w:ind w:left="700"/>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17,161</w:t>
            </w:r>
            <w:r>
              <w:rPr>
                <w:rFonts w:ascii="Arial" w:cs="Arial" w:eastAsia="Arial" w:hAnsi="Arial"/>
                <w:sz w:val="9"/>
                <w:szCs w:val="9"/>
                <w:color w:val="58844D"/>
              </w:rPr>
              <w:t>4</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18"/>
              <w:spacing w:after="0" w:line="162" w:lineRule="exact"/>
              <w:rPr>
                <w:sz w:val="20"/>
                <w:szCs w:val="20"/>
                <w:color w:val="auto"/>
              </w:rPr>
            </w:pPr>
            <w:r>
              <w:rPr>
                <w:rFonts w:ascii="Arial" w:cs="Arial" w:eastAsia="Arial" w:hAnsi="Arial"/>
                <w:sz w:val="15"/>
                <w:szCs w:val="15"/>
                <w:color w:val="auto"/>
              </w:rPr>
              <w:t>324,343</w:t>
            </w:r>
          </w:p>
        </w:tc>
        <w:tc>
          <w:tcPr>
            <w:tcW w:w="1040" w:type="dxa"/>
            <w:vAlign w:val="bottom"/>
            <w:gridSpan w:val="2"/>
          </w:tcPr>
          <w:p>
            <w:pPr>
              <w:jc w:val="center"/>
              <w:ind w:left="394"/>
              <w:spacing w:after="0" w:line="162" w:lineRule="exact"/>
              <w:rPr>
                <w:sz w:val="20"/>
                <w:szCs w:val="20"/>
                <w:color w:val="auto"/>
              </w:rPr>
            </w:pPr>
            <w:r>
              <w:rPr>
                <w:rFonts w:ascii="Arial" w:cs="Arial" w:eastAsia="Arial" w:hAnsi="Arial"/>
                <w:sz w:val="15"/>
                <w:szCs w:val="15"/>
                <w:color w:val="auto"/>
                <w:w w:val="98"/>
              </w:rPr>
              <w:t>11,025</w:t>
            </w:r>
            <w:r>
              <w:rPr>
                <w:rFonts w:ascii="Arial" w:cs="Arial" w:eastAsia="Arial" w:hAnsi="Arial"/>
                <w:sz w:val="9"/>
                <w:szCs w:val="9"/>
                <w:color w:val="58844D"/>
                <w:w w:val="98"/>
              </w:rPr>
              <w:t>5</w:t>
            </w:r>
          </w:p>
        </w:tc>
        <w:tc>
          <w:tcPr>
            <w:tcW w:w="160" w:type="dxa"/>
            <w:vAlign w:val="bottom"/>
          </w:tcPr>
          <w:p>
            <w:pPr>
              <w:jc w:val="center"/>
              <w:spacing w:after="0" w:line="162" w:lineRule="exact"/>
              <w:rPr>
                <w:sz w:val="20"/>
                <w:szCs w:val="20"/>
                <w:color w:val="auto"/>
              </w:rPr>
            </w:pPr>
            <w:r>
              <w:rPr>
                <w:rFonts w:ascii="Arial" w:cs="Arial" w:eastAsia="Arial" w:hAnsi="Arial"/>
                <w:sz w:val="15"/>
                <w:szCs w:val="15"/>
                <w:color w:val="auto"/>
                <w:w w:val="95"/>
              </w:rPr>
              <w:t>$</w:t>
            </w:r>
          </w:p>
        </w:tc>
        <w:tc>
          <w:tcPr>
            <w:tcW w:w="1180" w:type="dxa"/>
            <w:vAlign w:val="bottom"/>
            <w:gridSpan w:val="2"/>
          </w:tcPr>
          <w:p>
            <w:pPr>
              <w:ind w:left="620"/>
              <w:spacing w:after="0" w:line="162" w:lineRule="exact"/>
              <w:rPr>
                <w:sz w:val="20"/>
                <w:szCs w:val="20"/>
                <w:color w:val="auto"/>
              </w:rPr>
            </w:pPr>
            <w:r>
              <w:rPr>
                <w:rFonts w:ascii="Arial" w:cs="Arial" w:eastAsia="Arial" w:hAnsi="Arial"/>
                <w:sz w:val="15"/>
                <w:szCs w:val="15"/>
                <w:color w:val="auto"/>
                <w:w w:val="99"/>
              </w:rPr>
              <w:t>208,373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20" w:type="dxa"/>
            <w:vAlign w:val="bottom"/>
            <w:tcBorders>
              <w:top w:val="single" w:sz="8" w:color="58854E"/>
            </w:tcBorders>
            <w:shd w:val="clear" w:color="auto" w:fill="E9EEE6"/>
          </w:tcPr>
          <w:p>
            <w:pPr>
              <w:spacing w:after="0" w:line="100" w:lineRule="exact"/>
              <w:rPr>
                <w:sz w:val="20"/>
                <w:szCs w:val="20"/>
                <w:color w:val="auto"/>
              </w:rPr>
            </w:pPr>
            <w:r>
              <w:rPr>
                <w:rFonts w:ascii="Arial" w:cs="Arial" w:eastAsia="Arial" w:hAnsi="Arial"/>
                <w:sz w:val="9"/>
                <w:szCs w:val="9"/>
                <w:color w:val="58844D"/>
              </w:rPr>
              <w:t>1</w:t>
            </w:r>
          </w:p>
        </w:tc>
        <w:tc>
          <w:tcPr>
            <w:tcW w:w="140" w:type="dxa"/>
            <w:vAlign w:val="bottom"/>
            <w:tcBorders>
              <w:top w:val="single" w:sz="8" w:color="58854E"/>
            </w:tcBorders>
            <w:shd w:val="clear" w:color="auto" w:fill="E9EEE6"/>
          </w:tcPr>
          <w:p>
            <w:pPr>
              <w:spacing w:after="0"/>
              <w:rPr>
                <w:sz w:val="8"/>
                <w:szCs w:val="8"/>
                <w:color w:val="auto"/>
              </w:rPr>
            </w:pPr>
          </w:p>
        </w:tc>
        <w:tc>
          <w:tcPr>
            <w:tcW w:w="5140" w:type="dxa"/>
            <w:vAlign w:val="bottom"/>
            <w:tcBorders>
              <w:top w:val="single" w:sz="8" w:color="58854E"/>
            </w:tcBorders>
            <w:gridSpan w:val="7"/>
            <w:vMerge w:val="restart"/>
            <w:shd w:val="clear" w:color="auto" w:fill="E9EEE6"/>
          </w:tcPr>
          <w:p>
            <w:pPr>
              <w:spacing w:after="0" w:line="128" w:lineRule="exact"/>
              <w:rPr>
                <w:sz w:val="20"/>
                <w:szCs w:val="20"/>
                <w:color w:val="auto"/>
              </w:rPr>
            </w:pPr>
            <w:r>
              <w:rPr>
                <w:rFonts w:ascii="Arial" w:cs="Arial" w:eastAsia="Arial" w:hAnsi="Arial"/>
                <w:sz w:val="12"/>
                <w:szCs w:val="12"/>
                <w:color w:val="auto"/>
              </w:rPr>
              <w:t>Assumes achievement at target award level for 2017 RPSU awards as discussed in the CD&amp;A.</w:t>
            </w:r>
          </w:p>
        </w:tc>
        <w:tc>
          <w:tcPr>
            <w:tcW w:w="860" w:type="dxa"/>
            <w:vAlign w:val="bottom"/>
            <w:tcBorders>
              <w:top w:val="single" w:sz="8" w:color="58854E"/>
            </w:tcBorders>
            <w:shd w:val="clear" w:color="auto" w:fill="E9EEE6"/>
          </w:tcPr>
          <w:p>
            <w:pPr>
              <w:spacing w:after="0"/>
              <w:rPr>
                <w:sz w:val="8"/>
                <w:szCs w:val="8"/>
                <w:color w:val="auto"/>
              </w:rPr>
            </w:pPr>
          </w:p>
        </w:tc>
        <w:tc>
          <w:tcPr>
            <w:tcW w:w="120" w:type="dxa"/>
            <w:vAlign w:val="bottom"/>
            <w:tcBorders>
              <w:top w:val="single" w:sz="8" w:color="58854E"/>
            </w:tcBorders>
            <w:shd w:val="clear" w:color="auto" w:fill="E9EEE6"/>
          </w:tcPr>
          <w:p>
            <w:pPr>
              <w:spacing w:after="0"/>
              <w:rPr>
                <w:sz w:val="8"/>
                <w:szCs w:val="8"/>
                <w:color w:val="auto"/>
              </w:rPr>
            </w:pPr>
          </w:p>
        </w:tc>
        <w:tc>
          <w:tcPr>
            <w:tcW w:w="140" w:type="dxa"/>
            <w:vAlign w:val="bottom"/>
            <w:tcBorders>
              <w:top w:val="single" w:sz="8" w:color="58854E"/>
            </w:tcBorders>
            <w:shd w:val="clear" w:color="auto" w:fill="E9EEE6"/>
          </w:tcPr>
          <w:p>
            <w:pPr>
              <w:spacing w:after="0"/>
              <w:rPr>
                <w:sz w:val="8"/>
                <w:szCs w:val="8"/>
                <w:color w:val="auto"/>
              </w:rPr>
            </w:pPr>
          </w:p>
        </w:tc>
        <w:tc>
          <w:tcPr>
            <w:tcW w:w="360" w:type="dxa"/>
            <w:vAlign w:val="bottom"/>
            <w:tcBorders>
              <w:top w:val="single" w:sz="8" w:color="58854E"/>
            </w:tcBorders>
            <w:shd w:val="clear" w:color="auto" w:fill="E9EEE6"/>
          </w:tcPr>
          <w:p>
            <w:pPr>
              <w:spacing w:after="0"/>
              <w:rPr>
                <w:sz w:val="8"/>
                <w:szCs w:val="8"/>
                <w:color w:val="auto"/>
              </w:rPr>
            </w:pPr>
          </w:p>
        </w:tc>
        <w:tc>
          <w:tcPr>
            <w:tcW w:w="140" w:type="dxa"/>
            <w:vAlign w:val="bottom"/>
            <w:tcBorders>
              <w:top w:val="single" w:sz="8" w:color="58854E"/>
            </w:tcBorders>
            <w:shd w:val="clear" w:color="auto" w:fill="E9EEE6"/>
          </w:tcPr>
          <w:p>
            <w:pPr>
              <w:spacing w:after="0"/>
              <w:rPr>
                <w:sz w:val="8"/>
                <w:szCs w:val="8"/>
                <w:color w:val="auto"/>
              </w:rPr>
            </w:pPr>
          </w:p>
        </w:tc>
        <w:tc>
          <w:tcPr>
            <w:tcW w:w="480" w:type="dxa"/>
            <w:vAlign w:val="bottom"/>
            <w:tcBorders>
              <w:top w:val="single" w:sz="8" w:color="58854E"/>
            </w:tcBorders>
            <w:shd w:val="clear" w:color="auto" w:fill="E9EEE6"/>
          </w:tcPr>
          <w:p>
            <w:pPr>
              <w:spacing w:after="0"/>
              <w:rPr>
                <w:sz w:val="8"/>
                <w:szCs w:val="8"/>
                <w:color w:val="auto"/>
              </w:rPr>
            </w:pPr>
          </w:p>
        </w:tc>
        <w:tc>
          <w:tcPr>
            <w:tcW w:w="120" w:type="dxa"/>
            <w:vAlign w:val="bottom"/>
            <w:tcBorders>
              <w:top w:val="single" w:sz="8" w:color="58854E"/>
            </w:tcBorders>
            <w:shd w:val="clear" w:color="auto" w:fill="E9EEE6"/>
          </w:tcPr>
          <w:p>
            <w:pPr>
              <w:spacing w:after="0"/>
              <w:rPr>
                <w:sz w:val="8"/>
                <w:szCs w:val="8"/>
                <w:color w:val="auto"/>
              </w:rPr>
            </w:pPr>
          </w:p>
        </w:tc>
        <w:tc>
          <w:tcPr>
            <w:tcW w:w="1220" w:type="dxa"/>
            <w:vAlign w:val="bottom"/>
            <w:tcBorders>
              <w:top w:val="single" w:sz="8" w:color="58854E"/>
            </w:tcBorders>
            <w:shd w:val="clear" w:color="auto" w:fill="E9EEE6"/>
          </w:tcPr>
          <w:p>
            <w:pPr>
              <w:spacing w:after="0"/>
              <w:rPr>
                <w:sz w:val="8"/>
                <w:szCs w:val="8"/>
                <w:color w:val="auto"/>
              </w:rPr>
            </w:pPr>
          </w:p>
        </w:tc>
        <w:tc>
          <w:tcPr>
            <w:tcW w:w="620" w:type="dxa"/>
            <w:vAlign w:val="bottom"/>
            <w:tcBorders>
              <w:top w:val="single" w:sz="8" w:color="58854E"/>
            </w:tcBorders>
            <w:shd w:val="clear" w:color="auto" w:fill="E9EEE6"/>
          </w:tcPr>
          <w:p>
            <w:pPr>
              <w:spacing w:after="0"/>
              <w:rPr>
                <w:sz w:val="8"/>
                <w:szCs w:val="8"/>
                <w:color w:val="auto"/>
              </w:rPr>
            </w:pPr>
          </w:p>
        </w:tc>
        <w:tc>
          <w:tcPr>
            <w:tcW w:w="420" w:type="dxa"/>
            <w:vAlign w:val="bottom"/>
            <w:tcBorders>
              <w:top w:val="single" w:sz="8" w:color="58854E"/>
            </w:tcBorders>
            <w:shd w:val="clear" w:color="auto" w:fill="E9EEE6"/>
          </w:tcPr>
          <w:p>
            <w:pPr>
              <w:spacing w:after="0"/>
              <w:rPr>
                <w:sz w:val="8"/>
                <w:szCs w:val="8"/>
                <w:color w:val="auto"/>
              </w:rPr>
            </w:pPr>
          </w:p>
        </w:tc>
        <w:tc>
          <w:tcPr>
            <w:tcW w:w="160" w:type="dxa"/>
            <w:vAlign w:val="bottom"/>
            <w:tcBorders>
              <w:top w:val="single" w:sz="8" w:color="58854E"/>
            </w:tcBorders>
            <w:shd w:val="clear" w:color="auto" w:fill="E9EEE6"/>
          </w:tcPr>
          <w:p>
            <w:pPr>
              <w:spacing w:after="0"/>
              <w:rPr>
                <w:sz w:val="8"/>
                <w:szCs w:val="8"/>
                <w:color w:val="auto"/>
              </w:rPr>
            </w:pPr>
          </w:p>
        </w:tc>
        <w:tc>
          <w:tcPr>
            <w:tcW w:w="1160" w:type="dxa"/>
            <w:vAlign w:val="bottom"/>
            <w:tcBorders>
              <w:top w:val="single" w:sz="8" w:color="58854E"/>
            </w:tcBorders>
            <w:shd w:val="clear" w:color="auto" w:fill="E9EEE6"/>
          </w:tcPr>
          <w:p>
            <w:pPr>
              <w:spacing w:after="0"/>
              <w:rPr>
                <w:sz w:val="8"/>
                <w:szCs w:val="8"/>
                <w:color w:val="auto"/>
              </w:rPr>
            </w:pPr>
          </w:p>
        </w:tc>
        <w:tc>
          <w:tcPr>
            <w:tcW w:w="20" w:type="dxa"/>
            <w:vAlign w:val="bottom"/>
            <w:shd w:val="clear" w:color="auto" w:fill="E9EEE6"/>
          </w:tcPr>
          <w:p>
            <w:pPr>
              <w:spacing w:after="0"/>
              <w:rPr>
                <w:sz w:val="8"/>
                <w:szCs w:val="8"/>
                <w:color w:val="auto"/>
              </w:rPr>
            </w:pPr>
          </w:p>
        </w:tc>
        <w:tc>
          <w:tcPr>
            <w:tcW w:w="120" w:type="dxa"/>
            <w:vAlign w:val="bottom"/>
            <w:shd w:val="clear" w:color="auto" w:fill="E9EEE6"/>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 w:type="dxa"/>
            <w:vAlign w:val="bottom"/>
            <w:vMerge w:val="restart"/>
            <w:shd w:val="clear" w:color="auto" w:fill="E9EEE6"/>
          </w:tcPr>
          <w:p>
            <w:pPr>
              <w:spacing w:after="0"/>
              <w:rPr>
                <w:sz w:val="20"/>
                <w:szCs w:val="20"/>
                <w:color w:val="auto"/>
              </w:rPr>
            </w:pPr>
            <w:r>
              <w:rPr>
                <w:rFonts w:ascii="Arial" w:cs="Arial" w:eastAsia="Arial" w:hAnsi="Arial"/>
                <w:sz w:val="9"/>
                <w:szCs w:val="9"/>
                <w:color w:val="58844D"/>
              </w:rPr>
              <w:t>2</w:t>
            </w:r>
          </w:p>
        </w:tc>
        <w:tc>
          <w:tcPr>
            <w:tcW w:w="140" w:type="dxa"/>
            <w:vAlign w:val="bottom"/>
            <w:shd w:val="clear" w:color="auto" w:fill="E9EEE6"/>
          </w:tcPr>
          <w:p>
            <w:pPr>
              <w:spacing w:after="0"/>
              <w:rPr>
                <w:sz w:val="2"/>
                <w:szCs w:val="2"/>
                <w:color w:val="auto"/>
              </w:rPr>
            </w:pPr>
          </w:p>
        </w:tc>
        <w:tc>
          <w:tcPr>
            <w:tcW w:w="5140" w:type="dxa"/>
            <w:vAlign w:val="bottom"/>
            <w:gridSpan w:val="7"/>
            <w:vMerge w:val="continue"/>
            <w:shd w:val="clear" w:color="auto" w:fill="E9EEE6"/>
          </w:tcPr>
          <w:p>
            <w:pPr>
              <w:spacing w:after="0"/>
              <w:rPr>
                <w:sz w:val="2"/>
                <w:szCs w:val="2"/>
                <w:color w:val="auto"/>
              </w:rPr>
            </w:pPr>
          </w:p>
        </w:tc>
        <w:tc>
          <w:tcPr>
            <w:tcW w:w="860" w:type="dxa"/>
            <w:vAlign w:val="bottom"/>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360" w:type="dxa"/>
            <w:vAlign w:val="bottom"/>
            <w:shd w:val="clear" w:color="auto" w:fill="E9EEE6"/>
          </w:tcPr>
          <w:p>
            <w:pPr>
              <w:spacing w:after="0"/>
              <w:rPr>
                <w:sz w:val="2"/>
                <w:szCs w:val="2"/>
                <w:color w:val="auto"/>
              </w:rPr>
            </w:pPr>
          </w:p>
        </w:tc>
        <w:tc>
          <w:tcPr>
            <w:tcW w:w="140" w:type="dxa"/>
            <w:vAlign w:val="bottom"/>
            <w:shd w:val="clear" w:color="auto" w:fill="E9EEE6"/>
          </w:tcPr>
          <w:p>
            <w:pPr>
              <w:spacing w:after="0"/>
              <w:rPr>
                <w:sz w:val="2"/>
                <w:szCs w:val="2"/>
                <w:color w:val="auto"/>
              </w:rPr>
            </w:pPr>
          </w:p>
        </w:tc>
        <w:tc>
          <w:tcPr>
            <w:tcW w:w="480" w:type="dxa"/>
            <w:vAlign w:val="bottom"/>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1220" w:type="dxa"/>
            <w:vAlign w:val="bottom"/>
            <w:shd w:val="clear" w:color="auto" w:fill="E9EEE6"/>
          </w:tcPr>
          <w:p>
            <w:pPr>
              <w:spacing w:after="0"/>
              <w:rPr>
                <w:sz w:val="2"/>
                <w:szCs w:val="2"/>
                <w:color w:val="auto"/>
              </w:rPr>
            </w:pPr>
          </w:p>
        </w:tc>
        <w:tc>
          <w:tcPr>
            <w:tcW w:w="620" w:type="dxa"/>
            <w:vAlign w:val="bottom"/>
            <w:shd w:val="clear" w:color="auto" w:fill="E9EEE6"/>
          </w:tcPr>
          <w:p>
            <w:pPr>
              <w:spacing w:after="0"/>
              <w:rPr>
                <w:sz w:val="2"/>
                <w:szCs w:val="2"/>
                <w:color w:val="auto"/>
              </w:rPr>
            </w:pPr>
          </w:p>
        </w:tc>
        <w:tc>
          <w:tcPr>
            <w:tcW w:w="420" w:type="dxa"/>
            <w:vAlign w:val="bottom"/>
            <w:shd w:val="clear" w:color="auto" w:fill="E9EEE6"/>
          </w:tcPr>
          <w:p>
            <w:pPr>
              <w:spacing w:after="0"/>
              <w:rPr>
                <w:sz w:val="2"/>
                <w:szCs w:val="2"/>
                <w:color w:val="auto"/>
              </w:rPr>
            </w:pPr>
          </w:p>
        </w:tc>
        <w:tc>
          <w:tcPr>
            <w:tcW w:w="160" w:type="dxa"/>
            <w:vAlign w:val="bottom"/>
            <w:shd w:val="clear" w:color="auto" w:fill="E9EEE6"/>
          </w:tcPr>
          <w:p>
            <w:pPr>
              <w:spacing w:after="0"/>
              <w:rPr>
                <w:sz w:val="2"/>
                <w:szCs w:val="2"/>
                <w:color w:val="auto"/>
              </w:rPr>
            </w:pPr>
          </w:p>
        </w:tc>
        <w:tc>
          <w:tcPr>
            <w:tcW w:w="1160" w:type="dxa"/>
            <w:vAlign w:val="bottom"/>
            <w:shd w:val="clear" w:color="auto" w:fill="E9EEE6"/>
          </w:tcPr>
          <w:p>
            <w:pPr>
              <w:spacing w:after="0"/>
              <w:rPr>
                <w:sz w:val="2"/>
                <w:szCs w:val="2"/>
                <w:color w:val="auto"/>
              </w:rPr>
            </w:pPr>
          </w:p>
        </w:tc>
        <w:tc>
          <w:tcPr>
            <w:tcW w:w="20" w:type="dxa"/>
            <w:vAlign w:val="bottom"/>
            <w:shd w:val="clear" w:color="auto" w:fill="E9EEE6"/>
          </w:tcPr>
          <w:p>
            <w:pPr>
              <w:spacing w:after="0"/>
              <w:rPr>
                <w:sz w:val="2"/>
                <w:szCs w:val="2"/>
                <w:color w:val="auto"/>
              </w:rPr>
            </w:pPr>
          </w:p>
        </w:tc>
        <w:tc>
          <w:tcPr>
            <w:tcW w:w="120" w:type="dxa"/>
            <w:vAlign w:val="bottom"/>
            <w:shd w:val="clear" w:color="auto" w:fill="E9EE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220" w:type="dxa"/>
            <w:vAlign w:val="bottom"/>
            <w:vMerge w:val="continue"/>
            <w:shd w:val="clear" w:color="auto" w:fill="E9EEE6"/>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11080" w:type="dxa"/>
            <w:vAlign w:val="bottom"/>
            <w:gridSpan w:val="21"/>
            <w:vMerge w:val="restart"/>
            <w:shd w:val="clear" w:color="auto" w:fill="E9EEE6"/>
          </w:tcPr>
          <w:p>
            <w:pPr>
              <w:spacing w:after="0"/>
              <w:rPr>
                <w:sz w:val="20"/>
                <w:szCs w:val="20"/>
                <w:color w:val="auto"/>
              </w:rPr>
            </w:pPr>
            <w:r>
              <w:rPr>
                <w:rFonts w:ascii="Arial" w:cs="Arial" w:eastAsia="Arial" w:hAnsi="Arial"/>
                <w:sz w:val="12"/>
                <w:szCs w:val="12"/>
                <w:color w:val="auto"/>
              </w:rPr>
              <w:t>This amount represents 8,821 RSUs that vested on January 2, 2018, 8,749 RSUs that vested on January 3, 2018, 8,749 RSUs that will vest of January 3, 2019, 66,559 RSUs that will vest on January 4,</w:t>
            </w:r>
          </w:p>
        </w:tc>
        <w:tc>
          <w:tcPr>
            <w:tcW w:w="0" w:type="dxa"/>
            <w:vAlign w:val="bottom"/>
          </w:tcPr>
          <w:p>
            <w:pPr>
              <w:spacing w:after="0"/>
              <w:rPr>
                <w:sz w:val="1"/>
                <w:szCs w:val="1"/>
                <w:color w:val="auto"/>
              </w:rPr>
            </w:pPr>
          </w:p>
        </w:tc>
      </w:tr>
      <w:tr>
        <w:trPr>
          <w:trHeight w:val="58"/>
        </w:trPr>
        <w:tc>
          <w:tcPr>
            <w:tcW w:w="220" w:type="dxa"/>
            <w:vAlign w:val="bottom"/>
            <w:shd w:val="clear" w:color="auto" w:fill="E9EEE6"/>
          </w:tcPr>
          <w:p>
            <w:pPr>
              <w:spacing w:after="0"/>
              <w:rPr>
                <w:sz w:val="5"/>
                <w:szCs w:val="5"/>
                <w:color w:val="auto"/>
              </w:rPr>
            </w:pPr>
          </w:p>
        </w:tc>
        <w:tc>
          <w:tcPr>
            <w:tcW w:w="140" w:type="dxa"/>
            <w:vAlign w:val="bottom"/>
            <w:shd w:val="clear" w:color="auto" w:fill="E9EEE6"/>
          </w:tcPr>
          <w:p>
            <w:pPr>
              <w:spacing w:after="0"/>
              <w:rPr>
                <w:sz w:val="5"/>
                <w:szCs w:val="5"/>
                <w:color w:val="auto"/>
              </w:rPr>
            </w:pPr>
          </w:p>
        </w:tc>
        <w:tc>
          <w:tcPr>
            <w:tcW w:w="11080" w:type="dxa"/>
            <w:vAlign w:val="bottom"/>
            <w:gridSpan w:val="21"/>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20" w:type="dxa"/>
            <w:vAlign w:val="bottom"/>
            <w:vMerge w:val="restart"/>
            <w:shd w:val="clear" w:color="auto" w:fill="E9EEE6"/>
          </w:tcPr>
          <w:p>
            <w:pPr>
              <w:spacing w:after="0"/>
              <w:rPr>
                <w:sz w:val="20"/>
                <w:szCs w:val="20"/>
                <w:color w:val="auto"/>
              </w:rPr>
            </w:pPr>
            <w:r>
              <w:rPr>
                <w:rFonts w:ascii="Arial" w:cs="Arial" w:eastAsia="Arial" w:hAnsi="Arial"/>
                <w:sz w:val="9"/>
                <w:szCs w:val="9"/>
                <w:color w:val="58844D"/>
              </w:rPr>
              <w:t>3</w:t>
            </w:r>
          </w:p>
        </w:tc>
        <w:tc>
          <w:tcPr>
            <w:tcW w:w="140" w:type="dxa"/>
            <w:vAlign w:val="bottom"/>
            <w:shd w:val="clear" w:color="auto" w:fill="E9EEE6"/>
          </w:tcPr>
          <w:p>
            <w:pPr>
              <w:spacing w:after="0"/>
              <w:rPr>
                <w:sz w:val="11"/>
                <w:szCs w:val="11"/>
                <w:color w:val="auto"/>
              </w:rPr>
            </w:pPr>
          </w:p>
        </w:tc>
        <w:tc>
          <w:tcPr>
            <w:tcW w:w="4240" w:type="dxa"/>
            <w:vAlign w:val="bottom"/>
            <w:gridSpan w:val="6"/>
            <w:shd w:val="clear" w:color="auto" w:fill="E9EEE6"/>
          </w:tcPr>
          <w:p>
            <w:pPr>
              <w:spacing w:after="0" w:line="133" w:lineRule="exact"/>
              <w:rPr>
                <w:sz w:val="20"/>
                <w:szCs w:val="20"/>
                <w:color w:val="auto"/>
              </w:rPr>
            </w:pPr>
            <w:r>
              <w:rPr>
                <w:rFonts w:ascii="Arial" w:cs="Arial" w:eastAsia="Arial" w:hAnsi="Arial"/>
                <w:sz w:val="12"/>
                <w:szCs w:val="12"/>
                <w:color w:val="auto"/>
              </w:rPr>
              <w:t>2019, and 8,776 RSUs that will vest on January 3, 2020.</w:t>
            </w:r>
          </w:p>
        </w:tc>
        <w:tc>
          <w:tcPr>
            <w:tcW w:w="900" w:type="dxa"/>
            <w:vAlign w:val="bottom"/>
            <w:shd w:val="clear" w:color="auto" w:fill="E9EEE6"/>
          </w:tcPr>
          <w:p>
            <w:pPr>
              <w:spacing w:after="0"/>
              <w:rPr>
                <w:sz w:val="11"/>
                <w:szCs w:val="11"/>
                <w:color w:val="auto"/>
              </w:rPr>
            </w:pPr>
          </w:p>
        </w:tc>
        <w:tc>
          <w:tcPr>
            <w:tcW w:w="860" w:type="dxa"/>
            <w:vAlign w:val="bottom"/>
            <w:shd w:val="clear" w:color="auto" w:fill="E9EEE6"/>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36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480" w:type="dxa"/>
            <w:vAlign w:val="bottom"/>
            <w:shd w:val="clear" w:color="auto" w:fill="E9EEE6"/>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1220" w:type="dxa"/>
            <w:vAlign w:val="bottom"/>
            <w:shd w:val="clear" w:color="auto" w:fill="E9EEE6"/>
          </w:tcPr>
          <w:p>
            <w:pPr>
              <w:spacing w:after="0"/>
              <w:rPr>
                <w:sz w:val="11"/>
                <w:szCs w:val="11"/>
                <w:color w:val="auto"/>
              </w:rPr>
            </w:pPr>
          </w:p>
        </w:tc>
        <w:tc>
          <w:tcPr>
            <w:tcW w:w="620" w:type="dxa"/>
            <w:vAlign w:val="bottom"/>
            <w:shd w:val="clear" w:color="auto" w:fill="E9EEE6"/>
          </w:tcPr>
          <w:p>
            <w:pPr>
              <w:spacing w:after="0"/>
              <w:rPr>
                <w:sz w:val="11"/>
                <w:szCs w:val="11"/>
                <w:color w:val="auto"/>
              </w:rPr>
            </w:pPr>
          </w:p>
        </w:tc>
        <w:tc>
          <w:tcPr>
            <w:tcW w:w="420" w:type="dxa"/>
            <w:vAlign w:val="bottom"/>
            <w:shd w:val="clear" w:color="auto" w:fill="E9EEE6"/>
          </w:tcPr>
          <w:p>
            <w:pPr>
              <w:spacing w:after="0"/>
              <w:rPr>
                <w:sz w:val="11"/>
                <w:szCs w:val="11"/>
                <w:color w:val="auto"/>
              </w:rPr>
            </w:pPr>
          </w:p>
        </w:tc>
        <w:tc>
          <w:tcPr>
            <w:tcW w:w="160" w:type="dxa"/>
            <w:vAlign w:val="bottom"/>
            <w:shd w:val="clear" w:color="auto" w:fill="E9EEE6"/>
          </w:tcPr>
          <w:p>
            <w:pPr>
              <w:spacing w:after="0"/>
              <w:rPr>
                <w:sz w:val="11"/>
                <w:szCs w:val="11"/>
                <w:color w:val="auto"/>
              </w:rPr>
            </w:pPr>
          </w:p>
        </w:tc>
        <w:tc>
          <w:tcPr>
            <w:tcW w:w="1160" w:type="dxa"/>
            <w:vAlign w:val="bottom"/>
            <w:shd w:val="clear" w:color="auto" w:fill="E9EEE6"/>
          </w:tcPr>
          <w:p>
            <w:pPr>
              <w:spacing w:after="0"/>
              <w:rPr>
                <w:sz w:val="11"/>
                <w:szCs w:val="11"/>
                <w:color w:val="auto"/>
              </w:rPr>
            </w:pPr>
          </w:p>
        </w:tc>
        <w:tc>
          <w:tcPr>
            <w:tcW w:w="20" w:type="dxa"/>
            <w:vAlign w:val="bottom"/>
            <w:shd w:val="clear" w:color="auto" w:fill="E9EEE6"/>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20" w:type="dxa"/>
            <w:vAlign w:val="bottom"/>
            <w:vMerge w:val="continue"/>
            <w:shd w:val="clear" w:color="auto" w:fill="E9EEE6"/>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4240" w:type="dxa"/>
            <w:vAlign w:val="bottom"/>
            <w:gridSpan w:val="6"/>
            <w:vMerge w:val="restart"/>
            <w:shd w:val="clear" w:color="auto" w:fill="E9EEE6"/>
          </w:tcPr>
          <w:p>
            <w:pPr>
              <w:spacing w:after="0"/>
              <w:rPr>
                <w:sz w:val="20"/>
                <w:szCs w:val="20"/>
                <w:color w:val="auto"/>
              </w:rPr>
            </w:pPr>
            <w:r>
              <w:rPr>
                <w:rFonts w:ascii="Arial" w:cs="Arial" w:eastAsia="Arial" w:hAnsi="Arial"/>
                <w:sz w:val="12"/>
                <w:szCs w:val="12"/>
                <w:color w:val="auto"/>
              </w:rPr>
              <w:t>This amount represents 39,375 RPSUs that will vest on January 3, 2020.</w:t>
            </w:r>
          </w:p>
        </w:tc>
        <w:tc>
          <w:tcPr>
            <w:tcW w:w="900" w:type="dxa"/>
            <w:vAlign w:val="bottom"/>
            <w:shd w:val="clear" w:color="auto" w:fill="E9EEE6"/>
          </w:tcPr>
          <w:p>
            <w:pPr>
              <w:spacing w:after="0"/>
              <w:rPr>
                <w:sz w:val="7"/>
                <w:szCs w:val="7"/>
                <w:color w:val="auto"/>
              </w:rPr>
            </w:pPr>
          </w:p>
        </w:tc>
        <w:tc>
          <w:tcPr>
            <w:tcW w:w="860" w:type="dxa"/>
            <w:vAlign w:val="bottom"/>
            <w:shd w:val="clear" w:color="auto" w:fill="E9EEE6"/>
          </w:tcPr>
          <w:p>
            <w:pPr>
              <w:spacing w:after="0"/>
              <w:rPr>
                <w:sz w:val="7"/>
                <w:szCs w:val="7"/>
                <w:color w:val="auto"/>
              </w:rPr>
            </w:pPr>
          </w:p>
        </w:tc>
        <w:tc>
          <w:tcPr>
            <w:tcW w:w="120" w:type="dxa"/>
            <w:vAlign w:val="bottom"/>
            <w:shd w:val="clear" w:color="auto" w:fill="E9EEE6"/>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360" w:type="dxa"/>
            <w:vAlign w:val="bottom"/>
            <w:shd w:val="clear" w:color="auto" w:fill="E9EEE6"/>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480" w:type="dxa"/>
            <w:vAlign w:val="bottom"/>
            <w:shd w:val="clear" w:color="auto" w:fill="E9EEE6"/>
          </w:tcPr>
          <w:p>
            <w:pPr>
              <w:spacing w:after="0"/>
              <w:rPr>
                <w:sz w:val="7"/>
                <w:szCs w:val="7"/>
                <w:color w:val="auto"/>
              </w:rPr>
            </w:pPr>
          </w:p>
        </w:tc>
        <w:tc>
          <w:tcPr>
            <w:tcW w:w="120" w:type="dxa"/>
            <w:vAlign w:val="bottom"/>
            <w:shd w:val="clear" w:color="auto" w:fill="E9EEE6"/>
          </w:tcPr>
          <w:p>
            <w:pPr>
              <w:spacing w:after="0"/>
              <w:rPr>
                <w:sz w:val="7"/>
                <w:szCs w:val="7"/>
                <w:color w:val="auto"/>
              </w:rPr>
            </w:pPr>
          </w:p>
        </w:tc>
        <w:tc>
          <w:tcPr>
            <w:tcW w:w="1220" w:type="dxa"/>
            <w:vAlign w:val="bottom"/>
            <w:shd w:val="clear" w:color="auto" w:fill="E9EEE6"/>
          </w:tcPr>
          <w:p>
            <w:pPr>
              <w:spacing w:after="0"/>
              <w:rPr>
                <w:sz w:val="7"/>
                <w:szCs w:val="7"/>
                <w:color w:val="auto"/>
              </w:rPr>
            </w:pPr>
          </w:p>
        </w:tc>
        <w:tc>
          <w:tcPr>
            <w:tcW w:w="620" w:type="dxa"/>
            <w:vAlign w:val="bottom"/>
            <w:shd w:val="clear" w:color="auto" w:fill="E9EEE6"/>
          </w:tcPr>
          <w:p>
            <w:pPr>
              <w:spacing w:after="0"/>
              <w:rPr>
                <w:sz w:val="7"/>
                <w:szCs w:val="7"/>
                <w:color w:val="auto"/>
              </w:rPr>
            </w:pPr>
          </w:p>
        </w:tc>
        <w:tc>
          <w:tcPr>
            <w:tcW w:w="420" w:type="dxa"/>
            <w:vAlign w:val="bottom"/>
            <w:shd w:val="clear" w:color="auto" w:fill="E9EEE6"/>
          </w:tcPr>
          <w:p>
            <w:pPr>
              <w:spacing w:after="0"/>
              <w:rPr>
                <w:sz w:val="7"/>
                <w:szCs w:val="7"/>
                <w:color w:val="auto"/>
              </w:rPr>
            </w:pPr>
          </w:p>
        </w:tc>
        <w:tc>
          <w:tcPr>
            <w:tcW w:w="160" w:type="dxa"/>
            <w:vAlign w:val="bottom"/>
            <w:shd w:val="clear" w:color="auto" w:fill="E9EEE6"/>
          </w:tcPr>
          <w:p>
            <w:pPr>
              <w:spacing w:after="0"/>
              <w:rPr>
                <w:sz w:val="7"/>
                <w:szCs w:val="7"/>
                <w:color w:val="auto"/>
              </w:rPr>
            </w:pPr>
          </w:p>
        </w:tc>
        <w:tc>
          <w:tcPr>
            <w:tcW w:w="1160" w:type="dxa"/>
            <w:vAlign w:val="bottom"/>
            <w:shd w:val="clear" w:color="auto" w:fill="E9EEE6"/>
          </w:tcPr>
          <w:p>
            <w:pPr>
              <w:spacing w:after="0"/>
              <w:rPr>
                <w:sz w:val="7"/>
                <w:szCs w:val="7"/>
                <w:color w:val="auto"/>
              </w:rPr>
            </w:pPr>
          </w:p>
        </w:tc>
        <w:tc>
          <w:tcPr>
            <w:tcW w:w="20" w:type="dxa"/>
            <w:vAlign w:val="bottom"/>
            <w:shd w:val="clear" w:color="auto" w:fill="E9EEE6"/>
          </w:tcPr>
          <w:p>
            <w:pPr>
              <w:spacing w:after="0"/>
              <w:rPr>
                <w:sz w:val="7"/>
                <w:szCs w:val="7"/>
                <w:color w:val="auto"/>
              </w:rPr>
            </w:pPr>
          </w:p>
        </w:tc>
        <w:tc>
          <w:tcPr>
            <w:tcW w:w="120" w:type="dxa"/>
            <w:vAlign w:val="bottom"/>
            <w:shd w:val="clear" w:color="auto" w:fill="E9EEE6"/>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0" w:type="dxa"/>
            <w:vAlign w:val="bottom"/>
            <w:vMerge w:val="restart"/>
            <w:shd w:val="clear" w:color="auto" w:fill="E9EEE6"/>
          </w:tcPr>
          <w:p>
            <w:pPr>
              <w:spacing w:after="0"/>
              <w:rPr>
                <w:sz w:val="20"/>
                <w:szCs w:val="20"/>
                <w:color w:val="auto"/>
              </w:rPr>
            </w:pPr>
            <w:r>
              <w:rPr>
                <w:rFonts w:ascii="Arial" w:cs="Arial" w:eastAsia="Arial" w:hAnsi="Arial"/>
                <w:sz w:val="9"/>
                <w:szCs w:val="9"/>
                <w:color w:val="58844D"/>
              </w:rPr>
              <w:t>4</w:t>
            </w:r>
          </w:p>
        </w:tc>
        <w:tc>
          <w:tcPr>
            <w:tcW w:w="140" w:type="dxa"/>
            <w:vAlign w:val="bottom"/>
            <w:shd w:val="clear" w:color="auto" w:fill="E9EEE6"/>
          </w:tcPr>
          <w:p>
            <w:pPr>
              <w:spacing w:after="0"/>
              <w:rPr>
                <w:sz w:val="5"/>
                <w:szCs w:val="5"/>
                <w:color w:val="auto"/>
              </w:rPr>
            </w:pPr>
          </w:p>
        </w:tc>
        <w:tc>
          <w:tcPr>
            <w:tcW w:w="4240" w:type="dxa"/>
            <w:vAlign w:val="bottom"/>
            <w:gridSpan w:val="6"/>
            <w:vMerge w:val="continue"/>
            <w:shd w:val="clear" w:color="auto" w:fill="E9EEE6"/>
          </w:tcPr>
          <w:p>
            <w:pPr>
              <w:spacing w:after="0"/>
              <w:rPr>
                <w:sz w:val="5"/>
                <w:szCs w:val="5"/>
                <w:color w:val="auto"/>
              </w:rPr>
            </w:pPr>
          </w:p>
        </w:tc>
        <w:tc>
          <w:tcPr>
            <w:tcW w:w="900" w:type="dxa"/>
            <w:vAlign w:val="bottom"/>
            <w:shd w:val="clear" w:color="auto" w:fill="E9EEE6"/>
          </w:tcPr>
          <w:p>
            <w:pPr>
              <w:spacing w:after="0"/>
              <w:rPr>
                <w:sz w:val="5"/>
                <w:szCs w:val="5"/>
                <w:color w:val="auto"/>
              </w:rPr>
            </w:pPr>
          </w:p>
        </w:tc>
        <w:tc>
          <w:tcPr>
            <w:tcW w:w="860" w:type="dxa"/>
            <w:vAlign w:val="bottom"/>
            <w:shd w:val="clear" w:color="auto" w:fill="E9EEE6"/>
          </w:tcPr>
          <w:p>
            <w:pPr>
              <w:spacing w:after="0"/>
              <w:rPr>
                <w:sz w:val="5"/>
                <w:szCs w:val="5"/>
                <w:color w:val="auto"/>
              </w:rPr>
            </w:pPr>
          </w:p>
        </w:tc>
        <w:tc>
          <w:tcPr>
            <w:tcW w:w="120" w:type="dxa"/>
            <w:vAlign w:val="bottom"/>
            <w:shd w:val="clear" w:color="auto" w:fill="E9EEE6"/>
          </w:tcPr>
          <w:p>
            <w:pPr>
              <w:spacing w:after="0"/>
              <w:rPr>
                <w:sz w:val="5"/>
                <w:szCs w:val="5"/>
                <w:color w:val="auto"/>
              </w:rPr>
            </w:pPr>
          </w:p>
        </w:tc>
        <w:tc>
          <w:tcPr>
            <w:tcW w:w="140" w:type="dxa"/>
            <w:vAlign w:val="bottom"/>
            <w:shd w:val="clear" w:color="auto" w:fill="E9EEE6"/>
          </w:tcPr>
          <w:p>
            <w:pPr>
              <w:spacing w:after="0"/>
              <w:rPr>
                <w:sz w:val="5"/>
                <w:szCs w:val="5"/>
                <w:color w:val="auto"/>
              </w:rPr>
            </w:pPr>
          </w:p>
        </w:tc>
        <w:tc>
          <w:tcPr>
            <w:tcW w:w="360" w:type="dxa"/>
            <w:vAlign w:val="bottom"/>
            <w:shd w:val="clear" w:color="auto" w:fill="E9EEE6"/>
          </w:tcPr>
          <w:p>
            <w:pPr>
              <w:spacing w:after="0"/>
              <w:rPr>
                <w:sz w:val="5"/>
                <w:szCs w:val="5"/>
                <w:color w:val="auto"/>
              </w:rPr>
            </w:pPr>
          </w:p>
        </w:tc>
        <w:tc>
          <w:tcPr>
            <w:tcW w:w="140" w:type="dxa"/>
            <w:vAlign w:val="bottom"/>
            <w:shd w:val="clear" w:color="auto" w:fill="E9EEE6"/>
          </w:tcPr>
          <w:p>
            <w:pPr>
              <w:spacing w:after="0"/>
              <w:rPr>
                <w:sz w:val="5"/>
                <w:szCs w:val="5"/>
                <w:color w:val="auto"/>
              </w:rPr>
            </w:pPr>
          </w:p>
        </w:tc>
        <w:tc>
          <w:tcPr>
            <w:tcW w:w="480" w:type="dxa"/>
            <w:vAlign w:val="bottom"/>
            <w:shd w:val="clear" w:color="auto" w:fill="E9EEE6"/>
          </w:tcPr>
          <w:p>
            <w:pPr>
              <w:spacing w:after="0"/>
              <w:rPr>
                <w:sz w:val="5"/>
                <w:szCs w:val="5"/>
                <w:color w:val="auto"/>
              </w:rPr>
            </w:pPr>
          </w:p>
        </w:tc>
        <w:tc>
          <w:tcPr>
            <w:tcW w:w="120" w:type="dxa"/>
            <w:vAlign w:val="bottom"/>
            <w:shd w:val="clear" w:color="auto" w:fill="E9EEE6"/>
          </w:tcPr>
          <w:p>
            <w:pPr>
              <w:spacing w:after="0"/>
              <w:rPr>
                <w:sz w:val="5"/>
                <w:szCs w:val="5"/>
                <w:color w:val="auto"/>
              </w:rPr>
            </w:pPr>
          </w:p>
        </w:tc>
        <w:tc>
          <w:tcPr>
            <w:tcW w:w="1220" w:type="dxa"/>
            <w:vAlign w:val="bottom"/>
            <w:shd w:val="clear" w:color="auto" w:fill="E9EEE6"/>
          </w:tcPr>
          <w:p>
            <w:pPr>
              <w:spacing w:after="0"/>
              <w:rPr>
                <w:sz w:val="5"/>
                <w:szCs w:val="5"/>
                <w:color w:val="auto"/>
              </w:rPr>
            </w:pPr>
          </w:p>
        </w:tc>
        <w:tc>
          <w:tcPr>
            <w:tcW w:w="620" w:type="dxa"/>
            <w:vAlign w:val="bottom"/>
            <w:shd w:val="clear" w:color="auto" w:fill="E9EEE6"/>
          </w:tcPr>
          <w:p>
            <w:pPr>
              <w:spacing w:after="0"/>
              <w:rPr>
                <w:sz w:val="5"/>
                <w:szCs w:val="5"/>
                <w:color w:val="auto"/>
              </w:rPr>
            </w:pPr>
          </w:p>
        </w:tc>
        <w:tc>
          <w:tcPr>
            <w:tcW w:w="420" w:type="dxa"/>
            <w:vAlign w:val="bottom"/>
            <w:shd w:val="clear" w:color="auto" w:fill="E9EEE6"/>
          </w:tcPr>
          <w:p>
            <w:pPr>
              <w:spacing w:after="0"/>
              <w:rPr>
                <w:sz w:val="5"/>
                <w:szCs w:val="5"/>
                <w:color w:val="auto"/>
              </w:rPr>
            </w:pPr>
          </w:p>
        </w:tc>
        <w:tc>
          <w:tcPr>
            <w:tcW w:w="160" w:type="dxa"/>
            <w:vAlign w:val="bottom"/>
            <w:shd w:val="clear" w:color="auto" w:fill="E9EEE6"/>
          </w:tcPr>
          <w:p>
            <w:pPr>
              <w:spacing w:after="0"/>
              <w:rPr>
                <w:sz w:val="5"/>
                <w:szCs w:val="5"/>
                <w:color w:val="auto"/>
              </w:rPr>
            </w:pPr>
          </w:p>
        </w:tc>
        <w:tc>
          <w:tcPr>
            <w:tcW w:w="1160" w:type="dxa"/>
            <w:vAlign w:val="bottom"/>
            <w:shd w:val="clear" w:color="auto" w:fill="E9EEE6"/>
          </w:tcPr>
          <w:p>
            <w:pPr>
              <w:spacing w:after="0"/>
              <w:rPr>
                <w:sz w:val="5"/>
                <w:szCs w:val="5"/>
                <w:color w:val="auto"/>
              </w:rPr>
            </w:pPr>
          </w:p>
        </w:tc>
        <w:tc>
          <w:tcPr>
            <w:tcW w:w="20" w:type="dxa"/>
            <w:vAlign w:val="bottom"/>
            <w:shd w:val="clear" w:color="auto" w:fill="E9EEE6"/>
          </w:tcPr>
          <w:p>
            <w:pPr>
              <w:spacing w:after="0"/>
              <w:rPr>
                <w:sz w:val="5"/>
                <w:szCs w:val="5"/>
                <w:color w:val="auto"/>
              </w:rPr>
            </w:pPr>
          </w:p>
        </w:tc>
        <w:tc>
          <w:tcPr>
            <w:tcW w:w="120" w:type="dxa"/>
            <w:vAlign w:val="bottom"/>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20" w:type="dxa"/>
            <w:vAlign w:val="bottom"/>
            <w:vMerge w:val="continue"/>
            <w:shd w:val="clear" w:color="auto" w:fill="E9EEE6"/>
          </w:tcPr>
          <w:p>
            <w:pPr>
              <w:spacing w:after="0"/>
              <w:rPr>
                <w:sz w:val="6"/>
                <w:szCs w:val="6"/>
                <w:color w:val="auto"/>
              </w:rPr>
            </w:pPr>
          </w:p>
        </w:tc>
        <w:tc>
          <w:tcPr>
            <w:tcW w:w="140" w:type="dxa"/>
            <w:vAlign w:val="bottom"/>
            <w:shd w:val="clear" w:color="auto" w:fill="E9EEE6"/>
          </w:tcPr>
          <w:p>
            <w:pPr>
              <w:spacing w:after="0"/>
              <w:rPr>
                <w:sz w:val="6"/>
                <w:szCs w:val="6"/>
                <w:color w:val="auto"/>
              </w:rPr>
            </w:pPr>
          </w:p>
        </w:tc>
        <w:tc>
          <w:tcPr>
            <w:tcW w:w="11080" w:type="dxa"/>
            <w:vAlign w:val="bottom"/>
            <w:gridSpan w:val="21"/>
            <w:vMerge w:val="restart"/>
            <w:shd w:val="clear" w:color="auto" w:fill="E9EEE6"/>
          </w:tcPr>
          <w:p>
            <w:pPr>
              <w:spacing w:after="0" w:line="137" w:lineRule="exact"/>
              <w:rPr>
                <w:sz w:val="20"/>
                <w:szCs w:val="20"/>
                <w:color w:val="auto"/>
              </w:rPr>
            </w:pPr>
            <w:r>
              <w:rPr>
                <w:rFonts w:ascii="Arial" w:cs="Arial" w:eastAsia="Arial" w:hAnsi="Arial"/>
                <w:sz w:val="12"/>
                <w:szCs w:val="12"/>
                <w:color w:val="auto"/>
              </w:rPr>
              <w:t>This amount represents 2,449 RSUs that vested on January 3, 2018, 5,578 RSUs that vested on January 4, 2018, 2,450 RSUs that will vest of January 3, 2019, 4,226 RSUs that will vest on January 4, 2019,</w:t>
            </w:r>
          </w:p>
        </w:tc>
        <w:tc>
          <w:tcPr>
            <w:tcW w:w="0" w:type="dxa"/>
            <w:vAlign w:val="bottom"/>
          </w:tcPr>
          <w:p>
            <w:pPr>
              <w:spacing w:after="0"/>
              <w:rPr>
                <w:sz w:val="1"/>
                <w:szCs w:val="1"/>
                <w:color w:val="auto"/>
              </w:rPr>
            </w:pPr>
          </w:p>
        </w:tc>
      </w:tr>
      <w:tr>
        <w:trPr>
          <w:trHeight w:val="58"/>
        </w:trPr>
        <w:tc>
          <w:tcPr>
            <w:tcW w:w="220" w:type="dxa"/>
            <w:vAlign w:val="bottom"/>
            <w:shd w:val="clear" w:color="auto" w:fill="E9EEE6"/>
          </w:tcPr>
          <w:p>
            <w:pPr>
              <w:spacing w:after="0"/>
              <w:rPr>
                <w:sz w:val="5"/>
                <w:szCs w:val="5"/>
                <w:color w:val="auto"/>
              </w:rPr>
            </w:pPr>
          </w:p>
        </w:tc>
        <w:tc>
          <w:tcPr>
            <w:tcW w:w="140" w:type="dxa"/>
            <w:vAlign w:val="bottom"/>
            <w:shd w:val="clear" w:color="auto" w:fill="E9EEE6"/>
          </w:tcPr>
          <w:p>
            <w:pPr>
              <w:spacing w:after="0"/>
              <w:rPr>
                <w:sz w:val="5"/>
                <w:szCs w:val="5"/>
                <w:color w:val="auto"/>
              </w:rPr>
            </w:pPr>
          </w:p>
        </w:tc>
        <w:tc>
          <w:tcPr>
            <w:tcW w:w="11080" w:type="dxa"/>
            <w:vAlign w:val="bottom"/>
            <w:gridSpan w:val="21"/>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20" w:type="dxa"/>
            <w:vAlign w:val="bottom"/>
            <w:vMerge w:val="restart"/>
            <w:shd w:val="clear" w:color="auto" w:fill="E9EEE6"/>
          </w:tcPr>
          <w:p>
            <w:pPr>
              <w:spacing w:after="0"/>
              <w:rPr>
                <w:sz w:val="20"/>
                <w:szCs w:val="20"/>
                <w:color w:val="auto"/>
              </w:rPr>
            </w:pPr>
            <w:r>
              <w:rPr>
                <w:rFonts w:ascii="Arial" w:cs="Arial" w:eastAsia="Arial" w:hAnsi="Arial"/>
                <w:sz w:val="9"/>
                <w:szCs w:val="9"/>
                <w:color w:val="58844D"/>
              </w:rPr>
              <w:t>5</w:t>
            </w:r>
          </w:p>
        </w:tc>
        <w:tc>
          <w:tcPr>
            <w:tcW w:w="140" w:type="dxa"/>
            <w:vAlign w:val="bottom"/>
            <w:shd w:val="clear" w:color="auto" w:fill="E9EEE6"/>
          </w:tcPr>
          <w:p>
            <w:pPr>
              <w:spacing w:after="0"/>
              <w:rPr>
                <w:sz w:val="11"/>
                <w:szCs w:val="11"/>
                <w:color w:val="auto"/>
              </w:rPr>
            </w:pPr>
          </w:p>
        </w:tc>
        <w:tc>
          <w:tcPr>
            <w:tcW w:w="2760" w:type="dxa"/>
            <w:vAlign w:val="bottom"/>
            <w:gridSpan w:val="5"/>
            <w:shd w:val="clear" w:color="auto" w:fill="E9EEE6"/>
          </w:tcPr>
          <w:p>
            <w:pPr>
              <w:spacing w:after="0" w:line="137" w:lineRule="exact"/>
              <w:rPr>
                <w:sz w:val="20"/>
                <w:szCs w:val="20"/>
                <w:color w:val="auto"/>
              </w:rPr>
            </w:pPr>
            <w:r>
              <w:rPr>
                <w:rFonts w:ascii="Arial" w:cs="Arial" w:eastAsia="Arial" w:hAnsi="Arial"/>
                <w:sz w:val="12"/>
                <w:szCs w:val="12"/>
                <w:color w:val="auto"/>
              </w:rPr>
              <w:t>and 2,458 RSUs that will vest on January 3, 2020.</w:t>
            </w:r>
          </w:p>
        </w:tc>
        <w:tc>
          <w:tcPr>
            <w:tcW w:w="1480" w:type="dxa"/>
            <w:vAlign w:val="bottom"/>
            <w:shd w:val="clear" w:color="auto" w:fill="E9EEE6"/>
          </w:tcPr>
          <w:p>
            <w:pPr>
              <w:spacing w:after="0"/>
              <w:rPr>
                <w:sz w:val="11"/>
                <w:szCs w:val="11"/>
                <w:color w:val="auto"/>
              </w:rPr>
            </w:pPr>
          </w:p>
        </w:tc>
        <w:tc>
          <w:tcPr>
            <w:tcW w:w="900" w:type="dxa"/>
            <w:vAlign w:val="bottom"/>
            <w:shd w:val="clear" w:color="auto" w:fill="E9EEE6"/>
          </w:tcPr>
          <w:p>
            <w:pPr>
              <w:spacing w:after="0"/>
              <w:rPr>
                <w:sz w:val="11"/>
                <w:szCs w:val="11"/>
                <w:color w:val="auto"/>
              </w:rPr>
            </w:pPr>
          </w:p>
        </w:tc>
        <w:tc>
          <w:tcPr>
            <w:tcW w:w="860" w:type="dxa"/>
            <w:vAlign w:val="bottom"/>
            <w:shd w:val="clear" w:color="auto" w:fill="E9EEE6"/>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360" w:type="dxa"/>
            <w:vAlign w:val="bottom"/>
            <w:shd w:val="clear" w:color="auto" w:fill="E9EEE6"/>
          </w:tcPr>
          <w:p>
            <w:pPr>
              <w:spacing w:after="0"/>
              <w:rPr>
                <w:sz w:val="11"/>
                <w:szCs w:val="11"/>
                <w:color w:val="auto"/>
              </w:rPr>
            </w:pPr>
          </w:p>
        </w:tc>
        <w:tc>
          <w:tcPr>
            <w:tcW w:w="140" w:type="dxa"/>
            <w:vAlign w:val="bottom"/>
            <w:shd w:val="clear" w:color="auto" w:fill="E9EEE6"/>
          </w:tcPr>
          <w:p>
            <w:pPr>
              <w:spacing w:after="0"/>
              <w:rPr>
                <w:sz w:val="11"/>
                <w:szCs w:val="11"/>
                <w:color w:val="auto"/>
              </w:rPr>
            </w:pPr>
          </w:p>
        </w:tc>
        <w:tc>
          <w:tcPr>
            <w:tcW w:w="480" w:type="dxa"/>
            <w:vAlign w:val="bottom"/>
            <w:shd w:val="clear" w:color="auto" w:fill="E9EEE6"/>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1220" w:type="dxa"/>
            <w:vAlign w:val="bottom"/>
            <w:shd w:val="clear" w:color="auto" w:fill="E9EEE6"/>
          </w:tcPr>
          <w:p>
            <w:pPr>
              <w:spacing w:after="0"/>
              <w:rPr>
                <w:sz w:val="11"/>
                <w:szCs w:val="11"/>
                <w:color w:val="auto"/>
              </w:rPr>
            </w:pPr>
          </w:p>
        </w:tc>
        <w:tc>
          <w:tcPr>
            <w:tcW w:w="620" w:type="dxa"/>
            <w:vAlign w:val="bottom"/>
            <w:shd w:val="clear" w:color="auto" w:fill="E9EEE6"/>
          </w:tcPr>
          <w:p>
            <w:pPr>
              <w:spacing w:after="0"/>
              <w:rPr>
                <w:sz w:val="11"/>
                <w:szCs w:val="11"/>
                <w:color w:val="auto"/>
              </w:rPr>
            </w:pPr>
          </w:p>
        </w:tc>
        <w:tc>
          <w:tcPr>
            <w:tcW w:w="420" w:type="dxa"/>
            <w:vAlign w:val="bottom"/>
            <w:shd w:val="clear" w:color="auto" w:fill="E9EEE6"/>
          </w:tcPr>
          <w:p>
            <w:pPr>
              <w:spacing w:after="0"/>
              <w:rPr>
                <w:sz w:val="11"/>
                <w:szCs w:val="11"/>
                <w:color w:val="auto"/>
              </w:rPr>
            </w:pPr>
          </w:p>
        </w:tc>
        <w:tc>
          <w:tcPr>
            <w:tcW w:w="160" w:type="dxa"/>
            <w:vAlign w:val="bottom"/>
            <w:shd w:val="clear" w:color="auto" w:fill="E9EEE6"/>
          </w:tcPr>
          <w:p>
            <w:pPr>
              <w:spacing w:after="0"/>
              <w:rPr>
                <w:sz w:val="11"/>
                <w:szCs w:val="11"/>
                <w:color w:val="auto"/>
              </w:rPr>
            </w:pPr>
          </w:p>
        </w:tc>
        <w:tc>
          <w:tcPr>
            <w:tcW w:w="1160" w:type="dxa"/>
            <w:vAlign w:val="bottom"/>
            <w:shd w:val="clear" w:color="auto" w:fill="E9EEE6"/>
          </w:tcPr>
          <w:p>
            <w:pPr>
              <w:spacing w:after="0"/>
              <w:rPr>
                <w:sz w:val="11"/>
                <w:szCs w:val="11"/>
                <w:color w:val="auto"/>
              </w:rPr>
            </w:pPr>
          </w:p>
        </w:tc>
        <w:tc>
          <w:tcPr>
            <w:tcW w:w="20" w:type="dxa"/>
            <w:vAlign w:val="bottom"/>
            <w:shd w:val="clear" w:color="auto" w:fill="E9EEE6"/>
          </w:tcPr>
          <w:p>
            <w:pPr>
              <w:spacing w:after="0"/>
              <w:rPr>
                <w:sz w:val="11"/>
                <w:szCs w:val="11"/>
                <w:color w:val="auto"/>
              </w:rPr>
            </w:pPr>
          </w:p>
        </w:tc>
        <w:tc>
          <w:tcPr>
            <w:tcW w:w="120" w:type="dxa"/>
            <w:vAlign w:val="bottom"/>
            <w:shd w:val="clear" w:color="auto" w:fill="E9EEE6"/>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20" w:type="dxa"/>
            <w:vAlign w:val="bottom"/>
            <w:tcBorders>
              <w:bottom w:val="single" w:sz="8" w:color="E9EEE6"/>
            </w:tcBorders>
            <w:vMerge w:val="continue"/>
            <w:shd w:val="clear" w:color="auto" w:fill="E9EEE6"/>
          </w:tcPr>
          <w:p>
            <w:pPr>
              <w:spacing w:after="0"/>
              <w:rPr>
                <w:sz w:val="9"/>
                <w:szCs w:val="9"/>
                <w:color w:val="auto"/>
              </w:rPr>
            </w:pPr>
          </w:p>
        </w:tc>
        <w:tc>
          <w:tcPr>
            <w:tcW w:w="140" w:type="dxa"/>
            <w:vAlign w:val="bottom"/>
            <w:tcBorders>
              <w:bottom w:val="single" w:sz="8" w:color="E9EEE6"/>
            </w:tcBorders>
            <w:shd w:val="clear" w:color="auto" w:fill="E9EEE6"/>
          </w:tcPr>
          <w:p>
            <w:pPr>
              <w:spacing w:after="0"/>
              <w:rPr>
                <w:sz w:val="9"/>
                <w:szCs w:val="9"/>
                <w:color w:val="auto"/>
              </w:rPr>
            </w:pPr>
          </w:p>
        </w:tc>
        <w:tc>
          <w:tcPr>
            <w:tcW w:w="4240" w:type="dxa"/>
            <w:vAlign w:val="bottom"/>
            <w:tcBorders>
              <w:bottom w:val="single" w:sz="8" w:color="E9EEE6"/>
            </w:tcBorders>
            <w:gridSpan w:val="6"/>
            <w:shd w:val="clear" w:color="auto" w:fill="E9EEE6"/>
          </w:tcPr>
          <w:p>
            <w:pPr>
              <w:spacing w:after="0" w:line="113" w:lineRule="exact"/>
              <w:rPr>
                <w:sz w:val="20"/>
                <w:szCs w:val="20"/>
                <w:color w:val="auto"/>
              </w:rPr>
            </w:pPr>
            <w:r>
              <w:rPr>
                <w:rFonts w:ascii="Arial" w:cs="Arial" w:eastAsia="Arial" w:hAnsi="Arial"/>
                <w:sz w:val="12"/>
                <w:szCs w:val="12"/>
                <w:color w:val="auto"/>
              </w:rPr>
              <w:t>This amount represents 11,025 RPSUs that will vest on January 3, 2020.</w:t>
            </w:r>
          </w:p>
        </w:tc>
        <w:tc>
          <w:tcPr>
            <w:tcW w:w="900" w:type="dxa"/>
            <w:vAlign w:val="bottom"/>
            <w:tcBorders>
              <w:bottom w:val="single" w:sz="8" w:color="E9EEE6"/>
            </w:tcBorders>
            <w:shd w:val="clear" w:color="auto" w:fill="E9EEE6"/>
          </w:tcPr>
          <w:p>
            <w:pPr>
              <w:spacing w:after="0"/>
              <w:rPr>
                <w:sz w:val="9"/>
                <w:szCs w:val="9"/>
                <w:color w:val="auto"/>
              </w:rPr>
            </w:pPr>
          </w:p>
        </w:tc>
        <w:tc>
          <w:tcPr>
            <w:tcW w:w="860" w:type="dxa"/>
            <w:vAlign w:val="bottom"/>
            <w:tcBorders>
              <w:bottom w:val="single" w:sz="8" w:color="E9EEE6"/>
            </w:tcBorders>
            <w:shd w:val="clear" w:color="auto" w:fill="E9EEE6"/>
          </w:tcPr>
          <w:p>
            <w:pPr>
              <w:spacing w:after="0"/>
              <w:rPr>
                <w:sz w:val="9"/>
                <w:szCs w:val="9"/>
                <w:color w:val="auto"/>
              </w:rPr>
            </w:pPr>
          </w:p>
        </w:tc>
        <w:tc>
          <w:tcPr>
            <w:tcW w:w="120" w:type="dxa"/>
            <w:vAlign w:val="bottom"/>
            <w:tcBorders>
              <w:bottom w:val="single" w:sz="8" w:color="E9EEE6"/>
            </w:tcBorders>
            <w:shd w:val="clear" w:color="auto" w:fill="E9EEE6"/>
          </w:tcPr>
          <w:p>
            <w:pPr>
              <w:spacing w:after="0"/>
              <w:rPr>
                <w:sz w:val="9"/>
                <w:szCs w:val="9"/>
                <w:color w:val="auto"/>
              </w:rPr>
            </w:pPr>
          </w:p>
        </w:tc>
        <w:tc>
          <w:tcPr>
            <w:tcW w:w="140" w:type="dxa"/>
            <w:vAlign w:val="bottom"/>
            <w:tcBorders>
              <w:bottom w:val="single" w:sz="8" w:color="E9EEE6"/>
            </w:tcBorders>
            <w:shd w:val="clear" w:color="auto" w:fill="E9EEE6"/>
          </w:tcPr>
          <w:p>
            <w:pPr>
              <w:spacing w:after="0"/>
              <w:rPr>
                <w:sz w:val="9"/>
                <w:szCs w:val="9"/>
                <w:color w:val="auto"/>
              </w:rPr>
            </w:pPr>
          </w:p>
        </w:tc>
        <w:tc>
          <w:tcPr>
            <w:tcW w:w="360" w:type="dxa"/>
            <w:vAlign w:val="bottom"/>
            <w:tcBorders>
              <w:bottom w:val="single" w:sz="8" w:color="E9EEE6"/>
            </w:tcBorders>
            <w:shd w:val="clear" w:color="auto" w:fill="E9EEE6"/>
          </w:tcPr>
          <w:p>
            <w:pPr>
              <w:spacing w:after="0"/>
              <w:rPr>
                <w:sz w:val="9"/>
                <w:szCs w:val="9"/>
                <w:color w:val="auto"/>
              </w:rPr>
            </w:pPr>
          </w:p>
        </w:tc>
        <w:tc>
          <w:tcPr>
            <w:tcW w:w="140" w:type="dxa"/>
            <w:vAlign w:val="bottom"/>
            <w:tcBorders>
              <w:bottom w:val="single" w:sz="8" w:color="E9EEE6"/>
            </w:tcBorders>
            <w:shd w:val="clear" w:color="auto" w:fill="E9EEE6"/>
          </w:tcPr>
          <w:p>
            <w:pPr>
              <w:spacing w:after="0"/>
              <w:rPr>
                <w:sz w:val="9"/>
                <w:szCs w:val="9"/>
                <w:color w:val="auto"/>
              </w:rPr>
            </w:pPr>
          </w:p>
        </w:tc>
        <w:tc>
          <w:tcPr>
            <w:tcW w:w="480" w:type="dxa"/>
            <w:vAlign w:val="bottom"/>
            <w:tcBorders>
              <w:bottom w:val="single" w:sz="8" w:color="E9EEE6"/>
            </w:tcBorders>
            <w:shd w:val="clear" w:color="auto" w:fill="E9EEE6"/>
          </w:tcPr>
          <w:p>
            <w:pPr>
              <w:spacing w:after="0"/>
              <w:rPr>
                <w:sz w:val="9"/>
                <w:szCs w:val="9"/>
                <w:color w:val="auto"/>
              </w:rPr>
            </w:pPr>
          </w:p>
        </w:tc>
        <w:tc>
          <w:tcPr>
            <w:tcW w:w="120" w:type="dxa"/>
            <w:vAlign w:val="bottom"/>
            <w:tcBorders>
              <w:bottom w:val="single" w:sz="8" w:color="E9EEE6"/>
            </w:tcBorders>
            <w:shd w:val="clear" w:color="auto" w:fill="E9EEE6"/>
          </w:tcPr>
          <w:p>
            <w:pPr>
              <w:spacing w:after="0"/>
              <w:rPr>
                <w:sz w:val="9"/>
                <w:szCs w:val="9"/>
                <w:color w:val="auto"/>
              </w:rPr>
            </w:pPr>
          </w:p>
        </w:tc>
        <w:tc>
          <w:tcPr>
            <w:tcW w:w="1220" w:type="dxa"/>
            <w:vAlign w:val="bottom"/>
            <w:tcBorders>
              <w:bottom w:val="single" w:sz="8" w:color="E9EEE6"/>
            </w:tcBorders>
            <w:shd w:val="clear" w:color="auto" w:fill="E9EEE6"/>
          </w:tcPr>
          <w:p>
            <w:pPr>
              <w:spacing w:after="0"/>
              <w:rPr>
                <w:sz w:val="9"/>
                <w:szCs w:val="9"/>
                <w:color w:val="auto"/>
              </w:rPr>
            </w:pPr>
          </w:p>
        </w:tc>
        <w:tc>
          <w:tcPr>
            <w:tcW w:w="620" w:type="dxa"/>
            <w:vAlign w:val="bottom"/>
            <w:tcBorders>
              <w:bottom w:val="single" w:sz="8" w:color="E9EEE6"/>
            </w:tcBorders>
            <w:shd w:val="clear" w:color="auto" w:fill="E9EEE6"/>
          </w:tcPr>
          <w:p>
            <w:pPr>
              <w:spacing w:after="0"/>
              <w:rPr>
                <w:sz w:val="9"/>
                <w:szCs w:val="9"/>
                <w:color w:val="auto"/>
              </w:rPr>
            </w:pPr>
          </w:p>
        </w:tc>
        <w:tc>
          <w:tcPr>
            <w:tcW w:w="420" w:type="dxa"/>
            <w:vAlign w:val="bottom"/>
            <w:tcBorders>
              <w:bottom w:val="single" w:sz="8" w:color="E9EEE6"/>
            </w:tcBorders>
            <w:shd w:val="clear" w:color="auto" w:fill="E9EEE6"/>
          </w:tcPr>
          <w:p>
            <w:pPr>
              <w:spacing w:after="0"/>
              <w:rPr>
                <w:sz w:val="9"/>
                <w:szCs w:val="9"/>
                <w:color w:val="auto"/>
              </w:rPr>
            </w:pPr>
          </w:p>
        </w:tc>
        <w:tc>
          <w:tcPr>
            <w:tcW w:w="160" w:type="dxa"/>
            <w:vAlign w:val="bottom"/>
            <w:tcBorders>
              <w:bottom w:val="single" w:sz="8" w:color="E9EEE6"/>
            </w:tcBorders>
            <w:shd w:val="clear" w:color="auto" w:fill="E9EEE6"/>
          </w:tcPr>
          <w:p>
            <w:pPr>
              <w:spacing w:after="0"/>
              <w:rPr>
                <w:sz w:val="9"/>
                <w:szCs w:val="9"/>
                <w:color w:val="auto"/>
              </w:rPr>
            </w:pPr>
          </w:p>
        </w:tc>
        <w:tc>
          <w:tcPr>
            <w:tcW w:w="1160" w:type="dxa"/>
            <w:vAlign w:val="bottom"/>
            <w:tcBorders>
              <w:bottom w:val="single" w:sz="8" w:color="E9EEE6"/>
            </w:tcBorders>
            <w:shd w:val="clear" w:color="auto" w:fill="E9EEE6"/>
          </w:tcPr>
          <w:p>
            <w:pPr>
              <w:spacing w:after="0"/>
              <w:rPr>
                <w:sz w:val="9"/>
                <w:szCs w:val="9"/>
                <w:color w:val="auto"/>
              </w:rPr>
            </w:pPr>
          </w:p>
        </w:tc>
        <w:tc>
          <w:tcPr>
            <w:tcW w:w="20" w:type="dxa"/>
            <w:vAlign w:val="bottom"/>
            <w:tcBorders>
              <w:bottom w:val="single" w:sz="8" w:color="E9EEE6"/>
            </w:tcBorders>
            <w:shd w:val="clear" w:color="auto" w:fill="E9EEE6"/>
          </w:tcPr>
          <w:p>
            <w:pPr>
              <w:spacing w:after="0"/>
              <w:rPr>
                <w:sz w:val="9"/>
                <w:szCs w:val="9"/>
                <w:color w:val="auto"/>
              </w:rPr>
            </w:pPr>
          </w:p>
        </w:tc>
        <w:tc>
          <w:tcPr>
            <w:tcW w:w="120" w:type="dxa"/>
            <w:vAlign w:val="bottom"/>
            <w:tcBorders>
              <w:bottom w:val="single" w:sz="8" w:color="E9EEE6"/>
            </w:tcBorders>
            <w:shd w:val="clear" w:color="auto" w:fill="E9EEE6"/>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gridSpan w:val="8"/>
          </w:tcPr>
          <w:p>
            <w:pPr>
              <w:jc w:val="center"/>
              <w:ind w:left="631"/>
              <w:spacing w:after="0"/>
              <w:rPr>
                <w:sz w:val="20"/>
                <w:szCs w:val="20"/>
                <w:color w:val="auto"/>
              </w:rPr>
            </w:pPr>
            <w:r>
              <w:rPr>
                <w:rFonts w:ascii="Arial" w:cs="Arial" w:eastAsia="Arial" w:hAnsi="Arial"/>
                <w:sz w:val="18"/>
                <w:szCs w:val="18"/>
                <w:color w:val="58844D"/>
              </w:rPr>
              <w:t>Option Exercises and Stock Vested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8"/>
          </w:tcPr>
          <w:p>
            <w:pPr>
              <w:jc w:val="center"/>
              <w:ind w:left="651"/>
              <w:spacing w:after="0"/>
              <w:rPr>
                <w:sz w:val="20"/>
                <w:szCs w:val="20"/>
                <w:color w:val="auto"/>
              </w:rPr>
            </w:pPr>
            <w:r>
              <w:rPr>
                <w:rFonts w:ascii="Arial" w:cs="Arial" w:eastAsia="Arial" w:hAnsi="Arial"/>
                <w:sz w:val="18"/>
                <w:szCs w:val="18"/>
                <w:color w:val="58844D"/>
              </w:rPr>
              <w:t>Fiscal Year Ended December 31, 2017</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0" w:type="dxa"/>
            <w:vAlign w:val="bottom"/>
            <w:shd w:val="clear" w:color="auto" w:fill="58854E"/>
          </w:tcPr>
          <w:p>
            <w:pPr>
              <w:spacing w:after="0"/>
              <w:rPr>
                <w:sz w:val="15"/>
                <w:szCs w:val="15"/>
                <w:color w:val="auto"/>
              </w:rPr>
            </w:pPr>
          </w:p>
        </w:tc>
        <w:tc>
          <w:tcPr>
            <w:tcW w:w="140" w:type="dxa"/>
            <w:vAlign w:val="bottom"/>
            <w:shd w:val="clear" w:color="auto" w:fill="58854E"/>
          </w:tcPr>
          <w:p>
            <w:pPr>
              <w:spacing w:after="0"/>
              <w:rPr>
                <w:sz w:val="15"/>
                <w:szCs w:val="15"/>
                <w:color w:val="auto"/>
              </w:rPr>
            </w:pPr>
          </w:p>
        </w:tc>
        <w:tc>
          <w:tcPr>
            <w:tcW w:w="1260" w:type="dxa"/>
            <w:vAlign w:val="bottom"/>
            <w:shd w:val="clear" w:color="auto" w:fill="58854E"/>
          </w:tcPr>
          <w:p>
            <w:pPr>
              <w:spacing w:after="0"/>
              <w:rPr>
                <w:sz w:val="15"/>
                <w:szCs w:val="15"/>
                <w:color w:val="auto"/>
              </w:rPr>
            </w:pPr>
          </w:p>
        </w:tc>
        <w:tc>
          <w:tcPr>
            <w:tcW w:w="140" w:type="dxa"/>
            <w:vAlign w:val="bottom"/>
            <w:shd w:val="clear" w:color="auto" w:fill="58854E"/>
          </w:tcPr>
          <w:p>
            <w:pPr>
              <w:spacing w:after="0"/>
              <w:rPr>
                <w:sz w:val="15"/>
                <w:szCs w:val="15"/>
                <w:color w:val="auto"/>
              </w:rPr>
            </w:pPr>
          </w:p>
        </w:tc>
        <w:tc>
          <w:tcPr>
            <w:tcW w:w="880" w:type="dxa"/>
            <w:vAlign w:val="bottom"/>
            <w:shd w:val="clear" w:color="auto" w:fill="58854E"/>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shd w:val="clear" w:color="auto" w:fill="58854E"/>
          </w:tcPr>
          <w:p>
            <w:pPr>
              <w:spacing w:after="0"/>
              <w:rPr>
                <w:sz w:val="15"/>
                <w:szCs w:val="15"/>
                <w:color w:val="auto"/>
              </w:rPr>
            </w:pPr>
          </w:p>
        </w:tc>
        <w:tc>
          <w:tcPr>
            <w:tcW w:w="2380" w:type="dxa"/>
            <w:vAlign w:val="bottom"/>
            <w:gridSpan w:val="2"/>
            <w:shd w:val="clear" w:color="auto" w:fill="58854E"/>
          </w:tcPr>
          <w:p>
            <w:pPr>
              <w:jc w:val="center"/>
              <w:ind w:left="1131"/>
              <w:spacing w:after="0"/>
              <w:rPr>
                <w:sz w:val="20"/>
                <w:szCs w:val="20"/>
                <w:color w:val="auto"/>
              </w:rPr>
            </w:pPr>
            <w:r>
              <w:rPr>
                <w:rFonts w:ascii="Arial" w:cs="Arial" w:eastAsia="Arial" w:hAnsi="Arial"/>
                <w:sz w:val="12"/>
                <w:szCs w:val="12"/>
                <w:b w:val="1"/>
                <w:bCs w:val="1"/>
                <w:color w:val="FFFFFE"/>
                <w:w w:val="98"/>
              </w:rPr>
              <w:t>OPTION AWARDS</w:t>
            </w:r>
          </w:p>
        </w:tc>
        <w:tc>
          <w:tcPr>
            <w:tcW w:w="860" w:type="dxa"/>
            <w:vAlign w:val="bottom"/>
            <w:shd w:val="clear" w:color="auto" w:fill="58854E"/>
          </w:tcPr>
          <w:p>
            <w:pPr>
              <w:spacing w:after="0"/>
              <w:rPr>
                <w:sz w:val="15"/>
                <w:szCs w:val="15"/>
                <w:color w:val="auto"/>
              </w:rPr>
            </w:pPr>
          </w:p>
        </w:tc>
        <w:tc>
          <w:tcPr>
            <w:tcW w:w="120" w:type="dxa"/>
            <w:vAlign w:val="bottom"/>
            <w:shd w:val="clear" w:color="auto" w:fill="58854E"/>
          </w:tcPr>
          <w:p>
            <w:pPr>
              <w:spacing w:after="0"/>
              <w:rPr>
                <w:sz w:val="15"/>
                <w:szCs w:val="15"/>
                <w:color w:val="auto"/>
              </w:rPr>
            </w:pPr>
          </w:p>
        </w:tc>
        <w:tc>
          <w:tcPr>
            <w:tcW w:w="140" w:type="dxa"/>
            <w:vAlign w:val="bottom"/>
            <w:shd w:val="clear" w:color="auto" w:fill="58854E"/>
          </w:tcPr>
          <w:p>
            <w:pPr>
              <w:spacing w:after="0"/>
              <w:rPr>
                <w:sz w:val="15"/>
                <w:szCs w:val="15"/>
                <w:color w:val="auto"/>
              </w:rPr>
            </w:pPr>
          </w:p>
        </w:tc>
        <w:tc>
          <w:tcPr>
            <w:tcW w:w="360" w:type="dxa"/>
            <w:vAlign w:val="bottom"/>
            <w:shd w:val="clear" w:color="auto" w:fill="58854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shd w:val="clear" w:color="auto" w:fill="58854E"/>
          </w:tcPr>
          <w:p>
            <w:pPr>
              <w:spacing w:after="0"/>
              <w:rPr>
                <w:sz w:val="15"/>
                <w:szCs w:val="15"/>
                <w:color w:val="auto"/>
              </w:rPr>
            </w:pPr>
          </w:p>
        </w:tc>
        <w:tc>
          <w:tcPr>
            <w:tcW w:w="120" w:type="dxa"/>
            <w:vAlign w:val="bottom"/>
            <w:shd w:val="clear" w:color="auto" w:fill="58854E"/>
          </w:tcPr>
          <w:p>
            <w:pPr>
              <w:spacing w:after="0"/>
              <w:rPr>
                <w:sz w:val="15"/>
                <w:szCs w:val="15"/>
                <w:color w:val="auto"/>
              </w:rPr>
            </w:pPr>
          </w:p>
        </w:tc>
        <w:tc>
          <w:tcPr>
            <w:tcW w:w="2260" w:type="dxa"/>
            <w:vAlign w:val="bottom"/>
            <w:gridSpan w:val="3"/>
            <w:shd w:val="clear" w:color="auto" w:fill="58854E"/>
          </w:tcPr>
          <w:p>
            <w:pPr>
              <w:ind w:left="1020"/>
              <w:spacing w:after="0"/>
              <w:rPr>
                <w:sz w:val="20"/>
                <w:szCs w:val="20"/>
                <w:color w:val="auto"/>
              </w:rPr>
            </w:pPr>
            <w:r>
              <w:rPr>
                <w:rFonts w:ascii="Arial" w:cs="Arial" w:eastAsia="Arial" w:hAnsi="Arial"/>
                <w:sz w:val="12"/>
                <w:szCs w:val="12"/>
                <w:b w:val="1"/>
                <w:bCs w:val="1"/>
                <w:color w:val="FFFFFE"/>
              </w:rPr>
              <w:t>STOCK AWARDS</w:t>
            </w:r>
          </w:p>
        </w:tc>
        <w:tc>
          <w:tcPr>
            <w:tcW w:w="160" w:type="dxa"/>
            <w:vAlign w:val="bottom"/>
            <w:shd w:val="clear" w:color="auto" w:fill="58854E"/>
          </w:tcPr>
          <w:p>
            <w:pPr>
              <w:spacing w:after="0"/>
              <w:rPr>
                <w:sz w:val="15"/>
                <w:szCs w:val="15"/>
                <w:color w:val="auto"/>
              </w:rPr>
            </w:pPr>
          </w:p>
        </w:tc>
        <w:tc>
          <w:tcPr>
            <w:tcW w:w="1160" w:type="dxa"/>
            <w:vAlign w:val="bottom"/>
            <w:shd w:val="clear" w:color="auto" w:fill="58854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20" w:type="dxa"/>
            <w:vAlign w:val="bottom"/>
            <w:shd w:val="clear" w:color="auto" w:fill="58854E"/>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1260" w:type="dxa"/>
            <w:vAlign w:val="bottom"/>
            <w:shd w:val="clear" w:color="auto" w:fill="58854E"/>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88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shd w:val="clear" w:color="auto" w:fill="58854E"/>
          </w:tcPr>
          <w:p>
            <w:pPr>
              <w:spacing w:after="0"/>
              <w:rPr>
                <w:sz w:val="13"/>
                <w:szCs w:val="13"/>
                <w:color w:val="auto"/>
              </w:rPr>
            </w:pPr>
          </w:p>
        </w:tc>
        <w:tc>
          <w:tcPr>
            <w:tcW w:w="1480" w:type="dxa"/>
            <w:vAlign w:val="bottom"/>
            <w:shd w:val="clear" w:color="auto" w:fill="58854E"/>
          </w:tcPr>
          <w:p>
            <w:pPr>
              <w:jc w:val="center"/>
              <w:ind w:left="231"/>
              <w:spacing w:after="0"/>
              <w:rPr>
                <w:sz w:val="20"/>
                <w:szCs w:val="20"/>
                <w:color w:val="auto"/>
              </w:rPr>
            </w:pPr>
            <w:r>
              <w:rPr>
                <w:rFonts w:ascii="Arial" w:cs="Arial" w:eastAsia="Arial" w:hAnsi="Arial"/>
                <w:sz w:val="12"/>
                <w:szCs w:val="12"/>
                <w:b w:val="1"/>
                <w:bCs w:val="1"/>
                <w:color w:val="FFFFFE"/>
              </w:rPr>
              <w:t>NUMBER OF</w:t>
            </w:r>
          </w:p>
        </w:tc>
        <w:tc>
          <w:tcPr>
            <w:tcW w:w="900" w:type="dxa"/>
            <w:vAlign w:val="bottom"/>
            <w:shd w:val="clear" w:color="auto" w:fill="58854E"/>
          </w:tcPr>
          <w:p>
            <w:pPr>
              <w:spacing w:after="0"/>
              <w:rPr>
                <w:sz w:val="13"/>
                <w:szCs w:val="13"/>
                <w:color w:val="auto"/>
              </w:rPr>
            </w:pPr>
          </w:p>
        </w:tc>
        <w:tc>
          <w:tcPr>
            <w:tcW w:w="1120" w:type="dxa"/>
            <w:vAlign w:val="bottom"/>
            <w:gridSpan w:val="3"/>
            <w:shd w:val="clear" w:color="auto" w:fill="58854E"/>
          </w:tcPr>
          <w:p>
            <w:pPr>
              <w:jc w:val="center"/>
              <w:ind w:left="176"/>
              <w:spacing w:after="0"/>
              <w:rPr>
                <w:sz w:val="20"/>
                <w:szCs w:val="20"/>
                <w:color w:val="auto"/>
              </w:rPr>
            </w:pPr>
            <w:r>
              <w:rPr>
                <w:rFonts w:ascii="Arial" w:cs="Arial" w:eastAsia="Arial" w:hAnsi="Arial"/>
                <w:sz w:val="12"/>
                <w:szCs w:val="12"/>
                <w:b w:val="1"/>
                <w:bCs w:val="1"/>
                <w:color w:val="FFFFFE"/>
                <w:w w:val="98"/>
              </w:rPr>
              <w:t>VALUE</w:t>
            </w:r>
          </w:p>
        </w:tc>
        <w:tc>
          <w:tcPr>
            <w:tcW w:w="36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shd w:val="clear" w:color="auto" w:fill="58854E"/>
          </w:tcPr>
          <w:p>
            <w:pPr>
              <w:spacing w:after="0"/>
              <w:rPr>
                <w:sz w:val="13"/>
                <w:szCs w:val="13"/>
                <w:color w:val="auto"/>
              </w:rPr>
            </w:pPr>
          </w:p>
        </w:tc>
        <w:tc>
          <w:tcPr>
            <w:tcW w:w="120" w:type="dxa"/>
            <w:vAlign w:val="bottom"/>
            <w:shd w:val="clear" w:color="auto" w:fill="58854E"/>
          </w:tcPr>
          <w:p>
            <w:pPr>
              <w:spacing w:after="0"/>
              <w:rPr>
                <w:sz w:val="13"/>
                <w:szCs w:val="13"/>
                <w:color w:val="auto"/>
              </w:rPr>
            </w:pPr>
          </w:p>
        </w:tc>
        <w:tc>
          <w:tcPr>
            <w:tcW w:w="122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rPr>
              <w:t>NUMBER OF</w:t>
            </w:r>
          </w:p>
        </w:tc>
        <w:tc>
          <w:tcPr>
            <w:tcW w:w="620" w:type="dxa"/>
            <w:vAlign w:val="bottom"/>
            <w:shd w:val="clear" w:color="auto" w:fill="58854E"/>
          </w:tcPr>
          <w:p>
            <w:pPr>
              <w:spacing w:after="0"/>
              <w:rPr>
                <w:sz w:val="13"/>
                <w:szCs w:val="13"/>
                <w:color w:val="auto"/>
              </w:rPr>
            </w:pPr>
          </w:p>
        </w:tc>
        <w:tc>
          <w:tcPr>
            <w:tcW w:w="420" w:type="dxa"/>
            <w:vAlign w:val="bottom"/>
            <w:shd w:val="clear" w:color="auto" w:fill="58854E"/>
          </w:tcPr>
          <w:p>
            <w:pPr>
              <w:spacing w:after="0"/>
              <w:rPr>
                <w:sz w:val="13"/>
                <w:szCs w:val="13"/>
                <w:color w:val="auto"/>
              </w:rPr>
            </w:pPr>
          </w:p>
        </w:tc>
        <w:tc>
          <w:tcPr>
            <w:tcW w:w="160" w:type="dxa"/>
            <w:vAlign w:val="bottom"/>
            <w:shd w:val="clear" w:color="auto" w:fill="58854E"/>
          </w:tcPr>
          <w:p>
            <w:pPr>
              <w:spacing w:after="0"/>
              <w:rPr>
                <w:sz w:val="13"/>
                <w:szCs w:val="13"/>
                <w:color w:val="auto"/>
              </w:rPr>
            </w:pPr>
          </w:p>
        </w:tc>
        <w:tc>
          <w:tcPr>
            <w:tcW w:w="1160" w:type="dxa"/>
            <w:vAlign w:val="bottom"/>
            <w:shd w:val="clear" w:color="auto" w:fill="58854E"/>
          </w:tcPr>
          <w:p>
            <w:pPr>
              <w:jc w:val="center"/>
              <w:ind w:right="255"/>
              <w:spacing w:after="0"/>
              <w:rPr>
                <w:sz w:val="20"/>
                <w:szCs w:val="20"/>
                <w:color w:val="auto"/>
              </w:rPr>
            </w:pPr>
            <w:r>
              <w:rPr>
                <w:rFonts w:ascii="Arial" w:cs="Arial" w:eastAsia="Arial" w:hAnsi="Arial"/>
                <w:sz w:val="12"/>
                <w:szCs w:val="12"/>
                <w:b w:val="1"/>
                <w:bCs w:val="1"/>
                <w:color w:val="FFFFFE"/>
                <w:w w:val="98"/>
              </w:rPr>
              <w:t>VALUE</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26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88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480" w:type="dxa"/>
            <w:vAlign w:val="bottom"/>
            <w:shd w:val="clear" w:color="auto" w:fill="58854E"/>
          </w:tcPr>
          <w:p>
            <w:pPr>
              <w:jc w:val="center"/>
              <w:ind w:left="231"/>
              <w:spacing w:after="0" w:line="137" w:lineRule="exact"/>
              <w:rPr>
                <w:sz w:val="20"/>
                <w:szCs w:val="20"/>
                <w:color w:val="auto"/>
              </w:rPr>
            </w:pPr>
            <w:r>
              <w:rPr>
                <w:rFonts w:ascii="Arial" w:cs="Arial" w:eastAsia="Arial" w:hAnsi="Arial"/>
                <w:sz w:val="12"/>
                <w:szCs w:val="12"/>
                <w:b w:val="1"/>
                <w:bCs w:val="1"/>
                <w:color w:val="FFFFFE"/>
              </w:rPr>
              <w:t>SHARES ACQUIRED</w:t>
            </w:r>
          </w:p>
        </w:tc>
        <w:tc>
          <w:tcPr>
            <w:tcW w:w="900" w:type="dxa"/>
            <w:vAlign w:val="bottom"/>
            <w:shd w:val="clear" w:color="auto" w:fill="58854E"/>
          </w:tcPr>
          <w:p>
            <w:pPr>
              <w:spacing w:after="0"/>
              <w:rPr>
                <w:sz w:val="11"/>
                <w:szCs w:val="11"/>
                <w:color w:val="auto"/>
              </w:rPr>
            </w:pPr>
          </w:p>
        </w:tc>
        <w:tc>
          <w:tcPr>
            <w:tcW w:w="1120" w:type="dxa"/>
            <w:vAlign w:val="bottom"/>
            <w:gridSpan w:val="3"/>
            <w:shd w:val="clear" w:color="auto" w:fill="58854E"/>
          </w:tcPr>
          <w:p>
            <w:pPr>
              <w:jc w:val="center"/>
              <w:ind w:left="176"/>
              <w:spacing w:after="0" w:line="137" w:lineRule="exact"/>
              <w:rPr>
                <w:sz w:val="20"/>
                <w:szCs w:val="20"/>
                <w:color w:val="auto"/>
              </w:rPr>
            </w:pPr>
            <w:r>
              <w:rPr>
                <w:rFonts w:ascii="Arial" w:cs="Arial" w:eastAsia="Arial" w:hAnsi="Arial"/>
                <w:sz w:val="12"/>
                <w:szCs w:val="12"/>
                <w:b w:val="1"/>
                <w:bCs w:val="1"/>
                <w:color w:val="FFFFFE"/>
                <w:w w:val="99"/>
              </w:rPr>
              <w:t>REALIZED</w:t>
            </w:r>
          </w:p>
        </w:tc>
        <w:tc>
          <w:tcPr>
            <w:tcW w:w="36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22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SHARES ACQUIRED</w:t>
            </w:r>
          </w:p>
        </w:tc>
        <w:tc>
          <w:tcPr>
            <w:tcW w:w="620" w:type="dxa"/>
            <w:vAlign w:val="bottom"/>
            <w:shd w:val="clear" w:color="auto" w:fill="58854E"/>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160" w:type="dxa"/>
            <w:vAlign w:val="bottom"/>
            <w:shd w:val="clear" w:color="auto" w:fill="58854E"/>
          </w:tcPr>
          <w:p>
            <w:pPr>
              <w:spacing w:after="0"/>
              <w:rPr>
                <w:sz w:val="11"/>
                <w:szCs w:val="11"/>
                <w:color w:val="auto"/>
              </w:rPr>
            </w:pPr>
          </w:p>
        </w:tc>
        <w:tc>
          <w:tcPr>
            <w:tcW w:w="1160" w:type="dxa"/>
            <w:vAlign w:val="bottom"/>
            <w:shd w:val="clear" w:color="auto" w:fill="58854E"/>
          </w:tcPr>
          <w:p>
            <w:pPr>
              <w:jc w:val="center"/>
              <w:ind w:right="255"/>
              <w:spacing w:after="0" w:line="137" w:lineRule="exact"/>
              <w:rPr>
                <w:sz w:val="20"/>
                <w:szCs w:val="20"/>
                <w:color w:val="auto"/>
              </w:rPr>
            </w:pPr>
            <w:r>
              <w:rPr>
                <w:rFonts w:ascii="Arial" w:cs="Arial" w:eastAsia="Arial" w:hAnsi="Arial"/>
                <w:sz w:val="12"/>
                <w:szCs w:val="12"/>
                <w:b w:val="1"/>
                <w:bCs w:val="1"/>
                <w:color w:val="FFFFFE"/>
                <w:w w:val="99"/>
              </w:rPr>
              <w:t>REALIZED</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1260" w:type="dxa"/>
            <w:vAlign w:val="bottom"/>
            <w:shd w:val="clear" w:color="auto" w:fill="58854E"/>
          </w:tcPr>
          <w:p>
            <w:pPr>
              <w:spacing w:after="0"/>
              <w:rPr>
                <w:sz w:val="11"/>
                <w:szCs w:val="11"/>
                <w:color w:val="auto"/>
              </w:rPr>
            </w:pPr>
          </w:p>
        </w:tc>
        <w:tc>
          <w:tcPr>
            <w:tcW w:w="140" w:type="dxa"/>
            <w:vAlign w:val="bottom"/>
            <w:shd w:val="clear" w:color="auto" w:fill="58854E"/>
          </w:tcPr>
          <w:p>
            <w:pPr>
              <w:spacing w:after="0"/>
              <w:rPr>
                <w:sz w:val="11"/>
                <w:szCs w:val="11"/>
                <w:color w:val="auto"/>
              </w:rPr>
            </w:pPr>
          </w:p>
        </w:tc>
        <w:tc>
          <w:tcPr>
            <w:tcW w:w="88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shd w:val="clear" w:color="auto" w:fill="58854E"/>
          </w:tcPr>
          <w:p>
            <w:pPr>
              <w:spacing w:after="0"/>
              <w:rPr>
                <w:sz w:val="11"/>
                <w:szCs w:val="11"/>
                <w:color w:val="auto"/>
              </w:rPr>
            </w:pPr>
          </w:p>
        </w:tc>
        <w:tc>
          <w:tcPr>
            <w:tcW w:w="1480" w:type="dxa"/>
            <w:vAlign w:val="bottom"/>
            <w:shd w:val="clear" w:color="auto" w:fill="58854E"/>
          </w:tcPr>
          <w:p>
            <w:pPr>
              <w:jc w:val="center"/>
              <w:ind w:left="211"/>
              <w:spacing w:after="0" w:line="137" w:lineRule="exact"/>
              <w:rPr>
                <w:sz w:val="20"/>
                <w:szCs w:val="20"/>
                <w:color w:val="auto"/>
              </w:rPr>
            </w:pPr>
            <w:r>
              <w:rPr>
                <w:rFonts w:ascii="Arial" w:cs="Arial" w:eastAsia="Arial" w:hAnsi="Arial"/>
                <w:sz w:val="12"/>
                <w:szCs w:val="12"/>
                <w:b w:val="1"/>
                <w:bCs w:val="1"/>
                <w:color w:val="FFFFFE"/>
              </w:rPr>
              <w:t>ON EXERCISE</w:t>
            </w:r>
          </w:p>
        </w:tc>
        <w:tc>
          <w:tcPr>
            <w:tcW w:w="900" w:type="dxa"/>
            <w:vAlign w:val="bottom"/>
            <w:shd w:val="clear" w:color="auto" w:fill="58854E"/>
          </w:tcPr>
          <w:p>
            <w:pPr>
              <w:spacing w:after="0"/>
              <w:rPr>
                <w:sz w:val="11"/>
                <w:szCs w:val="11"/>
                <w:color w:val="auto"/>
              </w:rPr>
            </w:pPr>
          </w:p>
        </w:tc>
        <w:tc>
          <w:tcPr>
            <w:tcW w:w="1120" w:type="dxa"/>
            <w:vAlign w:val="bottom"/>
            <w:gridSpan w:val="3"/>
            <w:shd w:val="clear" w:color="auto" w:fill="58854E"/>
          </w:tcPr>
          <w:p>
            <w:pPr>
              <w:jc w:val="center"/>
              <w:ind w:left="176"/>
              <w:spacing w:after="0" w:line="137" w:lineRule="exact"/>
              <w:rPr>
                <w:sz w:val="20"/>
                <w:szCs w:val="20"/>
                <w:color w:val="auto"/>
              </w:rPr>
            </w:pPr>
            <w:r>
              <w:rPr>
                <w:rFonts w:ascii="Arial" w:cs="Arial" w:eastAsia="Arial" w:hAnsi="Arial"/>
                <w:sz w:val="12"/>
                <w:szCs w:val="12"/>
                <w:b w:val="1"/>
                <w:bCs w:val="1"/>
                <w:color w:val="FFFFFE"/>
              </w:rPr>
              <w:t>ON EXERCISE</w:t>
            </w:r>
          </w:p>
        </w:tc>
        <w:tc>
          <w:tcPr>
            <w:tcW w:w="360" w:type="dxa"/>
            <w:vAlign w:val="bottom"/>
            <w:shd w:val="clear" w:color="auto" w:fill="58854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shd w:val="clear" w:color="auto" w:fill="58854E"/>
          </w:tcPr>
          <w:p>
            <w:pPr>
              <w:spacing w:after="0"/>
              <w:rPr>
                <w:sz w:val="11"/>
                <w:szCs w:val="11"/>
                <w:color w:val="auto"/>
              </w:rPr>
            </w:pPr>
          </w:p>
        </w:tc>
        <w:tc>
          <w:tcPr>
            <w:tcW w:w="120" w:type="dxa"/>
            <w:vAlign w:val="bottom"/>
            <w:shd w:val="clear" w:color="auto" w:fill="58854E"/>
          </w:tcPr>
          <w:p>
            <w:pPr>
              <w:spacing w:after="0"/>
              <w:rPr>
                <w:sz w:val="11"/>
                <w:szCs w:val="11"/>
                <w:color w:val="auto"/>
              </w:rPr>
            </w:pPr>
          </w:p>
        </w:tc>
        <w:tc>
          <w:tcPr>
            <w:tcW w:w="122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ON VESTING</w:t>
            </w:r>
          </w:p>
        </w:tc>
        <w:tc>
          <w:tcPr>
            <w:tcW w:w="620" w:type="dxa"/>
            <w:vAlign w:val="bottom"/>
            <w:shd w:val="clear" w:color="auto" w:fill="58854E"/>
          </w:tcPr>
          <w:p>
            <w:pPr>
              <w:spacing w:after="0"/>
              <w:rPr>
                <w:sz w:val="11"/>
                <w:szCs w:val="11"/>
                <w:color w:val="auto"/>
              </w:rPr>
            </w:pPr>
          </w:p>
        </w:tc>
        <w:tc>
          <w:tcPr>
            <w:tcW w:w="420" w:type="dxa"/>
            <w:vAlign w:val="bottom"/>
            <w:shd w:val="clear" w:color="auto" w:fill="58854E"/>
          </w:tcPr>
          <w:p>
            <w:pPr>
              <w:spacing w:after="0"/>
              <w:rPr>
                <w:sz w:val="11"/>
                <w:szCs w:val="11"/>
                <w:color w:val="auto"/>
              </w:rPr>
            </w:pPr>
          </w:p>
        </w:tc>
        <w:tc>
          <w:tcPr>
            <w:tcW w:w="160" w:type="dxa"/>
            <w:vAlign w:val="bottom"/>
            <w:shd w:val="clear" w:color="auto" w:fill="58854E"/>
          </w:tcPr>
          <w:p>
            <w:pPr>
              <w:spacing w:after="0"/>
              <w:rPr>
                <w:sz w:val="11"/>
                <w:szCs w:val="11"/>
                <w:color w:val="auto"/>
              </w:rPr>
            </w:pPr>
          </w:p>
        </w:tc>
        <w:tc>
          <w:tcPr>
            <w:tcW w:w="1160" w:type="dxa"/>
            <w:vAlign w:val="bottom"/>
            <w:shd w:val="clear" w:color="auto" w:fill="58854E"/>
          </w:tcPr>
          <w:p>
            <w:pPr>
              <w:jc w:val="center"/>
              <w:ind w:right="255"/>
              <w:spacing w:after="0" w:line="137" w:lineRule="exact"/>
              <w:rPr>
                <w:sz w:val="20"/>
                <w:szCs w:val="20"/>
                <w:color w:val="auto"/>
              </w:rPr>
            </w:pPr>
            <w:r>
              <w:rPr>
                <w:rFonts w:ascii="Arial" w:cs="Arial" w:eastAsia="Arial" w:hAnsi="Arial"/>
                <w:sz w:val="12"/>
                <w:szCs w:val="12"/>
                <w:b w:val="1"/>
                <w:bCs w:val="1"/>
                <w:color w:val="FFFFFE"/>
              </w:rPr>
              <w:t>ON VESTING</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 w:type="dxa"/>
            <w:vAlign w:val="bottom"/>
            <w:gridSpan w:val="2"/>
            <w:shd w:val="clear" w:color="auto" w:fill="58854E"/>
          </w:tcPr>
          <w:p>
            <w:pPr>
              <w:spacing w:after="0"/>
              <w:rPr>
                <w:sz w:val="20"/>
                <w:szCs w:val="20"/>
                <w:color w:val="auto"/>
              </w:rPr>
            </w:pPr>
            <w:r>
              <w:rPr>
                <w:rFonts w:ascii="Arial" w:cs="Arial" w:eastAsia="Arial" w:hAnsi="Arial"/>
                <w:sz w:val="12"/>
                <w:szCs w:val="12"/>
                <w:b w:val="1"/>
                <w:bCs w:val="1"/>
                <w:color w:val="FFFFFE"/>
                <w:w w:val="96"/>
              </w:rPr>
              <w:t>NAME</w:t>
            </w:r>
          </w:p>
        </w:tc>
        <w:tc>
          <w:tcPr>
            <w:tcW w:w="1260" w:type="dxa"/>
            <w:vAlign w:val="bottom"/>
            <w:shd w:val="clear" w:color="auto" w:fill="58854E"/>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88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shd w:val="clear" w:color="auto" w:fill="58854E"/>
          </w:tcPr>
          <w:p>
            <w:pPr>
              <w:spacing w:after="0"/>
              <w:rPr>
                <w:sz w:val="13"/>
                <w:szCs w:val="13"/>
                <w:color w:val="auto"/>
              </w:rPr>
            </w:pPr>
          </w:p>
        </w:tc>
        <w:tc>
          <w:tcPr>
            <w:tcW w:w="1480" w:type="dxa"/>
            <w:vAlign w:val="bottom"/>
            <w:shd w:val="clear" w:color="auto" w:fill="58854E"/>
          </w:tcPr>
          <w:p>
            <w:pPr>
              <w:jc w:val="center"/>
              <w:ind w:left="211"/>
              <w:spacing w:after="0"/>
              <w:rPr>
                <w:sz w:val="20"/>
                <w:szCs w:val="20"/>
                <w:color w:val="auto"/>
              </w:rPr>
            </w:pPr>
            <w:r>
              <w:rPr>
                <w:rFonts w:ascii="Arial" w:cs="Arial" w:eastAsia="Arial" w:hAnsi="Arial"/>
                <w:sz w:val="12"/>
                <w:szCs w:val="12"/>
                <w:b w:val="1"/>
                <w:bCs w:val="1"/>
                <w:color w:val="FFFFFE"/>
              </w:rPr>
              <w:t>(#)</w:t>
            </w:r>
          </w:p>
        </w:tc>
        <w:tc>
          <w:tcPr>
            <w:tcW w:w="900" w:type="dxa"/>
            <w:vAlign w:val="bottom"/>
            <w:shd w:val="clear" w:color="auto" w:fill="58854E"/>
          </w:tcPr>
          <w:p>
            <w:pPr>
              <w:spacing w:after="0"/>
              <w:rPr>
                <w:sz w:val="13"/>
                <w:szCs w:val="13"/>
                <w:color w:val="auto"/>
              </w:rPr>
            </w:pPr>
          </w:p>
        </w:tc>
        <w:tc>
          <w:tcPr>
            <w:tcW w:w="860" w:type="dxa"/>
            <w:vAlign w:val="bottom"/>
            <w:shd w:val="clear" w:color="auto" w:fill="58854E"/>
          </w:tcPr>
          <w:p>
            <w:pPr>
              <w:jc w:val="center"/>
              <w:ind w:left="436"/>
              <w:spacing w:after="0"/>
              <w:rPr>
                <w:sz w:val="20"/>
                <w:szCs w:val="20"/>
                <w:color w:val="auto"/>
              </w:rPr>
            </w:pPr>
            <w:r>
              <w:rPr>
                <w:rFonts w:ascii="Arial" w:cs="Arial" w:eastAsia="Arial" w:hAnsi="Arial"/>
                <w:sz w:val="12"/>
                <w:szCs w:val="12"/>
                <w:b w:val="1"/>
                <w:bCs w:val="1"/>
                <w:color w:val="FFFFFE"/>
              </w:rPr>
              <w:t>($)</w:t>
            </w:r>
          </w:p>
        </w:tc>
        <w:tc>
          <w:tcPr>
            <w:tcW w:w="120" w:type="dxa"/>
            <w:vAlign w:val="bottom"/>
            <w:shd w:val="clear" w:color="auto" w:fill="58854E"/>
          </w:tcPr>
          <w:p>
            <w:pPr>
              <w:spacing w:after="0"/>
              <w:rPr>
                <w:sz w:val="13"/>
                <w:szCs w:val="13"/>
                <w:color w:val="auto"/>
              </w:rPr>
            </w:pPr>
          </w:p>
        </w:tc>
        <w:tc>
          <w:tcPr>
            <w:tcW w:w="140" w:type="dxa"/>
            <w:vAlign w:val="bottom"/>
            <w:shd w:val="clear" w:color="auto" w:fill="58854E"/>
          </w:tcPr>
          <w:p>
            <w:pPr>
              <w:spacing w:after="0"/>
              <w:rPr>
                <w:sz w:val="13"/>
                <w:szCs w:val="13"/>
                <w:color w:val="auto"/>
              </w:rPr>
            </w:pPr>
          </w:p>
        </w:tc>
        <w:tc>
          <w:tcPr>
            <w:tcW w:w="360" w:type="dxa"/>
            <w:vAlign w:val="bottom"/>
            <w:shd w:val="clear" w:color="auto" w:fill="58854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shd w:val="clear" w:color="auto" w:fill="58854E"/>
          </w:tcPr>
          <w:p>
            <w:pPr>
              <w:spacing w:after="0"/>
              <w:rPr>
                <w:sz w:val="13"/>
                <w:szCs w:val="13"/>
                <w:color w:val="auto"/>
              </w:rPr>
            </w:pPr>
          </w:p>
        </w:tc>
        <w:tc>
          <w:tcPr>
            <w:tcW w:w="120" w:type="dxa"/>
            <w:vAlign w:val="bottom"/>
            <w:shd w:val="clear" w:color="auto" w:fill="58854E"/>
          </w:tcPr>
          <w:p>
            <w:pPr>
              <w:spacing w:after="0"/>
              <w:rPr>
                <w:sz w:val="13"/>
                <w:szCs w:val="13"/>
                <w:color w:val="auto"/>
              </w:rPr>
            </w:pPr>
          </w:p>
        </w:tc>
        <w:tc>
          <w:tcPr>
            <w:tcW w:w="1220" w:type="dxa"/>
            <w:vAlign w:val="bottom"/>
            <w:shd w:val="clear" w:color="auto" w:fill="58854E"/>
          </w:tcPr>
          <w:p>
            <w:pPr>
              <w:jc w:val="center"/>
              <w:spacing w:after="0" w:line="160" w:lineRule="exact"/>
              <w:rPr>
                <w:sz w:val="20"/>
                <w:szCs w:val="20"/>
                <w:color w:val="auto"/>
              </w:rPr>
            </w:pPr>
            <w:r>
              <w:rPr>
                <w:rFonts w:ascii="Arial" w:cs="Arial" w:eastAsia="Arial" w:hAnsi="Arial"/>
                <w:sz w:val="12"/>
                <w:szCs w:val="12"/>
                <w:b w:val="1"/>
                <w:bCs w:val="1"/>
                <w:color w:val="FFFFFE"/>
                <w:w w:val="93"/>
              </w:rPr>
              <w:t>(#)</w:t>
            </w:r>
            <w:r>
              <w:rPr>
                <w:rFonts w:ascii="Arial" w:cs="Arial" w:eastAsia="Arial" w:hAnsi="Arial"/>
                <w:sz w:val="18"/>
                <w:szCs w:val="18"/>
                <w:b w:val="1"/>
                <w:bCs w:val="1"/>
                <w:color w:val="FFFFFE"/>
                <w:w w:val="93"/>
                <w:vertAlign w:val="superscript"/>
              </w:rPr>
              <w:t>1</w:t>
            </w:r>
          </w:p>
        </w:tc>
        <w:tc>
          <w:tcPr>
            <w:tcW w:w="620" w:type="dxa"/>
            <w:vAlign w:val="bottom"/>
            <w:shd w:val="clear" w:color="auto" w:fill="58854E"/>
          </w:tcPr>
          <w:p>
            <w:pPr>
              <w:spacing w:after="0"/>
              <w:rPr>
                <w:sz w:val="13"/>
                <w:szCs w:val="13"/>
                <w:color w:val="auto"/>
              </w:rPr>
            </w:pPr>
          </w:p>
        </w:tc>
        <w:tc>
          <w:tcPr>
            <w:tcW w:w="420" w:type="dxa"/>
            <w:vAlign w:val="bottom"/>
            <w:shd w:val="clear" w:color="auto" w:fill="58854E"/>
          </w:tcPr>
          <w:p>
            <w:pPr>
              <w:spacing w:after="0"/>
              <w:rPr>
                <w:sz w:val="13"/>
                <w:szCs w:val="13"/>
                <w:color w:val="auto"/>
              </w:rPr>
            </w:pPr>
          </w:p>
        </w:tc>
        <w:tc>
          <w:tcPr>
            <w:tcW w:w="160" w:type="dxa"/>
            <w:vAlign w:val="bottom"/>
            <w:shd w:val="clear" w:color="auto" w:fill="58854E"/>
          </w:tcPr>
          <w:p>
            <w:pPr>
              <w:spacing w:after="0"/>
              <w:rPr>
                <w:sz w:val="13"/>
                <w:szCs w:val="13"/>
                <w:color w:val="auto"/>
              </w:rPr>
            </w:pPr>
          </w:p>
        </w:tc>
        <w:tc>
          <w:tcPr>
            <w:tcW w:w="1160" w:type="dxa"/>
            <w:vAlign w:val="bottom"/>
            <w:shd w:val="clear" w:color="auto" w:fill="58854E"/>
          </w:tcPr>
          <w:p>
            <w:pPr>
              <w:jc w:val="center"/>
              <w:ind w:right="255"/>
              <w:spacing w:after="0"/>
              <w:rPr>
                <w:sz w:val="20"/>
                <w:szCs w:val="20"/>
                <w:color w:val="auto"/>
              </w:rPr>
            </w:pPr>
            <w:r>
              <w:rPr>
                <w:rFonts w:ascii="Arial" w:cs="Arial" w:eastAsia="Arial" w:hAnsi="Arial"/>
                <w:sz w:val="12"/>
                <w:szCs w:val="12"/>
                <w:b w:val="1"/>
                <w:bCs w:val="1"/>
                <w:color w:val="FFFFFE"/>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60" w:type="dxa"/>
            <w:vAlign w:val="bottom"/>
            <w:gridSpan w:val="4"/>
          </w:tcPr>
          <w:p>
            <w:pPr>
              <w:spacing w:after="0" w:line="171" w:lineRule="exact"/>
              <w:rPr>
                <w:sz w:val="20"/>
                <w:szCs w:val="20"/>
                <w:color w:val="auto"/>
              </w:rPr>
            </w:pPr>
            <w:r>
              <w:rPr>
                <w:rFonts w:ascii="Arial" w:cs="Arial" w:eastAsia="Arial" w:hAnsi="Arial"/>
                <w:sz w:val="15"/>
                <w:szCs w:val="15"/>
                <w:color w:val="auto"/>
              </w:rPr>
              <w:t>Christopher S. Sotos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ind w:left="420"/>
              <w:spacing w:after="0" w:line="171" w:lineRule="exact"/>
              <w:rPr>
                <w:sz w:val="20"/>
                <w:szCs w:val="20"/>
                <w:color w:val="auto"/>
              </w:rPr>
            </w:pPr>
            <w:r>
              <w:rPr>
                <w:rFonts w:ascii="Arial" w:cs="Arial" w:eastAsia="Arial" w:hAnsi="Arial"/>
                <w:sz w:val="15"/>
                <w:szCs w:val="15"/>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620"/>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spacing w:after="0" w:line="171" w:lineRule="exact"/>
              <w:rPr>
                <w:sz w:val="20"/>
                <w:szCs w:val="20"/>
                <w:color w:val="auto"/>
              </w:rPr>
            </w:pPr>
            <w:r>
              <w:rPr>
                <w:rFonts w:ascii="Arial" w:cs="Arial" w:eastAsia="Arial" w:hAnsi="Arial"/>
                <w:sz w:val="15"/>
                <w:szCs w:val="15"/>
                <w:color w:val="auto"/>
              </w:rPr>
              <w:t>4,960</w:t>
            </w:r>
            <w:r>
              <w:rPr>
                <w:rFonts w:ascii="Arial" w:cs="Arial" w:eastAsia="Arial" w:hAnsi="Arial"/>
                <w:sz w:val="9"/>
                <w:szCs w:val="9"/>
                <w:color w:val="58844D"/>
              </w:rPr>
              <w:t>2</w:t>
            </w:r>
          </w:p>
        </w:tc>
        <w:tc>
          <w:tcPr>
            <w:tcW w:w="420" w:type="dxa"/>
            <w:vAlign w:val="bottom"/>
          </w:tcPr>
          <w:p>
            <w:pPr>
              <w:jc w:val="center"/>
              <w:ind w:right="113"/>
              <w:spacing w:after="0" w:line="171" w:lineRule="exact"/>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4"/>
                <w:szCs w:val="14"/>
                <w:color w:val="auto"/>
              </w:rPr>
            </w:pPr>
          </w:p>
        </w:tc>
        <w:tc>
          <w:tcPr>
            <w:tcW w:w="1300" w:type="dxa"/>
            <w:vAlign w:val="bottom"/>
            <w:gridSpan w:val="3"/>
          </w:tcPr>
          <w:p>
            <w:pPr>
              <w:jc w:val="right"/>
              <w:ind w:right="80"/>
              <w:spacing w:after="0" w:line="171" w:lineRule="exact"/>
              <w:rPr>
                <w:sz w:val="20"/>
                <w:szCs w:val="20"/>
                <w:color w:val="auto"/>
              </w:rPr>
            </w:pPr>
            <w:r>
              <w:rPr>
                <w:rFonts w:ascii="Arial" w:cs="Arial" w:eastAsia="Arial" w:hAnsi="Arial"/>
                <w:sz w:val="15"/>
                <w:szCs w:val="15"/>
                <w:color w:val="auto"/>
              </w:rPr>
              <w:t>78,377</w:t>
            </w:r>
            <w:r>
              <w:rPr>
                <w:rFonts w:ascii="Arial" w:cs="Arial" w:eastAsia="Arial" w:hAnsi="Arial"/>
                <w:sz w:val="9"/>
                <w:szCs w:val="9"/>
                <w:color w:val="58844D"/>
              </w:rPr>
              <w:t>3</w:t>
            </w:r>
          </w:p>
        </w:tc>
        <w:tc>
          <w:tcPr>
            <w:tcW w:w="0" w:type="dxa"/>
            <w:vAlign w:val="bottom"/>
          </w:tcPr>
          <w:p>
            <w:pPr>
              <w:spacing w:after="0"/>
              <w:rPr>
                <w:sz w:val="1"/>
                <w:szCs w:val="1"/>
                <w:color w:val="auto"/>
              </w:rPr>
            </w:pPr>
          </w:p>
        </w:tc>
      </w:tr>
      <w:tr>
        <w:trPr>
          <w:trHeight w:val="20"/>
        </w:trPr>
        <w:tc>
          <w:tcPr>
            <w:tcW w:w="1760" w:type="dxa"/>
            <w:vAlign w:val="bottom"/>
            <w:gridSpan w:val="4"/>
            <w:shd w:val="clear" w:color="auto" w:fill="58854E"/>
          </w:tcPr>
          <w:p>
            <w:pPr>
              <w:spacing w:after="0" w:line="20" w:lineRule="exact"/>
              <w:rPr>
                <w:sz w:val="1"/>
                <w:szCs w:val="1"/>
                <w:color w:val="auto"/>
              </w:rPr>
            </w:pPr>
          </w:p>
        </w:tc>
        <w:tc>
          <w:tcPr>
            <w:tcW w:w="880" w:type="dxa"/>
            <w:vAlign w:val="bottom"/>
            <w:shd w:val="clear" w:color="auto" w:fill="58854E"/>
          </w:tcPr>
          <w:p>
            <w:pPr>
              <w:spacing w:after="0" w:line="20" w:lineRule="exact"/>
              <w:rPr>
                <w:sz w:val="1"/>
                <w:szCs w:val="1"/>
                <w:color w:val="auto"/>
              </w:rPr>
            </w:pPr>
          </w:p>
        </w:tc>
        <w:tc>
          <w:tcPr>
            <w:tcW w:w="140" w:type="dxa"/>
            <w:vAlign w:val="bottom"/>
            <w:shd w:val="clear" w:color="auto" w:fill="58854E"/>
          </w:tcPr>
          <w:p>
            <w:pPr>
              <w:spacing w:after="0" w:line="20" w:lineRule="exact"/>
              <w:rPr>
                <w:sz w:val="1"/>
                <w:szCs w:val="1"/>
                <w:color w:val="auto"/>
              </w:rPr>
            </w:pPr>
          </w:p>
        </w:tc>
        <w:tc>
          <w:tcPr>
            <w:tcW w:w="340" w:type="dxa"/>
            <w:vAlign w:val="bottom"/>
            <w:shd w:val="clear" w:color="auto" w:fill="58854E"/>
          </w:tcPr>
          <w:p>
            <w:pPr>
              <w:spacing w:after="0" w:line="20" w:lineRule="exact"/>
              <w:rPr>
                <w:sz w:val="1"/>
                <w:szCs w:val="1"/>
                <w:color w:val="auto"/>
              </w:rPr>
            </w:pPr>
          </w:p>
        </w:tc>
        <w:tc>
          <w:tcPr>
            <w:tcW w:w="1480" w:type="dxa"/>
            <w:vAlign w:val="bottom"/>
            <w:shd w:val="clear" w:color="auto" w:fill="58854E"/>
          </w:tcPr>
          <w:p>
            <w:pPr>
              <w:spacing w:after="0" w:line="20" w:lineRule="exact"/>
              <w:rPr>
                <w:sz w:val="1"/>
                <w:szCs w:val="1"/>
                <w:color w:val="auto"/>
              </w:rPr>
            </w:pPr>
          </w:p>
        </w:tc>
        <w:tc>
          <w:tcPr>
            <w:tcW w:w="900" w:type="dxa"/>
            <w:vAlign w:val="bottom"/>
            <w:shd w:val="clear" w:color="auto" w:fill="58854E"/>
          </w:tcPr>
          <w:p>
            <w:pPr>
              <w:spacing w:after="0" w:line="20" w:lineRule="exact"/>
              <w:rPr>
                <w:sz w:val="1"/>
                <w:szCs w:val="1"/>
                <w:color w:val="auto"/>
              </w:rPr>
            </w:pPr>
          </w:p>
        </w:tc>
        <w:tc>
          <w:tcPr>
            <w:tcW w:w="860" w:type="dxa"/>
            <w:vAlign w:val="bottom"/>
            <w:shd w:val="clear" w:color="auto" w:fill="58854E"/>
          </w:tcPr>
          <w:p>
            <w:pPr>
              <w:spacing w:after="0" w:line="20" w:lineRule="exact"/>
              <w:rPr>
                <w:sz w:val="1"/>
                <w:szCs w:val="1"/>
                <w:color w:val="auto"/>
              </w:rPr>
            </w:pPr>
          </w:p>
        </w:tc>
        <w:tc>
          <w:tcPr>
            <w:tcW w:w="120" w:type="dxa"/>
            <w:vAlign w:val="bottom"/>
            <w:shd w:val="clear" w:color="auto" w:fill="58854E"/>
          </w:tcPr>
          <w:p>
            <w:pPr>
              <w:spacing w:after="0" w:line="20" w:lineRule="exact"/>
              <w:rPr>
                <w:sz w:val="1"/>
                <w:szCs w:val="1"/>
                <w:color w:val="auto"/>
              </w:rPr>
            </w:pPr>
          </w:p>
        </w:tc>
        <w:tc>
          <w:tcPr>
            <w:tcW w:w="140" w:type="dxa"/>
            <w:vAlign w:val="bottom"/>
            <w:shd w:val="clear" w:color="auto" w:fill="58854E"/>
          </w:tcPr>
          <w:p>
            <w:pPr>
              <w:spacing w:after="0" w:line="20" w:lineRule="exact"/>
              <w:rPr>
                <w:sz w:val="1"/>
                <w:szCs w:val="1"/>
                <w:color w:val="auto"/>
              </w:rPr>
            </w:pPr>
          </w:p>
        </w:tc>
        <w:tc>
          <w:tcPr>
            <w:tcW w:w="980" w:type="dxa"/>
            <w:vAlign w:val="bottom"/>
            <w:gridSpan w:val="3"/>
            <w:shd w:val="clear" w:color="auto" w:fill="58854E"/>
          </w:tcPr>
          <w:p>
            <w:pPr>
              <w:spacing w:after="0" w:line="20" w:lineRule="exact"/>
              <w:rPr>
                <w:sz w:val="1"/>
                <w:szCs w:val="1"/>
                <w:color w:val="auto"/>
              </w:rPr>
            </w:pPr>
          </w:p>
        </w:tc>
        <w:tc>
          <w:tcPr>
            <w:tcW w:w="120" w:type="dxa"/>
            <w:vAlign w:val="bottom"/>
            <w:shd w:val="clear" w:color="auto" w:fill="58854E"/>
          </w:tcPr>
          <w:p>
            <w:pPr>
              <w:spacing w:after="0" w:line="20" w:lineRule="exact"/>
              <w:rPr>
                <w:sz w:val="1"/>
                <w:szCs w:val="1"/>
                <w:color w:val="auto"/>
              </w:rPr>
            </w:pPr>
          </w:p>
        </w:tc>
        <w:tc>
          <w:tcPr>
            <w:tcW w:w="1220" w:type="dxa"/>
            <w:vAlign w:val="bottom"/>
            <w:shd w:val="clear" w:color="auto" w:fill="58854E"/>
          </w:tcPr>
          <w:p>
            <w:pPr>
              <w:spacing w:after="0" w:line="20" w:lineRule="exact"/>
              <w:rPr>
                <w:sz w:val="1"/>
                <w:szCs w:val="1"/>
                <w:color w:val="auto"/>
              </w:rPr>
            </w:pPr>
          </w:p>
        </w:tc>
        <w:tc>
          <w:tcPr>
            <w:tcW w:w="620" w:type="dxa"/>
            <w:vAlign w:val="bottom"/>
            <w:shd w:val="clear" w:color="auto" w:fill="58854E"/>
          </w:tcPr>
          <w:p>
            <w:pPr>
              <w:spacing w:after="0" w:line="20" w:lineRule="exact"/>
              <w:rPr>
                <w:sz w:val="1"/>
                <w:szCs w:val="1"/>
                <w:color w:val="auto"/>
              </w:rPr>
            </w:pPr>
          </w:p>
        </w:tc>
        <w:tc>
          <w:tcPr>
            <w:tcW w:w="420" w:type="dxa"/>
            <w:vAlign w:val="bottom"/>
            <w:shd w:val="clear" w:color="auto" w:fill="58854E"/>
          </w:tcPr>
          <w:p>
            <w:pPr>
              <w:spacing w:after="0" w:line="20" w:lineRule="exact"/>
              <w:rPr>
                <w:sz w:val="1"/>
                <w:szCs w:val="1"/>
                <w:color w:val="auto"/>
              </w:rPr>
            </w:pPr>
          </w:p>
        </w:tc>
        <w:tc>
          <w:tcPr>
            <w:tcW w:w="160" w:type="dxa"/>
            <w:vAlign w:val="bottom"/>
            <w:shd w:val="clear" w:color="auto" w:fill="58854E"/>
          </w:tcPr>
          <w:p>
            <w:pPr>
              <w:spacing w:after="0" w:line="20" w:lineRule="exact"/>
              <w:rPr>
                <w:sz w:val="1"/>
                <w:szCs w:val="1"/>
                <w:color w:val="auto"/>
              </w:rPr>
            </w:pPr>
          </w:p>
        </w:tc>
        <w:tc>
          <w:tcPr>
            <w:tcW w:w="1180" w:type="dxa"/>
            <w:vAlign w:val="bottom"/>
            <w:gridSpan w:val="2"/>
            <w:shd w:val="clear" w:color="auto" w:fill="58854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60" w:type="dxa"/>
            <w:vAlign w:val="bottom"/>
            <w:gridSpan w:val="4"/>
          </w:tcPr>
          <w:p>
            <w:pPr>
              <w:spacing w:after="0" w:line="162" w:lineRule="exact"/>
              <w:rPr>
                <w:sz w:val="20"/>
                <w:szCs w:val="20"/>
                <w:color w:val="auto"/>
              </w:rPr>
            </w:pPr>
            <w:r>
              <w:rPr>
                <w:rFonts w:ascii="Arial" w:cs="Arial" w:eastAsia="Arial" w:hAnsi="Arial"/>
                <w:sz w:val="15"/>
                <w:szCs w:val="15"/>
                <w:color w:val="auto"/>
              </w:rPr>
              <w:t>Chad Plotkin</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ind w:left="420"/>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6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7,216</w:t>
            </w:r>
            <w:r>
              <w:rPr>
                <w:rFonts w:ascii="Arial" w:cs="Arial" w:eastAsia="Arial" w:hAnsi="Arial"/>
                <w:sz w:val="9"/>
                <w:szCs w:val="9"/>
                <w:color w:val="58844D"/>
              </w:rPr>
              <w:t>4</w:t>
            </w:r>
          </w:p>
        </w:tc>
        <w:tc>
          <w:tcPr>
            <w:tcW w:w="420" w:type="dxa"/>
            <w:vAlign w:val="bottom"/>
          </w:tcPr>
          <w:p>
            <w:pPr>
              <w:jc w:val="center"/>
              <w:ind w:right="113"/>
              <w:spacing w:after="0" w:line="162" w:lineRule="exact"/>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4"/>
                <w:szCs w:val="14"/>
                <w:color w:val="auto"/>
              </w:rPr>
            </w:pPr>
          </w:p>
        </w:tc>
        <w:tc>
          <w:tcPr>
            <w:tcW w:w="1300" w:type="dxa"/>
            <w:vAlign w:val="bottom"/>
            <w:gridSpan w:val="3"/>
          </w:tcPr>
          <w:p>
            <w:pPr>
              <w:ind w:left="620"/>
              <w:spacing w:after="0" w:line="162" w:lineRule="exact"/>
              <w:rPr>
                <w:sz w:val="20"/>
                <w:szCs w:val="20"/>
                <w:color w:val="auto"/>
              </w:rPr>
            </w:pPr>
            <w:r>
              <w:rPr>
                <w:rFonts w:ascii="Arial" w:cs="Arial" w:eastAsia="Arial" w:hAnsi="Arial"/>
                <w:sz w:val="15"/>
                <w:szCs w:val="15"/>
                <w:color w:val="auto"/>
              </w:rPr>
              <w:t>114,388</w:t>
            </w:r>
            <w:r>
              <w:rPr>
                <w:rFonts w:ascii="Arial" w:cs="Arial" w:eastAsia="Arial" w:hAnsi="Arial"/>
                <w:sz w:val="9"/>
                <w:szCs w:val="9"/>
                <w:color w:val="58844D"/>
              </w:rPr>
              <w:t>5</w:t>
            </w:r>
          </w:p>
        </w:tc>
        <w:tc>
          <w:tcPr>
            <w:tcW w:w="0" w:type="dxa"/>
            <w:vAlign w:val="bottom"/>
          </w:tcPr>
          <w:p>
            <w:pPr>
              <w:spacing w:after="0"/>
              <w:rPr>
                <w:sz w:val="1"/>
                <w:szCs w:val="1"/>
                <w:color w:val="auto"/>
              </w:rPr>
            </w:pPr>
          </w:p>
        </w:tc>
      </w:tr>
      <w:tr>
        <w:trPr>
          <w:trHeight w:val="103"/>
        </w:trPr>
        <w:tc>
          <w:tcPr>
            <w:tcW w:w="220" w:type="dxa"/>
            <w:vAlign w:val="bottom"/>
            <w:tcBorders>
              <w:top w:val="single" w:sz="8" w:color="58854E"/>
            </w:tcBorders>
          </w:tcPr>
          <w:p>
            <w:pPr>
              <w:spacing w:after="0"/>
              <w:rPr>
                <w:sz w:val="20"/>
                <w:szCs w:val="20"/>
                <w:color w:val="auto"/>
              </w:rPr>
            </w:pPr>
            <w:r>
              <w:rPr>
                <w:rFonts w:ascii="Arial" w:cs="Arial" w:eastAsia="Arial" w:hAnsi="Arial"/>
                <w:sz w:val="9"/>
                <w:szCs w:val="9"/>
                <w:color w:val="58844D"/>
              </w:rPr>
              <w:t>1</w:t>
            </w:r>
          </w:p>
        </w:tc>
        <w:tc>
          <w:tcPr>
            <w:tcW w:w="140" w:type="dxa"/>
            <w:vAlign w:val="bottom"/>
            <w:tcBorders>
              <w:top w:val="single" w:sz="8" w:color="58854E"/>
            </w:tcBorders>
          </w:tcPr>
          <w:p>
            <w:pPr>
              <w:spacing w:after="0"/>
              <w:rPr>
                <w:sz w:val="8"/>
                <w:szCs w:val="8"/>
                <w:color w:val="auto"/>
              </w:rPr>
            </w:pPr>
          </w:p>
        </w:tc>
        <w:tc>
          <w:tcPr>
            <w:tcW w:w="7240" w:type="dxa"/>
            <w:vAlign w:val="bottom"/>
            <w:tcBorders>
              <w:top w:val="single" w:sz="8" w:color="58854E"/>
            </w:tcBorders>
            <w:gridSpan w:val="13"/>
          </w:tcPr>
          <w:p>
            <w:pPr>
              <w:spacing w:after="0" w:line="103" w:lineRule="exact"/>
              <w:rPr>
                <w:sz w:val="20"/>
                <w:szCs w:val="20"/>
                <w:color w:val="auto"/>
              </w:rPr>
            </w:pPr>
            <w:r>
              <w:rPr>
                <w:rFonts w:ascii="Arial" w:cs="Arial" w:eastAsia="Arial" w:hAnsi="Arial"/>
                <w:sz w:val="11"/>
                <w:szCs w:val="11"/>
                <w:color w:val="auto"/>
              </w:rPr>
              <w:t>Includes shares and DERs that vested pursuant to underlying awards and converted to Class C common stock in 2017.</w:t>
            </w:r>
          </w:p>
        </w:tc>
        <w:tc>
          <w:tcPr>
            <w:tcW w:w="120" w:type="dxa"/>
            <w:vAlign w:val="bottom"/>
            <w:tcBorders>
              <w:top w:val="single" w:sz="8" w:color="58854E"/>
            </w:tcBorders>
          </w:tcPr>
          <w:p>
            <w:pPr>
              <w:spacing w:after="0"/>
              <w:rPr>
                <w:sz w:val="8"/>
                <w:szCs w:val="8"/>
                <w:color w:val="auto"/>
              </w:rPr>
            </w:pPr>
          </w:p>
        </w:tc>
        <w:tc>
          <w:tcPr>
            <w:tcW w:w="1220" w:type="dxa"/>
            <w:vAlign w:val="bottom"/>
            <w:tcBorders>
              <w:top w:val="single" w:sz="8" w:color="58854E"/>
            </w:tcBorders>
          </w:tcPr>
          <w:p>
            <w:pPr>
              <w:spacing w:after="0"/>
              <w:rPr>
                <w:sz w:val="8"/>
                <w:szCs w:val="8"/>
                <w:color w:val="auto"/>
              </w:rPr>
            </w:pPr>
          </w:p>
        </w:tc>
        <w:tc>
          <w:tcPr>
            <w:tcW w:w="620" w:type="dxa"/>
            <w:vAlign w:val="bottom"/>
            <w:tcBorders>
              <w:top w:val="single" w:sz="8" w:color="58854E"/>
            </w:tcBorders>
          </w:tcPr>
          <w:p>
            <w:pPr>
              <w:spacing w:after="0"/>
              <w:rPr>
                <w:sz w:val="8"/>
                <w:szCs w:val="8"/>
                <w:color w:val="auto"/>
              </w:rPr>
            </w:pPr>
          </w:p>
        </w:tc>
        <w:tc>
          <w:tcPr>
            <w:tcW w:w="420" w:type="dxa"/>
            <w:vAlign w:val="bottom"/>
            <w:tcBorders>
              <w:top w:val="single" w:sz="8" w:color="58854E"/>
            </w:tcBorders>
          </w:tcPr>
          <w:p>
            <w:pPr>
              <w:spacing w:after="0"/>
              <w:rPr>
                <w:sz w:val="8"/>
                <w:szCs w:val="8"/>
                <w:color w:val="auto"/>
              </w:rPr>
            </w:pPr>
          </w:p>
        </w:tc>
        <w:tc>
          <w:tcPr>
            <w:tcW w:w="160" w:type="dxa"/>
            <w:vAlign w:val="bottom"/>
            <w:tcBorders>
              <w:top w:val="single" w:sz="8" w:color="58854E"/>
            </w:tcBorders>
          </w:tcPr>
          <w:p>
            <w:pPr>
              <w:spacing w:after="0"/>
              <w:rPr>
                <w:sz w:val="8"/>
                <w:szCs w:val="8"/>
                <w:color w:val="auto"/>
              </w:rPr>
            </w:pPr>
          </w:p>
        </w:tc>
        <w:tc>
          <w:tcPr>
            <w:tcW w:w="1160" w:type="dxa"/>
            <w:vAlign w:val="bottom"/>
            <w:tcBorders>
              <w:top w:val="single" w:sz="8" w:color="58854E"/>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1116330</wp:posOffset>
            </wp:positionH>
            <wp:positionV relativeFrom="paragraph">
              <wp:posOffset>-2842260</wp:posOffset>
            </wp:positionV>
            <wp:extent cx="605917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59170" cy="698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-2661285</wp:posOffset>
            </wp:positionV>
            <wp:extent cx="159258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92580" cy="698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-670560</wp:posOffset>
            </wp:positionV>
            <wp:extent cx="541464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146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434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8210" cy="434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
        </w:trPr>
        <w:tc>
          <w:tcPr>
            <w:tcW w:w="220" w:type="dxa"/>
            <w:vAlign w:val="bottom"/>
            <w:vMerge w:val="restart"/>
          </w:tcPr>
          <w:p>
            <w:pPr>
              <w:jc w:val="right"/>
              <w:ind w:right="157"/>
              <w:spacing w:after="0"/>
              <w:rPr>
                <w:sz w:val="20"/>
                <w:szCs w:val="20"/>
                <w:color w:val="auto"/>
              </w:rPr>
            </w:pPr>
            <w:r>
              <w:rPr>
                <w:rFonts w:ascii="Arial" w:cs="Arial" w:eastAsia="Arial" w:hAnsi="Arial"/>
                <w:sz w:val="5"/>
                <w:szCs w:val="5"/>
                <w:color w:val="58844D"/>
                <w:w w:val="70"/>
              </w:rPr>
              <w:t>2</w:t>
            </w:r>
          </w:p>
        </w:tc>
        <w:tc>
          <w:tcPr>
            <w:tcW w:w="140" w:type="dxa"/>
            <w:vAlign w:val="bottom"/>
          </w:tcPr>
          <w:p>
            <w:pPr>
              <w:spacing w:after="0"/>
              <w:rPr>
                <w:sz w:val="2"/>
                <w:szCs w:val="2"/>
                <w:color w:val="auto"/>
              </w:rPr>
            </w:pPr>
          </w:p>
        </w:tc>
        <w:tc>
          <w:tcPr>
            <w:tcW w:w="1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220" w:type="dxa"/>
            <w:vAlign w:val="bottom"/>
            <w:vMerge w:val="continue"/>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11080" w:type="dxa"/>
            <w:vAlign w:val="bottom"/>
            <w:vMerge w:val="restart"/>
            <w:shd w:val="clear" w:color="auto" w:fill="E9EEE6"/>
          </w:tcPr>
          <w:p>
            <w:pPr>
              <w:spacing w:after="0" w:line="137" w:lineRule="exact"/>
              <w:rPr>
                <w:sz w:val="20"/>
                <w:szCs w:val="20"/>
                <w:color w:val="auto"/>
              </w:rPr>
            </w:pPr>
            <w:r>
              <w:rPr>
                <w:rFonts w:ascii="Arial" w:cs="Arial" w:eastAsia="Arial" w:hAnsi="Arial"/>
                <w:sz w:val="12"/>
                <w:szCs w:val="12"/>
                <w:color w:val="auto"/>
              </w:rPr>
              <w:t>Represents 4,812 RSUs and 148 DERs that vested on January 2, 2017 pursuant to the stock compensation award granted on August 8, 2016.</w:t>
            </w:r>
          </w:p>
        </w:tc>
        <w:tc>
          <w:tcPr>
            <w:tcW w:w="0" w:type="dxa"/>
            <w:vAlign w:val="bottom"/>
          </w:tcPr>
          <w:p>
            <w:pPr>
              <w:spacing w:after="0"/>
              <w:rPr>
                <w:sz w:val="1"/>
                <w:szCs w:val="1"/>
                <w:color w:val="auto"/>
              </w:rPr>
            </w:pPr>
          </w:p>
        </w:tc>
      </w:tr>
      <w:tr>
        <w:trPr>
          <w:trHeight w:val="54"/>
        </w:trPr>
        <w:tc>
          <w:tcPr>
            <w:tcW w:w="220" w:type="dxa"/>
            <w:vAlign w:val="bottom"/>
            <w:vMerge w:val="restart"/>
          </w:tcPr>
          <w:p>
            <w:pPr>
              <w:jc w:val="right"/>
              <w:ind w:right="157"/>
              <w:spacing w:after="0"/>
              <w:rPr>
                <w:sz w:val="20"/>
                <w:szCs w:val="20"/>
                <w:color w:val="auto"/>
              </w:rPr>
            </w:pPr>
            <w:r>
              <w:rPr>
                <w:rFonts w:ascii="Arial" w:cs="Arial" w:eastAsia="Arial" w:hAnsi="Arial"/>
                <w:sz w:val="5"/>
                <w:szCs w:val="5"/>
                <w:color w:val="58844D"/>
                <w:w w:val="70"/>
              </w:rPr>
              <w:t>3</w:t>
            </w:r>
          </w:p>
        </w:tc>
        <w:tc>
          <w:tcPr>
            <w:tcW w:w="140" w:type="dxa"/>
            <w:vAlign w:val="bottom"/>
            <w:shd w:val="clear" w:color="auto" w:fill="E9EEE6"/>
          </w:tcPr>
          <w:p>
            <w:pPr>
              <w:spacing w:after="0"/>
              <w:rPr>
                <w:sz w:val="4"/>
                <w:szCs w:val="4"/>
                <w:color w:val="auto"/>
              </w:rPr>
            </w:pPr>
          </w:p>
        </w:tc>
        <w:tc>
          <w:tcPr>
            <w:tcW w:w="11080" w:type="dxa"/>
            <w:vAlign w:val="bottom"/>
            <w:vMerge w:val="continue"/>
            <w:shd w:val="clear" w:color="auto" w:fill="E9EEE6"/>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20" w:type="dxa"/>
            <w:vAlign w:val="bottom"/>
            <w:vMerge w:val="continue"/>
          </w:tcPr>
          <w:p>
            <w:pPr>
              <w:spacing w:after="0"/>
              <w:rPr>
                <w:sz w:val="7"/>
                <w:szCs w:val="7"/>
                <w:color w:val="auto"/>
              </w:rPr>
            </w:pPr>
          </w:p>
        </w:tc>
        <w:tc>
          <w:tcPr>
            <w:tcW w:w="140" w:type="dxa"/>
            <w:vAlign w:val="bottom"/>
            <w:shd w:val="clear" w:color="auto" w:fill="E9EEE6"/>
          </w:tcPr>
          <w:p>
            <w:pPr>
              <w:spacing w:after="0"/>
              <w:rPr>
                <w:sz w:val="7"/>
                <w:szCs w:val="7"/>
                <w:color w:val="auto"/>
              </w:rPr>
            </w:pPr>
          </w:p>
        </w:tc>
        <w:tc>
          <w:tcPr>
            <w:tcW w:w="11080" w:type="dxa"/>
            <w:vAlign w:val="bottom"/>
            <w:vMerge w:val="restart"/>
            <w:shd w:val="clear" w:color="auto" w:fill="E9EEE6"/>
          </w:tcPr>
          <w:p>
            <w:pPr>
              <w:spacing w:after="0"/>
              <w:rPr>
                <w:sz w:val="20"/>
                <w:szCs w:val="20"/>
                <w:color w:val="auto"/>
              </w:rPr>
            </w:pPr>
            <w:r>
              <w:rPr>
                <w:rFonts w:ascii="Arial" w:cs="Arial" w:eastAsia="Arial" w:hAnsi="Arial"/>
                <w:sz w:val="12"/>
                <w:szCs w:val="12"/>
                <w:color w:val="auto"/>
              </w:rPr>
              <w:t>As January 2, 2017 was not a trading day, the values are based on the Class C common stock closing share price of $15.80 on December 30, 2016 for awards and DERs that vested on January 2, 2017.</w:t>
            </w:r>
          </w:p>
        </w:tc>
        <w:tc>
          <w:tcPr>
            <w:tcW w:w="0" w:type="dxa"/>
            <w:vAlign w:val="bottom"/>
          </w:tcPr>
          <w:p>
            <w:pPr>
              <w:spacing w:after="0"/>
              <w:rPr>
                <w:sz w:val="1"/>
                <w:szCs w:val="1"/>
                <w:color w:val="auto"/>
              </w:rPr>
            </w:pPr>
          </w:p>
        </w:tc>
      </w:tr>
      <w:tr>
        <w:trPr>
          <w:trHeight w:val="58"/>
        </w:trPr>
        <w:tc>
          <w:tcPr>
            <w:tcW w:w="220" w:type="dxa"/>
            <w:vAlign w:val="bottom"/>
            <w:vMerge w:val="restart"/>
          </w:tcPr>
          <w:p>
            <w:pPr>
              <w:jc w:val="right"/>
              <w:ind w:right="157"/>
              <w:spacing w:after="0"/>
              <w:rPr>
                <w:sz w:val="20"/>
                <w:szCs w:val="20"/>
                <w:color w:val="auto"/>
              </w:rPr>
            </w:pPr>
            <w:r>
              <w:rPr>
                <w:rFonts w:ascii="Arial" w:cs="Arial" w:eastAsia="Arial" w:hAnsi="Arial"/>
                <w:sz w:val="5"/>
                <w:szCs w:val="5"/>
                <w:color w:val="58844D"/>
                <w:w w:val="70"/>
              </w:rPr>
              <w:t>4</w:t>
            </w:r>
          </w:p>
        </w:tc>
        <w:tc>
          <w:tcPr>
            <w:tcW w:w="140" w:type="dxa"/>
            <w:vAlign w:val="bottom"/>
            <w:shd w:val="clear" w:color="auto" w:fill="E9EEE6"/>
          </w:tcPr>
          <w:p>
            <w:pPr>
              <w:spacing w:after="0"/>
              <w:rPr>
                <w:sz w:val="5"/>
                <w:szCs w:val="5"/>
                <w:color w:val="auto"/>
              </w:rPr>
            </w:pPr>
          </w:p>
        </w:tc>
        <w:tc>
          <w:tcPr>
            <w:tcW w:w="11080" w:type="dxa"/>
            <w:vAlign w:val="bottom"/>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20" w:type="dxa"/>
            <w:vAlign w:val="bottom"/>
            <w:vMerge w:val="continue"/>
          </w:tcPr>
          <w:p>
            <w:pPr>
              <w:spacing w:after="0"/>
              <w:rPr>
                <w:sz w:val="6"/>
                <w:szCs w:val="6"/>
                <w:color w:val="auto"/>
              </w:rPr>
            </w:pPr>
          </w:p>
        </w:tc>
        <w:tc>
          <w:tcPr>
            <w:tcW w:w="140" w:type="dxa"/>
            <w:vAlign w:val="bottom"/>
            <w:shd w:val="clear" w:color="auto" w:fill="E9EEE6"/>
          </w:tcPr>
          <w:p>
            <w:pPr>
              <w:spacing w:after="0"/>
              <w:rPr>
                <w:sz w:val="6"/>
                <w:szCs w:val="6"/>
                <w:color w:val="auto"/>
              </w:rPr>
            </w:pPr>
          </w:p>
        </w:tc>
        <w:tc>
          <w:tcPr>
            <w:tcW w:w="11080" w:type="dxa"/>
            <w:vAlign w:val="bottom"/>
            <w:vMerge w:val="restart"/>
            <w:shd w:val="clear" w:color="auto" w:fill="E9EEE6"/>
          </w:tcPr>
          <w:p>
            <w:pPr>
              <w:spacing w:after="0" w:line="137" w:lineRule="exact"/>
              <w:rPr>
                <w:sz w:val="20"/>
                <w:szCs w:val="20"/>
                <w:color w:val="auto"/>
              </w:rPr>
            </w:pPr>
            <w:r>
              <w:rPr>
                <w:rFonts w:ascii="Arial" w:cs="Arial" w:eastAsia="Arial" w:hAnsi="Arial"/>
                <w:sz w:val="12"/>
                <w:szCs w:val="12"/>
                <w:color w:val="auto"/>
              </w:rPr>
              <w:t>Represents 7,099 RSUs and 117 DERs that vested on January 4, 2017 pursuant to the stock compensation award granted on November 7, 2016.</w:t>
            </w:r>
          </w:p>
        </w:tc>
        <w:tc>
          <w:tcPr>
            <w:tcW w:w="0" w:type="dxa"/>
            <w:vAlign w:val="bottom"/>
          </w:tcPr>
          <w:p>
            <w:pPr>
              <w:spacing w:after="0"/>
              <w:rPr>
                <w:sz w:val="1"/>
                <w:szCs w:val="1"/>
                <w:color w:val="auto"/>
              </w:rPr>
            </w:pPr>
          </w:p>
        </w:tc>
      </w:tr>
      <w:tr>
        <w:trPr>
          <w:trHeight w:val="58"/>
        </w:trPr>
        <w:tc>
          <w:tcPr>
            <w:tcW w:w="220" w:type="dxa"/>
            <w:vAlign w:val="bottom"/>
            <w:vMerge w:val="restart"/>
          </w:tcPr>
          <w:p>
            <w:pPr>
              <w:jc w:val="right"/>
              <w:ind w:right="157"/>
              <w:spacing w:after="0"/>
              <w:rPr>
                <w:sz w:val="20"/>
                <w:szCs w:val="20"/>
                <w:color w:val="auto"/>
              </w:rPr>
            </w:pPr>
            <w:r>
              <w:rPr>
                <w:rFonts w:ascii="Arial" w:cs="Arial" w:eastAsia="Arial" w:hAnsi="Arial"/>
                <w:sz w:val="5"/>
                <w:szCs w:val="5"/>
                <w:color w:val="58844D"/>
                <w:w w:val="70"/>
              </w:rPr>
              <w:t>5</w:t>
            </w:r>
          </w:p>
        </w:tc>
        <w:tc>
          <w:tcPr>
            <w:tcW w:w="140" w:type="dxa"/>
            <w:vAlign w:val="bottom"/>
            <w:shd w:val="clear" w:color="auto" w:fill="E9EEE6"/>
          </w:tcPr>
          <w:p>
            <w:pPr>
              <w:spacing w:after="0"/>
              <w:rPr>
                <w:sz w:val="5"/>
                <w:szCs w:val="5"/>
                <w:color w:val="auto"/>
              </w:rPr>
            </w:pPr>
          </w:p>
        </w:tc>
        <w:tc>
          <w:tcPr>
            <w:tcW w:w="11080" w:type="dxa"/>
            <w:vAlign w:val="bottom"/>
            <w:vMerge w:val="continue"/>
            <w:shd w:val="clear" w:color="auto" w:fill="E9EEE6"/>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40" w:type="dxa"/>
            <w:vAlign w:val="bottom"/>
            <w:tcBorders>
              <w:bottom w:val="single" w:sz="8" w:color="E9EEE6"/>
            </w:tcBorders>
            <w:shd w:val="clear" w:color="auto" w:fill="E9EEE6"/>
          </w:tcPr>
          <w:p>
            <w:pPr>
              <w:spacing w:after="0"/>
              <w:rPr>
                <w:sz w:val="9"/>
                <w:szCs w:val="9"/>
                <w:color w:val="auto"/>
              </w:rPr>
            </w:pPr>
          </w:p>
        </w:tc>
        <w:tc>
          <w:tcPr>
            <w:tcW w:w="11080" w:type="dxa"/>
            <w:vAlign w:val="bottom"/>
            <w:tcBorders>
              <w:bottom w:val="single" w:sz="8" w:color="E9EEE6"/>
            </w:tcBorders>
            <w:shd w:val="clear" w:color="auto" w:fill="E9EEE6"/>
          </w:tcPr>
          <w:p>
            <w:pPr>
              <w:spacing w:after="0" w:line="113" w:lineRule="exact"/>
              <w:rPr>
                <w:sz w:val="20"/>
                <w:szCs w:val="20"/>
                <w:color w:val="auto"/>
              </w:rPr>
            </w:pPr>
            <w:r>
              <w:rPr>
                <w:rFonts w:ascii="Arial" w:cs="Arial" w:eastAsia="Arial" w:hAnsi="Arial"/>
                <w:sz w:val="12"/>
                <w:szCs w:val="12"/>
                <w:color w:val="auto"/>
              </w:rPr>
              <w:t>The values are based on the Class C common stock closing share price of $15.85 on January 4, 2017 for awards and DERs that vested on January 4, 2017.</w:t>
            </w:r>
          </w:p>
        </w:tc>
        <w:tc>
          <w:tcPr>
            <w:tcW w:w="0" w:type="dxa"/>
            <w:vAlign w:val="bottom"/>
          </w:tcPr>
          <w:p>
            <w:pPr>
              <w:spacing w:after="0"/>
              <w:rPr>
                <w:sz w:val="1"/>
                <w:szCs w:val="1"/>
                <w:color w:val="auto"/>
              </w:rPr>
            </w:pPr>
          </w:p>
        </w:tc>
      </w:tr>
      <w:tr>
        <w:trPr>
          <w:trHeight w:val="98"/>
        </w:trPr>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51" w:name="page52"/>
    <w:bookmarkEnd w:id="51"/>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58844D"/>
        </w:rPr>
        <w:t>Employment Agreements</w:t>
      </w:r>
    </w:p>
    <w:p>
      <w:pPr>
        <w:spacing w:after="0" w:line="211" w:lineRule="exact"/>
        <w:rPr>
          <w:sz w:val="20"/>
          <w:szCs w:val="20"/>
          <w:color w:val="auto"/>
        </w:rPr>
      </w:pPr>
    </w:p>
    <w:p>
      <w:pPr>
        <w:ind w:left="9" w:right="297"/>
        <w:spacing w:after="0" w:line="245" w:lineRule="auto"/>
        <w:rPr>
          <w:sz w:val="20"/>
          <w:szCs w:val="20"/>
          <w:color w:val="auto"/>
        </w:rPr>
      </w:pPr>
      <w:r>
        <w:rPr>
          <w:rFonts w:ascii="Arial" w:cs="Arial" w:eastAsia="Arial" w:hAnsi="Arial"/>
          <w:sz w:val="15"/>
          <w:szCs w:val="15"/>
          <w:color w:val="auto"/>
        </w:rPr>
        <w:t>The Company has not entered into employment agreements with any officers other than Mr. Sotos.</w:t>
      </w:r>
    </w:p>
    <w:p>
      <w:pPr>
        <w:spacing w:after="0" w:line="172" w:lineRule="exact"/>
        <w:rPr>
          <w:sz w:val="20"/>
          <w:szCs w:val="20"/>
          <w:color w:val="auto"/>
        </w:rPr>
      </w:pPr>
    </w:p>
    <w:p>
      <w:pPr>
        <w:ind w:left="9" w:right="17"/>
        <w:spacing w:after="0" w:line="238" w:lineRule="auto"/>
        <w:rPr>
          <w:sz w:val="20"/>
          <w:szCs w:val="20"/>
          <w:color w:val="auto"/>
        </w:rPr>
      </w:pPr>
      <w:r>
        <w:rPr>
          <w:rFonts w:ascii="Arial" w:cs="Arial" w:eastAsia="Arial" w:hAnsi="Arial"/>
          <w:sz w:val="15"/>
          <w:szCs w:val="15"/>
          <w:color w:val="auto"/>
        </w:rPr>
        <w:t>On August 8, 2016, the Company entered into an employment agreement with Mr. Sotos pursuant to which Mr. Sotos serves as the Company's President and CEO for the term that began on May 6, 2016 (Effective Date) and ending on the date that his employment is terminated by either party. The employment agreement entitled Mr. Sotos to an annual base salary of $500,000 for the period beginning on the Effective Date and ended on December 31, 2016. For each annual period thereafter, our Board will determine whether to increase Mr. Sotos' annual base salary. The employment agreement provides that, beginning with the 2016 fiscal year, Mr. Sotos is eligible to receive an annual bonus at a target amount equal to 100% of base salary (Annual Bonus), based on achievement of criteria determined by the Board with input from Mr. Sotos. The maximum award opportunity each year is 200% of the target amount. The employment agreement further provides that Mr. Sotos is eligible to participate in the LTIP, on such terms as are set forth in the plan. Mr. Sotos' target LTIP award for the 2017 fiscal year was 250% of base salary.</w:t>
      </w:r>
    </w:p>
    <w:p>
      <w:pPr>
        <w:spacing w:after="0" w:line="182" w:lineRule="exact"/>
        <w:rPr>
          <w:sz w:val="20"/>
          <w:szCs w:val="20"/>
          <w:color w:val="auto"/>
        </w:rPr>
      </w:pPr>
    </w:p>
    <w:p>
      <w:pPr>
        <w:ind w:left="9" w:right="177"/>
        <w:spacing w:after="0" w:line="245" w:lineRule="auto"/>
        <w:rPr>
          <w:sz w:val="20"/>
          <w:szCs w:val="20"/>
          <w:color w:val="auto"/>
        </w:rPr>
      </w:pPr>
      <w:r>
        <w:rPr>
          <w:rFonts w:ascii="Arial" w:cs="Arial" w:eastAsia="Arial" w:hAnsi="Arial"/>
          <w:sz w:val="15"/>
          <w:szCs w:val="15"/>
          <w:color w:val="auto"/>
        </w:rPr>
        <w:t>In addition to the compensation and benefits described above, the employment agreement provides that Mr. Sotos will receive the following:</w:t>
      </w:r>
    </w:p>
    <w:p>
      <w:pPr>
        <w:spacing w:after="0" w:line="172" w:lineRule="exact"/>
        <w:rPr>
          <w:sz w:val="20"/>
          <w:szCs w:val="20"/>
          <w:color w:val="auto"/>
        </w:rPr>
      </w:pPr>
    </w:p>
    <w:p>
      <w:pPr>
        <w:ind w:left="449" w:right="17" w:hanging="449"/>
        <w:spacing w:after="0" w:line="239" w:lineRule="auto"/>
        <w:tabs>
          <w:tab w:leader="none" w:pos="449" w:val="left"/>
        </w:tabs>
        <w:numPr>
          <w:ilvl w:val="0"/>
          <w:numId w:val="57"/>
        </w:numPr>
        <w:rPr>
          <w:rFonts w:ascii="Arial" w:cs="Arial" w:eastAsia="Arial" w:hAnsi="Arial"/>
          <w:sz w:val="15"/>
          <w:szCs w:val="15"/>
          <w:color w:val="58844D"/>
        </w:rPr>
      </w:pPr>
      <w:r>
        <w:rPr>
          <w:rFonts w:ascii="Arial" w:cs="Arial" w:eastAsia="Arial" w:hAnsi="Arial"/>
          <w:sz w:val="15"/>
          <w:szCs w:val="15"/>
          <w:color w:val="auto"/>
        </w:rPr>
        <w:t>Reimbursement for annual tax return preparation expenses and tax advice and financial planning, up to a maximum of $12,000 per year, and reimbursement for legal fees and expenses incurred in connection with negotiating the employment agreement and other agreements referenced therein, up to a maximum of $6,000;</w:t>
      </w:r>
    </w:p>
    <w:p>
      <w:pPr>
        <w:spacing w:after="0" w:line="178" w:lineRule="exact"/>
        <w:rPr>
          <w:rFonts w:ascii="Arial" w:cs="Arial" w:eastAsia="Arial" w:hAnsi="Arial"/>
          <w:sz w:val="15"/>
          <w:szCs w:val="15"/>
          <w:color w:val="58844D"/>
        </w:rPr>
      </w:pPr>
    </w:p>
    <w:p>
      <w:pPr>
        <w:ind w:left="449" w:right="17" w:hanging="449"/>
        <w:spacing w:after="0" w:line="241" w:lineRule="auto"/>
        <w:tabs>
          <w:tab w:leader="none" w:pos="449" w:val="left"/>
        </w:tabs>
        <w:numPr>
          <w:ilvl w:val="0"/>
          <w:numId w:val="57"/>
        </w:numPr>
        <w:rPr>
          <w:rFonts w:ascii="Arial" w:cs="Arial" w:eastAsia="Arial" w:hAnsi="Arial"/>
          <w:sz w:val="15"/>
          <w:szCs w:val="15"/>
          <w:color w:val="58844D"/>
        </w:rPr>
      </w:pPr>
      <w:r>
        <w:rPr>
          <w:rFonts w:ascii="Arial" w:cs="Arial" w:eastAsia="Arial" w:hAnsi="Arial"/>
          <w:sz w:val="15"/>
          <w:szCs w:val="15"/>
          <w:color w:val="auto"/>
        </w:rPr>
        <w:t>Eligibility to participate in the Company's retirement plans, health and welfare plans, and disability insurance plans under the same terms, and to the same extent, as other senior management of the Company; and</w:t>
      </w:r>
    </w:p>
    <w:p>
      <w:pPr>
        <w:spacing w:after="0" w:line="164" w:lineRule="exact"/>
        <w:rPr>
          <w:rFonts w:ascii="Arial" w:cs="Arial" w:eastAsia="Arial" w:hAnsi="Arial"/>
          <w:sz w:val="15"/>
          <w:szCs w:val="15"/>
          <w:color w:val="58844D"/>
        </w:rPr>
      </w:pPr>
    </w:p>
    <w:p>
      <w:pPr>
        <w:ind w:left="449" w:right="157" w:hanging="449"/>
        <w:spacing w:after="0" w:line="241" w:lineRule="auto"/>
        <w:tabs>
          <w:tab w:leader="none" w:pos="449" w:val="left"/>
        </w:tabs>
        <w:numPr>
          <w:ilvl w:val="0"/>
          <w:numId w:val="57"/>
        </w:numPr>
        <w:rPr>
          <w:rFonts w:ascii="Arial" w:cs="Arial" w:eastAsia="Arial" w:hAnsi="Arial"/>
          <w:sz w:val="15"/>
          <w:szCs w:val="15"/>
          <w:color w:val="58844D"/>
        </w:rPr>
      </w:pPr>
      <w:r>
        <w:rPr>
          <w:rFonts w:ascii="Arial" w:cs="Arial" w:eastAsia="Arial" w:hAnsi="Arial"/>
          <w:sz w:val="15"/>
          <w:szCs w:val="15"/>
          <w:color w:val="auto"/>
        </w:rPr>
        <w:t>Reimbursement for the costs of litigation or other disputes incurred in asserting any claims under the employment agreement, unless the court finds in favor of the Company.</w:t>
      </w:r>
    </w:p>
    <w:p>
      <w:pPr>
        <w:spacing w:after="0" w:line="176" w:lineRule="exact"/>
        <w:rPr>
          <w:sz w:val="20"/>
          <w:szCs w:val="20"/>
          <w:color w:val="auto"/>
        </w:rPr>
      </w:pPr>
    </w:p>
    <w:p>
      <w:pPr>
        <w:ind w:left="9" w:right="17"/>
        <w:spacing w:after="0" w:line="239" w:lineRule="auto"/>
        <w:rPr>
          <w:sz w:val="20"/>
          <w:szCs w:val="20"/>
          <w:color w:val="auto"/>
        </w:rPr>
      </w:pPr>
      <w:r>
        <w:rPr>
          <w:rFonts w:ascii="Arial" w:cs="Arial" w:eastAsia="Arial" w:hAnsi="Arial"/>
          <w:sz w:val="15"/>
          <w:szCs w:val="15"/>
          <w:color w:val="auto"/>
        </w:rPr>
        <w:t>The employment agreement also entitles him to certain severance payments and benefits in the event his employment terminates under certain circumstances. These severance payments and benefits are described and quantified under the section "Severance and Change-in-Control" below. In addition, under the employment agreement, the Company has agreed to indemnify Mr. Sotos against any claims arising as a result of his position with the Company to the maximum extent permitted by law.</w:t>
      </w:r>
    </w:p>
    <w:p>
      <w:pPr>
        <w:spacing w:after="0" w:line="177" w:lineRule="exact"/>
        <w:rPr>
          <w:sz w:val="20"/>
          <w:szCs w:val="20"/>
          <w:color w:val="auto"/>
        </w:rPr>
      </w:pPr>
    </w:p>
    <w:p>
      <w:pPr>
        <w:ind w:left="9" w:right="497"/>
        <w:spacing w:after="0" w:line="245" w:lineRule="auto"/>
        <w:rPr>
          <w:sz w:val="20"/>
          <w:szCs w:val="20"/>
          <w:color w:val="auto"/>
        </w:rPr>
      </w:pPr>
      <w:r>
        <w:rPr>
          <w:rFonts w:ascii="Arial" w:cs="Arial" w:eastAsia="Arial" w:hAnsi="Arial"/>
          <w:sz w:val="15"/>
          <w:szCs w:val="15"/>
          <w:color w:val="auto"/>
        </w:rPr>
        <w:t>The employment agreement includes non-competition and non-solicitation restrictions on Mr. Sotos during the term of</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47</w:t>
      </w:r>
    </w:p>
    <w:p>
      <w:pPr>
        <w:spacing w:after="0" w:line="200" w:lineRule="exact"/>
        <w:rPr>
          <w:sz w:val="20"/>
          <w:szCs w:val="20"/>
          <w:color w:val="auto"/>
        </w:rPr>
      </w:pPr>
    </w:p>
    <w:p>
      <w:pPr>
        <w:spacing w:after="0" w:line="381" w:lineRule="exact"/>
        <w:rPr>
          <w:sz w:val="20"/>
          <w:szCs w:val="20"/>
          <w:color w:val="auto"/>
        </w:rPr>
      </w:pPr>
    </w:p>
    <w:p>
      <w:pPr>
        <w:ind w:left="3" w:right="140"/>
        <w:spacing w:after="0" w:line="260" w:lineRule="auto"/>
        <w:rPr>
          <w:sz w:val="20"/>
          <w:szCs w:val="20"/>
          <w:color w:val="auto"/>
        </w:rPr>
      </w:pPr>
      <w:r>
        <w:rPr>
          <w:rFonts w:ascii="Arial" w:cs="Arial" w:eastAsia="Arial" w:hAnsi="Arial"/>
          <w:sz w:val="14"/>
          <w:szCs w:val="14"/>
          <w:color w:val="auto"/>
        </w:rPr>
        <w:t>his employment and for one year after his termination of employment. The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employment agreement may only be waived with the written consent of the Company and Mr. Sotos.</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58844D"/>
        </w:rPr>
        <w:t>Severance and Change-in-Control</w:t>
      </w:r>
    </w:p>
    <w:p>
      <w:pPr>
        <w:spacing w:after="0" w:line="211" w:lineRule="exact"/>
        <w:rPr>
          <w:sz w:val="20"/>
          <w:szCs w:val="20"/>
          <w:color w:val="auto"/>
        </w:rPr>
      </w:pPr>
    </w:p>
    <w:p>
      <w:pPr>
        <w:ind w:left="3" w:right="60"/>
        <w:spacing w:after="0" w:line="241" w:lineRule="auto"/>
        <w:rPr>
          <w:sz w:val="20"/>
          <w:szCs w:val="20"/>
          <w:color w:val="auto"/>
        </w:rPr>
      </w:pPr>
      <w:r>
        <w:rPr>
          <w:rFonts w:ascii="Arial" w:cs="Arial" w:eastAsia="Arial" w:hAnsi="Arial"/>
          <w:sz w:val="15"/>
          <w:szCs w:val="15"/>
          <w:color w:val="auto"/>
        </w:rPr>
        <w:t>Mr. Sotos, pursuant to his employment agreement, and Mr. Plotkin, pursuant to the CIC Plan are entitled to certain severance payments and benefits in the event of termination of employment under certain circumstances.</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18"/>
          <w:szCs w:val="18"/>
          <w:color w:val="58844D"/>
        </w:rPr>
        <w:t>Mr. Sotos' Benefits</w:t>
      </w:r>
    </w:p>
    <w:p>
      <w:pPr>
        <w:spacing w:after="0" w:line="189" w:lineRule="exact"/>
        <w:rPr>
          <w:sz w:val="20"/>
          <w:szCs w:val="20"/>
          <w:color w:val="auto"/>
        </w:rPr>
      </w:pPr>
    </w:p>
    <w:p>
      <w:pPr>
        <w:ind w:left="3" w:right="100"/>
        <w:spacing w:after="0"/>
        <w:rPr>
          <w:sz w:val="20"/>
          <w:szCs w:val="20"/>
          <w:color w:val="auto"/>
        </w:rPr>
      </w:pPr>
      <w:r>
        <w:rPr>
          <w:rFonts w:ascii="Arial" w:cs="Arial" w:eastAsia="Arial" w:hAnsi="Arial"/>
          <w:sz w:val="15"/>
          <w:szCs w:val="15"/>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176" w:lineRule="exact"/>
        <w:rPr>
          <w:sz w:val="20"/>
          <w:szCs w:val="20"/>
          <w:color w:val="auto"/>
        </w:rPr>
      </w:pPr>
    </w:p>
    <w:p>
      <w:pPr>
        <w:ind w:left="463" w:right="60" w:hanging="463"/>
        <w:spacing w:after="0" w:line="245" w:lineRule="auto"/>
        <w:tabs>
          <w:tab w:leader="none" w:pos="463" w:val="left"/>
        </w:tabs>
        <w:numPr>
          <w:ilvl w:val="0"/>
          <w:numId w:val="58"/>
        </w:numPr>
        <w:rPr>
          <w:rFonts w:ascii="Arial" w:cs="Arial" w:eastAsia="Arial" w:hAnsi="Arial"/>
          <w:sz w:val="15"/>
          <w:szCs w:val="15"/>
          <w:color w:val="58844D"/>
        </w:rPr>
      </w:pPr>
      <w:r>
        <w:rPr>
          <w:rFonts w:ascii="Arial" w:cs="Arial" w:eastAsia="Arial" w:hAnsi="Arial"/>
          <w:sz w:val="15"/>
          <w:szCs w:val="15"/>
          <w:color w:val="auto"/>
        </w:rPr>
        <w:t>A lump sum payment equal to no less than one and a half times Mr. Sotos' annual base salary in effect at the time of the Effective Date;</w:t>
      </w:r>
    </w:p>
    <w:p>
      <w:pPr>
        <w:spacing w:after="0" w:line="172" w:lineRule="exact"/>
        <w:rPr>
          <w:rFonts w:ascii="Arial" w:cs="Arial" w:eastAsia="Arial" w:hAnsi="Arial"/>
          <w:sz w:val="15"/>
          <w:szCs w:val="15"/>
          <w:color w:val="58844D"/>
        </w:rPr>
      </w:pPr>
    </w:p>
    <w:p>
      <w:pPr>
        <w:ind w:left="463" w:right="40" w:hanging="463"/>
        <w:spacing w:after="0"/>
        <w:tabs>
          <w:tab w:leader="none" w:pos="463" w:val="left"/>
        </w:tabs>
        <w:numPr>
          <w:ilvl w:val="0"/>
          <w:numId w:val="58"/>
        </w:numPr>
        <w:rPr>
          <w:rFonts w:ascii="Arial" w:cs="Arial" w:eastAsia="Arial" w:hAnsi="Arial"/>
          <w:sz w:val="15"/>
          <w:szCs w:val="15"/>
          <w:color w:val="58844D"/>
        </w:rPr>
      </w:pPr>
      <w:r>
        <w:rPr>
          <w:rFonts w:ascii="Arial" w:cs="Arial" w:eastAsia="Arial" w:hAnsi="Arial"/>
          <w:sz w:val="15"/>
          <w:szCs w:val="15"/>
          <w:color w:val="auto"/>
        </w:rPr>
        <w:t>The target bonus opportunity for the Annual Bonus for the year of termination, paid 45 days after termination, which amount will be pro-rated based on the number of days during the year that he was employed by the Company;</w:t>
      </w:r>
    </w:p>
    <w:p>
      <w:pPr>
        <w:spacing w:after="0" w:line="165" w:lineRule="exact"/>
        <w:rPr>
          <w:rFonts w:ascii="Arial" w:cs="Arial" w:eastAsia="Arial" w:hAnsi="Arial"/>
          <w:sz w:val="15"/>
          <w:szCs w:val="15"/>
          <w:color w:val="58844D"/>
        </w:rPr>
      </w:pPr>
    </w:p>
    <w:p>
      <w:pPr>
        <w:ind w:left="463" w:right="280" w:hanging="463"/>
        <w:spacing w:after="0" w:line="245" w:lineRule="auto"/>
        <w:tabs>
          <w:tab w:leader="none" w:pos="463" w:val="left"/>
        </w:tabs>
        <w:numPr>
          <w:ilvl w:val="0"/>
          <w:numId w:val="58"/>
        </w:numPr>
        <w:rPr>
          <w:rFonts w:ascii="Arial" w:cs="Arial" w:eastAsia="Arial" w:hAnsi="Arial"/>
          <w:sz w:val="15"/>
          <w:szCs w:val="15"/>
          <w:color w:val="58844D"/>
        </w:rPr>
      </w:pPr>
      <w:r>
        <w:rPr>
          <w:rFonts w:ascii="Arial" w:cs="Arial" w:eastAsia="Arial" w:hAnsi="Arial"/>
          <w:sz w:val="15"/>
          <w:szCs w:val="15"/>
          <w:color w:val="auto"/>
        </w:rPr>
        <w:t>Any unpaid bonus amount for the prior fiscal year to the extent not paid prior to the termination date; and</w:t>
      </w:r>
    </w:p>
    <w:p>
      <w:pPr>
        <w:spacing w:after="0" w:line="160" w:lineRule="exact"/>
        <w:rPr>
          <w:rFonts w:ascii="Arial" w:cs="Arial" w:eastAsia="Arial" w:hAnsi="Arial"/>
          <w:sz w:val="15"/>
          <w:szCs w:val="15"/>
          <w:color w:val="58844D"/>
        </w:rPr>
      </w:pPr>
    </w:p>
    <w:p>
      <w:pPr>
        <w:ind w:left="463" w:right="280" w:hanging="463"/>
        <w:spacing w:after="0"/>
        <w:tabs>
          <w:tab w:leader="none" w:pos="463" w:val="left"/>
        </w:tabs>
        <w:numPr>
          <w:ilvl w:val="0"/>
          <w:numId w:val="58"/>
        </w:numPr>
        <w:rPr>
          <w:rFonts w:ascii="Arial" w:cs="Arial" w:eastAsia="Arial" w:hAnsi="Arial"/>
          <w:sz w:val="15"/>
          <w:szCs w:val="15"/>
          <w:color w:val="58844D"/>
        </w:rPr>
      </w:pPr>
      <w:r>
        <w:rPr>
          <w:rFonts w:ascii="Arial" w:cs="Arial" w:eastAsia="Arial" w:hAnsi="Arial"/>
          <w:sz w:val="15"/>
          <w:szCs w:val="15"/>
          <w:color w:val="auto"/>
        </w:rPr>
        <w:t>Reimbursement of COBRA premiums for 18 months after the date of termination, except that such coverage will be discontinued if Mr. Sotos becomes eligible for medical benefits from a subsequent employer or otherwise.</w:t>
      </w:r>
    </w:p>
    <w:p>
      <w:pPr>
        <w:spacing w:after="0" w:line="176" w:lineRule="exact"/>
        <w:rPr>
          <w:sz w:val="20"/>
          <w:szCs w:val="20"/>
          <w:color w:val="auto"/>
        </w:rPr>
      </w:pPr>
    </w:p>
    <w:p>
      <w:pPr>
        <w:ind w:left="3" w:right="160"/>
        <w:spacing w:after="0" w:line="239" w:lineRule="auto"/>
        <w:rPr>
          <w:sz w:val="20"/>
          <w:szCs w:val="20"/>
          <w:color w:val="auto"/>
        </w:rPr>
      </w:pPr>
      <w:r>
        <w:rPr>
          <w:rFonts w:ascii="Arial" w:cs="Arial" w:eastAsia="Arial" w:hAnsi="Arial"/>
          <w:sz w:val="15"/>
          <w:szCs w:val="15"/>
          <w:color w:val="auto"/>
        </w:rPr>
        <w:t>Until December 31, 2017, if Mr. Sotos' employment was involuntarily terminated by the Company without cause or if he terminated his employment for good reason within 24 months following a change in control of the Company, in lieu of the severance benefits set forth above, the Company would provide Mr. Sotos with the severance benefits listed below. Effective January 1, 2018, Mr. Sotos' employment agreement was amended to provide these benefits if such termination occurs within the 6 months immediately prior to, or the 12 months immediately following, a Change in Control:</w:t>
      </w:r>
    </w:p>
    <w:p>
      <w:pPr>
        <w:spacing w:after="0" w:line="188" w:lineRule="exact"/>
        <w:rPr>
          <w:sz w:val="20"/>
          <w:szCs w:val="20"/>
          <w:color w:val="auto"/>
        </w:rPr>
      </w:pPr>
    </w:p>
    <w:p>
      <w:pPr>
        <w:jc w:val="both"/>
        <w:ind w:left="463" w:right="100" w:hanging="463"/>
        <w:spacing w:after="0" w:line="241" w:lineRule="auto"/>
        <w:tabs>
          <w:tab w:leader="none" w:pos="463" w:val="left"/>
        </w:tabs>
        <w:numPr>
          <w:ilvl w:val="0"/>
          <w:numId w:val="59"/>
        </w:numPr>
        <w:rPr>
          <w:rFonts w:ascii="Arial" w:cs="Arial" w:eastAsia="Arial" w:hAnsi="Arial"/>
          <w:sz w:val="15"/>
          <w:szCs w:val="15"/>
          <w:color w:val="58844D"/>
        </w:rPr>
      </w:pPr>
      <w:r>
        <w:rPr>
          <w:rFonts w:ascii="Arial" w:cs="Arial" w:eastAsia="Arial" w:hAnsi="Arial"/>
          <w:sz w:val="15"/>
          <w:szCs w:val="15"/>
          <w:color w:val="auto"/>
        </w:rPr>
        <w:t>A lump sum payment of no less than three times the sum of (a) Mr. Sotos' base salary in effect at the Effective Date and (b) Mr. Sotos' target Annual Bonus for the year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165100</wp:posOffset>
            </wp:positionV>
            <wp:extent cx="7273290"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6" w:space="720"/>
            <w:col w:w="5383"/>
          </w:cols>
          <w:pgMar w:left="231" w:top="142" w:right="219" w:bottom="1440" w:gutter="0" w:footer="0" w:header="0"/>
        </w:sectPr>
      </w:pPr>
    </w:p>
    <w:bookmarkStart w:id="52" w:name="page53"/>
    <w:bookmarkEnd w:id="52"/>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9" w:right="20" w:hanging="449"/>
        <w:spacing w:after="0" w:line="241" w:lineRule="auto"/>
        <w:tabs>
          <w:tab w:leader="none" w:pos="449" w:val="left"/>
        </w:tabs>
        <w:numPr>
          <w:ilvl w:val="0"/>
          <w:numId w:val="60"/>
        </w:numPr>
        <w:rPr>
          <w:rFonts w:ascii="Arial" w:cs="Arial" w:eastAsia="Arial" w:hAnsi="Arial"/>
          <w:sz w:val="15"/>
          <w:szCs w:val="15"/>
          <w:color w:val="58844D"/>
        </w:rPr>
      </w:pPr>
      <w:r>
        <w:rPr>
          <w:rFonts w:ascii="Arial" w:cs="Arial" w:eastAsia="Arial" w:hAnsi="Arial"/>
          <w:sz w:val="15"/>
          <w:szCs w:val="15"/>
          <w:color w:val="auto"/>
        </w:rPr>
        <w:t>A lump sum payment equal to the target bonus opportunity under the then-current bonus plan, which amount will be pro-rated based on the number of days during the year that he was employed by the Company;</w:t>
      </w:r>
    </w:p>
    <w:p>
      <w:pPr>
        <w:spacing w:after="0" w:line="175" w:lineRule="exact"/>
        <w:rPr>
          <w:rFonts w:ascii="Arial" w:cs="Arial" w:eastAsia="Arial" w:hAnsi="Arial"/>
          <w:sz w:val="15"/>
          <w:szCs w:val="15"/>
          <w:color w:val="58844D"/>
        </w:rPr>
      </w:pPr>
    </w:p>
    <w:p>
      <w:pPr>
        <w:ind w:left="449" w:right="260" w:hanging="449"/>
        <w:spacing w:after="0" w:line="245" w:lineRule="auto"/>
        <w:tabs>
          <w:tab w:leader="none" w:pos="449" w:val="left"/>
        </w:tabs>
        <w:numPr>
          <w:ilvl w:val="0"/>
          <w:numId w:val="60"/>
        </w:numPr>
        <w:rPr>
          <w:rFonts w:ascii="Arial" w:cs="Arial" w:eastAsia="Arial" w:hAnsi="Arial"/>
          <w:sz w:val="15"/>
          <w:szCs w:val="15"/>
          <w:color w:val="58844D"/>
        </w:rPr>
      </w:pPr>
      <w:r>
        <w:rPr>
          <w:rFonts w:ascii="Arial" w:cs="Arial" w:eastAsia="Arial" w:hAnsi="Arial"/>
          <w:sz w:val="15"/>
          <w:szCs w:val="15"/>
          <w:color w:val="auto"/>
        </w:rPr>
        <w:t>Any unpaid bonus amount for the prior fiscal year to the extent not paid prior to the termination date; and</w:t>
      </w:r>
    </w:p>
    <w:p>
      <w:pPr>
        <w:spacing w:after="0" w:line="160" w:lineRule="exact"/>
        <w:rPr>
          <w:rFonts w:ascii="Arial" w:cs="Arial" w:eastAsia="Arial" w:hAnsi="Arial"/>
          <w:sz w:val="15"/>
          <w:szCs w:val="15"/>
          <w:color w:val="58844D"/>
        </w:rPr>
      </w:pPr>
    </w:p>
    <w:p>
      <w:pPr>
        <w:ind w:left="449" w:right="260" w:hanging="449"/>
        <w:spacing w:after="0"/>
        <w:tabs>
          <w:tab w:leader="none" w:pos="449" w:val="left"/>
        </w:tabs>
        <w:numPr>
          <w:ilvl w:val="0"/>
          <w:numId w:val="60"/>
        </w:numPr>
        <w:rPr>
          <w:rFonts w:ascii="Arial" w:cs="Arial" w:eastAsia="Arial" w:hAnsi="Arial"/>
          <w:sz w:val="15"/>
          <w:szCs w:val="15"/>
          <w:color w:val="58844D"/>
        </w:rPr>
      </w:pPr>
      <w:r>
        <w:rPr>
          <w:rFonts w:ascii="Arial" w:cs="Arial" w:eastAsia="Arial" w:hAnsi="Arial"/>
          <w:sz w:val="15"/>
          <w:szCs w:val="15"/>
          <w:color w:val="auto"/>
        </w:rPr>
        <w:t>Reimbursement of COBRA premiums for 18 months after the date of termination, except that such coverage will be discontinued if Mr. Sotos becomes eligible for medical benefits from a subsequent employer or otherwise.</w:t>
      </w:r>
    </w:p>
    <w:p>
      <w:pPr>
        <w:spacing w:after="0" w:line="176" w:lineRule="exact"/>
        <w:rPr>
          <w:sz w:val="20"/>
          <w:szCs w:val="20"/>
          <w:color w:val="auto"/>
        </w:rPr>
      </w:pPr>
    </w:p>
    <w:p>
      <w:pPr>
        <w:ind w:left="9" w:right="80"/>
        <w:spacing w:after="0" w:line="239" w:lineRule="auto"/>
        <w:rPr>
          <w:sz w:val="20"/>
          <w:szCs w:val="20"/>
          <w:color w:val="auto"/>
        </w:rPr>
      </w:pPr>
      <w:r>
        <w:rPr>
          <w:rFonts w:ascii="Arial" w:cs="Arial" w:eastAsia="Arial" w:hAnsi="Arial"/>
          <w:sz w:val="15"/>
          <w:szCs w:val="15"/>
          <w:color w:val="auto"/>
        </w:rPr>
        <w:t>If Mr. Sotos' employment is terminated as a result of his death or disability, the Company agrees to pay him an amount equal to the target Annual Bonus for the year of termination, which amount will be pro-rated based on the number of days during the year that Mr. Sotos' was employed by the Company. In addition, the Company will pay Mr. Sotos any unpaid bonus amount for the prior fiscal year to the extent not paid prior to the termination date.</w:t>
      </w:r>
    </w:p>
    <w:p>
      <w:pPr>
        <w:spacing w:after="0" w:line="178" w:lineRule="exact"/>
        <w:rPr>
          <w:sz w:val="20"/>
          <w:szCs w:val="20"/>
          <w:color w:val="auto"/>
        </w:rPr>
      </w:pPr>
    </w:p>
    <w:p>
      <w:pPr>
        <w:ind w:left="9" w:right="20"/>
        <w:spacing w:after="0" w:line="239" w:lineRule="auto"/>
        <w:rPr>
          <w:sz w:val="20"/>
          <w:szCs w:val="20"/>
          <w:color w:val="auto"/>
        </w:rPr>
      </w:pPr>
      <w:r>
        <w:rPr>
          <w:rFonts w:ascii="Arial" w:cs="Arial" w:eastAsia="Arial" w:hAnsi="Arial"/>
          <w:sz w:val="15"/>
          <w:szCs w:val="15"/>
          <w:color w:val="auto"/>
        </w:rPr>
        <w:t>If an excise tax under Section 4999 of the Code would be triggered by any payments under Mr. Sotos' employment agreement or otherwise upon a change in 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8"/>
          <w:szCs w:val="18"/>
          <w:color w:val="58844D"/>
        </w:rPr>
        <w:t>Definition of Change-in-Control</w:t>
      </w:r>
    </w:p>
    <w:p>
      <w:pPr>
        <w:spacing w:after="0" w:line="189" w:lineRule="exact"/>
        <w:rPr>
          <w:sz w:val="20"/>
          <w:szCs w:val="20"/>
          <w:color w:val="auto"/>
        </w:rPr>
      </w:pPr>
    </w:p>
    <w:p>
      <w:pPr>
        <w:ind w:left="9"/>
        <w:spacing w:after="0" w:line="254" w:lineRule="auto"/>
        <w:rPr>
          <w:sz w:val="20"/>
          <w:szCs w:val="20"/>
          <w:color w:val="auto"/>
        </w:rPr>
      </w:pPr>
      <w:r>
        <w:rPr>
          <w:rFonts w:ascii="Arial" w:cs="Arial" w:eastAsia="Arial" w:hAnsi="Arial"/>
          <w:sz w:val="14"/>
          <w:szCs w:val="14"/>
          <w:color w:val="auto"/>
        </w:rPr>
        <w:t>In general, under Mr. Sotos' employment agreement and the CIC Plan, a "change-in-control" occurs in the event: (a) any person or entity other than NRG becoming the direct or indirect beneficial owner of 50% or more of the Company's voting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w:t>
      </w:r>
    </w:p>
    <w:p>
      <w:pPr>
        <w:spacing w:after="0" w:line="4" w:lineRule="exact"/>
        <w:rPr>
          <w:sz w:val="20"/>
          <w:szCs w:val="20"/>
          <w:color w:val="auto"/>
        </w:rPr>
      </w:pPr>
    </w:p>
    <w:p>
      <w:pPr>
        <w:ind w:left="9" w:right="20"/>
        <w:spacing w:after="0" w:line="247" w:lineRule="auto"/>
        <w:rPr>
          <w:sz w:val="20"/>
          <w:szCs w:val="20"/>
          <w:color w:val="auto"/>
        </w:rPr>
      </w:pPr>
      <w:r>
        <w:rPr>
          <w:rFonts w:ascii="Arial" w:cs="Arial" w:eastAsia="Arial" w:hAnsi="Arial"/>
          <w:sz w:val="14"/>
          <w:szCs w:val="14"/>
          <w:color w:val="auto"/>
        </w:rPr>
        <w:t xml:space="preserve">directors are approved by a vote of at least two-thirds ( </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12"/>
          <w:szCs w:val="12"/>
          <w:color w:val="auto"/>
        </w:rPr>
        <w:t>3</w:t>
      </w:r>
      <w:r>
        <w:rPr>
          <w:rFonts w:ascii="Arial" w:cs="Arial" w:eastAsia="Arial" w:hAnsi="Arial"/>
          <w:sz w:val="14"/>
          <w:szCs w:val="14"/>
          <w:color w:val="auto"/>
        </w:rPr>
        <w:t>)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and the previous stockholders of the Company fail to own at least 50% of the combined voting power of the resulting entity or (d) the stockholders approve a plan or proposal to liquidate or dissolve the Company. An involuntary termination without "cause" means the NEO's termination by the Company for any reason other than the NEO's conviction of, or agreement to a plea of nolo contendere to, a felony or other crime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48</w:t>
      </w:r>
    </w:p>
    <w:p>
      <w:pPr>
        <w:spacing w:after="0" w:line="376" w:lineRule="exact"/>
        <w:rPr>
          <w:sz w:val="20"/>
          <w:szCs w:val="20"/>
          <w:color w:val="auto"/>
        </w:rPr>
      </w:pPr>
    </w:p>
    <w:p>
      <w:pPr>
        <w:jc w:val="both"/>
        <w:ind w:right="100"/>
        <w:spacing w:after="0" w:line="254" w:lineRule="auto"/>
        <w:rPr>
          <w:sz w:val="20"/>
          <w:szCs w:val="20"/>
          <w:color w:val="auto"/>
        </w:rPr>
      </w:pPr>
      <w:r>
        <w:rPr>
          <w:rFonts w:ascii="Arial" w:cs="Arial" w:eastAsia="Arial" w:hAnsi="Arial"/>
          <w:sz w:val="14"/>
          <w:szCs w:val="14"/>
          <w:color w:val="auto"/>
        </w:rPr>
        <w:t>involving moral turpitude, willful failure to perform his duties, willful gross neglect or willful gross misconduct or a breach of the confidentiality provisions in the CIC Plan (or in Mr. Sotos' case, a material breach of his employment agreement).</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Effective January 1, 2018, the CIC Plan was amended to add the following actions as the basis of a termination for cause, (i) the executive officer's performance of any material act of theft, fraud, malfeasance or dishonesty, (ii) the executive officer's breach of any written agreement between the executive officer and the Company or a violation of the Company's code of conduct or other written policies, and (iii) any material breach of the restrictive covenants in the CIC Plan. A voluntary termination for "good reason" means the resignation of the executive officer in the event of a material reduction in his compensation or benefits, a material diminution in his title, authority, duties or responsibilities, or the failure of a successor to the Company to assume the CIC Plan. In the case of Mr. Sotos only, "good reason" also includes any material failure by the Company to comply with his employment agreement, his removal from the Board, the failure to elect him to the Board during any regular election, or a change in reporting structure of the Company requiring Mr. Sotos to report to anyone other than the Board.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58844D"/>
        </w:rPr>
        <w:t>Mr. Plotkin's Benefits</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Under the CIC Plan, Mr. Plotkin is entitled to the better of a change-in-control benefit, which shall be limited to $1 less than the amount subject to the excise tax under Section 4999 of the Code, or the full payment that is subject to the excise tax (which is then payable by him). Mr. Plotkin is also entitled to a general severance benefit equal to 1.5 times base salary in the event of involuntary termination without cause payable in a lump sum amount and reimbursement for COBRA benefits continuation cost for a period of 18 months.</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The CIC Plan also provides a change-in-control benefit in the event that, within 24 months following a change-in-control, Mr. Plotkin's employment is either involuntarily terminated by the Company without cause or voluntarily terminated by Mr. Plotkin for good reason. Effective January 1, 2018, the CIC Plan amended the period during which Mr. Plotkin is eligible to receive a change-in-control benefit to include the period that is 6 months prior to, as well as 12 months following, a change-in-control. As of June 14, 2017, the Compensation Committee approved an increase to the multiplier applicable to Mr. Plotkin's change-in-control benefit from 2 times, to 2.99 times, the sum of the applicable elements. Giving effect to such increase, the change-in-control benefit consists of an amount equal to 2.99 times the sum of his base salary plus the annual target incentive for the year of termination, payable in a lump sum amount; an amount equal to</w:t>
      </w:r>
    </w:p>
    <w:p>
      <w:pPr>
        <w:spacing w:after="0" w:line="7"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Mr. Plotkin's target bonus for the year of termination, prorated for the number of days during the performance period that Mr. Plotkin was employed by the Company; and reimbursement for COBRA benefits continuation cost for a period of 18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527685</wp:posOffset>
            </wp:positionV>
            <wp:extent cx="7273290"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700"/>
            <w:col w:w="5380"/>
          </w:cols>
          <w:pgMar w:left="231" w:top="142" w:right="2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520"/>
        <w:spacing w:after="0" w:line="239" w:lineRule="auto"/>
        <w:rPr>
          <w:sz w:val="20"/>
          <w:szCs w:val="20"/>
          <w:color w:val="auto"/>
        </w:rPr>
      </w:pPr>
      <w:r>
        <w:rPr>
          <w:rFonts w:ascii="Arial" w:cs="Arial" w:eastAsia="Arial" w:hAnsi="Arial"/>
          <w:sz w:val="15"/>
          <w:szCs w:val="15"/>
          <w:color w:val="auto"/>
        </w:rPr>
        <w:t>As a condition of receiving severance or change-in-control benefits, Mr. Plotkin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58844D"/>
        </w:rPr>
        <w:t>Potential Payments upon Termination or Change in Control</w:t>
      </w:r>
    </w:p>
    <w:p>
      <w:pPr>
        <w:spacing w:after="0" w:line="189" w:lineRule="exact"/>
        <w:rPr>
          <w:sz w:val="20"/>
          <w:szCs w:val="20"/>
          <w:color w:val="auto"/>
        </w:rPr>
      </w:pPr>
    </w:p>
    <w:p>
      <w:pPr>
        <w:ind w:right="3600"/>
        <w:spacing w:after="0" w:line="239" w:lineRule="auto"/>
        <w:rPr>
          <w:sz w:val="20"/>
          <w:szCs w:val="20"/>
          <w:color w:val="auto"/>
        </w:rPr>
      </w:pPr>
      <w:r>
        <w:rPr>
          <w:rFonts w:ascii="Arial" w:cs="Arial" w:eastAsia="Arial" w:hAnsi="Arial"/>
          <w:sz w:val="15"/>
          <w:szCs w:val="15"/>
          <w:color w:val="auto"/>
        </w:rPr>
        <w:t>The amount of compensation payable to each NEO in each circumstance is shown in the table below, assuming that termination of employment occurred as of December 31, 2017, and including payments that would have been earned as of such date. The amounts shown below do not include benefits payable under the Company's 401(k)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shd w:val="clear" w:color="auto" w:fill="58854E"/>
          </w:tcPr>
          <w:p>
            <w:pPr>
              <w:spacing w:after="0"/>
              <w:rPr>
                <w:sz w:val="12"/>
                <w:szCs w:val="12"/>
                <w:color w:val="auto"/>
              </w:rPr>
            </w:pPr>
          </w:p>
        </w:tc>
        <w:tc>
          <w:tcPr>
            <w:tcW w:w="100" w:type="dxa"/>
            <w:vAlign w:val="bottom"/>
            <w:tcBorders>
              <w:right w:val="single" w:sz="8" w:color="58854E"/>
            </w:tcBorders>
          </w:tcPr>
          <w:p>
            <w:pPr>
              <w:spacing w:after="0"/>
              <w:rPr>
                <w:sz w:val="12"/>
                <w:szCs w:val="12"/>
                <w:color w:val="auto"/>
              </w:rPr>
            </w:pPr>
          </w:p>
        </w:tc>
        <w:tc>
          <w:tcPr>
            <w:tcW w:w="860" w:type="dxa"/>
            <w:vAlign w:val="bottom"/>
            <w:shd w:val="clear" w:color="auto" w:fill="58854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840" w:type="dxa"/>
            <w:vAlign w:val="bottom"/>
            <w:shd w:val="clear" w:color="auto" w:fill="58854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8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9"/>
              </w:rPr>
              <w:t>INVOLUNTARY</w:t>
            </w:r>
          </w:p>
        </w:tc>
        <w:tc>
          <w:tcPr>
            <w:tcW w:w="40" w:type="dxa"/>
            <w:vAlign w:val="bottom"/>
          </w:tcPr>
          <w:p>
            <w:pPr>
              <w:spacing w:after="0"/>
              <w:rPr>
                <w:sz w:val="12"/>
                <w:szCs w:val="12"/>
                <w:color w:val="auto"/>
              </w:rPr>
            </w:pPr>
          </w:p>
        </w:tc>
        <w:tc>
          <w:tcPr>
            <w:tcW w:w="60" w:type="dxa"/>
            <w:vAlign w:val="bottom"/>
            <w:shd w:val="clear" w:color="auto" w:fill="58854E"/>
          </w:tcPr>
          <w:p>
            <w:pPr>
              <w:spacing w:after="0"/>
              <w:rPr>
                <w:sz w:val="12"/>
                <w:szCs w:val="12"/>
                <w:color w:val="auto"/>
              </w:rPr>
            </w:pPr>
          </w:p>
        </w:tc>
        <w:tc>
          <w:tcPr>
            <w:tcW w:w="700" w:type="dxa"/>
            <w:vAlign w:val="bottom"/>
            <w:shd w:val="clear" w:color="auto" w:fill="58854E"/>
          </w:tcPr>
          <w:p>
            <w:pPr>
              <w:spacing w:after="0"/>
              <w:rPr>
                <w:sz w:val="12"/>
                <w:szCs w:val="12"/>
                <w:color w:val="auto"/>
              </w:rPr>
            </w:pPr>
          </w:p>
        </w:tc>
      </w:tr>
      <w:tr>
        <w:trPr>
          <w:trHeight w:val="137"/>
        </w:trPr>
        <w:tc>
          <w:tcPr>
            <w:tcW w:w="1120" w:type="dxa"/>
            <w:vAlign w:val="bottom"/>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860" w:type="dxa"/>
            <w:vAlign w:val="bottom"/>
            <w:shd w:val="clear" w:color="auto" w:fill="58854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4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NOT FOR</w:t>
            </w:r>
          </w:p>
        </w:tc>
        <w:tc>
          <w:tcPr>
            <w:tcW w:w="40" w:type="dxa"/>
            <w:vAlign w:val="bottom"/>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700" w:type="dxa"/>
            <w:vAlign w:val="bottom"/>
            <w:shd w:val="clear" w:color="auto" w:fill="58854E"/>
          </w:tcPr>
          <w:p>
            <w:pPr>
              <w:spacing w:after="0"/>
              <w:rPr>
                <w:sz w:val="11"/>
                <w:szCs w:val="11"/>
                <w:color w:val="auto"/>
              </w:rPr>
            </w:pPr>
          </w:p>
        </w:tc>
      </w:tr>
      <w:tr>
        <w:trPr>
          <w:trHeight w:val="137"/>
        </w:trPr>
        <w:tc>
          <w:tcPr>
            <w:tcW w:w="1120" w:type="dxa"/>
            <w:vAlign w:val="bottom"/>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860" w:type="dxa"/>
            <w:vAlign w:val="bottom"/>
            <w:shd w:val="clear" w:color="auto" w:fill="58854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4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CAUSE OR</w:t>
            </w:r>
          </w:p>
        </w:tc>
        <w:tc>
          <w:tcPr>
            <w:tcW w:w="40" w:type="dxa"/>
            <w:vAlign w:val="bottom"/>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700" w:type="dxa"/>
            <w:vAlign w:val="bottom"/>
            <w:shd w:val="clear" w:color="auto" w:fill="58854E"/>
          </w:tcPr>
          <w:p>
            <w:pPr>
              <w:spacing w:after="0"/>
              <w:rPr>
                <w:sz w:val="11"/>
                <w:szCs w:val="11"/>
                <w:color w:val="auto"/>
              </w:rPr>
            </w:pPr>
          </w:p>
        </w:tc>
      </w:tr>
      <w:tr>
        <w:trPr>
          <w:trHeight w:val="137"/>
        </w:trPr>
        <w:tc>
          <w:tcPr>
            <w:tcW w:w="1120" w:type="dxa"/>
            <w:vAlign w:val="bottom"/>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860" w:type="dxa"/>
            <w:vAlign w:val="bottom"/>
            <w:shd w:val="clear" w:color="auto" w:fill="58854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4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VOLUNTARY</w:t>
            </w:r>
          </w:p>
        </w:tc>
        <w:tc>
          <w:tcPr>
            <w:tcW w:w="40" w:type="dxa"/>
            <w:vAlign w:val="bottom"/>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700" w:type="dxa"/>
            <w:vAlign w:val="bottom"/>
            <w:shd w:val="clear" w:color="auto" w:fill="58854E"/>
          </w:tcPr>
          <w:p>
            <w:pPr>
              <w:spacing w:after="0"/>
              <w:rPr>
                <w:sz w:val="11"/>
                <w:szCs w:val="11"/>
                <w:color w:val="auto"/>
              </w:rPr>
            </w:pPr>
          </w:p>
        </w:tc>
      </w:tr>
      <w:tr>
        <w:trPr>
          <w:trHeight w:val="137"/>
        </w:trPr>
        <w:tc>
          <w:tcPr>
            <w:tcW w:w="1120" w:type="dxa"/>
            <w:vAlign w:val="bottom"/>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860" w:type="dxa"/>
            <w:vAlign w:val="bottom"/>
            <w:shd w:val="clear" w:color="auto" w:fill="58854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40" w:type="dxa"/>
            <w:vAlign w:val="bottom"/>
            <w:shd w:val="clear" w:color="auto" w:fill="58854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FOR GOOD</w:t>
            </w:r>
          </w:p>
        </w:tc>
        <w:tc>
          <w:tcPr>
            <w:tcW w:w="40" w:type="dxa"/>
            <w:vAlign w:val="bottom"/>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700" w:type="dxa"/>
            <w:vAlign w:val="bottom"/>
            <w:shd w:val="clear" w:color="auto" w:fill="58854E"/>
          </w:tcPr>
          <w:p>
            <w:pPr>
              <w:spacing w:after="0"/>
              <w:rPr>
                <w:sz w:val="11"/>
                <w:szCs w:val="11"/>
                <w:color w:val="auto"/>
              </w:rPr>
            </w:pPr>
          </w:p>
        </w:tc>
      </w:tr>
      <w:tr>
        <w:trPr>
          <w:trHeight w:val="137"/>
        </w:trPr>
        <w:tc>
          <w:tcPr>
            <w:tcW w:w="1120" w:type="dxa"/>
            <w:vAlign w:val="bottom"/>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INVOLUNTARY</w:t>
            </w:r>
          </w:p>
        </w:tc>
        <w:tc>
          <w:tcPr>
            <w:tcW w:w="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4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VOLUNTARY</w:t>
            </w:r>
          </w:p>
        </w:tc>
        <w:tc>
          <w:tcPr>
            <w:tcW w:w="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REASON</w:t>
            </w:r>
          </w:p>
        </w:tc>
        <w:tc>
          <w:tcPr>
            <w:tcW w:w="40" w:type="dxa"/>
            <w:vAlign w:val="bottom"/>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700" w:type="dxa"/>
            <w:vAlign w:val="bottom"/>
            <w:shd w:val="clear" w:color="auto" w:fill="58854E"/>
          </w:tcPr>
          <w:p>
            <w:pPr>
              <w:spacing w:after="0"/>
              <w:rPr>
                <w:sz w:val="11"/>
                <w:szCs w:val="11"/>
                <w:color w:val="auto"/>
              </w:rPr>
            </w:pPr>
          </w:p>
        </w:tc>
      </w:tr>
      <w:tr>
        <w:trPr>
          <w:trHeight w:val="137"/>
        </w:trPr>
        <w:tc>
          <w:tcPr>
            <w:tcW w:w="1120" w:type="dxa"/>
            <w:vAlign w:val="bottom"/>
            <w:shd w:val="clear" w:color="auto" w:fill="58854E"/>
          </w:tcPr>
          <w:p>
            <w:pPr>
              <w:spacing w:after="0"/>
              <w:rPr>
                <w:sz w:val="11"/>
                <w:szCs w:val="11"/>
                <w:color w:val="auto"/>
              </w:rPr>
            </w:pPr>
          </w:p>
        </w:tc>
        <w:tc>
          <w:tcPr>
            <w:tcW w:w="100" w:type="dxa"/>
            <w:vAlign w:val="bottom"/>
            <w:tcBorders>
              <w:right w:val="single" w:sz="8" w:color="58854E"/>
            </w:tcBorders>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TERMINATION</w:t>
            </w:r>
          </w:p>
        </w:tc>
        <w:tc>
          <w:tcPr>
            <w:tcW w:w="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4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TERMINATION</w:t>
            </w:r>
          </w:p>
        </w:tc>
        <w:tc>
          <w:tcPr>
            <w:tcW w:w="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FOLLOWING A</w:t>
            </w:r>
          </w:p>
        </w:tc>
        <w:tc>
          <w:tcPr>
            <w:tcW w:w="40" w:type="dxa"/>
            <w:vAlign w:val="bottom"/>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700" w:type="dxa"/>
            <w:vAlign w:val="bottom"/>
            <w:shd w:val="clear" w:color="auto" w:fill="58854E"/>
          </w:tcPr>
          <w:p>
            <w:pPr>
              <w:spacing w:after="0"/>
              <w:rPr>
                <w:sz w:val="11"/>
                <w:szCs w:val="11"/>
                <w:color w:val="auto"/>
              </w:rPr>
            </w:pPr>
          </w:p>
        </w:tc>
      </w:tr>
      <w:tr>
        <w:trPr>
          <w:trHeight w:val="137"/>
        </w:trPr>
        <w:tc>
          <w:tcPr>
            <w:tcW w:w="1120" w:type="dxa"/>
            <w:vAlign w:val="bottom"/>
            <w:shd w:val="clear" w:color="auto" w:fill="58854E"/>
          </w:tcPr>
          <w:p>
            <w:pPr>
              <w:spacing w:after="0" w:line="137" w:lineRule="exact"/>
              <w:rPr>
                <w:sz w:val="20"/>
                <w:szCs w:val="20"/>
                <w:color w:val="auto"/>
              </w:rPr>
            </w:pPr>
            <w:r>
              <w:rPr>
                <w:rFonts w:ascii="Arial" w:cs="Arial" w:eastAsia="Arial" w:hAnsi="Arial"/>
                <w:sz w:val="12"/>
                <w:szCs w:val="12"/>
                <w:b w:val="1"/>
                <w:bCs w:val="1"/>
                <w:color w:val="FFFFFE"/>
              </w:rPr>
              <w:t>NAMED</w:t>
            </w:r>
          </w:p>
        </w:tc>
        <w:tc>
          <w:tcPr>
            <w:tcW w:w="100" w:type="dxa"/>
            <w:vAlign w:val="bottom"/>
            <w:tcBorders>
              <w:right w:val="single" w:sz="8" w:color="58854E"/>
            </w:tcBorders>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NOTFOR</w:t>
            </w:r>
          </w:p>
        </w:tc>
        <w:tc>
          <w:tcPr>
            <w:tcW w:w="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4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FOR GOOD</w:t>
            </w:r>
          </w:p>
        </w:tc>
        <w:tc>
          <w:tcPr>
            <w:tcW w:w="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CHANGE IN</w:t>
            </w:r>
          </w:p>
        </w:tc>
        <w:tc>
          <w:tcPr>
            <w:tcW w:w="40" w:type="dxa"/>
            <w:vAlign w:val="bottom"/>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70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8"/>
              </w:rPr>
              <w:t>DEATH OR</w:t>
            </w:r>
          </w:p>
        </w:tc>
      </w:tr>
      <w:tr>
        <w:trPr>
          <w:trHeight w:val="137"/>
        </w:trPr>
        <w:tc>
          <w:tcPr>
            <w:tcW w:w="1120" w:type="dxa"/>
            <w:vAlign w:val="bottom"/>
            <w:shd w:val="clear" w:color="auto" w:fill="58854E"/>
          </w:tcPr>
          <w:p>
            <w:pPr>
              <w:ind w:left="60"/>
              <w:spacing w:after="0" w:line="137" w:lineRule="exact"/>
              <w:rPr>
                <w:sz w:val="20"/>
                <w:szCs w:val="20"/>
                <w:color w:val="auto"/>
              </w:rPr>
            </w:pPr>
            <w:r>
              <w:rPr>
                <w:rFonts w:ascii="Arial" w:cs="Arial" w:eastAsia="Arial" w:hAnsi="Arial"/>
                <w:sz w:val="12"/>
                <w:szCs w:val="12"/>
                <w:b w:val="1"/>
                <w:bCs w:val="1"/>
                <w:color w:val="FFFFFE"/>
              </w:rPr>
              <w:t>EXECUTIVE</w:t>
            </w:r>
          </w:p>
        </w:tc>
        <w:tc>
          <w:tcPr>
            <w:tcW w:w="100" w:type="dxa"/>
            <w:vAlign w:val="bottom"/>
            <w:tcBorders>
              <w:right w:val="single" w:sz="8" w:color="58854E"/>
            </w:tcBorders>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9"/>
              </w:rPr>
              <w:t>CAUSE</w:t>
            </w:r>
          </w:p>
        </w:tc>
        <w:tc>
          <w:tcPr>
            <w:tcW w:w="4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4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REASON</w:t>
            </w:r>
          </w:p>
        </w:tc>
        <w:tc>
          <w:tcPr>
            <w:tcW w:w="20" w:type="dxa"/>
            <w:vAlign w:val="bottom"/>
          </w:tcPr>
          <w:p>
            <w:pPr>
              <w:spacing w:after="0"/>
              <w:rPr>
                <w:sz w:val="11"/>
                <w:szCs w:val="11"/>
                <w:color w:val="auto"/>
              </w:rPr>
            </w:pPr>
          </w:p>
        </w:tc>
        <w:tc>
          <w:tcPr>
            <w:tcW w:w="80" w:type="dxa"/>
            <w:vAlign w:val="bottom"/>
            <w:shd w:val="clear" w:color="auto" w:fill="58854E"/>
          </w:tcPr>
          <w:p>
            <w:pPr>
              <w:spacing w:after="0"/>
              <w:rPr>
                <w:sz w:val="11"/>
                <w:szCs w:val="11"/>
                <w:color w:val="auto"/>
              </w:rPr>
            </w:pPr>
          </w:p>
        </w:tc>
        <w:tc>
          <w:tcPr>
            <w:tcW w:w="86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rPr>
              <w:t>CONTROL</w:t>
            </w:r>
          </w:p>
        </w:tc>
        <w:tc>
          <w:tcPr>
            <w:tcW w:w="40" w:type="dxa"/>
            <w:vAlign w:val="bottom"/>
          </w:tcPr>
          <w:p>
            <w:pPr>
              <w:spacing w:after="0"/>
              <w:rPr>
                <w:sz w:val="11"/>
                <w:szCs w:val="11"/>
                <w:color w:val="auto"/>
              </w:rPr>
            </w:pPr>
          </w:p>
        </w:tc>
        <w:tc>
          <w:tcPr>
            <w:tcW w:w="60" w:type="dxa"/>
            <w:vAlign w:val="bottom"/>
            <w:shd w:val="clear" w:color="auto" w:fill="58854E"/>
          </w:tcPr>
          <w:p>
            <w:pPr>
              <w:spacing w:after="0"/>
              <w:rPr>
                <w:sz w:val="11"/>
                <w:szCs w:val="11"/>
                <w:color w:val="auto"/>
              </w:rPr>
            </w:pPr>
          </w:p>
        </w:tc>
        <w:tc>
          <w:tcPr>
            <w:tcW w:w="700" w:type="dxa"/>
            <w:vAlign w:val="bottom"/>
            <w:shd w:val="clear" w:color="auto" w:fill="58854E"/>
          </w:tcPr>
          <w:p>
            <w:pPr>
              <w:jc w:val="center"/>
              <w:spacing w:after="0" w:line="137" w:lineRule="exact"/>
              <w:rPr>
                <w:sz w:val="20"/>
                <w:szCs w:val="20"/>
                <w:color w:val="auto"/>
              </w:rPr>
            </w:pPr>
            <w:r>
              <w:rPr>
                <w:rFonts w:ascii="Arial" w:cs="Arial" w:eastAsia="Arial" w:hAnsi="Arial"/>
                <w:sz w:val="12"/>
                <w:szCs w:val="12"/>
                <w:b w:val="1"/>
                <w:bCs w:val="1"/>
                <w:color w:val="FFFFFE"/>
                <w:w w:val="98"/>
              </w:rPr>
              <w:t>DISABILITY</w:t>
            </w:r>
          </w:p>
        </w:tc>
      </w:tr>
      <w:tr>
        <w:trPr>
          <w:trHeight w:val="147"/>
        </w:trPr>
        <w:tc>
          <w:tcPr>
            <w:tcW w:w="1120" w:type="dxa"/>
            <w:vAlign w:val="bottom"/>
            <w:shd w:val="clear" w:color="auto" w:fill="58854E"/>
          </w:tcPr>
          <w:p>
            <w:pPr>
              <w:ind w:left="60"/>
              <w:spacing w:after="0"/>
              <w:rPr>
                <w:sz w:val="20"/>
                <w:szCs w:val="20"/>
                <w:color w:val="auto"/>
              </w:rPr>
            </w:pPr>
            <w:r>
              <w:rPr>
                <w:rFonts w:ascii="Arial" w:cs="Arial" w:eastAsia="Arial" w:hAnsi="Arial"/>
                <w:sz w:val="12"/>
                <w:szCs w:val="12"/>
                <w:b w:val="1"/>
                <w:bCs w:val="1"/>
                <w:color w:val="FFFFFE"/>
              </w:rPr>
              <w:t>OFFICER</w:t>
            </w:r>
          </w:p>
        </w:tc>
        <w:tc>
          <w:tcPr>
            <w:tcW w:w="100" w:type="dxa"/>
            <w:vAlign w:val="bottom"/>
            <w:tcBorders>
              <w:right w:val="single" w:sz="8" w:color="58854E"/>
            </w:tcBorders>
          </w:tcPr>
          <w:p>
            <w:pPr>
              <w:spacing w:after="0"/>
              <w:rPr>
                <w:sz w:val="12"/>
                <w:szCs w:val="12"/>
                <w:color w:val="auto"/>
              </w:rPr>
            </w:pPr>
          </w:p>
        </w:tc>
        <w:tc>
          <w:tcPr>
            <w:tcW w:w="8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5"/>
              </w:rPr>
              <w:t>($)</w:t>
            </w:r>
          </w:p>
        </w:tc>
        <w:tc>
          <w:tcPr>
            <w:tcW w:w="4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84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5"/>
              </w:rPr>
              <w:t>($)</w:t>
            </w:r>
          </w:p>
        </w:tc>
        <w:tc>
          <w:tcPr>
            <w:tcW w:w="20" w:type="dxa"/>
            <w:vAlign w:val="bottom"/>
          </w:tcPr>
          <w:p>
            <w:pPr>
              <w:spacing w:after="0"/>
              <w:rPr>
                <w:sz w:val="12"/>
                <w:szCs w:val="12"/>
                <w:color w:val="auto"/>
              </w:rPr>
            </w:pPr>
          </w:p>
        </w:tc>
        <w:tc>
          <w:tcPr>
            <w:tcW w:w="80" w:type="dxa"/>
            <w:vAlign w:val="bottom"/>
            <w:shd w:val="clear" w:color="auto" w:fill="58854E"/>
          </w:tcPr>
          <w:p>
            <w:pPr>
              <w:spacing w:after="0"/>
              <w:rPr>
                <w:sz w:val="12"/>
                <w:szCs w:val="12"/>
                <w:color w:val="auto"/>
              </w:rPr>
            </w:pPr>
          </w:p>
        </w:tc>
        <w:tc>
          <w:tcPr>
            <w:tcW w:w="86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5"/>
              </w:rPr>
              <w:t>($)</w:t>
            </w:r>
          </w:p>
        </w:tc>
        <w:tc>
          <w:tcPr>
            <w:tcW w:w="40" w:type="dxa"/>
            <w:vAlign w:val="bottom"/>
          </w:tcPr>
          <w:p>
            <w:pPr>
              <w:spacing w:after="0"/>
              <w:rPr>
                <w:sz w:val="12"/>
                <w:szCs w:val="12"/>
                <w:color w:val="auto"/>
              </w:rPr>
            </w:pPr>
          </w:p>
        </w:tc>
        <w:tc>
          <w:tcPr>
            <w:tcW w:w="60" w:type="dxa"/>
            <w:vAlign w:val="bottom"/>
            <w:shd w:val="clear" w:color="auto" w:fill="58854E"/>
          </w:tcPr>
          <w:p>
            <w:pPr>
              <w:spacing w:after="0"/>
              <w:rPr>
                <w:sz w:val="12"/>
                <w:szCs w:val="12"/>
                <w:color w:val="auto"/>
              </w:rPr>
            </w:pPr>
          </w:p>
        </w:tc>
        <w:tc>
          <w:tcPr>
            <w:tcW w:w="700" w:type="dxa"/>
            <w:vAlign w:val="bottom"/>
            <w:shd w:val="clear" w:color="auto" w:fill="58854E"/>
          </w:tcPr>
          <w:p>
            <w:pPr>
              <w:jc w:val="center"/>
              <w:spacing w:after="0"/>
              <w:rPr>
                <w:sz w:val="20"/>
                <w:szCs w:val="20"/>
                <w:color w:val="auto"/>
              </w:rPr>
            </w:pPr>
            <w:r>
              <w:rPr>
                <w:rFonts w:ascii="Arial" w:cs="Arial" w:eastAsia="Arial" w:hAnsi="Arial"/>
                <w:sz w:val="12"/>
                <w:szCs w:val="12"/>
                <w:b w:val="1"/>
                <w:bCs w:val="1"/>
                <w:color w:val="FFFFFE"/>
                <w:w w:val="95"/>
              </w:rPr>
              <w:t>($)</w:t>
            </w:r>
          </w:p>
        </w:tc>
      </w:tr>
      <w:tr>
        <w:trPr>
          <w:trHeight w:val="137"/>
        </w:trPr>
        <w:tc>
          <w:tcPr>
            <w:tcW w:w="1220" w:type="dxa"/>
            <w:vAlign w:val="bottom"/>
            <w:tcBorders>
              <w:bottom w:val="single" w:sz="8" w:color="58854E"/>
            </w:tcBorders>
            <w:gridSpan w:val="2"/>
          </w:tcPr>
          <w:p>
            <w:pPr>
              <w:spacing w:after="0" w:line="137" w:lineRule="exact"/>
              <w:rPr>
                <w:sz w:val="20"/>
                <w:szCs w:val="20"/>
                <w:color w:val="auto"/>
              </w:rPr>
            </w:pPr>
            <w:r>
              <w:rPr>
                <w:rFonts w:ascii="Arial" w:cs="Arial" w:eastAsia="Arial" w:hAnsi="Arial"/>
                <w:sz w:val="12"/>
                <w:szCs w:val="12"/>
                <w:color w:val="auto"/>
                <w:w w:val="97"/>
              </w:rPr>
              <w:t>Christopher S. Sotos $</w:t>
            </w:r>
          </w:p>
        </w:tc>
        <w:tc>
          <w:tcPr>
            <w:tcW w:w="900" w:type="dxa"/>
            <w:vAlign w:val="bottom"/>
            <w:tcBorders>
              <w:bottom w:val="single" w:sz="8" w:color="58854E"/>
            </w:tcBorders>
            <w:gridSpan w:val="2"/>
          </w:tcPr>
          <w:p>
            <w:pPr>
              <w:jc w:val="right"/>
              <w:ind w:right="40"/>
              <w:spacing w:after="0" w:line="137" w:lineRule="exact"/>
              <w:rPr>
                <w:sz w:val="20"/>
                <w:szCs w:val="20"/>
                <w:color w:val="auto"/>
              </w:rPr>
            </w:pPr>
            <w:r>
              <w:rPr>
                <w:rFonts w:ascii="Arial" w:cs="Arial" w:eastAsia="Arial" w:hAnsi="Arial"/>
                <w:sz w:val="12"/>
                <w:szCs w:val="12"/>
                <w:color w:val="auto"/>
              </w:rPr>
              <w:t>1,282,715</w:t>
            </w:r>
          </w:p>
        </w:tc>
        <w:tc>
          <w:tcPr>
            <w:tcW w:w="80" w:type="dxa"/>
            <w:vAlign w:val="bottom"/>
            <w:tcBorders>
              <w:bottom w:val="single" w:sz="8" w:color="58854E"/>
            </w:tcBorders>
          </w:tcPr>
          <w:p>
            <w:pPr>
              <w:jc w:val="right"/>
              <w:spacing w:after="0" w:line="137"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58854E"/>
            </w:tcBorders>
            <w:gridSpan w:val="2"/>
          </w:tcPr>
          <w:p>
            <w:pPr>
              <w:jc w:val="right"/>
              <w:ind w:right="20"/>
              <w:spacing w:after="0" w:line="137" w:lineRule="exact"/>
              <w:rPr>
                <w:sz w:val="20"/>
                <w:szCs w:val="20"/>
                <w:color w:val="auto"/>
              </w:rPr>
            </w:pPr>
            <w:r>
              <w:rPr>
                <w:rFonts w:ascii="Arial" w:cs="Arial" w:eastAsia="Arial" w:hAnsi="Arial"/>
                <w:sz w:val="12"/>
                <w:szCs w:val="12"/>
                <w:color w:val="auto"/>
              </w:rPr>
              <w:t>1,282,715</w:t>
            </w:r>
          </w:p>
        </w:tc>
        <w:tc>
          <w:tcPr>
            <w:tcW w:w="80" w:type="dxa"/>
            <w:vAlign w:val="bottom"/>
            <w:tcBorders>
              <w:bottom w:val="single" w:sz="8" w:color="58854E"/>
            </w:tcBorders>
          </w:tcPr>
          <w:p>
            <w:pPr>
              <w:jc w:val="right"/>
              <w:spacing w:after="0" w:line="137"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58854E"/>
            </w:tcBorders>
            <w:gridSpan w:val="2"/>
          </w:tcPr>
          <w:p>
            <w:pPr>
              <w:jc w:val="right"/>
              <w:ind w:right="40"/>
              <w:spacing w:after="0" w:line="137" w:lineRule="exact"/>
              <w:rPr>
                <w:sz w:val="20"/>
                <w:szCs w:val="20"/>
                <w:color w:val="auto"/>
              </w:rPr>
            </w:pPr>
            <w:r>
              <w:rPr>
                <w:rFonts w:ascii="Arial" w:cs="Arial" w:eastAsia="Arial" w:hAnsi="Arial"/>
                <w:sz w:val="12"/>
                <w:szCs w:val="12"/>
                <w:color w:val="auto"/>
              </w:rPr>
              <w:t>6,408,907</w:t>
            </w:r>
          </w:p>
        </w:tc>
        <w:tc>
          <w:tcPr>
            <w:tcW w:w="60" w:type="dxa"/>
            <w:vAlign w:val="bottom"/>
            <w:tcBorders>
              <w:bottom w:val="single" w:sz="8" w:color="58854E"/>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58854E"/>
            </w:tcBorders>
          </w:tcPr>
          <w:p>
            <w:pPr>
              <w:jc w:val="right"/>
              <w:spacing w:after="0" w:line="137" w:lineRule="exact"/>
              <w:rPr>
                <w:sz w:val="20"/>
                <w:szCs w:val="20"/>
                <w:color w:val="auto"/>
              </w:rPr>
            </w:pPr>
            <w:r>
              <w:rPr>
                <w:rFonts w:ascii="Arial" w:cs="Arial" w:eastAsia="Arial" w:hAnsi="Arial"/>
                <w:sz w:val="12"/>
                <w:szCs w:val="12"/>
                <w:color w:val="auto"/>
              </w:rPr>
              <w:t>3,376,192</w:t>
            </w:r>
          </w:p>
        </w:tc>
      </w:tr>
      <w:tr>
        <w:trPr>
          <w:trHeight w:val="128"/>
        </w:trPr>
        <w:tc>
          <w:tcPr>
            <w:tcW w:w="1120" w:type="dxa"/>
            <w:vAlign w:val="bottom"/>
            <w:tcBorders>
              <w:bottom w:val="single" w:sz="8" w:color="58854E"/>
            </w:tcBorders>
          </w:tcPr>
          <w:p>
            <w:pPr>
              <w:spacing w:after="0" w:line="128" w:lineRule="exact"/>
              <w:rPr>
                <w:sz w:val="20"/>
                <w:szCs w:val="20"/>
                <w:color w:val="auto"/>
              </w:rPr>
            </w:pPr>
            <w:r>
              <w:rPr>
                <w:rFonts w:ascii="Arial" w:cs="Arial" w:eastAsia="Arial" w:hAnsi="Arial"/>
                <w:sz w:val="12"/>
                <w:szCs w:val="12"/>
                <w:color w:val="auto"/>
              </w:rPr>
              <w:t>Chad Plotkin</w:t>
            </w:r>
          </w:p>
        </w:tc>
        <w:tc>
          <w:tcPr>
            <w:tcW w:w="100" w:type="dxa"/>
            <w:vAlign w:val="bottom"/>
            <w:tcBorders>
              <w:bottom w:val="single" w:sz="8" w:color="58854E"/>
            </w:tcBorders>
          </w:tcPr>
          <w:p>
            <w:pPr>
              <w:jc w:val="right"/>
              <w:spacing w:after="0" w:line="128"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58854E"/>
            </w:tcBorders>
            <w:gridSpan w:val="2"/>
          </w:tcPr>
          <w:p>
            <w:pPr>
              <w:jc w:val="right"/>
              <w:ind w:right="40"/>
              <w:spacing w:after="0" w:line="128" w:lineRule="exact"/>
              <w:rPr>
                <w:sz w:val="20"/>
                <w:szCs w:val="20"/>
                <w:color w:val="auto"/>
              </w:rPr>
            </w:pPr>
            <w:r>
              <w:rPr>
                <w:rFonts w:ascii="Arial" w:cs="Arial" w:eastAsia="Arial" w:hAnsi="Arial"/>
                <w:sz w:val="12"/>
                <w:szCs w:val="12"/>
                <w:color w:val="auto"/>
              </w:rPr>
              <w:t>557,715</w:t>
            </w:r>
          </w:p>
        </w:tc>
        <w:tc>
          <w:tcPr>
            <w:tcW w:w="80" w:type="dxa"/>
            <w:vAlign w:val="bottom"/>
            <w:tcBorders>
              <w:bottom w:val="single" w:sz="8" w:color="58854E"/>
            </w:tcBorders>
          </w:tcPr>
          <w:p>
            <w:pPr>
              <w:jc w:val="right"/>
              <w:spacing w:after="0" w:line="128" w:lineRule="exact"/>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58854E"/>
            </w:tcBorders>
            <w:gridSpan w:val="2"/>
          </w:tcPr>
          <w:p>
            <w:pPr>
              <w:jc w:val="right"/>
              <w:ind w:right="20"/>
              <w:spacing w:after="0" w:line="128" w:lineRule="exact"/>
              <w:rPr>
                <w:sz w:val="20"/>
                <w:szCs w:val="20"/>
                <w:color w:val="auto"/>
              </w:rPr>
            </w:pPr>
            <w:r>
              <w:rPr>
                <w:rFonts w:ascii="Arial" w:cs="Arial" w:eastAsia="Arial" w:hAnsi="Arial"/>
                <w:sz w:val="12"/>
                <w:szCs w:val="12"/>
                <w:color w:val="auto"/>
              </w:rPr>
              <w:t>557,715</w:t>
            </w:r>
          </w:p>
        </w:tc>
        <w:tc>
          <w:tcPr>
            <w:tcW w:w="80" w:type="dxa"/>
            <w:vAlign w:val="bottom"/>
            <w:tcBorders>
              <w:bottom w:val="single" w:sz="8" w:color="58854E"/>
            </w:tcBorders>
          </w:tcPr>
          <w:p>
            <w:pPr>
              <w:jc w:val="right"/>
              <w:spacing w:after="0" w:line="128"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58854E"/>
            </w:tcBorders>
            <w:gridSpan w:val="2"/>
          </w:tcPr>
          <w:p>
            <w:pPr>
              <w:jc w:val="right"/>
              <w:ind w:right="40"/>
              <w:spacing w:after="0" w:line="128" w:lineRule="exact"/>
              <w:rPr>
                <w:sz w:val="20"/>
                <w:szCs w:val="20"/>
                <w:color w:val="auto"/>
              </w:rPr>
            </w:pPr>
            <w:r>
              <w:rPr>
                <w:rFonts w:ascii="Arial" w:cs="Arial" w:eastAsia="Arial" w:hAnsi="Arial"/>
                <w:sz w:val="12"/>
                <w:szCs w:val="12"/>
                <w:color w:val="auto"/>
              </w:rPr>
              <w:t>2,346,233</w:t>
            </w:r>
          </w:p>
        </w:tc>
        <w:tc>
          <w:tcPr>
            <w:tcW w:w="60" w:type="dxa"/>
            <w:vAlign w:val="bottom"/>
            <w:tcBorders>
              <w:bottom w:val="single" w:sz="8" w:color="58854E"/>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58854E"/>
            </w:tcBorders>
          </w:tcPr>
          <w:p>
            <w:pPr>
              <w:jc w:val="right"/>
              <w:spacing w:after="0" w:line="128" w:lineRule="exact"/>
              <w:rPr>
                <w:sz w:val="20"/>
                <w:szCs w:val="20"/>
                <w:color w:val="auto"/>
              </w:rPr>
            </w:pPr>
            <w:r>
              <w:rPr>
                <w:rFonts w:ascii="Arial" w:cs="Arial" w:eastAsia="Arial" w:hAnsi="Arial"/>
                <w:sz w:val="12"/>
                <w:szCs w:val="12"/>
                <w:color w:val="auto"/>
              </w:rPr>
              <w:t>743,768</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8844D"/>
        </w:rPr>
        <w:t>CEO Pay Ratio</w:t>
      </w:r>
    </w:p>
    <w:p>
      <w:pPr>
        <w:spacing w:after="0" w:line="211" w:lineRule="exact"/>
        <w:rPr>
          <w:sz w:val="20"/>
          <w:szCs w:val="20"/>
          <w:color w:val="auto"/>
        </w:rPr>
      </w:pPr>
    </w:p>
    <w:p>
      <w:pPr>
        <w:ind w:right="3480"/>
        <w:spacing w:after="0" w:line="238" w:lineRule="auto"/>
        <w:rPr>
          <w:sz w:val="20"/>
          <w:szCs w:val="20"/>
          <w:color w:val="auto"/>
        </w:rPr>
      </w:pPr>
      <w:r>
        <w:rPr>
          <w:rFonts w:ascii="Arial" w:cs="Arial" w:eastAsia="Arial" w:hAnsi="Arial"/>
          <w:sz w:val="15"/>
          <w:szCs w:val="15"/>
          <w:color w:val="auto"/>
        </w:rPr>
        <w:t>As a result of the recently adopted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only other compensated employee, Mr. Plotkin. Mr. Sotos had 2017 annual total compensation of $2,457,758 as reflected in the Summary Compensation Table included in this Proxy Statement. The annual total compensation of Mr. Plotkin for 2017 was $964,005 as reported in the Summary Compensation Table. As a result, we estimate that Mr. Sotos' 2017 annual total compensation was approximately 2.5 times that of our median employee. Given the different methodologies that various public companies will use to determine an estimate of their pay ratio, the estimated ratio reported above should not be used as a basis for comparison between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273290"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58844D"/>
        </w:rPr>
        <w:t xml:space="preserve">EXECUTIVE COMPENSATION </w:t>
      </w:r>
      <w:r>
        <w:rPr>
          <w:rFonts w:ascii="Arial" w:cs="Arial" w:eastAsia="Arial" w:hAnsi="Arial"/>
          <w:sz w:val="12"/>
          <w:szCs w:val="12"/>
          <w:b w:val="1"/>
          <w:bCs w:val="1"/>
          <w:color w:val="58844D"/>
        </w:rPr>
        <w:t>49</w:t>
      </w:r>
    </w:p>
    <w:p>
      <w:pPr>
        <w:sectPr>
          <w:pgSz w:w="11900" w:h="16838" w:orient="portrait"/>
          <w:cols w:equalWidth="0" w:num="2">
            <w:col w:w="8840" w:space="720"/>
            <w:col w:w="1880"/>
          </w:cols>
          <w:pgMar w:left="240" w:top="142" w:right="2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180"/>
        <w:spacing w:after="0"/>
        <w:rPr>
          <w:sz w:val="20"/>
          <w:szCs w:val="20"/>
          <w:color w:val="auto"/>
        </w:rPr>
      </w:pPr>
      <w:r>
        <w:rPr>
          <w:rFonts w:ascii="Arial" w:cs="Arial" w:eastAsia="Arial" w:hAnsi="Arial"/>
          <w:sz w:val="12"/>
          <w:szCs w:val="12"/>
          <w:color w:val="FFFFFE"/>
        </w:rPr>
        <w:t>COMPENSATION COMMITTEE REPORT ON EXECUTIVE COMPENSATION</w:t>
      </w:r>
    </w:p>
    <w:p>
      <w:pPr>
        <w:jc w:val="right"/>
        <w:ind w:right="1180"/>
        <w:spacing w:after="0" w:line="237" w:lineRule="auto"/>
        <w:rPr>
          <w:sz w:val="20"/>
          <w:szCs w:val="20"/>
          <w:color w:val="auto"/>
        </w:rPr>
      </w:pPr>
      <w:r>
        <w:rPr>
          <w:rFonts w:ascii="Arial" w:cs="Arial" w:eastAsia="Arial" w:hAnsi="Arial"/>
          <w:sz w:val="12"/>
          <w:szCs w:val="12"/>
          <w:color w:val="FFFFFE"/>
        </w:rPr>
        <w:t>COMPENSATION COMMITTEE INTERLOCKS AND INSIDER PARTICIPATION</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2"/>
          <w:szCs w:val="12"/>
          <w:color w:val="FFFFFE"/>
        </w:rPr>
        <w:t xml:space="preserve">SECTION 16(A) BENEFICIAL OWNERSHIP REPORTING COMPLIANCE </w:t>
      </w:r>
      <w:r>
        <w:rPr>
          <w:rFonts w:ascii="Arial" w:cs="Arial" w:eastAsia="Arial" w:hAnsi="Arial"/>
          <w:sz w:val="12"/>
          <w:szCs w:val="12"/>
          <w:b w:val="1"/>
          <w:bCs w:val="1"/>
          <w:color w:val="FFFFFE"/>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1719580</wp:posOffset>
            </wp:positionV>
            <wp:extent cx="7268210" cy="2241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8210" cy="224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E"/>
        </w:rPr>
        <w:t>Compensation Committee Report on Executive Compensation</w:t>
      </w:r>
    </w:p>
    <w:p>
      <w:pPr>
        <w:spacing w:after="0" w:line="235" w:lineRule="exact"/>
        <w:rPr>
          <w:sz w:val="20"/>
          <w:szCs w:val="20"/>
          <w:color w:val="auto"/>
        </w:rPr>
      </w:pPr>
    </w:p>
    <w:p>
      <w:pPr>
        <w:ind w:right="460"/>
        <w:spacing w:after="0" w:line="241" w:lineRule="auto"/>
        <w:rPr>
          <w:sz w:val="20"/>
          <w:szCs w:val="20"/>
          <w:color w:val="auto"/>
        </w:rPr>
      </w:pPr>
      <w:r>
        <w:rPr>
          <w:rFonts w:ascii="Arial" w:cs="Arial" w:eastAsia="Arial" w:hAnsi="Arial"/>
          <w:sz w:val="15"/>
          <w:szCs w:val="15"/>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38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Compensation Committee:</w:t>
      </w:r>
    </w:p>
    <w:p>
      <w:pPr>
        <w:spacing w:after="0" w:line="20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John F. Chlebowski, Chair</w:t>
      </w:r>
    </w:p>
    <w:p>
      <w:pPr>
        <w:ind w:left="6060"/>
        <w:spacing w:after="0" w:line="237" w:lineRule="auto"/>
        <w:rPr>
          <w:sz w:val="20"/>
          <w:szCs w:val="20"/>
          <w:color w:val="auto"/>
        </w:rPr>
      </w:pPr>
      <w:r>
        <w:rPr>
          <w:rFonts w:ascii="Arial" w:cs="Arial" w:eastAsia="Arial" w:hAnsi="Arial"/>
          <w:sz w:val="15"/>
          <w:szCs w:val="15"/>
          <w:color w:val="auto"/>
        </w:rPr>
        <w:t>Brian R. Ford</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68210" cy="2241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8210" cy="224155"/>
                    </a:xfrm>
                    <a:prstGeom prst="rect">
                      <a:avLst/>
                    </a:prstGeom>
                    <a:noFill/>
                  </pic:spPr>
                </pic:pic>
              </a:graphicData>
            </a:graphic>
          </wp:anchor>
        </w:drawing>
      </w:r>
    </w:p>
    <w:p>
      <w:pPr>
        <w:spacing w:after="0" w:line="22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E"/>
        </w:rPr>
        <w:t>Compensation Committee Interlocks and Insider Participation</w:t>
      </w:r>
    </w:p>
    <w:p>
      <w:pPr>
        <w:spacing w:after="0" w:line="235" w:lineRule="exact"/>
        <w:rPr>
          <w:sz w:val="20"/>
          <w:szCs w:val="20"/>
          <w:color w:val="auto"/>
        </w:rPr>
      </w:pPr>
    </w:p>
    <w:p>
      <w:pPr>
        <w:ind w:right="240"/>
        <w:spacing w:after="0" w:line="241" w:lineRule="auto"/>
        <w:rPr>
          <w:sz w:val="20"/>
          <w:szCs w:val="20"/>
          <w:color w:val="auto"/>
        </w:rPr>
      </w:pPr>
      <w:r>
        <w:rPr>
          <w:rFonts w:ascii="Arial" w:cs="Arial" w:eastAsia="Arial" w:hAnsi="Arial"/>
          <w:sz w:val="15"/>
          <w:szCs w:val="15"/>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68210" cy="2241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8210" cy="22415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E"/>
        </w:rPr>
        <w:t>Section 16(A) Beneficial Ownership Reporting Compliance</w:t>
      </w:r>
    </w:p>
    <w:p>
      <w:pPr>
        <w:spacing w:after="0" w:line="23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Section 16(a) of the Exchange Act requires our officers and directors, and persons who own more than ten percent of a registered class of our equity securities, to file reports of securities ownership and changes in such ownership with the SEC. Officers, directors and greater than ten percent stockholders also are required by SEC rules to furnish us with copies of all Section 16(a) forms they file.</w:t>
      </w:r>
    </w:p>
    <w:p>
      <w:pPr>
        <w:spacing w:after="0" w:line="176" w:lineRule="exact"/>
        <w:rPr>
          <w:sz w:val="20"/>
          <w:szCs w:val="20"/>
          <w:color w:val="auto"/>
        </w:rPr>
      </w:pPr>
    </w:p>
    <w:p>
      <w:pPr>
        <w:ind w:right="60"/>
        <w:spacing w:after="0" w:line="245" w:lineRule="auto"/>
        <w:rPr>
          <w:sz w:val="20"/>
          <w:szCs w:val="20"/>
          <w:color w:val="auto"/>
        </w:rPr>
      </w:pPr>
      <w:r>
        <w:rPr>
          <w:rFonts w:ascii="Arial" w:cs="Arial" w:eastAsia="Arial" w:hAnsi="Arial"/>
          <w:sz w:val="15"/>
          <w:szCs w:val="15"/>
          <w:color w:val="auto"/>
        </w:rPr>
        <w:t>Based solely upon a review of the copies of such forms furnished to us and any written representations that no Forms 5 were required, we believe that all Section 16(a) filing requirements were timely met during the 2017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73290"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ind w:right="1100"/>
        <w:spacing w:after="0"/>
        <w:rPr>
          <w:sz w:val="20"/>
          <w:szCs w:val="20"/>
          <w:color w:val="auto"/>
        </w:rPr>
      </w:pPr>
      <w:r>
        <w:rPr>
          <w:rFonts w:ascii="Arial" w:cs="Arial" w:eastAsia="Arial" w:hAnsi="Arial"/>
          <w:sz w:val="12"/>
          <w:szCs w:val="12"/>
          <w:color w:val="FFFFFE"/>
        </w:rPr>
        <w:t xml:space="preserve">AUDIT COMMITTEE REPORT </w:t>
      </w:r>
      <w:r>
        <w:rPr>
          <w:rFonts w:ascii="Arial" w:cs="Arial" w:eastAsia="Arial" w:hAnsi="Arial"/>
          <w:sz w:val="12"/>
          <w:szCs w:val="12"/>
          <w:b w:val="1"/>
          <w:bCs w:val="1"/>
          <w:color w:val="FFFFFE"/>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Audit Committee Report</w:t>
      </w:r>
    </w:p>
    <w:p>
      <w:pPr>
        <w:sectPr>
          <w:pgSz w:w="11900" w:h="16838" w:orient="portrait"/>
          <w:cols w:equalWidth="0" w:num="1">
            <w:col w:w="11440"/>
          </w:cols>
          <w:pgMar w:left="240" w:top="142" w:right="2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in 2017, each of the three members of the Audit Committee, John F. Chlebowski, Ferrell P. McClean and Brian R. Ford, meets the requirements of an "audit committee financial expert."</w:t>
      </w:r>
    </w:p>
    <w:p>
      <w:pPr>
        <w:spacing w:after="0" w:line="182" w:lineRule="exact"/>
        <w:rPr>
          <w:sz w:val="20"/>
          <w:szCs w:val="20"/>
          <w:color w:val="auto"/>
        </w:rPr>
      </w:pPr>
    </w:p>
    <w:p>
      <w:pPr>
        <w:ind w:right="80"/>
        <w:spacing w:after="0"/>
        <w:rPr>
          <w:sz w:val="20"/>
          <w:szCs w:val="20"/>
          <w:color w:val="auto"/>
        </w:rPr>
      </w:pPr>
      <w:r>
        <w:rPr>
          <w:rFonts w:ascii="Arial" w:cs="Arial" w:eastAsia="Arial" w:hAnsi="Arial"/>
          <w:sz w:val="15"/>
          <w:szCs w:val="15"/>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76"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The Company's independent registered public accounting firm for the fiscal year 2017, KPMG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The Audit Committee has reviewed and discussed the audited financial statements of the Company for the fiscal year ended December 31, 2017 with the Company's management and has discussed with KPMG LLP the matters required to be discussed by the PCAOB Auditing Standard No. 1301, as amended, "Communication with Audit Committees." In addition, KPMG LLP has provided the Audit Committee with the written disclosures and the letter required by Statement on the PCAOB Auditing Standard No. 1301, "Communication with Audit Committees," and the Audit Committee has discussed with KPMG LLP their independence. The Audit Committee also reviewed, and discussed with management and KPMG LLP, management's report and KPMG LLP's report and attestation on internal control over financial reporting in accordance with Section 404 of the Sarbanes-Oxley Act of 2002.</w:t>
      </w:r>
    </w:p>
    <w:p>
      <w:pPr>
        <w:spacing w:after="0" w:line="182" w:lineRule="exact"/>
        <w:rPr>
          <w:sz w:val="20"/>
          <w:szCs w:val="20"/>
          <w:color w:val="auto"/>
        </w:rPr>
      </w:pPr>
    </w:p>
    <w:p>
      <w:pPr>
        <w:ind w:right="140"/>
        <w:spacing w:after="0"/>
        <w:rPr>
          <w:sz w:val="20"/>
          <w:szCs w:val="20"/>
          <w:color w:val="auto"/>
        </w:rPr>
      </w:pPr>
      <w:r>
        <w:rPr>
          <w:rFonts w:ascii="Arial" w:cs="Arial" w:eastAsia="Arial" w:hAnsi="Arial"/>
          <w:sz w:val="15"/>
          <w:szCs w:val="15"/>
          <w:color w:val="auto"/>
        </w:rPr>
        <w:t>Based on these reviews and discussions, the Audit Committee recommended to the Board that the audited financial statements be included in the Company's Annual Report on Form 10-K for the fiscal year ended December 31, 2017, for filing with the Securities and Exchange Commission.</w:t>
      </w:r>
    </w:p>
    <w:p>
      <w:pPr>
        <w:spacing w:after="0" w:line="382" w:lineRule="exact"/>
        <w:rPr>
          <w:sz w:val="20"/>
          <w:szCs w:val="20"/>
          <w:color w:val="auto"/>
        </w:rPr>
      </w:pPr>
    </w:p>
    <w:p>
      <w:pPr>
        <w:ind w:left="2700"/>
        <w:spacing w:after="0"/>
        <w:rPr>
          <w:sz w:val="20"/>
          <w:szCs w:val="20"/>
          <w:color w:val="auto"/>
        </w:rPr>
      </w:pPr>
      <w:r>
        <w:rPr>
          <w:rFonts w:ascii="Arial" w:cs="Arial" w:eastAsia="Arial" w:hAnsi="Arial"/>
          <w:sz w:val="15"/>
          <w:szCs w:val="15"/>
          <w:color w:val="auto"/>
        </w:rPr>
        <w:t>Audit Committee:</w:t>
      </w:r>
    </w:p>
    <w:p>
      <w:pPr>
        <w:spacing w:after="0" w:line="202" w:lineRule="exact"/>
        <w:rPr>
          <w:sz w:val="20"/>
          <w:szCs w:val="20"/>
          <w:color w:val="auto"/>
        </w:rPr>
      </w:pPr>
    </w:p>
    <w:p>
      <w:pPr>
        <w:ind w:left="2700"/>
        <w:spacing w:after="0"/>
        <w:rPr>
          <w:sz w:val="20"/>
          <w:szCs w:val="20"/>
          <w:color w:val="auto"/>
        </w:rPr>
      </w:pPr>
      <w:r>
        <w:rPr>
          <w:rFonts w:ascii="Arial" w:cs="Arial" w:eastAsia="Arial" w:hAnsi="Arial"/>
          <w:sz w:val="15"/>
          <w:szCs w:val="15"/>
          <w:color w:val="auto"/>
        </w:rPr>
        <w:t>Brian R. Ford, Chair</w:t>
      </w:r>
    </w:p>
    <w:p>
      <w:pPr>
        <w:ind w:left="2700"/>
        <w:spacing w:after="0" w:line="237" w:lineRule="auto"/>
        <w:rPr>
          <w:sz w:val="20"/>
          <w:szCs w:val="20"/>
          <w:color w:val="auto"/>
        </w:rPr>
      </w:pPr>
      <w:r>
        <w:rPr>
          <w:rFonts w:ascii="Arial" w:cs="Arial" w:eastAsia="Arial" w:hAnsi="Arial"/>
          <w:sz w:val="15"/>
          <w:szCs w:val="15"/>
          <w:color w:val="auto"/>
        </w:rPr>
        <w:t>John F. Chlebowski</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5"/>
          <w:szCs w:val="15"/>
          <w:color w:val="auto"/>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52705</wp:posOffset>
            </wp:positionV>
            <wp:extent cx="7273290"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0" w:space="720"/>
            <w:col w:w="5380"/>
          </w:cols>
          <w:pgMar w:left="240" w:top="142" w:right="219" w:bottom="1440" w:gutter="0" w:footer="0" w:header="0"/>
          <w:type w:val="continuous"/>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ind w:right="1060"/>
        <w:spacing w:after="0"/>
        <w:rPr>
          <w:sz w:val="20"/>
          <w:szCs w:val="20"/>
          <w:color w:val="auto"/>
        </w:rPr>
      </w:pPr>
      <w:r>
        <w:rPr>
          <w:rFonts w:ascii="Arial" w:cs="Arial" w:eastAsia="Arial" w:hAnsi="Arial"/>
          <w:sz w:val="12"/>
          <w:szCs w:val="12"/>
          <w:color w:val="FFFFFE"/>
        </w:rPr>
        <w:t xml:space="preserve">INDEPENDENT REGISTERED PUBLIC ACCOUNTING FIRM </w:t>
      </w:r>
      <w:r>
        <w:rPr>
          <w:rFonts w:ascii="Arial" w:cs="Arial" w:eastAsia="Arial" w:hAnsi="Arial"/>
          <w:sz w:val="12"/>
          <w:szCs w:val="12"/>
          <w:b w:val="1"/>
          <w:bCs w:val="1"/>
          <w:color w:val="FFFFFE"/>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0"/>
        <w:spacing w:after="0"/>
        <w:rPr>
          <w:sz w:val="20"/>
          <w:szCs w:val="20"/>
          <w:color w:val="auto"/>
        </w:rPr>
      </w:pPr>
      <w:r>
        <w:rPr>
          <w:rFonts w:ascii="Arial" w:cs="Arial" w:eastAsia="Arial" w:hAnsi="Arial"/>
          <w:sz w:val="36"/>
          <w:szCs w:val="36"/>
          <w:color w:val="FFFFFE"/>
        </w:rPr>
        <w:t>Independent Registered Public Accounting Firm</w:t>
      </w:r>
    </w:p>
    <w:p>
      <w:pPr>
        <w:sectPr>
          <w:pgSz w:w="11900" w:h="16838" w:orient="portrait"/>
          <w:cols w:equalWidth="0" w:num="1">
            <w:col w:w="11400"/>
          </w:cols>
          <w:pgMar w:left="240" w:top="142" w:right="259"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58844D"/>
        </w:rPr>
        <w:t>Audit and Nonaudit Fees</w:t>
      </w:r>
    </w:p>
    <w:p>
      <w:pPr>
        <w:spacing w:after="0" w:line="189" w:lineRule="exact"/>
        <w:rPr>
          <w:sz w:val="20"/>
          <w:szCs w:val="20"/>
          <w:color w:val="auto"/>
        </w:rPr>
      </w:pPr>
    </w:p>
    <w:p>
      <w:pPr>
        <w:ind w:right="200"/>
        <w:spacing w:after="0" w:line="241" w:lineRule="auto"/>
        <w:rPr>
          <w:sz w:val="20"/>
          <w:szCs w:val="20"/>
          <w:color w:val="auto"/>
        </w:rPr>
      </w:pPr>
      <w:r>
        <w:rPr>
          <w:rFonts w:ascii="Arial" w:cs="Arial" w:eastAsia="Arial" w:hAnsi="Arial"/>
          <w:sz w:val="15"/>
          <w:szCs w:val="15"/>
          <w:color w:val="auto"/>
        </w:rPr>
        <w:t>The following table presents fees for professional services rendered by KPMG LLP, our principal independent registered public accounting firm, for the years ended December 31, 2017 and December 31, 2016.</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58844D"/>
        </w:rPr>
        <w:t>All Other Fees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There were no other fees billed to us by KPMG LLP for 2017 or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58844D"/>
        </w:rPr>
        <w:t>Policy on Audit Committee Pre-Approval</w:t>
      </w:r>
    </w:p>
    <w:p>
      <w:pPr>
        <w:spacing w:after="0" w:line="131" w:lineRule="exact"/>
        <w:rPr>
          <w:sz w:val="20"/>
          <w:szCs w:val="20"/>
          <w:color w:val="auto"/>
        </w:rPr>
      </w:pPr>
    </w:p>
    <w:p>
      <w:pPr>
        <w:sectPr>
          <w:pgSz w:w="11900" w:h="16838" w:orient="portrait"/>
          <w:cols w:equalWidth="0" w:num="2">
            <w:col w:w="5340" w:space="720"/>
            <w:col w:w="5340"/>
          </w:cols>
          <w:pgMar w:left="240" w:top="142" w:right="25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Audit Fees</w:t>
      </w:r>
    </w:p>
    <w:p>
      <w:pPr>
        <w:ind w:left="600"/>
        <w:spacing w:after="0"/>
        <w:rPr>
          <w:sz w:val="20"/>
          <w:szCs w:val="20"/>
          <w:color w:val="auto"/>
        </w:rPr>
      </w:pPr>
      <w:r>
        <w:rPr>
          <w:rFonts w:ascii="Arial" w:cs="Arial" w:eastAsia="Arial" w:hAnsi="Arial"/>
          <w:sz w:val="14"/>
          <w:szCs w:val="14"/>
          <w:color w:val="auto"/>
        </w:rPr>
        <w:t>Audit-Related Fees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Tax Fees</w:t>
      </w:r>
    </w:p>
    <w:p>
      <w:pPr>
        <w:ind w:left="600"/>
        <w:spacing w:after="0"/>
        <w:rPr>
          <w:sz w:val="20"/>
          <w:szCs w:val="20"/>
          <w:color w:val="auto"/>
        </w:rPr>
      </w:pPr>
      <w:r>
        <w:rPr>
          <w:rFonts w:ascii="Arial" w:cs="Arial" w:eastAsia="Arial" w:hAnsi="Arial"/>
          <w:sz w:val="15"/>
          <w:szCs w:val="15"/>
          <w:color w:val="auto"/>
        </w:rPr>
        <w:t>All Other Fees</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Arial" w:cs="Arial" w:eastAsia="Arial" w:hAnsi="Arial"/>
          <w:sz w:val="12"/>
          <w:szCs w:val="12"/>
          <w:b w:val="1"/>
          <w:bCs w:val="1"/>
          <w:color w:val="FFFFFE"/>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-80645</wp:posOffset>
            </wp:positionV>
            <wp:extent cx="2642235" cy="3549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42235" cy="354965"/>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2"/>
          <w:szCs w:val="12"/>
          <w:b w:val="1"/>
          <w:bCs w:val="1"/>
          <w:color w:val="FFFFFE"/>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shd w:val="clear" w:color="auto" w:fill="58854E"/>
          </w:tcPr>
          <w:p>
            <w:pPr>
              <w:jc w:val="right"/>
              <w:ind w:right="313"/>
              <w:spacing w:after="0"/>
              <w:rPr>
                <w:sz w:val="20"/>
                <w:szCs w:val="20"/>
                <w:color w:val="auto"/>
              </w:rPr>
            </w:pPr>
            <w:r>
              <w:rPr>
                <w:rFonts w:ascii="Arial" w:cs="Arial" w:eastAsia="Arial" w:hAnsi="Arial"/>
                <w:sz w:val="12"/>
                <w:szCs w:val="12"/>
                <w:b w:val="1"/>
                <w:bCs w:val="1"/>
                <w:color w:val="FFFFFE"/>
              </w:rPr>
              <w:t>2017</w:t>
            </w:r>
          </w:p>
        </w:tc>
        <w:tc>
          <w:tcPr>
            <w:tcW w:w="640" w:type="dxa"/>
            <w:vAlign w:val="bottom"/>
            <w:shd w:val="clear" w:color="auto" w:fill="58854E"/>
          </w:tcPr>
          <w:p>
            <w:pPr>
              <w:jc w:val="right"/>
              <w:ind w:right="110"/>
              <w:spacing w:after="0"/>
              <w:rPr>
                <w:sz w:val="20"/>
                <w:szCs w:val="20"/>
                <w:color w:val="auto"/>
              </w:rPr>
            </w:pPr>
            <w:r>
              <w:rPr>
                <w:rFonts w:ascii="Arial" w:cs="Arial" w:eastAsia="Arial" w:hAnsi="Arial"/>
                <w:sz w:val="12"/>
                <w:szCs w:val="12"/>
                <w:b w:val="1"/>
                <w:bCs w:val="1"/>
                <w:color w:val="FFFFFE"/>
              </w:rPr>
              <w:t>2016</w:t>
            </w:r>
          </w:p>
        </w:tc>
        <w:tc>
          <w:tcPr>
            <w:tcW w:w="20" w:type="dxa"/>
            <w:vAlign w:val="bottom"/>
          </w:tcPr>
          <w:p>
            <w:pPr>
              <w:spacing w:after="0"/>
              <w:rPr>
                <w:sz w:val="12"/>
                <w:szCs w:val="12"/>
                <w:color w:val="auto"/>
              </w:rPr>
            </w:pPr>
          </w:p>
        </w:tc>
      </w:tr>
      <w:tr>
        <w:trPr>
          <w:trHeight w:val="137"/>
        </w:trPr>
        <w:tc>
          <w:tcPr>
            <w:tcW w:w="1700" w:type="dxa"/>
            <w:vAlign w:val="bottom"/>
            <w:gridSpan w:val="2"/>
            <w:shd w:val="clear" w:color="auto" w:fill="58854E"/>
          </w:tcPr>
          <w:p>
            <w:pPr>
              <w:jc w:val="right"/>
              <w:ind w:right="170"/>
              <w:spacing w:after="0" w:line="137" w:lineRule="exact"/>
              <w:rPr>
                <w:sz w:val="20"/>
                <w:szCs w:val="20"/>
                <w:color w:val="auto"/>
              </w:rPr>
            </w:pPr>
            <w:r>
              <w:rPr>
                <w:rFonts w:ascii="Arial" w:cs="Arial" w:eastAsia="Arial" w:hAnsi="Arial"/>
                <w:sz w:val="12"/>
                <w:szCs w:val="12"/>
                <w:b w:val="1"/>
                <w:bCs w:val="1"/>
                <w:color w:val="FFFFFE"/>
              </w:rPr>
              <w:t>(IN THOUSANDS)</w:t>
            </w:r>
          </w:p>
        </w:tc>
        <w:tc>
          <w:tcPr>
            <w:tcW w:w="20" w:type="dxa"/>
            <w:vAlign w:val="bottom"/>
          </w:tcPr>
          <w:p>
            <w:pPr>
              <w:spacing w:after="0"/>
              <w:rPr>
                <w:sz w:val="11"/>
                <w:szCs w:val="11"/>
                <w:color w:val="auto"/>
              </w:rPr>
            </w:pPr>
          </w:p>
        </w:tc>
      </w:tr>
      <w:tr>
        <w:trPr>
          <w:trHeight w:val="174"/>
        </w:trPr>
        <w:tc>
          <w:tcPr>
            <w:tcW w:w="1060" w:type="dxa"/>
            <w:vAlign w:val="bottom"/>
          </w:tcPr>
          <w:p>
            <w:pPr>
              <w:jc w:val="right"/>
              <w:ind w:right="133"/>
              <w:spacing w:after="0"/>
              <w:rPr>
                <w:sz w:val="20"/>
                <w:szCs w:val="20"/>
                <w:color w:val="auto"/>
              </w:rPr>
            </w:pPr>
            <w:r>
              <w:rPr>
                <w:rFonts w:ascii="Arial" w:cs="Arial" w:eastAsia="Arial" w:hAnsi="Arial"/>
                <w:sz w:val="15"/>
                <w:szCs w:val="15"/>
                <w:color w:val="auto"/>
              </w:rPr>
              <w:t>$2,785</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$2,954</w:t>
            </w:r>
          </w:p>
        </w:tc>
      </w:tr>
      <w:tr>
        <w:trPr>
          <w:trHeight w:val="171"/>
        </w:trPr>
        <w:tc>
          <w:tcPr>
            <w:tcW w:w="1060" w:type="dxa"/>
            <w:vAlign w:val="bottom"/>
          </w:tcPr>
          <w:p>
            <w:pPr>
              <w:jc w:val="right"/>
              <w:ind w:right="133"/>
              <w:spacing w:after="0" w:line="171"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r>
    </w:tbl>
    <w:p>
      <w:pPr>
        <w:ind w:left="1540" w:hanging="847"/>
        <w:spacing w:after="0" w:line="237" w:lineRule="auto"/>
        <w:tabs>
          <w:tab w:leader="none" w:pos="15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79</w:t>
      </w:r>
    </w:p>
    <w:p>
      <w:pPr>
        <w:ind w:left="700"/>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-1905</wp:posOffset>
            </wp:positionV>
            <wp:extent cx="99885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98855" cy="6985"/>
                    </a:xfrm>
                    <a:prstGeom prst="rect">
                      <a:avLst/>
                    </a:prstGeom>
                    <a:noFill/>
                  </pic:spPr>
                </pic:pic>
              </a:graphicData>
            </a:graphic>
          </wp:anchor>
        </w:drawing>
      </w:r>
    </w:p>
    <w:p>
      <w:pPr>
        <w:jc w:val="right"/>
        <w:ind w:right="640"/>
        <w:spacing w:after="0"/>
        <w:tabs>
          <w:tab w:leader="none" w:pos="1080" w:val="left"/>
        </w:tabs>
        <w:rPr>
          <w:sz w:val="20"/>
          <w:szCs w:val="20"/>
          <w:color w:val="auto"/>
        </w:rPr>
      </w:pPr>
      <w:r>
        <w:rPr>
          <w:rFonts w:ascii="Arial" w:cs="Arial" w:eastAsia="Arial" w:hAnsi="Arial"/>
          <w:sz w:val="15"/>
          <w:szCs w:val="15"/>
          <w:color w:val="auto"/>
        </w:rPr>
        <w:t>$2,964</w:t>
      </w:r>
      <w:r>
        <w:rPr>
          <w:sz w:val="20"/>
          <w:szCs w:val="20"/>
          <w:color w:val="auto"/>
        </w:rPr>
        <w:tab/>
      </w:r>
      <w:r>
        <w:rPr>
          <w:rFonts w:ascii="Arial" w:cs="Arial" w:eastAsia="Arial" w:hAnsi="Arial"/>
          <w:sz w:val="15"/>
          <w:szCs w:val="15"/>
          <w:color w:val="auto"/>
        </w:rPr>
        <w:t>$3,033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-1905</wp:posOffset>
            </wp:positionV>
            <wp:extent cx="264223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422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79"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The Audit Committee annually reviews and pre-approves services that are expected to be provided by the independent registered public accounting firm. The term of the pre-approval is 12 months from the date of the pre-approval,</w:t>
      </w:r>
    </w:p>
    <w:p>
      <w:pPr>
        <w:spacing w:after="0" w:line="1" w:lineRule="exact"/>
        <w:rPr>
          <w:sz w:val="20"/>
          <w:szCs w:val="20"/>
          <w:color w:val="auto"/>
        </w:rPr>
      </w:pPr>
    </w:p>
    <w:p>
      <w:pPr>
        <w:sectPr>
          <w:pgSz w:w="11900" w:h="16838" w:orient="portrait"/>
          <w:cols w:equalWidth="0" w:num="3">
            <w:col w:w="2260" w:space="720"/>
            <w:col w:w="2360" w:space="720"/>
            <w:col w:w="5340"/>
          </w:cols>
          <w:pgMar w:left="240" w:top="142" w:right="259" w:bottom="1440" w:gutter="0" w:footer="0" w:header="0"/>
          <w:type w:val="continuous"/>
        </w:sectPr>
      </w:pPr>
    </w:p>
    <w:p>
      <w:pPr>
        <w:spacing w:after="0"/>
        <w:rPr>
          <w:sz w:val="20"/>
          <w:szCs w:val="20"/>
          <w:color w:val="auto"/>
        </w:rPr>
      </w:pPr>
      <w:r>
        <w:rPr>
          <w:rFonts w:ascii="Arial" w:cs="Arial" w:eastAsia="Arial" w:hAnsi="Arial"/>
          <w:sz w:val="18"/>
          <w:szCs w:val="18"/>
          <w:color w:val="58844D"/>
        </w:rPr>
        <w:t>Audit Fees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For 2017 and 2016 audit services, KPMG LLP billed us approximately $2,785,200 and $2,954,000,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 and in connection with subsidiary financial statement audits and the issuance of comfort letters and consents in connection with debt offerings.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58844D"/>
        </w:rPr>
        <w:t>Audit-Related Fees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For 2017 and 2016, there were no audit-related fees billed to us by KPMG LLP.</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15"/>
          <w:szCs w:val="15"/>
          <w:color w:val="auto"/>
        </w:rPr>
        <w:t>unless the Audit Committee approves a shorter time period. The Audit Committee may periodically amend and/or supplement the pre-approved services based on subsequent determinations.</w:t>
      </w:r>
    </w:p>
    <w:p>
      <w:pPr>
        <w:spacing w:after="0" w:line="176"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w:t>
      </w:r>
    </w:p>
    <w:p>
      <w:pPr>
        <w:spacing w:after="0" w:line="100" w:lineRule="exact"/>
        <w:rPr>
          <w:sz w:val="20"/>
          <w:szCs w:val="20"/>
          <w:color w:val="auto"/>
        </w:rPr>
      </w:pPr>
    </w:p>
    <w:p>
      <w:pPr>
        <w:sectPr>
          <w:pgSz w:w="11900" w:h="16838" w:orient="portrait"/>
          <w:cols w:equalWidth="0" w:num="2">
            <w:col w:w="5340" w:space="720"/>
            <w:col w:w="5340"/>
          </w:cols>
          <w:pgMar w:left="240" w:top="142" w:right="259" w:bottom="1440" w:gutter="0" w:footer="0" w:header="0"/>
          <w:type w:val="continuous"/>
        </w:sectPr>
      </w:pPr>
    </w:p>
    <w:p>
      <w:pPr>
        <w:spacing w:after="0"/>
        <w:rPr>
          <w:sz w:val="20"/>
          <w:szCs w:val="20"/>
          <w:color w:val="auto"/>
        </w:rPr>
      </w:pPr>
      <w:r>
        <w:rPr>
          <w:rFonts w:ascii="Arial" w:cs="Arial" w:eastAsia="Arial" w:hAnsi="Arial"/>
          <w:sz w:val="18"/>
          <w:szCs w:val="18"/>
          <w:color w:val="58844D"/>
        </w:rPr>
        <w:t>Tax Fees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For 2017 tax fees, KPMG LLP billed us approximately $77,000 for tax</w:t>
      </w:r>
    </w:p>
    <w:p>
      <w:pPr>
        <w:spacing w:after="0"/>
        <w:rPr>
          <w:sz w:val="20"/>
          <w:szCs w:val="20"/>
          <w:color w:val="auto"/>
        </w:rPr>
      </w:pPr>
      <w:r>
        <w:rPr>
          <w:rFonts w:ascii="Arial" w:cs="Arial" w:eastAsia="Arial" w:hAnsi="Arial"/>
          <w:sz w:val="14"/>
          <w:szCs w:val="14"/>
          <w:color w:val="auto"/>
        </w:rPr>
        <w:t>compliance. For 2016 tax fees, KPMG LLP billed us approximately $79,000 for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tax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168275</wp:posOffset>
            </wp:positionV>
            <wp:extent cx="7273290"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57" w:name="page58"/>
    <w:bookmarkEnd w:id="57"/>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709"/>
        <w:spacing w:after="0"/>
        <w:rPr>
          <w:sz w:val="20"/>
          <w:szCs w:val="20"/>
          <w:color w:val="auto"/>
        </w:rPr>
      </w:pPr>
      <w:r>
        <w:rPr>
          <w:rFonts w:ascii="Arial" w:cs="Arial" w:eastAsia="Arial" w:hAnsi="Arial"/>
          <w:sz w:val="36"/>
          <w:szCs w:val="36"/>
          <w:color w:val="FFFFFE"/>
        </w:rPr>
        <w:t>Questions and Answers</w:t>
      </w:r>
    </w:p>
    <w:p>
      <w:pPr>
        <w:spacing w:after="0" w:line="200" w:lineRule="exact"/>
        <w:rPr>
          <w:sz w:val="20"/>
          <w:szCs w:val="20"/>
          <w:color w:val="auto"/>
        </w:rPr>
      </w:pPr>
    </w:p>
    <w:p>
      <w:pPr>
        <w:spacing w:after="0" w:line="372" w:lineRule="exact"/>
        <w:rPr>
          <w:sz w:val="20"/>
          <w:szCs w:val="20"/>
          <w:color w:val="auto"/>
        </w:rPr>
      </w:pPr>
    </w:p>
    <w:p>
      <w:pPr>
        <w:ind w:left="9"/>
        <w:spacing w:after="0"/>
        <w:rPr>
          <w:sz w:val="20"/>
          <w:szCs w:val="20"/>
          <w:color w:val="auto"/>
        </w:rPr>
      </w:pPr>
      <w:r>
        <w:rPr>
          <w:rFonts w:ascii="Arial" w:cs="Arial" w:eastAsia="Arial" w:hAnsi="Arial"/>
          <w:sz w:val="18"/>
          <w:szCs w:val="18"/>
          <w:color w:val="58844D"/>
        </w:rPr>
        <w:t>What is the Purpose of the Annual Meeting?</w:t>
      </w:r>
    </w:p>
    <w:p>
      <w:pPr>
        <w:spacing w:after="0" w:line="189"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purpose of the Annual Meeting is to:</w:t>
      </w:r>
    </w:p>
    <w:p>
      <w:pPr>
        <w:spacing w:after="0" w:line="181" w:lineRule="exact"/>
        <w:rPr>
          <w:sz w:val="20"/>
          <w:szCs w:val="20"/>
          <w:color w:val="auto"/>
        </w:rPr>
      </w:pPr>
    </w:p>
    <w:p>
      <w:pPr>
        <w:ind w:left="909" w:hanging="453"/>
        <w:spacing w:after="0"/>
        <w:tabs>
          <w:tab w:leader="none" w:pos="909" w:val="left"/>
        </w:tabs>
        <w:numPr>
          <w:ilvl w:val="0"/>
          <w:numId w:val="62"/>
        </w:numPr>
        <w:rPr>
          <w:rFonts w:ascii="Arial" w:cs="Arial" w:eastAsia="Arial" w:hAnsi="Arial"/>
          <w:sz w:val="15"/>
          <w:szCs w:val="15"/>
          <w:color w:val="auto"/>
        </w:rPr>
      </w:pPr>
      <w:r>
        <w:rPr>
          <w:rFonts w:ascii="Arial" w:cs="Arial" w:eastAsia="Arial" w:hAnsi="Arial"/>
          <w:sz w:val="15"/>
          <w:szCs w:val="15"/>
          <w:color w:val="auto"/>
        </w:rPr>
        <w:t>elect seven directors;</w:t>
      </w:r>
    </w:p>
    <w:p>
      <w:pPr>
        <w:spacing w:after="0" w:line="180" w:lineRule="exact"/>
        <w:rPr>
          <w:rFonts w:ascii="Arial" w:cs="Arial" w:eastAsia="Arial" w:hAnsi="Arial"/>
          <w:sz w:val="15"/>
          <w:szCs w:val="15"/>
          <w:color w:val="auto"/>
        </w:rPr>
      </w:pPr>
    </w:p>
    <w:p>
      <w:pPr>
        <w:ind w:left="909" w:hanging="453"/>
        <w:spacing w:after="0"/>
        <w:tabs>
          <w:tab w:leader="none" w:pos="909" w:val="left"/>
        </w:tabs>
        <w:numPr>
          <w:ilvl w:val="0"/>
          <w:numId w:val="62"/>
        </w:numPr>
        <w:rPr>
          <w:rFonts w:ascii="Arial" w:cs="Arial" w:eastAsia="Arial" w:hAnsi="Arial"/>
          <w:sz w:val="15"/>
          <w:szCs w:val="15"/>
          <w:color w:val="auto"/>
        </w:rPr>
      </w:pPr>
      <w:r>
        <w:rPr>
          <w:rFonts w:ascii="Arial" w:cs="Arial" w:eastAsia="Arial" w:hAnsi="Arial"/>
          <w:sz w:val="15"/>
          <w:szCs w:val="15"/>
          <w:color w:val="auto"/>
        </w:rPr>
        <w:t>approve the Say on Pay Proposal;</w:t>
      </w:r>
    </w:p>
    <w:p>
      <w:pPr>
        <w:spacing w:after="0" w:line="169" w:lineRule="exact"/>
        <w:rPr>
          <w:rFonts w:ascii="Arial" w:cs="Arial" w:eastAsia="Arial" w:hAnsi="Arial"/>
          <w:sz w:val="15"/>
          <w:szCs w:val="15"/>
          <w:color w:val="auto"/>
        </w:rPr>
      </w:pPr>
    </w:p>
    <w:p>
      <w:pPr>
        <w:ind w:left="909" w:hanging="453"/>
        <w:spacing w:after="0"/>
        <w:tabs>
          <w:tab w:leader="none" w:pos="909" w:val="left"/>
        </w:tabs>
        <w:numPr>
          <w:ilvl w:val="0"/>
          <w:numId w:val="62"/>
        </w:numPr>
        <w:rPr>
          <w:rFonts w:ascii="Arial" w:cs="Arial" w:eastAsia="Arial" w:hAnsi="Arial"/>
          <w:sz w:val="14"/>
          <w:szCs w:val="14"/>
          <w:color w:val="auto"/>
        </w:rPr>
      </w:pPr>
      <w:r>
        <w:rPr>
          <w:rFonts w:ascii="Arial" w:cs="Arial" w:eastAsia="Arial" w:hAnsi="Arial"/>
          <w:sz w:val="14"/>
          <w:szCs w:val="14"/>
          <w:color w:val="auto"/>
        </w:rPr>
        <w:t>approve the Ratification of KPMG LLP's Appointment Proposal; and</w:t>
      </w:r>
    </w:p>
    <w:p>
      <w:pPr>
        <w:spacing w:after="0" w:line="181" w:lineRule="exact"/>
        <w:rPr>
          <w:rFonts w:ascii="Arial" w:cs="Arial" w:eastAsia="Arial" w:hAnsi="Arial"/>
          <w:sz w:val="14"/>
          <w:szCs w:val="14"/>
          <w:color w:val="auto"/>
        </w:rPr>
      </w:pPr>
    </w:p>
    <w:p>
      <w:pPr>
        <w:ind w:left="909" w:right="360" w:hanging="453"/>
        <w:spacing w:after="0" w:line="245" w:lineRule="auto"/>
        <w:tabs>
          <w:tab w:leader="none" w:pos="909"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conduct such other business as may properly come before the Annual Meeting and any adjournment or postponement.</w:t>
      </w:r>
    </w:p>
    <w:p>
      <w:pPr>
        <w:spacing w:after="0" w:line="172" w:lineRule="exact"/>
        <w:rPr>
          <w:sz w:val="20"/>
          <w:szCs w:val="20"/>
          <w:color w:val="auto"/>
        </w:rPr>
      </w:pPr>
    </w:p>
    <w:p>
      <w:pPr>
        <w:ind w:left="9" w:right="260"/>
        <w:spacing w:after="0" w:line="245" w:lineRule="auto"/>
        <w:rPr>
          <w:sz w:val="20"/>
          <w:szCs w:val="20"/>
          <w:color w:val="auto"/>
        </w:rPr>
      </w:pPr>
      <w:r>
        <w:rPr>
          <w:rFonts w:ascii="Arial" w:cs="Arial" w:eastAsia="Arial" w:hAnsi="Arial"/>
          <w:sz w:val="15"/>
          <w:szCs w:val="15"/>
          <w:color w:val="auto"/>
        </w:rPr>
        <w:t>Other than these proposals, the Board is not aware of any other matters to be presented for a vote at the Annual Meeting.</w:t>
      </w:r>
    </w:p>
    <w:p>
      <w:pPr>
        <w:spacing w:after="0" w:line="164" w:lineRule="exact"/>
        <w:rPr>
          <w:sz w:val="20"/>
          <w:szCs w:val="20"/>
          <w:color w:val="auto"/>
        </w:rPr>
      </w:pPr>
    </w:p>
    <w:p>
      <w:pPr>
        <w:ind w:left="9"/>
        <w:spacing w:after="0"/>
        <w:rPr>
          <w:sz w:val="20"/>
          <w:szCs w:val="20"/>
          <w:color w:val="auto"/>
        </w:rPr>
      </w:pPr>
      <w:r>
        <w:rPr>
          <w:rFonts w:ascii="Arial" w:cs="Arial" w:eastAsia="Arial" w:hAnsi="Arial"/>
          <w:sz w:val="18"/>
          <w:szCs w:val="18"/>
          <w:color w:val="58844D"/>
        </w:rPr>
        <w:t>Who is Entitled to Vote at the Annual Meeting?</w:t>
      </w:r>
    </w:p>
    <w:p>
      <w:pPr>
        <w:spacing w:after="0" w:line="189" w:lineRule="exact"/>
        <w:rPr>
          <w:sz w:val="20"/>
          <w:szCs w:val="20"/>
          <w:color w:val="auto"/>
        </w:rPr>
      </w:pPr>
    </w:p>
    <w:p>
      <w:pPr>
        <w:ind w:left="9"/>
        <w:spacing w:after="0" w:line="239" w:lineRule="auto"/>
        <w:rPr>
          <w:sz w:val="20"/>
          <w:szCs w:val="20"/>
          <w:color w:val="auto"/>
        </w:rPr>
      </w:pPr>
      <w:r>
        <w:rPr>
          <w:rFonts w:ascii="Arial" w:cs="Arial" w:eastAsia="Arial" w:hAnsi="Arial"/>
          <w:sz w:val="15"/>
          <w:szCs w:val="15"/>
          <w:color w:val="auto"/>
        </w:rPr>
        <w:t>All of our stockholders may attend the Annual Meeting. However, only stockholders who owned our Class A, Class B, Class C or Class D common stock at the close of business on March 1, 2018, the record date for the Annual Meeting, or their duly appointed proxies, are entitled to vote at the Annual Meeting.</w:t>
      </w:r>
    </w:p>
    <w:p>
      <w:pPr>
        <w:spacing w:after="0" w:line="179" w:lineRule="exact"/>
        <w:rPr>
          <w:sz w:val="20"/>
          <w:szCs w:val="20"/>
          <w:color w:val="auto"/>
        </w:rPr>
      </w:pPr>
    </w:p>
    <w:p>
      <w:pPr>
        <w:ind w:left="9" w:right="20"/>
        <w:spacing w:after="0" w:line="267" w:lineRule="auto"/>
        <w:rPr>
          <w:sz w:val="20"/>
          <w:szCs w:val="20"/>
          <w:color w:val="auto"/>
        </w:rPr>
      </w:pPr>
      <w:r>
        <w:rPr>
          <w:rFonts w:ascii="Arial" w:cs="Arial" w:eastAsia="Arial" w:hAnsi="Arial"/>
          <w:sz w:val="14"/>
          <w:szCs w:val="14"/>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153" w:lineRule="exact"/>
        <w:rPr>
          <w:sz w:val="20"/>
          <w:szCs w:val="20"/>
          <w:color w:val="auto"/>
        </w:rPr>
      </w:pPr>
    </w:p>
    <w:p>
      <w:pPr>
        <w:jc w:val="both"/>
        <w:ind w:left="449" w:right="320" w:hanging="449"/>
        <w:spacing w:after="0" w:line="252" w:lineRule="auto"/>
        <w:tabs>
          <w:tab w:leader="none" w:pos="449" w:val="left"/>
        </w:tabs>
        <w:numPr>
          <w:ilvl w:val="0"/>
          <w:numId w:val="63"/>
        </w:numPr>
        <w:rPr>
          <w:rFonts w:ascii="Arial" w:cs="Arial" w:eastAsia="Arial" w:hAnsi="Arial"/>
          <w:sz w:val="15"/>
          <w:szCs w:val="15"/>
          <w:color w:val="58844D"/>
        </w:rPr>
      </w:pPr>
      <w:r>
        <w:rPr>
          <w:rFonts w:ascii="Arial" w:cs="Arial" w:eastAsia="Arial" w:hAnsi="Arial"/>
          <w:sz w:val="15"/>
          <w:szCs w:val="15"/>
          <w:i w:val="1"/>
          <w:iCs w:val="1"/>
          <w:color w:val="auto"/>
        </w:rPr>
        <w:t xml:space="preserve">Stockholder of Record </w:t>
      </w:r>
      <w:r>
        <w:rPr>
          <w:rFonts w:ascii="Arial" w:cs="Arial" w:eastAsia="Arial" w:hAnsi="Arial"/>
          <w:sz w:val="15"/>
          <w:szCs w:val="15"/>
          <w:color w:val="auto"/>
        </w:rPr>
        <w:t>— If your shares are registered directly in your</w:t>
      </w:r>
      <w:r>
        <w:rPr>
          <w:rFonts w:ascii="Arial" w:cs="Arial" w:eastAsia="Arial" w:hAnsi="Arial"/>
          <w:sz w:val="15"/>
          <w:szCs w:val="15"/>
          <w:i w:val="1"/>
          <w:iCs w:val="1"/>
          <w:color w:val="auto"/>
        </w:rPr>
        <w:t xml:space="preserve"> </w:t>
      </w:r>
      <w:r>
        <w:rPr>
          <w:rFonts w:ascii="Arial" w:cs="Arial" w:eastAsia="Arial" w:hAnsi="Arial"/>
          <w:sz w:val="15"/>
          <w:szCs w:val="15"/>
          <w:color w:val="auto"/>
        </w:rPr>
        <w:t>name with our transfer agent, Computershare, you are considered the stockholder of record of those shares.</w:t>
      </w:r>
    </w:p>
    <w:p>
      <w:pPr>
        <w:spacing w:after="0" w:line="140" w:lineRule="exact"/>
        <w:rPr>
          <w:rFonts w:ascii="Arial" w:cs="Arial" w:eastAsia="Arial" w:hAnsi="Arial"/>
          <w:sz w:val="15"/>
          <w:szCs w:val="15"/>
          <w:color w:val="58844D"/>
        </w:rPr>
      </w:pPr>
    </w:p>
    <w:p>
      <w:pPr>
        <w:ind w:left="449" w:right="80" w:hanging="449"/>
        <w:spacing w:after="0" w:line="242" w:lineRule="auto"/>
        <w:tabs>
          <w:tab w:leader="none" w:pos="449" w:val="left"/>
        </w:tabs>
        <w:numPr>
          <w:ilvl w:val="0"/>
          <w:numId w:val="63"/>
        </w:numPr>
        <w:rPr>
          <w:rFonts w:ascii="Arial" w:cs="Arial" w:eastAsia="Arial" w:hAnsi="Arial"/>
          <w:sz w:val="15"/>
          <w:szCs w:val="15"/>
          <w:color w:val="58844D"/>
        </w:rPr>
      </w:pPr>
      <w:r>
        <w:rPr>
          <w:rFonts w:ascii="Arial" w:cs="Arial" w:eastAsia="Arial" w:hAnsi="Arial"/>
          <w:sz w:val="15"/>
          <w:szCs w:val="15"/>
          <w:i w:val="1"/>
          <w:iCs w:val="1"/>
          <w:color w:val="auto"/>
        </w:rPr>
        <w:t xml:space="preserve">Beneficial Owner </w:t>
      </w:r>
      <w:r>
        <w:rPr>
          <w:rFonts w:ascii="Arial" w:cs="Arial" w:eastAsia="Arial" w:hAnsi="Arial"/>
          <w:sz w:val="15"/>
          <w:szCs w:val="15"/>
          <w:color w:val="auto"/>
        </w:rPr>
        <w:t>— If your shares are held in a stock brokerage account,</w:t>
      </w:r>
      <w:r>
        <w:rPr>
          <w:rFonts w:ascii="Arial" w:cs="Arial" w:eastAsia="Arial" w:hAnsi="Arial"/>
          <w:sz w:val="15"/>
          <w:szCs w:val="15"/>
          <w:i w:val="1"/>
          <w:iCs w:val="1"/>
          <w:color w:val="auto"/>
        </w:rPr>
        <w:t xml:space="preserve"> </w:t>
      </w:r>
      <w:r>
        <w:rPr>
          <w:rFonts w:ascii="Arial" w:cs="Arial" w:eastAsia="Arial" w:hAnsi="Arial"/>
          <w:sz w:val="15"/>
          <w:szCs w:val="15"/>
          <w:color w:val="auto"/>
        </w:rPr>
        <w:t>or by a bank, trustee, or other nominee, you are considered the beneficial owner of shares held in "street name." As the beneficial owner, you have the right to direct your broker, trustee or nominee on how to vote and you are also invited to attend the Annual Meeting. However, since you are not the stockholder of record, you may not vote these shares in person at the Annual Meeting, unless you follow the procedures of your broker, trustee or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60"/>
        <w:spacing w:after="0"/>
        <w:rPr>
          <w:sz w:val="20"/>
          <w:szCs w:val="20"/>
          <w:color w:val="auto"/>
        </w:rPr>
      </w:pPr>
      <w:r>
        <w:rPr>
          <w:rFonts w:ascii="Arial" w:cs="Arial" w:eastAsia="Arial" w:hAnsi="Arial"/>
          <w:sz w:val="12"/>
          <w:szCs w:val="12"/>
          <w:color w:val="FFFFFE"/>
        </w:rPr>
        <w:t xml:space="preserve">QUESTIONS AND ANSWERS </w:t>
      </w:r>
      <w:r>
        <w:rPr>
          <w:rFonts w:ascii="Arial" w:cs="Arial" w:eastAsia="Arial" w:hAnsi="Arial"/>
          <w:sz w:val="12"/>
          <w:szCs w:val="12"/>
          <w:b w:val="1"/>
          <w:bCs w:val="1"/>
          <w:color w:val="FFFFF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-363220</wp:posOffset>
            </wp:positionV>
            <wp:extent cx="6840855" cy="21501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spacing w:after="0" w:line="241" w:lineRule="auto"/>
        <w:rPr>
          <w:sz w:val="20"/>
          <w:szCs w:val="20"/>
          <w:color w:val="auto"/>
        </w:rPr>
      </w:pPr>
      <w:r>
        <w:rPr>
          <w:rFonts w:ascii="Arial" w:cs="Arial" w:eastAsia="Arial" w:hAnsi="Arial"/>
          <w:sz w:val="15"/>
          <w:szCs w:val="15"/>
          <w:color w:val="auto"/>
        </w:rPr>
        <w:t>for obtaining a legal proxy. Your broker, trustee, or nominee is obligated to provide you with a voting instruction card for you to use to vote in person at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58844D"/>
        </w:rPr>
        <w:t>How Many Votes Do I Have?</w:t>
      </w:r>
    </w:p>
    <w:p>
      <w:pPr>
        <w:spacing w:after="0" w:line="189"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You have one vote for each share of our Class A or Class B common stock you owned as of the record date for the Annual Meeting. You have 1/100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NRG, through its ownership of all of our outstanding Class B and Class D common stock, held approximately 55.1% of the combined voting power of our common stock as of the record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58844D"/>
        </w:rPr>
        <w:t>What are the Recommendations of the Board?</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Board recommends a vote:</w:t>
      </w:r>
    </w:p>
    <w:p>
      <w:pPr>
        <w:spacing w:after="0" w:line="174" w:lineRule="exact"/>
        <w:rPr>
          <w:sz w:val="20"/>
          <w:szCs w:val="20"/>
          <w:color w:val="auto"/>
        </w:rPr>
      </w:pPr>
    </w:p>
    <w:p>
      <w:pPr>
        <w:ind w:left="900" w:hanging="447"/>
        <w:spacing w:after="0"/>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election of the director nominees;</w:t>
      </w:r>
    </w:p>
    <w:p>
      <w:pPr>
        <w:spacing w:after="0" w:line="169" w:lineRule="exact"/>
        <w:rPr>
          <w:rFonts w:ascii="Arial" w:cs="Arial" w:eastAsia="Arial" w:hAnsi="Arial"/>
          <w:sz w:val="15"/>
          <w:szCs w:val="15"/>
          <w:color w:val="auto"/>
        </w:rPr>
      </w:pPr>
    </w:p>
    <w:p>
      <w:pPr>
        <w:ind w:left="900" w:hanging="447"/>
        <w:spacing w:after="0"/>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Say on Pay Proposal; and</w:t>
      </w:r>
    </w:p>
    <w:p>
      <w:pPr>
        <w:spacing w:after="0" w:line="169" w:lineRule="exact"/>
        <w:rPr>
          <w:rFonts w:ascii="Arial" w:cs="Arial" w:eastAsia="Arial" w:hAnsi="Arial"/>
          <w:sz w:val="15"/>
          <w:szCs w:val="15"/>
          <w:color w:val="auto"/>
        </w:rPr>
      </w:pPr>
    </w:p>
    <w:p>
      <w:pPr>
        <w:ind w:left="900" w:hanging="447"/>
        <w:spacing w:after="0"/>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Ratification of KPMG LLP's Appointment Proposal.</w:t>
      </w:r>
    </w:p>
    <w:p>
      <w:pPr>
        <w:spacing w:after="0" w:line="199" w:lineRule="exact"/>
        <w:rPr>
          <w:sz w:val="20"/>
          <w:szCs w:val="20"/>
          <w:color w:val="auto"/>
        </w:rPr>
      </w:pPr>
    </w:p>
    <w:p>
      <w:pPr>
        <w:ind w:right="140"/>
        <w:spacing w:after="0"/>
        <w:rPr>
          <w:sz w:val="20"/>
          <w:szCs w:val="20"/>
          <w:color w:val="auto"/>
        </w:rPr>
      </w:pPr>
      <w:r>
        <w:rPr>
          <w:rFonts w:ascii="Arial" w:cs="Arial" w:eastAsia="Arial" w:hAnsi="Arial"/>
          <w:sz w:val="15"/>
          <w:szCs w:val="15"/>
          <w:color w:val="auto"/>
        </w:rPr>
        <w:t>If you grant a proxy and any additional matters are properly presented for a vote at the Annual Meeting, either of the persons named as proxy holders, Christopher S. Sotos or Brian E. Curci, will have the discretion to vote your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58844D"/>
        </w:rPr>
        <w:t>How Many Votes Must Be Present to Hold the Annual Meeting?</w:t>
      </w:r>
    </w:p>
    <w:p>
      <w:pPr>
        <w:spacing w:after="0" w:line="189" w:lineRule="exact"/>
        <w:rPr>
          <w:sz w:val="20"/>
          <w:szCs w:val="20"/>
          <w:color w:val="auto"/>
        </w:rPr>
      </w:pPr>
    </w:p>
    <w:p>
      <w:pPr>
        <w:ind w:right="100"/>
        <w:spacing w:after="0" w:line="239" w:lineRule="auto"/>
        <w:rPr>
          <w:sz w:val="20"/>
          <w:szCs w:val="20"/>
          <w:color w:val="auto"/>
        </w:rPr>
      </w:pPr>
      <w:r>
        <w:rPr>
          <w:rFonts w:ascii="Arial" w:cs="Arial" w:eastAsia="Arial" w:hAnsi="Arial"/>
          <w:sz w:val="15"/>
          <w:szCs w:val="15"/>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in person or by proxy at the Annual Meeting. As of the record date, there were 78,399,694 votes entitled to be cast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209550</wp:posOffset>
            </wp:positionV>
            <wp:extent cx="7273290"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9" w:space="720"/>
            <w:col w:w="5380"/>
          </w:cols>
          <w:pgMar w:left="231" w:top="142" w:right="219" w:bottom="1440" w:gutter="0" w:footer="0" w:header="0"/>
        </w:sectPr>
      </w:pPr>
    </w:p>
    <w:bookmarkStart w:id="58" w:name="page59"/>
    <w:bookmarkEnd w:id="58"/>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QUESTIONS AND ANSWERS </w:t>
      </w:r>
      <w:r>
        <w:rPr>
          <w:rFonts w:ascii="Arial" w:cs="Arial" w:eastAsia="Arial" w:hAnsi="Arial"/>
          <w:sz w:val="12"/>
          <w:szCs w:val="12"/>
          <w:b w:val="1"/>
          <w:bCs w:val="1"/>
          <w:color w:val="58844D"/>
        </w:rPr>
        <w:t>54</w:t>
      </w:r>
    </w:p>
    <w:p>
      <w:pPr>
        <w:sectPr>
          <w:pgSz w:w="11900" w:h="16838" w:orient="portrait"/>
          <w:cols w:equalWidth="0" w:num="1">
            <w:col w:w="11449"/>
          </w:cols>
          <w:pgMar w:left="231" w:top="142" w:right="219" w:bottom="1440" w:gutter="0" w:footer="0" w:header="0"/>
        </w:sectPr>
      </w:pPr>
    </w:p>
    <w:p>
      <w:pPr>
        <w:spacing w:after="0" w:line="376" w:lineRule="exact"/>
        <w:rPr>
          <w:sz w:val="20"/>
          <w:szCs w:val="20"/>
          <w:color w:val="auto"/>
        </w:rPr>
      </w:pPr>
    </w:p>
    <w:p>
      <w:pPr>
        <w:ind w:left="9"/>
        <w:spacing w:after="0"/>
        <w:rPr>
          <w:sz w:val="20"/>
          <w:szCs w:val="20"/>
          <w:color w:val="auto"/>
        </w:rPr>
      </w:pPr>
      <w:r>
        <w:rPr>
          <w:rFonts w:ascii="Arial" w:cs="Arial" w:eastAsia="Arial" w:hAnsi="Arial"/>
          <w:sz w:val="15"/>
          <w:szCs w:val="15"/>
          <w:color w:val="auto"/>
        </w:rPr>
        <w:t>by the holders of all shares of our common stock outstanding, consisting of:</w:t>
      </w:r>
    </w:p>
    <w:p>
      <w:pPr>
        <w:spacing w:after="0" w:line="181" w:lineRule="exact"/>
        <w:rPr>
          <w:sz w:val="20"/>
          <w:szCs w:val="20"/>
          <w:color w:val="auto"/>
        </w:rPr>
      </w:pPr>
    </w:p>
    <w:p>
      <w:pPr>
        <w:ind w:left="449" w:right="140" w:hanging="449"/>
        <w:spacing w:after="0" w:line="245" w:lineRule="auto"/>
        <w:tabs>
          <w:tab w:leader="none" w:pos="449" w:val="left"/>
        </w:tabs>
        <w:numPr>
          <w:ilvl w:val="0"/>
          <w:numId w:val="65"/>
        </w:numPr>
        <w:rPr>
          <w:rFonts w:ascii="Arial" w:cs="Arial" w:eastAsia="Arial" w:hAnsi="Arial"/>
          <w:sz w:val="15"/>
          <w:szCs w:val="15"/>
          <w:color w:val="58844D"/>
        </w:rPr>
      </w:pPr>
      <w:r>
        <w:rPr>
          <w:rFonts w:ascii="Arial" w:cs="Arial" w:eastAsia="Arial" w:hAnsi="Arial"/>
          <w:sz w:val="15"/>
          <w:szCs w:val="15"/>
          <w:color w:val="auto"/>
        </w:rPr>
        <w:t>34,586,250 shares of our Class A common stock (representing the same number of votes);</w:t>
      </w:r>
    </w:p>
    <w:p>
      <w:pPr>
        <w:spacing w:after="0" w:line="172" w:lineRule="exact"/>
        <w:rPr>
          <w:rFonts w:ascii="Arial" w:cs="Arial" w:eastAsia="Arial" w:hAnsi="Arial"/>
          <w:sz w:val="15"/>
          <w:szCs w:val="15"/>
          <w:color w:val="58844D"/>
        </w:rPr>
      </w:pPr>
    </w:p>
    <w:p>
      <w:pPr>
        <w:ind w:left="449" w:right="140" w:hanging="449"/>
        <w:spacing w:after="0" w:line="245" w:lineRule="auto"/>
        <w:tabs>
          <w:tab w:leader="none" w:pos="449" w:val="left"/>
        </w:tabs>
        <w:numPr>
          <w:ilvl w:val="0"/>
          <w:numId w:val="65"/>
        </w:numPr>
        <w:rPr>
          <w:rFonts w:ascii="Arial" w:cs="Arial" w:eastAsia="Arial" w:hAnsi="Arial"/>
          <w:sz w:val="15"/>
          <w:szCs w:val="15"/>
          <w:color w:val="58844D"/>
        </w:rPr>
      </w:pPr>
      <w:r>
        <w:rPr>
          <w:rFonts w:ascii="Arial" w:cs="Arial" w:eastAsia="Arial" w:hAnsi="Arial"/>
          <w:sz w:val="15"/>
          <w:szCs w:val="15"/>
          <w:color w:val="auto"/>
        </w:rPr>
        <w:t>42,738,750 shares of our Class B common stock (representing the same number of votes);</w:t>
      </w:r>
    </w:p>
    <w:p>
      <w:pPr>
        <w:spacing w:after="0" w:line="160" w:lineRule="exact"/>
        <w:rPr>
          <w:rFonts w:ascii="Arial" w:cs="Arial" w:eastAsia="Arial" w:hAnsi="Arial"/>
          <w:sz w:val="15"/>
          <w:szCs w:val="15"/>
          <w:color w:val="58844D"/>
        </w:rPr>
      </w:pPr>
    </w:p>
    <w:p>
      <w:pPr>
        <w:ind w:left="449" w:right="200" w:hanging="449"/>
        <w:spacing w:after="0" w:line="245" w:lineRule="auto"/>
        <w:tabs>
          <w:tab w:leader="none" w:pos="449" w:val="left"/>
        </w:tabs>
        <w:numPr>
          <w:ilvl w:val="0"/>
          <w:numId w:val="65"/>
        </w:numPr>
        <w:rPr>
          <w:rFonts w:ascii="Arial" w:cs="Arial" w:eastAsia="Arial" w:hAnsi="Arial"/>
          <w:sz w:val="15"/>
          <w:szCs w:val="15"/>
          <w:color w:val="58844D"/>
        </w:rPr>
      </w:pPr>
      <w:r>
        <w:rPr>
          <w:rFonts w:ascii="Arial" w:cs="Arial" w:eastAsia="Arial" w:hAnsi="Arial"/>
          <w:sz w:val="15"/>
          <w:szCs w:val="15"/>
          <w:color w:val="auto"/>
        </w:rPr>
        <w:t>64,730,519 shares of our Class C common stock (representing 647,306 votes); and</w:t>
      </w:r>
    </w:p>
    <w:p>
      <w:pPr>
        <w:spacing w:after="0" w:line="160" w:lineRule="exact"/>
        <w:rPr>
          <w:rFonts w:ascii="Arial" w:cs="Arial" w:eastAsia="Arial" w:hAnsi="Arial"/>
          <w:sz w:val="15"/>
          <w:szCs w:val="15"/>
          <w:color w:val="58844D"/>
        </w:rPr>
      </w:pPr>
    </w:p>
    <w:p>
      <w:pPr>
        <w:ind w:left="449" w:right="200" w:hanging="449"/>
        <w:spacing w:after="0" w:line="245" w:lineRule="auto"/>
        <w:tabs>
          <w:tab w:leader="none" w:pos="449" w:val="left"/>
        </w:tabs>
        <w:numPr>
          <w:ilvl w:val="0"/>
          <w:numId w:val="65"/>
        </w:numPr>
        <w:rPr>
          <w:rFonts w:ascii="Arial" w:cs="Arial" w:eastAsia="Arial" w:hAnsi="Arial"/>
          <w:sz w:val="15"/>
          <w:szCs w:val="15"/>
          <w:color w:val="58844D"/>
        </w:rPr>
      </w:pPr>
      <w:r>
        <w:rPr>
          <w:rFonts w:ascii="Arial" w:cs="Arial" w:eastAsia="Arial" w:hAnsi="Arial"/>
          <w:sz w:val="15"/>
          <w:szCs w:val="15"/>
          <w:color w:val="auto"/>
        </w:rPr>
        <w:t>42,738,750 shares of our Class D common stock (representing 427,388 votes).</w:t>
      </w:r>
    </w:p>
    <w:p>
      <w:pPr>
        <w:spacing w:after="0" w:line="172" w:lineRule="exact"/>
        <w:rPr>
          <w:sz w:val="20"/>
          <w:szCs w:val="20"/>
          <w:color w:val="auto"/>
        </w:rPr>
      </w:pPr>
    </w:p>
    <w:p>
      <w:pPr>
        <w:ind w:left="9" w:right="20"/>
        <w:spacing w:after="0" w:line="239" w:lineRule="auto"/>
        <w:rPr>
          <w:sz w:val="20"/>
          <w:szCs w:val="20"/>
          <w:color w:val="auto"/>
        </w:rPr>
      </w:pPr>
      <w:r>
        <w:rPr>
          <w:rFonts w:ascii="Arial" w:cs="Arial" w:eastAsia="Arial" w:hAnsi="Arial"/>
          <w:sz w:val="15"/>
          <w:szCs w:val="15"/>
          <w:color w:val="auto"/>
        </w:rPr>
        <w:t>The presence of holders entitled to cast at least 39,199,848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8"/>
          <w:szCs w:val="18"/>
          <w:color w:val="58844D"/>
        </w:rPr>
        <w:t>What Vote is Required to Approve Each Proposal?</w:t>
      </w:r>
    </w:p>
    <w:p>
      <w:pPr>
        <w:spacing w:after="0" w:line="184" w:lineRule="exact"/>
        <w:rPr>
          <w:sz w:val="20"/>
          <w:szCs w:val="20"/>
          <w:color w:val="auto"/>
        </w:rPr>
      </w:pPr>
    </w:p>
    <w:p>
      <w:pPr>
        <w:ind w:left="909" w:right="80" w:hanging="453"/>
        <w:spacing w:after="0" w:line="241" w:lineRule="auto"/>
        <w:tabs>
          <w:tab w:leader="none" w:pos="909"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 xml:space="preserve">Election of Directors </w:t>
      </w:r>
      <w:r>
        <w:rPr>
          <w:rFonts w:ascii="Arial" w:cs="Arial" w:eastAsia="Arial" w:hAnsi="Arial"/>
          <w:sz w:val="15"/>
          <w:szCs w:val="15"/>
          <w:color w:val="auto"/>
        </w:rPr>
        <w:t>— The nominees for election as directors at</w:t>
      </w:r>
      <w:r>
        <w:rPr>
          <w:rFonts w:ascii="Arial" w:cs="Arial" w:eastAsia="Arial" w:hAnsi="Arial"/>
          <w:sz w:val="15"/>
          <w:szCs w:val="15"/>
          <w:i w:val="1"/>
          <w:iCs w:val="1"/>
          <w:color w:val="auto"/>
        </w:rPr>
        <w:t xml:space="preserve"> </w:t>
      </w:r>
      <w:r>
        <w:rPr>
          <w:rFonts w:ascii="Arial" w:cs="Arial" w:eastAsia="Arial" w:hAnsi="Arial"/>
          <w:sz w:val="15"/>
          <w:szCs w:val="15"/>
          <w:color w:val="auto"/>
        </w:rPr>
        <w:t>the Annual Meeting will be elected by the vote of a plurality of the votes entitled to be cast by all shares of our common stock entitled to vote on the election, voting as a single class and represented in person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151" w:lineRule="exact"/>
        <w:rPr>
          <w:rFonts w:ascii="Arial" w:cs="Arial" w:eastAsia="Arial" w:hAnsi="Arial"/>
          <w:sz w:val="15"/>
          <w:szCs w:val="15"/>
          <w:color w:val="auto"/>
        </w:rPr>
      </w:pPr>
    </w:p>
    <w:p>
      <w:pPr>
        <w:ind w:left="909" w:right="60" w:hanging="453"/>
        <w:spacing w:after="0" w:line="252" w:lineRule="auto"/>
        <w:tabs>
          <w:tab w:leader="none" w:pos="909"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 xml:space="preserve">Say on Pay Proposal </w:t>
      </w:r>
      <w:r>
        <w:rPr>
          <w:rFonts w:ascii="Arial" w:cs="Arial" w:eastAsia="Arial" w:hAnsi="Arial"/>
          <w:sz w:val="15"/>
          <w:szCs w:val="15"/>
          <w:color w:val="auto"/>
        </w:rPr>
        <w:t>— This proposal requires the affirmative vote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majority in voting power of the shares of our common stock present in person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900" w:right="40"/>
        <w:spacing w:after="0" w:line="239" w:lineRule="auto"/>
        <w:rPr>
          <w:sz w:val="20"/>
          <w:szCs w:val="20"/>
          <w:color w:val="auto"/>
        </w:rPr>
      </w:pPr>
      <w:r>
        <w:rPr>
          <w:rFonts w:ascii="Arial" w:cs="Arial" w:eastAsia="Arial" w:hAnsi="Arial"/>
          <w:sz w:val="15"/>
          <w:szCs w:val="15"/>
          <w:color w:val="auto"/>
        </w:rPr>
        <w:t>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61" w:lineRule="exact"/>
        <w:rPr>
          <w:sz w:val="20"/>
          <w:szCs w:val="20"/>
          <w:color w:val="auto"/>
        </w:rPr>
      </w:pPr>
    </w:p>
    <w:p>
      <w:pPr>
        <w:ind w:left="900" w:right="100" w:hanging="447"/>
        <w:spacing w:after="0" w:line="242"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Ratification of KPMG LLP's Appointment Proposal</w:t>
      </w:r>
      <w:r>
        <w:rPr>
          <w:rFonts w:ascii="Arial" w:cs="Arial" w:eastAsia="Arial" w:hAnsi="Arial"/>
          <w:sz w:val="15"/>
          <w:szCs w:val="15"/>
          <w:color w:val="auto"/>
        </w:rPr>
        <w:t>—This proposal</w:t>
      </w:r>
      <w:r>
        <w:rPr>
          <w:rFonts w:ascii="Arial" w:cs="Arial" w:eastAsia="Arial" w:hAnsi="Arial"/>
          <w:sz w:val="15"/>
          <w:szCs w:val="15"/>
          <w:i w:val="1"/>
          <w:iCs w:val="1"/>
          <w:color w:val="auto"/>
        </w:rPr>
        <w:t xml:space="preserve"> </w:t>
      </w:r>
      <w:r>
        <w:rPr>
          <w:rFonts w:ascii="Arial" w:cs="Arial" w:eastAsia="Arial" w:hAnsi="Arial"/>
          <w:sz w:val="15"/>
          <w:szCs w:val="15"/>
          <w:color w:val="auto"/>
        </w:rPr>
        <w:t>requires the affirmative vote of a majority in voting power of the shares of our common stock present in person or represented by proxy at the Annual Meeting and entitled to vote on the proposal. If the selection of KPMG LLP as our independent registered public accounting firm is not ratified, the Audit Committee will reconsider its selection.</w:t>
      </w:r>
    </w:p>
    <w:p>
      <w:pPr>
        <w:spacing w:after="0" w:line="170"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58844D"/>
        </w:rPr>
        <w:t>What are Abstentions and Broker Non-Votes and How Are They Treated?</w:t>
      </w:r>
    </w:p>
    <w:p>
      <w:pPr>
        <w:spacing w:after="0" w:line="168"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KPMG LLP's Appointment, but not on the election of directors or Say on Pay Proposal. Broker non-votes and abstentions, if any, will be treated as follows with respect to votes on each of the proposals:</w:t>
      </w:r>
    </w:p>
    <w:p>
      <w:pPr>
        <w:spacing w:after="0" w:line="1169" w:lineRule="exact"/>
        <w:rPr>
          <w:sz w:val="20"/>
          <w:szCs w:val="20"/>
          <w:color w:val="auto"/>
        </w:rPr>
      </w:pPr>
    </w:p>
    <w:p>
      <w:pPr>
        <w:sectPr>
          <w:pgSz w:w="11900" w:h="16838" w:orient="portrait"/>
          <w:cols w:equalWidth="0" w:num="2">
            <w:col w:w="5349" w:space="720"/>
            <w:col w:w="5380"/>
          </w:cols>
          <w:pgMar w:left="231" w:top="142" w:right="219" w:bottom="1440" w:gutter="0" w:footer="0" w:header="0"/>
          <w:type w:val="continuous"/>
        </w:sectPr>
      </w:pPr>
    </w:p>
    <w:tbl>
      <w:tblPr>
        <w:tblLayout w:type="fixed"/>
        <w:tblInd w:w="9" w:type="dxa"/>
        <w:tblCellMar>
          <w:top w:w="0" w:type="dxa"/>
          <w:left w:w="0" w:type="dxa"/>
          <w:bottom w:w="0" w:type="dxa"/>
          <w:right w:w="0" w:type="dxa"/>
        </w:tblCellMar>
      </w:tblPr>
      <w:tr>
        <w:trPr>
          <w:trHeight w:val="138"/>
        </w:trPr>
        <w:tc>
          <w:tcPr>
            <w:tcW w:w="3760" w:type="dxa"/>
            <w:vAlign w:val="bottom"/>
            <w:gridSpan w:val="2"/>
            <w:shd w:val="clear" w:color="auto" w:fill="58854E"/>
          </w:tcPr>
          <w:p>
            <w:pPr>
              <w:spacing w:after="0"/>
              <w:rPr>
                <w:sz w:val="20"/>
                <w:szCs w:val="20"/>
                <w:color w:val="auto"/>
              </w:rPr>
            </w:pPr>
            <w:r>
              <w:rPr>
                <w:rFonts w:ascii="Arial" w:cs="Arial" w:eastAsia="Arial" w:hAnsi="Arial"/>
                <w:sz w:val="12"/>
                <w:szCs w:val="12"/>
                <w:b w:val="1"/>
                <w:bCs w:val="1"/>
                <w:color w:val="FFFFFE"/>
              </w:rPr>
              <w:t>Proposal</w:t>
            </w:r>
          </w:p>
        </w:tc>
        <w:tc>
          <w:tcPr>
            <w:tcW w:w="60" w:type="dxa"/>
            <w:vAlign w:val="bottom"/>
          </w:tcPr>
          <w:p>
            <w:pPr>
              <w:spacing w:after="0"/>
              <w:rPr>
                <w:sz w:val="12"/>
                <w:szCs w:val="12"/>
                <w:color w:val="auto"/>
              </w:rPr>
            </w:pPr>
          </w:p>
        </w:tc>
        <w:tc>
          <w:tcPr>
            <w:tcW w:w="3780" w:type="dxa"/>
            <w:vAlign w:val="bottom"/>
            <w:shd w:val="clear" w:color="auto" w:fill="58854E"/>
          </w:tcPr>
          <w:p>
            <w:pPr>
              <w:ind w:left="1160"/>
              <w:spacing w:after="0"/>
              <w:rPr>
                <w:sz w:val="20"/>
                <w:szCs w:val="20"/>
                <w:color w:val="auto"/>
              </w:rPr>
            </w:pPr>
            <w:r>
              <w:rPr>
                <w:rFonts w:ascii="Arial" w:cs="Arial" w:eastAsia="Arial" w:hAnsi="Arial"/>
                <w:sz w:val="12"/>
                <w:szCs w:val="12"/>
                <w:b w:val="1"/>
                <w:bCs w:val="1"/>
                <w:color w:val="FFFFFE"/>
              </w:rPr>
              <w:t>Treatment of Abstentions</w:t>
            </w:r>
          </w:p>
        </w:tc>
        <w:tc>
          <w:tcPr>
            <w:tcW w:w="60" w:type="dxa"/>
            <w:vAlign w:val="bottom"/>
          </w:tcPr>
          <w:p>
            <w:pPr>
              <w:spacing w:after="0"/>
              <w:rPr>
                <w:sz w:val="12"/>
                <w:szCs w:val="12"/>
                <w:color w:val="auto"/>
              </w:rPr>
            </w:pPr>
          </w:p>
        </w:tc>
        <w:tc>
          <w:tcPr>
            <w:tcW w:w="3780" w:type="dxa"/>
            <w:vAlign w:val="bottom"/>
            <w:shd w:val="clear" w:color="auto" w:fill="58854E"/>
          </w:tcPr>
          <w:p>
            <w:pPr>
              <w:ind w:left="1000"/>
              <w:spacing w:after="0"/>
              <w:rPr>
                <w:sz w:val="20"/>
                <w:szCs w:val="20"/>
                <w:color w:val="auto"/>
              </w:rPr>
            </w:pPr>
            <w:r>
              <w:rPr>
                <w:rFonts w:ascii="Arial" w:cs="Arial" w:eastAsia="Arial" w:hAnsi="Arial"/>
                <w:sz w:val="12"/>
                <w:szCs w:val="12"/>
                <w:b w:val="1"/>
                <w:bCs w:val="1"/>
                <w:color w:val="FFFFFE"/>
              </w:rPr>
              <w:t>Treatment of Broker Non-Votes</w:t>
            </w:r>
          </w:p>
        </w:tc>
      </w:tr>
      <w:tr>
        <w:trPr>
          <w:trHeight w:val="171"/>
        </w:trPr>
        <w:tc>
          <w:tcPr>
            <w:tcW w:w="200" w:type="dxa"/>
            <w:vAlign w:val="bottom"/>
            <w:tcBorders>
              <w:bottom w:val="single" w:sz="8" w:color="58854E"/>
            </w:tcBorders>
          </w:tcPr>
          <w:p>
            <w:pPr>
              <w:jc w:val="right"/>
              <w:spacing w:after="0" w:line="171" w:lineRule="exact"/>
              <w:rPr>
                <w:sz w:val="20"/>
                <w:szCs w:val="20"/>
                <w:color w:val="auto"/>
              </w:rPr>
            </w:pPr>
            <w:r>
              <w:rPr>
                <w:rFonts w:ascii="Arial" w:cs="Arial" w:eastAsia="Arial" w:hAnsi="Arial"/>
                <w:sz w:val="15"/>
                <w:szCs w:val="15"/>
                <w:color w:val="auto"/>
              </w:rPr>
              <w:t>1.</w:t>
            </w:r>
          </w:p>
        </w:tc>
        <w:tc>
          <w:tcPr>
            <w:tcW w:w="3560" w:type="dxa"/>
            <w:vAlign w:val="bottom"/>
            <w:tcBorders>
              <w:bottom w:val="single" w:sz="8" w:color="58854E"/>
            </w:tcBorders>
          </w:tcPr>
          <w:p>
            <w:pPr>
              <w:ind w:left="20"/>
              <w:spacing w:after="0" w:line="171" w:lineRule="exact"/>
              <w:rPr>
                <w:sz w:val="20"/>
                <w:szCs w:val="20"/>
                <w:color w:val="auto"/>
              </w:rPr>
            </w:pPr>
            <w:r>
              <w:rPr>
                <w:rFonts w:ascii="Arial" w:cs="Arial" w:eastAsia="Arial" w:hAnsi="Arial"/>
                <w:sz w:val="15"/>
                <w:szCs w:val="15"/>
                <w:color w:val="auto"/>
              </w:rPr>
              <w:t>Election of Directors</w:t>
            </w:r>
          </w:p>
        </w:tc>
        <w:tc>
          <w:tcPr>
            <w:tcW w:w="60" w:type="dxa"/>
            <w:vAlign w:val="bottom"/>
            <w:tcBorders>
              <w:bottom w:val="single" w:sz="8" w:color="58854E"/>
            </w:tcBorders>
          </w:tcPr>
          <w:p>
            <w:pPr>
              <w:spacing w:after="0"/>
              <w:rPr>
                <w:sz w:val="14"/>
                <w:szCs w:val="14"/>
                <w:color w:val="auto"/>
              </w:rPr>
            </w:pPr>
          </w:p>
        </w:tc>
        <w:tc>
          <w:tcPr>
            <w:tcW w:w="3780" w:type="dxa"/>
            <w:vAlign w:val="bottom"/>
            <w:tcBorders>
              <w:bottom w:val="single" w:sz="8" w:color="58854E"/>
            </w:tcBorders>
          </w:tcPr>
          <w:p>
            <w:pPr>
              <w:spacing w:after="0" w:line="171" w:lineRule="exact"/>
              <w:rPr>
                <w:sz w:val="20"/>
                <w:szCs w:val="20"/>
                <w:color w:val="auto"/>
              </w:rPr>
            </w:pPr>
            <w:r>
              <w:rPr>
                <w:rFonts w:ascii="Arial" w:cs="Arial" w:eastAsia="Arial" w:hAnsi="Arial"/>
                <w:sz w:val="15"/>
                <w:szCs w:val="15"/>
                <w:color w:val="auto"/>
              </w:rPr>
              <w:t>No effect on this proposal.</w:t>
            </w:r>
          </w:p>
        </w:tc>
        <w:tc>
          <w:tcPr>
            <w:tcW w:w="60" w:type="dxa"/>
            <w:vAlign w:val="bottom"/>
            <w:tcBorders>
              <w:bottom w:val="single" w:sz="8" w:color="58854E"/>
            </w:tcBorders>
          </w:tcPr>
          <w:p>
            <w:pPr>
              <w:spacing w:after="0"/>
              <w:rPr>
                <w:sz w:val="14"/>
                <w:szCs w:val="14"/>
                <w:color w:val="auto"/>
              </w:rPr>
            </w:pPr>
          </w:p>
        </w:tc>
        <w:tc>
          <w:tcPr>
            <w:tcW w:w="3780" w:type="dxa"/>
            <w:vAlign w:val="bottom"/>
            <w:tcBorders>
              <w:bottom w:val="single" w:sz="8" w:color="58854E"/>
            </w:tcBorders>
          </w:tcPr>
          <w:p>
            <w:pPr>
              <w:spacing w:after="0" w:line="171" w:lineRule="exact"/>
              <w:rPr>
                <w:sz w:val="20"/>
                <w:szCs w:val="20"/>
                <w:color w:val="auto"/>
              </w:rPr>
            </w:pPr>
            <w:r>
              <w:rPr>
                <w:rFonts w:ascii="Arial" w:cs="Arial" w:eastAsia="Arial" w:hAnsi="Arial"/>
                <w:sz w:val="15"/>
                <w:szCs w:val="15"/>
                <w:color w:val="auto"/>
              </w:rPr>
              <w:t>No effect on this proposal.</w:t>
            </w:r>
          </w:p>
        </w:tc>
      </w:tr>
      <w:tr>
        <w:trPr>
          <w:trHeight w:val="165"/>
        </w:trPr>
        <w:tc>
          <w:tcPr>
            <w:tcW w:w="200" w:type="dxa"/>
            <w:vAlign w:val="bottom"/>
          </w:tcPr>
          <w:p>
            <w:pPr>
              <w:jc w:val="right"/>
              <w:spacing w:after="0" w:line="165" w:lineRule="exact"/>
              <w:rPr>
                <w:sz w:val="20"/>
                <w:szCs w:val="20"/>
                <w:color w:val="auto"/>
              </w:rPr>
            </w:pPr>
            <w:r>
              <w:rPr>
                <w:rFonts w:ascii="Arial" w:cs="Arial" w:eastAsia="Arial" w:hAnsi="Arial"/>
                <w:sz w:val="15"/>
                <w:szCs w:val="15"/>
                <w:color w:val="auto"/>
              </w:rPr>
              <w:t>2.</w:t>
            </w:r>
          </w:p>
        </w:tc>
        <w:tc>
          <w:tcPr>
            <w:tcW w:w="3560" w:type="dxa"/>
            <w:vAlign w:val="bottom"/>
          </w:tcPr>
          <w:p>
            <w:pPr>
              <w:ind w:left="20"/>
              <w:spacing w:after="0" w:line="165" w:lineRule="exact"/>
              <w:rPr>
                <w:sz w:val="20"/>
                <w:szCs w:val="20"/>
                <w:color w:val="auto"/>
              </w:rPr>
            </w:pPr>
            <w:r>
              <w:rPr>
                <w:rFonts w:ascii="Arial" w:cs="Arial" w:eastAsia="Arial" w:hAnsi="Arial"/>
                <w:sz w:val="15"/>
                <w:szCs w:val="15"/>
                <w:color w:val="auto"/>
              </w:rPr>
              <w:t>Say on Pay Proposal</w:t>
            </w:r>
          </w:p>
        </w:tc>
        <w:tc>
          <w:tcPr>
            <w:tcW w:w="60" w:type="dxa"/>
            <w:vAlign w:val="bottom"/>
          </w:tcPr>
          <w:p>
            <w:pPr>
              <w:spacing w:after="0"/>
              <w:rPr>
                <w:sz w:val="14"/>
                <w:szCs w:val="14"/>
                <w:color w:val="auto"/>
              </w:rPr>
            </w:pPr>
          </w:p>
        </w:tc>
        <w:tc>
          <w:tcPr>
            <w:tcW w:w="3780" w:type="dxa"/>
            <w:vAlign w:val="bottom"/>
          </w:tcPr>
          <w:p>
            <w:pPr>
              <w:spacing w:after="0" w:line="165" w:lineRule="exact"/>
              <w:rPr>
                <w:sz w:val="20"/>
                <w:szCs w:val="20"/>
                <w:color w:val="auto"/>
              </w:rPr>
            </w:pPr>
            <w:r>
              <w:rPr>
                <w:rFonts w:ascii="Arial" w:cs="Arial" w:eastAsia="Arial" w:hAnsi="Arial"/>
                <w:sz w:val="15"/>
                <w:szCs w:val="15"/>
                <w:color w:val="auto"/>
              </w:rPr>
              <w:t>Counted toward the tabulation of votes on this proposal</w:t>
            </w:r>
          </w:p>
        </w:tc>
        <w:tc>
          <w:tcPr>
            <w:tcW w:w="60" w:type="dxa"/>
            <w:vAlign w:val="bottom"/>
          </w:tcPr>
          <w:p>
            <w:pPr>
              <w:spacing w:after="0"/>
              <w:rPr>
                <w:sz w:val="14"/>
                <w:szCs w:val="14"/>
                <w:color w:val="auto"/>
              </w:rPr>
            </w:pPr>
          </w:p>
        </w:tc>
        <w:tc>
          <w:tcPr>
            <w:tcW w:w="3780" w:type="dxa"/>
            <w:vAlign w:val="bottom"/>
          </w:tcPr>
          <w:p>
            <w:pPr>
              <w:spacing w:after="0" w:line="165" w:lineRule="exact"/>
              <w:rPr>
                <w:sz w:val="20"/>
                <w:szCs w:val="20"/>
                <w:color w:val="auto"/>
              </w:rPr>
            </w:pPr>
            <w:r>
              <w:rPr>
                <w:rFonts w:ascii="Arial" w:cs="Arial" w:eastAsia="Arial" w:hAnsi="Arial"/>
                <w:sz w:val="15"/>
                <w:szCs w:val="15"/>
                <w:color w:val="auto"/>
              </w:rPr>
              <w:t>No effect on this proposal.</w:t>
            </w:r>
          </w:p>
        </w:tc>
      </w:tr>
      <w:tr>
        <w:trPr>
          <w:trHeight w:val="171"/>
        </w:trPr>
        <w:tc>
          <w:tcPr>
            <w:tcW w:w="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80" w:type="dxa"/>
            <w:vAlign w:val="bottom"/>
          </w:tcPr>
          <w:p>
            <w:pPr>
              <w:spacing w:after="0" w:line="171" w:lineRule="exact"/>
              <w:rPr>
                <w:sz w:val="20"/>
                <w:szCs w:val="20"/>
                <w:color w:val="auto"/>
              </w:rPr>
            </w:pPr>
            <w:r>
              <w:rPr>
                <w:rFonts w:ascii="Arial" w:cs="Arial" w:eastAsia="Arial" w:hAnsi="Arial"/>
                <w:sz w:val="15"/>
                <w:szCs w:val="15"/>
                <w:color w:val="auto"/>
              </w:rPr>
              <w:t>and will have the same effect as a vote AGAINST this</w:t>
            </w:r>
          </w:p>
        </w:tc>
        <w:tc>
          <w:tcPr>
            <w:tcW w:w="6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178"/>
        </w:trPr>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proposal.</w:t>
            </w:r>
          </w:p>
        </w:tc>
        <w:tc>
          <w:tcPr>
            <w:tcW w:w="60" w:type="dxa"/>
            <w:vAlign w:val="bottom"/>
          </w:tcPr>
          <w:p>
            <w:pPr>
              <w:spacing w:after="0"/>
              <w:rPr>
                <w:sz w:val="15"/>
                <w:szCs w:val="15"/>
                <w:color w:val="auto"/>
              </w:rPr>
            </w:pPr>
          </w:p>
        </w:tc>
        <w:tc>
          <w:tcPr>
            <w:tcW w:w="37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6821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8210" cy="6985"/>
                    </a:xfrm>
                    <a:prstGeom prst="rect">
                      <a:avLst/>
                    </a:prstGeom>
                    <a:noFill/>
                  </pic:spPr>
                </pic:pic>
              </a:graphicData>
            </a:graphic>
          </wp:anchor>
        </w:drawing>
      </w:r>
    </w:p>
    <w:p>
      <w:pPr>
        <w:sectPr>
          <w:pgSz w:w="11900" w:h="16838" w:orient="portrait"/>
          <w:cols w:equalWidth="0" w:num="1">
            <w:col w:w="11449"/>
          </w:cols>
          <w:pgMar w:left="231" w:top="142" w:right="219" w:bottom="1440" w:gutter="0" w:footer="0" w:header="0"/>
          <w:type w:val="continuous"/>
        </w:sectPr>
      </w:pPr>
    </w:p>
    <w:p>
      <w:pPr>
        <w:spacing w:after="0" w:line="3" w:lineRule="exact"/>
        <w:rPr>
          <w:sz w:val="20"/>
          <w:szCs w:val="20"/>
          <w:color w:val="auto"/>
        </w:rPr>
      </w:pPr>
    </w:p>
    <w:p>
      <w:pPr>
        <w:ind w:left="69"/>
        <w:spacing w:after="0"/>
        <w:tabs>
          <w:tab w:leader="none" w:pos="3808" w:val="left"/>
        </w:tabs>
        <w:rPr>
          <w:sz w:val="20"/>
          <w:szCs w:val="20"/>
          <w:color w:val="auto"/>
        </w:rPr>
      </w:pPr>
      <w:r>
        <w:rPr>
          <w:rFonts w:ascii="Arial" w:cs="Arial" w:eastAsia="Arial" w:hAnsi="Arial"/>
          <w:sz w:val="15"/>
          <w:szCs w:val="15"/>
          <w:color w:val="auto"/>
        </w:rPr>
        <w:t>3. Ratification of KPMG LLP's Appointment Proposal</w:t>
      </w:r>
      <w:r>
        <w:rPr>
          <w:sz w:val="20"/>
          <w:szCs w:val="20"/>
          <w:color w:val="auto"/>
        </w:rPr>
        <w:tab/>
      </w:r>
      <w:r>
        <w:rPr>
          <w:rFonts w:ascii="Arial" w:cs="Arial" w:eastAsia="Arial" w:hAnsi="Arial"/>
          <w:sz w:val="14"/>
          <w:szCs w:val="14"/>
          <w:color w:val="auto"/>
        </w:rPr>
        <w:t>Counted toward the tabulation of votes on this proposal</w:t>
      </w:r>
    </w:p>
    <w:p>
      <w:pPr>
        <w:ind w:left="3829"/>
        <w:spacing w:after="0" w:line="237" w:lineRule="auto"/>
        <w:rPr>
          <w:sz w:val="20"/>
          <w:szCs w:val="20"/>
          <w:color w:val="auto"/>
        </w:rPr>
      </w:pPr>
      <w:r>
        <w:rPr>
          <w:rFonts w:ascii="Arial" w:cs="Arial" w:eastAsia="Arial" w:hAnsi="Arial"/>
          <w:sz w:val="15"/>
          <w:szCs w:val="15"/>
          <w:color w:val="auto"/>
        </w:rPr>
        <w:t>and will have the same effect as a vote AGAINST this</w:t>
      </w:r>
    </w:p>
    <w:p>
      <w:pPr>
        <w:spacing w:after="0" w:line="1" w:lineRule="exact"/>
        <w:rPr>
          <w:sz w:val="20"/>
          <w:szCs w:val="20"/>
          <w:color w:val="auto"/>
        </w:rPr>
      </w:pPr>
    </w:p>
    <w:p>
      <w:pPr>
        <w:ind w:left="3829"/>
        <w:spacing w:after="0"/>
        <w:rPr>
          <w:sz w:val="20"/>
          <w:szCs w:val="20"/>
          <w:color w:val="auto"/>
        </w:rPr>
      </w:pPr>
      <w:r>
        <w:rPr>
          <w:rFonts w:ascii="Arial" w:cs="Arial" w:eastAsia="Arial" w:hAnsi="Arial"/>
          <w:sz w:val="15"/>
          <w:szCs w:val="15"/>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7273290"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3290" cy="196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726821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82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45" w:lineRule="auto"/>
        <w:rPr>
          <w:sz w:val="20"/>
          <w:szCs w:val="20"/>
          <w:color w:val="auto"/>
        </w:rPr>
      </w:pPr>
      <w:r>
        <w:rPr>
          <w:rFonts w:ascii="Arial" w:cs="Arial" w:eastAsia="Arial" w:hAnsi="Arial"/>
          <w:sz w:val="15"/>
          <w:szCs w:val="15"/>
          <w:color w:val="auto"/>
        </w:rPr>
        <w:t>Not applicable since brokers have discretionary authority to vote on this proposal.</w:t>
      </w:r>
    </w:p>
    <w:p>
      <w:pPr>
        <w:sectPr>
          <w:pgSz w:w="11900" w:h="16838" w:orient="portrait"/>
          <w:cols w:equalWidth="0" w:num="2">
            <w:col w:w="7449" w:space="220"/>
            <w:col w:w="3780"/>
          </w:cols>
          <w:pgMar w:left="231" w:top="142" w:right="219" w:bottom="1440" w:gutter="0" w:footer="0" w:header="0"/>
          <w:type w:val="continuous"/>
        </w:sectPr>
      </w:pPr>
    </w:p>
    <w:bookmarkStart w:id="59" w:name="page60"/>
    <w:bookmarkEnd w:id="59"/>
    <w:p>
      <w:pPr>
        <w:ind w:left="9"/>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
        <w:spacing w:after="0"/>
        <w:rPr>
          <w:sz w:val="20"/>
          <w:szCs w:val="20"/>
          <w:color w:val="auto"/>
        </w:rPr>
      </w:pPr>
      <w:r>
        <w:rPr>
          <w:rFonts w:ascii="Arial" w:cs="Arial" w:eastAsia="Arial" w:hAnsi="Arial"/>
          <w:sz w:val="18"/>
          <w:szCs w:val="18"/>
          <w:color w:val="58844D"/>
        </w:rPr>
        <w:t>How Do I Vote?</w:t>
      </w:r>
    </w:p>
    <w:p>
      <w:pPr>
        <w:spacing w:after="0" w:line="189" w:lineRule="exact"/>
        <w:rPr>
          <w:sz w:val="20"/>
          <w:szCs w:val="20"/>
          <w:color w:val="auto"/>
        </w:rPr>
      </w:pPr>
    </w:p>
    <w:p>
      <w:pPr>
        <w:ind w:left="9" w:right="20"/>
        <w:spacing w:after="0" w:line="239" w:lineRule="auto"/>
        <w:rPr>
          <w:sz w:val="20"/>
          <w:szCs w:val="20"/>
          <w:color w:val="auto"/>
        </w:rPr>
      </w:pPr>
      <w:r>
        <w:rPr>
          <w:rFonts w:ascii="Arial" w:cs="Arial" w:eastAsia="Arial" w:hAnsi="Arial"/>
          <w:sz w:val="15"/>
          <w:szCs w:val="15"/>
          <w:color w:val="auto"/>
        </w:rPr>
        <w:t>If you hold shares of Class A, Class B, Class C or Class D common stock directly as the stockholder of record, you may vote in person,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in person at the Annual Meeting. Please refer to the summary instructions below and those included on your proxy card or, for shares held in street name, the voting instruction card included by your bank, broker, trustee, or nominee.</w:t>
      </w:r>
    </w:p>
    <w:p>
      <w:pPr>
        <w:spacing w:after="0" w:line="160" w:lineRule="exact"/>
        <w:rPr>
          <w:sz w:val="20"/>
          <w:szCs w:val="20"/>
          <w:color w:val="auto"/>
        </w:rPr>
      </w:pPr>
    </w:p>
    <w:p>
      <w:pPr>
        <w:ind w:left="449" w:hanging="449"/>
        <w:spacing w:after="0" w:line="243" w:lineRule="auto"/>
        <w:tabs>
          <w:tab w:leader="none" w:pos="449"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Vote By Internet: </w:t>
      </w:r>
      <w:r>
        <w:rPr>
          <w:rFonts w:ascii="Arial" w:cs="Arial" w:eastAsia="Arial" w:hAnsi="Arial"/>
          <w:sz w:val="15"/>
          <w:szCs w:val="15"/>
          <w:color w:val="auto"/>
        </w:rPr>
        <w:t>If you have Internet access, you may submit your proxy</w:t>
      </w:r>
      <w:r>
        <w:rPr>
          <w:rFonts w:ascii="Arial" w:cs="Arial" w:eastAsia="Arial" w:hAnsi="Arial"/>
          <w:sz w:val="15"/>
          <w:szCs w:val="15"/>
          <w:i w:val="1"/>
          <w:iCs w:val="1"/>
          <w:color w:val="auto"/>
        </w:rPr>
        <w:t xml:space="preserve"> </w:t>
      </w:r>
      <w:r>
        <w:rPr>
          <w:rFonts w:ascii="Arial" w:cs="Arial" w:eastAsia="Arial" w:hAnsi="Arial"/>
          <w:sz w:val="15"/>
          <w:szCs w:val="15"/>
          <w:color w:val="auto"/>
        </w:rPr>
        <w:t>from any location in the world 24 hours a day, 7 days a week, up until 11:59 p.m., Eastern Time on April 23, 2018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160" w:lineRule="exact"/>
        <w:rPr>
          <w:rFonts w:ascii="Arial" w:cs="Arial" w:eastAsia="Arial" w:hAnsi="Arial"/>
          <w:sz w:val="15"/>
          <w:szCs w:val="15"/>
          <w:color w:val="auto"/>
        </w:rPr>
      </w:pPr>
    </w:p>
    <w:p>
      <w:pPr>
        <w:ind w:left="449" w:right="80" w:hanging="449"/>
        <w:spacing w:after="0" w:line="243" w:lineRule="auto"/>
        <w:tabs>
          <w:tab w:leader="none" w:pos="449"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Vote By Telephone: </w:t>
      </w:r>
      <w:r>
        <w:rPr>
          <w:rFonts w:ascii="Arial" w:cs="Arial" w:eastAsia="Arial" w:hAnsi="Arial"/>
          <w:sz w:val="15"/>
          <w:szCs w:val="15"/>
          <w:color w:val="auto"/>
        </w:rPr>
        <w:t>If you live in the United States, you may use any</w:t>
      </w:r>
      <w:r>
        <w:rPr>
          <w:rFonts w:ascii="Arial" w:cs="Arial" w:eastAsia="Arial" w:hAnsi="Arial"/>
          <w:sz w:val="15"/>
          <w:szCs w:val="15"/>
          <w:i w:val="1"/>
          <w:iCs w:val="1"/>
          <w:color w:val="auto"/>
        </w:rPr>
        <w:t xml:space="preserve"> </w:t>
      </w:r>
      <w:r>
        <w:rPr>
          <w:rFonts w:ascii="Arial" w:cs="Arial" w:eastAsia="Arial" w:hAnsi="Arial"/>
          <w:sz w:val="15"/>
          <w:szCs w:val="15"/>
          <w:color w:val="auto"/>
        </w:rPr>
        <w:t>touch-tone telephone to vote your proxy toll-free 24 hours a day, 7 days a week, up until 11:59 p.m., Eastern Time on April 23, 2018. The telephone number is printed on your proxy card or voting instruction card. If you vote by telephone, you do not need to return your proxy card or voting instruction card.</w:t>
      </w:r>
    </w:p>
    <w:p>
      <w:pPr>
        <w:spacing w:after="0" w:line="149" w:lineRule="exact"/>
        <w:rPr>
          <w:rFonts w:ascii="Arial" w:cs="Arial" w:eastAsia="Arial" w:hAnsi="Arial"/>
          <w:sz w:val="15"/>
          <w:szCs w:val="15"/>
          <w:color w:val="auto"/>
        </w:rPr>
      </w:pPr>
    </w:p>
    <w:p>
      <w:pPr>
        <w:ind w:left="449" w:right="20" w:hanging="449"/>
        <w:spacing w:after="0" w:line="241" w:lineRule="auto"/>
        <w:tabs>
          <w:tab w:leader="none" w:pos="449"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Vote By Mail: </w:t>
      </w:r>
      <w:r>
        <w:rPr>
          <w:rFonts w:ascii="Arial" w:cs="Arial" w:eastAsia="Arial" w:hAnsi="Arial"/>
          <w:sz w:val="15"/>
          <w:szCs w:val="15"/>
          <w:color w:val="auto"/>
        </w:rPr>
        <w:t>If you received or requested a paper copy of the materials,</w:t>
      </w:r>
      <w:r>
        <w:rPr>
          <w:rFonts w:ascii="Arial" w:cs="Arial" w:eastAsia="Arial" w:hAnsi="Arial"/>
          <w:sz w:val="15"/>
          <w:szCs w:val="15"/>
          <w:i w:val="1"/>
          <w:iCs w:val="1"/>
          <w:color w:val="auto"/>
        </w:rPr>
        <w:t xml:space="preserve"> </w:t>
      </w:r>
      <w:r>
        <w:rPr>
          <w:rFonts w:ascii="Arial" w:cs="Arial" w:eastAsia="Arial" w:hAnsi="Arial"/>
          <w:sz w:val="15"/>
          <w:szCs w:val="15"/>
          <w:color w:val="auto"/>
        </w:rPr>
        <w:t>you may submit your proxy by signing your proxy card or, for shares held in street 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24, 2018, the Annual Meeting date.</w:t>
      </w:r>
    </w:p>
    <w:p>
      <w:pPr>
        <w:spacing w:after="0" w:line="148" w:lineRule="exact"/>
        <w:rPr>
          <w:rFonts w:ascii="Arial" w:cs="Arial" w:eastAsia="Arial" w:hAnsi="Arial"/>
          <w:sz w:val="15"/>
          <w:szCs w:val="15"/>
          <w:color w:val="auto"/>
        </w:rPr>
      </w:pPr>
    </w:p>
    <w:p>
      <w:pPr>
        <w:ind w:left="449" w:hanging="449"/>
        <w:spacing w:after="0" w:line="241" w:lineRule="auto"/>
        <w:tabs>
          <w:tab w:leader="none" w:pos="449"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Vote In Person: </w:t>
      </w:r>
      <w:r>
        <w:rPr>
          <w:rFonts w:ascii="Arial" w:cs="Arial" w:eastAsia="Arial" w:hAnsi="Arial"/>
          <w:sz w:val="15"/>
          <w:szCs w:val="15"/>
          <w:color w:val="auto"/>
        </w:rPr>
        <w:t>For information on how record holders and beneficial</w:t>
      </w:r>
      <w:r>
        <w:rPr>
          <w:rFonts w:ascii="Arial" w:cs="Arial" w:eastAsia="Arial" w:hAnsi="Arial"/>
          <w:sz w:val="15"/>
          <w:szCs w:val="15"/>
          <w:i w:val="1"/>
          <w:iCs w:val="1"/>
          <w:color w:val="auto"/>
        </w:rPr>
        <w:t xml:space="preserve"> </w:t>
      </w:r>
      <w:r>
        <w:rPr>
          <w:rFonts w:ascii="Arial" w:cs="Arial" w:eastAsia="Arial" w:hAnsi="Arial"/>
          <w:sz w:val="15"/>
          <w:szCs w:val="15"/>
          <w:color w:val="auto"/>
        </w:rPr>
        <w:t>owners of shares held in street can vote in person, please refer to "How can I vote at the Annual Meeting if I attend in person?" on page 56. Record holders, beneficial owners and legal proxy holders should also refer to "What should I bring to the Annual Meeting if I attend in person?" on page 55 for the Annual Meeting admission and voting requirements. Stockholders holding shares in a joint account may attend the meeting if they provide proof of joint ownership, and if each stockholder follows the admission requirements described below.</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QUESTIONS AND ANSWERS </w:t>
      </w:r>
      <w:r>
        <w:rPr>
          <w:rFonts w:ascii="Arial" w:cs="Arial" w:eastAsia="Arial" w:hAnsi="Arial"/>
          <w:sz w:val="12"/>
          <w:szCs w:val="12"/>
          <w:b w:val="1"/>
          <w:bCs w:val="1"/>
          <w:color w:val="58844D"/>
        </w:rPr>
        <w:t>55</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58844D"/>
        </w:rPr>
        <w:t>May I Change My Vote?</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attending the Annual Meeting and voting in person (although attendance at the Annual Meeting will not in and of itself constitute a revocation of a proxy). For shares held in street name, you may change your vote by submitting new voting instructions to your broker, trustee, or nominee, or by obtaining a legal proxy from your broker and voting your shares by ballot at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58844D"/>
        </w:rPr>
        <w:t>What Should I Bring to the Annual Meeting If I Attend In Person?</w:t>
      </w:r>
    </w:p>
    <w:p>
      <w:pPr>
        <w:spacing w:after="0" w:line="189"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Registration for the Annual Meeting will begin at 8 a.m., Eastern Time. Please allow ample time for check-in. No cameras, recording equipment, electronic devices, large bags, briefcases or packages will be permitted in the Annual Meeting. For admission to the Annual Meeting, all individuals attending must provide personal identification (such as a driver's license or passport), as well as the following:</w:t>
      </w:r>
    </w:p>
    <w:p>
      <w:pPr>
        <w:spacing w:after="0" w:line="160" w:lineRule="exact"/>
        <w:rPr>
          <w:sz w:val="20"/>
          <w:szCs w:val="20"/>
          <w:color w:val="auto"/>
        </w:rPr>
      </w:pPr>
    </w:p>
    <w:p>
      <w:pPr>
        <w:ind w:right="160"/>
        <w:spacing w:after="0" w:line="246" w:lineRule="auto"/>
        <w:rPr>
          <w:sz w:val="20"/>
          <w:szCs w:val="20"/>
          <w:color w:val="auto"/>
        </w:rPr>
      </w:pPr>
      <w:r>
        <w:rPr>
          <w:rFonts w:ascii="Arial" w:cs="Arial" w:eastAsia="Arial" w:hAnsi="Arial"/>
          <w:sz w:val="15"/>
          <w:szCs w:val="15"/>
          <w:b w:val="1"/>
          <w:bCs w:val="1"/>
          <w:color w:val="auto"/>
        </w:rPr>
        <w:t>If you are a record holder (i.e., you hold your shares through our transfer agent, Computershare)</w:t>
      </w:r>
      <w:r>
        <w:rPr>
          <w:rFonts w:ascii="Arial" w:cs="Arial" w:eastAsia="Arial" w:hAnsi="Arial"/>
          <w:sz w:val="15"/>
          <w:szCs w:val="15"/>
          <w:color w:val="auto"/>
        </w:rPr>
        <w:t>, you must bring either a copy of the proxy card you</w:t>
      </w:r>
      <w:r>
        <w:rPr>
          <w:rFonts w:ascii="Arial" w:cs="Arial" w:eastAsia="Arial" w:hAnsi="Arial"/>
          <w:sz w:val="15"/>
          <w:szCs w:val="15"/>
          <w:b w:val="1"/>
          <w:bCs w:val="1"/>
          <w:color w:val="auto"/>
        </w:rPr>
        <w:t xml:space="preserve"> </w:t>
      </w:r>
      <w:r>
        <w:rPr>
          <w:rFonts w:ascii="Arial" w:cs="Arial" w:eastAsia="Arial" w:hAnsi="Arial"/>
          <w:sz w:val="15"/>
          <w:szCs w:val="15"/>
          <w:color w:val="auto"/>
        </w:rPr>
        <w:t>received as part of your proxy materials, a copy of your Computershare account statement indicating your ownership of our common stock as of the record date, or the Notice of Availability, if you received one.</w:t>
      </w:r>
    </w:p>
    <w:p>
      <w:pPr>
        <w:spacing w:after="0" w:line="153"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color w:val="auto"/>
        </w:rPr>
        <w:t>If you hold your shares in street name (i.e., through a bank, broker, trustee or other nominee)</w:t>
      </w:r>
      <w:r>
        <w:rPr>
          <w:rFonts w:ascii="Arial" w:cs="Arial" w:eastAsia="Arial" w:hAnsi="Arial"/>
          <w:sz w:val="14"/>
          <w:szCs w:val="14"/>
          <w:color w:val="auto"/>
        </w:rPr>
        <w:t>, you must bring either the voting instruction card you received</w:t>
      </w:r>
      <w:r>
        <w:rPr>
          <w:rFonts w:ascii="Arial" w:cs="Arial" w:eastAsia="Arial" w:hAnsi="Arial"/>
          <w:sz w:val="14"/>
          <w:szCs w:val="14"/>
          <w:b w:val="1"/>
          <w:bCs w:val="1"/>
          <w:color w:val="auto"/>
        </w:rPr>
        <w:t xml:space="preserve"> </w:t>
      </w:r>
      <w:r>
        <w:rPr>
          <w:rFonts w:ascii="Arial" w:cs="Arial" w:eastAsia="Arial" w:hAnsi="Arial"/>
          <w:sz w:val="14"/>
          <w:szCs w:val="14"/>
          <w:color w:val="auto"/>
        </w:rPr>
        <w:t>from your bank, trustee, broker or other nominee as part of your proxy materials, a copy of your brokerage statement indicating your ownership of our common stock as of the record date, or the Notice of Availability, if you received one.</w:t>
      </w:r>
    </w:p>
    <w:p>
      <w:pPr>
        <w:spacing w:after="0" w:line="139"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b w:val="1"/>
          <w:bCs w:val="1"/>
          <w:color w:val="auto"/>
        </w:rPr>
        <w:t>If you are not a stockholder, but are attending the meeting as proxy for a stockholder</w:t>
      </w:r>
      <w:r>
        <w:rPr>
          <w:rFonts w:ascii="Arial" w:cs="Arial" w:eastAsia="Arial" w:hAnsi="Arial"/>
          <w:sz w:val="15"/>
          <w:szCs w:val="15"/>
          <w:color w:val="auto"/>
        </w:rPr>
        <w:t>, you must bring a valid legal proxy. If you attend as a proxy for a</w:t>
      </w:r>
      <w:r>
        <w:rPr>
          <w:rFonts w:ascii="Arial" w:cs="Arial" w:eastAsia="Arial" w:hAnsi="Arial"/>
          <w:sz w:val="15"/>
          <w:szCs w:val="15"/>
          <w:b w:val="1"/>
          <w:bCs w:val="1"/>
          <w:color w:val="auto"/>
        </w:rPr>
        <w:t xml:space="preserve"> </w:t>
      </w:r>
      <w:r>
        <w:rPr>
          <w:rFonts w:ascii="Arial" w:cs="Arial" w:eastAsia="Arial" w:hAnsi="Arial"/>
          <w:sz w:val="15"/>
          <w:szCs w:val="15"/>
          <w:color w:val="auto"/>
        </w:rPr>
        <w:t>record holder, you must present a valid legal proxy from the record holder to you. If you attend as a proxy for a street name holder, you must present a valid legal proxy from the record holder (i.e., the bank, broker, trustee, or other nominee) to the street name holder that is assignable, as well as a valid legal proxy from the street name holder to you. Stockholders may only appoint one proxy holder to attend the Annual Meeting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556895</wp:posOffset>
            </wp:positionV>
            <wp:extent cx="7273290"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69" w:space="700"/>
            <w:col w:w="5380"/>
          </w:cols>
          <w:pgMar w:left="231" w:top="142" w:right="21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58844D"/>
        </w:rPr>
        <w:t>How Can I Vote At the Annual Meeting If I Attend in Person?</w:t>
      </w:r>
    </w:p>
    <w:p>
      <w:pPr>
        <w:spacing w:after="0" w:line="171" w:lineRule="exact"/>
        <w:rPr>
          <w:sz w:val="20"/>
          <w:szCs w:val="20"/>
          <w:color w:val="auto"/>
        </w:rPr>
      </w:pPr>
    </w:p>
    <w:p>
      <w:pPr>
        <w:ind w:right="220"/>
        <w:spacing w:after="0" w:line="248" w:lineRule="auto"/>
        <w:rPr>
          <w:sz w:val="20"/>
          <w:szCs w:val="20"/>
          <w:color w:val="auto"/>
        </w:rPr>
      </w:pPr>
      <w:r>
        <w:rPr>
          <w:rFonts w:ascii="Arial" w:cs="Arial" w:eastAsia="Arial" w:hAnsi="Arial"/>
          <w:sz w:val="15"/>
          <w:szCs w:val="15"/>
          <w:b w:val="1"/>
          <w:bCs w:val="1"/>
          <w:color w:val="auto"/>
        </w:rPr>
        <w:t>If you are a record holder (i.e., you hold your shares through our transfer agent, Computershare) and wish to vote your shares in person at the Annual Meeting</w:t>
      </w:r>
      <w:r>
        <w:rPr>
          <w:rFonts w:ascii="Arial" w:cs="Arial" w:eastAsia="Arial" w:hAnsi="Arial"/>
          <w:sz w:val="15"/>
          <w:szCs w:val="15"/>
          <w:color w:val="auto"/>
        </w:rPr>
        <w:t>, you will need to bring proof of ownership as described above</w:t>
      </w:r>
      <w:r>
        <w:rPr>
          <w:rFonts w:ascii="Arial" w:cs="Arial" w:eastAsia="Arial" w:hAnsi="Arial"/>
          <w:sz w:val="15"/>
          <w:szCs w:val="15"/>
          <w:b w:val="1"/>
          <w:bCs w:val="1"/>
          <w:color w:val="auto"/>
        </w:rPr>
        <w:t xml:space="preserve"> </w:t>
      </w:r>
      <w:r>
        <w:rPr>
          <w:rFonts w:ascii="Arial" w:cs="Arial" w:eastAsia="Arial" w:hAnsi="Arial"/>
          <w:sz w:val="15"/>
          <w:szCs w:val="15"/>
          <w:color w:val="auto"/>
        </w:rPr>
        <w:t>and a ballot will be provided to you at the Annual Meeting.</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If you hold your shares in street name (i.e., through a bank, broker or other nominee) and wish to vote your shares in person at the Annual Meeting</w:t>
      </w:r>
      <w:r>
        <w:rPr>
          <w:rFonts w:ascii="Arial" w:cs="Arial" w:eastAsia="Arial" w:hAnsi="Arial"/>
          <w:sz w:val="14"/>
          <w:szCs w:val="14"/>
          <w:color w:val="auto"/>
        </w:rPr>
        <w:t>, you</w:t>
      </w:r>
      <w:r>
        <w:rPr>
          <w:rFonts w:ascii="Arial" w:cs="Arial" w:eastAsia="Arial" w:hAnsi="Arial"/>
          <w:sz w:val="14"/>
          <w:szCs w:val="14"/>
          <w:b w:val="1"/>
          <w:bCs w:val="1"/>
          <w:color w:val="auto"/>
        </w:rPr>
        <w:t xml:space="preserve"> </w:t>
      </w:r>
      <w:r>
        <w:rPr>
          <w:rFonts w:ascii="Arial" w:cs="Arial" w:eastAsia="Arial" w:hAnsi="Arial"/>
          <w:sz w:val="14"/>
          <w:szCs w:val="14"/>
          <w:color w:val="auto"/>
        </w:rPr>
        <w:t>will need to ask your bank, broker or other nominee to furnish you with a legal proxy. You will need to bring proof of ownership as described above and the legal proxy with you to the Annual Meeting and hand it in with a signed ballot that will be provided to you at the Annual Meeting. You will not be able to vote your shares at the Annual Meeting without a legal proxy. If you do not have a legal proxy, you can still attend the Annual Meeting but you will not be able to vote your shares at the Annual Meeting. Accordingly, we encourage you to vote your shares in advance, even if you intend to attend the Annual Meeting. Please note that if you request a legal proxy, any previously executed proxy will be revoked, and your vote will not be counted unless you appear at the Annual Meeting and vote in person or legally appoint another proxy to vote on your behalf.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8844D"/>
        </w:rPr>
        <w:t>What Happens If I Do Not Provide Instructions as to How to Vote?</w:t>
      </w:r>
    </w:p>
    <w:p>
      <w:pPr>
        <w:spacing w:after="0" w:line="189" w:lineRule="exact"/>
        <w:rPr>
          <w:sz w:val="20"/>
          <w:szCs w:val="20"/>
          <w:color w:val="auto"/>
        </w:rPr>
      </w:pPr>
    </w:p>
    <w:p>
      <w:pPr>
        <w:jc w:val="both"/>
        <w:ind w:right="140"/>
        <w:spacing w:after="0" w:line="280" w:lineRule="auto"/>
        <w:rPr>
          <w:sz w:val="20"/>
          <w:szCs w:val="20"/>
          <w:color w:val="auto"/>
        </w:rPr>
      </w:pPr>
      <w:r>
        <w:rPr>
          <w:rFonts w:ascii="Arial" w:cs="Arial" w:eastAsia="Arial" w:hAnsi="Arial"/>
          <w:sz w:val="14"/>
          <w:szCs w:val="14"/>
          <w:color w:val="auto"/>
        </w:rPr>
        <w:t>If you sign your proxy card or voting instruction card with no further instructions, your shares will be voted in accordance with the recommendations of the Board.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58844D"/>
        </w:rPr>
        <w:t>Where Can I Obtain the List of Stockholders Entitled to Vote?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names of stockholders of record entitled to vote at the Annual Meeting will be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available at the Annual Meeting and for ten days prior to the meeting for any</w:t>
      </w:r>
    </w:p>
    <w:p>
      <w:pPr>
        <w:spacing w:after="0" w:line="237" w:lineRule="auto"/>
        <w:rPr>
          <w:sz w:val="20"/>
          <w:szCs w:val="20"/>
          <w:color w:val="auto"/>
        </w:rPr>
      </w:pPr>
      <w:r>
        <w:rPr>
          <w:rFonts w:ascii="Arial" w:cs="Arial" w:eastAsia="Arial" w:hAnsi="Arial"/>
          <w:sz w:val="15"/>
          <w:szCs w:val="15"/>
          <w:color w:val="auto"/>
        </w:rPr>
        <w:t>purpose germane to the Annual Meeting, between the hours of 8:30 a.m.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5:00 p.m., Eastern Time, at our principal executive offices at 804 Carnegie Center,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Princeton, New Jersey 08540. Please contact our Corporate Secretary if you wish</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to review the list of stockholders at our principal executive offices.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8844D"/>
        </w:rPr>
        <w:t>Who Pays the Cost of Solicitation of Proxies?</w:t>
      </w:r>
    </w:p>
    <w:p>
      <w:pPr>
        <w:spacing w:after="0" w:line="189" w:lineRule="exact"/>
        <w:rPr>
          <w:sz w:val="20"/>
          <w:szCs w:val="20"/>
          <w:color w:val="auto"/>
        </w:rPr>
      </w:pPr>
    </w:p>
    <w:p>
      <w:pPr>
        <w:jc w:val="both"/>
        <w:ind w:right="40"/>
        <w:spacing w:after="0" w:line="254" w:lineRule="auto"/>
        <w:rPr>
          <w:sz w:val="20"/>
          <w:szCs w:val="20"/>
          <w:color w:val="auto"/>
        </w:rPr>
      </w:pPr>
      <w:r>
        <w:rPr>
          <w:rFonts w:ascii="Arial" w:cs="Arial" w:eastAsia="Arial" w:hAnsi="Arial"/>
          <w:sz w:val="14"/>
          <w:szCs w:val="14"/>
          <w:color w:val="auto"/>
        </w:rPr>
        <w:t>We will pay for the cost of preparing, assembling, printing, mailing and distributing these proxy materials. Our directors, officers and certain employees of NRG may solicit proxies or votes in person, by telephone, or by electronic communication.</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Such individuals will not receive any additional compensation for these solicitation activities. We have retained MacKenzie Partners, Inc. to assist us in soliciting your proxy for an estimated fee of $15,000, plus reasonable out-of-pocket expenses. We will also reimburse brokerage houses and other custodians, nominees, and fiduciaries for their reasonable out-of-pocket expenses for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QUESTIONS AND ANSWERS </w:t>
      </w:r>
      <w:r>
        <w:rPr>
          <w:rFonts w:ascii="Arial" w:cs="Arial" w:eastAsia="Arial" w:hAnsi="Arial"/>
          <w:sz w:val="12"/>
          <w:szCs w:val="12"/>
          <w:b w:val="1"/>
          <w:bCs w:val="1"/>
          <w:color w:val="58844D"/>
        </w:rPr>
        <w:t>56</w:t>
      </w:r>
    </w:p>
    <w:p>
      <w:pPr>
        <w:spacing w:after="0" w:line="376" w:lineRule="exact"/>
        <w:rPr>
          <w:sz w:val="20"/>
          <w:szCs w:val="20"/>
          <w:color w:val="auto"/>
        </w:rPr>
      </w:pPr>
    </w:p>
    <w:p>
      <w:pPr>
        <w:ind w:right="200"/>
        <w:spacing w:after="0" w:line="245" w:lineRule="auto"/>
        <w:rPr>
          <w:sz w:val="20"/>
          <w:szCs w:val="20"/>
          <w:color w:val="auto"/>
        </w:rPr>
      </w:pPr>
      <w:r>
        <w:rPr>
          <w:rFonts w:ascii="Arial" w:cs="Arial" w:eastAsia="Arial" w:hAnsi="Arial"/>
          <w:sz w:val="15"/>
          <w:szCs w:val="15"/>
          <w:color w:val="auto"/>
        </w:rPr>
        <w:t>forwarding proxy and any other solicitation materials to beneficial owners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58844D"/>
        </w:rPr>
        <w:t>Who is the Company's Transfer Agent?</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 xml:space="preserve">Our transfer agent is Computershare. All communications concerning stockholder inquiries can be handled by contacting NRG Yield, Inc. c/o Computershare, Computershare Investor Services, by regular mail to P.O. Box 505000, Louisville, KY 40233-5000, by overnight delivery to 462 South 4th Street, Suite 1600, Louisville, KY 40202, or by telephone at 1-877-498-8861, or 1-781-575-2725 (outside the U.S. and Canada), or 1-800-952-9245 (Hearing Impaired-TTY). Their website is </w:t>
      </w:r>
      <w:r>
        <w:rPr>
          <w:rFonts w:ascii="Arial" w:cs="Arial" w:eastAsia="Arial" w:hAnsi="Arial"/>
          <w:sz w:val="14"/>
          <w:szCs w:val="14"/>
          <w:i w:val="1"/>
          <w:iCs w:val="1"/>
          <w:color w:val="auto"/>
        </w:rPr>
        <w:t>http://www.computershare.com</w:t>
      </w:r>
      <w:r>
        <w:rPr>
          <w:rFonts w:ascii="Arial" w:cs="Arial" w:eastAsia="Arial" w:hAnsi="Arial"/>
          <w:sz w:val="14"/>
          <w:szCs w:val="14"/>
          <w:color w:val="auto"/>
        </w:rPr>
        <w:t>. Certificates for transfer and address changes should be sent either by regular mail to Computershare,</w:t>
      </w:r>
    </w:p>
    <w:p>
      <w:pPr>
        <w:spacing w:after="0" w:line="5" w:lineRule="exact"/>
        <w:rPr>
          <w:sz w:val="20"/>
          <w:szCs w:val="20"/>
          <w:color w:val="auto"/>
        </w:rPr>
      </w:pPr>
    </w:p>
    <w:p>
      <w:pPr>
        <w:ind w:right="660"/>
        <w:spacing w:after="0" w:line="280" w:lineRule="auto"/>
        <w:rPr>
          <w:sz w:val="20"/>
          <w:szCs w:val="20"/>
          <w:color w:val="auto"/>
        </w:rPr>
      </w:pPr>
      <w:r>
        <w:rPr>
          <w:rFonts w:ascii="Arial" w:cs="Arial" w:eastAsia="Arial" w:hAnsi="Arial"/>
          <w:sz w:val="14"/>
          <w:szCs w:val="14"/>
          <w:color w:val="auto"/>
        </w:rPr>
        <w:t>P.O. Box 505000, Louisville, KY 40233-5000 or by overnight delivery to Computershare, 462 South 4th Street, Suite 1600, Louisville, KY 40202.</w:t>
      </w:r>
    </w:p>
    <w:p>
      <w:pPr>
        <w:spacing w:after="0" w:line="141"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58844D"/>
        </w:rPr>
        <w:t>Why Did I Receive a One-Page Notice In the Mail Regarding the Internet Availability of Proxy Materials Instead of a Full Set of Proxy Materials?</w:t>
      </w:r>
    </w:p>
    <w:p>
      <w:pPr>
        <w:spacing w:after="0" w:line="175"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58844D"/>
        </w:rPr>
        <w:t>Where Can I Find Directions To the Annual Meeting?</w:t>
      </w:r>
    </w:p>
    <w:p>
      <w:pPr>
        <w:spacing w:after="0" w:line="189"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 xml:space="preserve">Directions to the Annual Meeting can be found at the Hyatt Regency Princeton's website at </w:t>
      </w:r>
      <w:r>
        <w:rPr>
          <w:rFonts w:ascii="Arial" w:cs="Arial" w:eastAsia="Arial" w:hAnsi="Arial"/>
          <w:sz w:val="15"/>
          <w:szCs w:val="15"/>
          <w:i w:val="1"/>
          <w:iCs w:val="1"/>
          <w:color w:val="auto"/>
        </w:rPr>
        <w:t>http://www.princeton.regency.hyatt.com/en/hotel/our-hotel/map-and-directions.html.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58844D"/>
        </w:rPr>
        <w:t>What is "Householding"?</w:t>
      </w:r>
    </w:p>
    <w:p>
      <w:pPr>
        <w:spacing w:after="0" w:line="18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158750</wp:posOffset>
            </wp:positionV>
            <wp:extent cx="7273290"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80" w:space="680"/>
            <w:col w:w="5380"/>
          </w:cols>
          <w:pgMar w:left="240" w:top="142" w:right="21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 xml:space="preserve">Department, 51 Mercedes Way, Edgewood, New York 11717, or by e-mail at </w:t>
      </w:r>
      <w:r>
        <w:rPr>
          <w:rFonts w:ascii="Arial" w:cs="Arial" w:eastAsia="Arial" w:hAnsi="Arial"/>
          <w:sz w:val="15"/>
          <w:szCs w:val="15"/>
          <w:i w:val="1"/>
          <w:iCs w:val="1"/>
          <w:color w:val="auto"/>
        </w:rPr>
        <w:t>sendmaterial@proxyvote.com</w:t>
      </w:r>
      <w:r>
        <w:rPr>
          <w:rFonts w:ascii="Arial" w:cs="Arial" w:eastAsia="Arial" w:hAnsi="Arial"/>
          <w:sz w:val="15"/>
          <w:szCs w:val="15"/>
          <w:color w:val="auto"/>
        </w:rPr>
        <w:t>. Stockholders who are receiving individual copies</w:t>
      </w:r>
      <w:r>
        <w:rPr>
          <w:rFonts w:ascii="Arial" w:cs="Arial" w:eastAsia="Arial" w:hAnsi="Arial"/>
          <w:sz w:val="15"/>
          <w:szCs w:val="15"/>
          <w:i w:val="1"/>
          <w:iCs w:val="1"/>
          <w:color w:val="auto"/>
        </w:rPr>
        <w:t xml:space="preserve"> </w:t>
      </w:r>
      <w:r>
        <w:rPr>
          <w:rFonts w:ascii="Arial" w:cs="Arial" w:eastAsia="Arial" w:hAnsi="Arial"/>
          <w:sz w:val="15"/>
          <w:szCs w:val="15"/>
          <w:color w:val="auto"/>
        </w:rPr>
        <w:t>of such materials, and who would like to receive single copies at a shared address, may contact Broadridge Financial Solutions, Inc. with this request by using the contact information provided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58844D"/>
        </w:rPr>
        <w:t>How Can I Request Additional Materials?</w:t>
      </w:r>
    </w:p>
    <w:p>
      <w:pPr>
        <w:spacing w:after="0" w:line="189"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15"/>
          <w:szCs w:val="15"/>
          <w:i w:val="1"/>
          <w:iCs w:val="1"/>
          <w:color w:val="auto"/>
        </w:rPr>
        <w:t>sendmaterial@proxyvote.com</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58844D"/>
        </w:rPr>
        <w:t xml:space="preserve">QUESTIONS AND ANSWERS </w:t>
      </w:r>
      <w:r>
        <w:rPr>
          <w:rFonts w:ascii="Arial" w:cs="Arial" w:eastAsia="Arial" w:hAnsi="Arial"/>
          <w:sz w:val="12"/>
          <w:szCs w:val="12"/>
          <w:b w:val="1"/>
          <w:bCs w:val="1"/>
          <w:color w:val="58844D"/>
        </w:rPr>
        <w:t>57</w:t>
      </w:r>
    </w:p>
    <w:p>
      <w:pPr>
        <w:spacing w:after="0" w:line="368" w:lineRule="exact"/>
        <w:rPr>
          <w:sz w:val="20"/>
          <w:szCs w:val="20"/>
          <w:color w:val="auto"/>
        </w:rPr>
      </w:pPr>
    </w:p>
    <w:p>
      <w:pPr>
        <w:ind w:right="720"/>
        <w:spacing w:after="0" w:line="251" w:lineRule="auto"/>
        <w:rPr>
          <w:sz w:val="20"/>
          <w:szCs w:val="20"/>
          <w:color w:val="auto"/>
        </w:rPr>
      </w:pPr>
      <w:r>
        <w:rPr>
          <w:rFonts w:ascii="Arial" w:cs="Arial" w:eastAsia="Arial" w:hAnsi="Arial"/>
          <w:sz w:val="18"/>
          <w:szCs w:val="18"/>
          <w:color w:val="58844D"/>
        </w:rPr>
        <w:t>Whom Should I Call If I Have Questions About the Annual Meeting?</w:t>
      </w:r>
    </w:p>
    <w:p>
      <w:pPr>
        <w:spacing w:after="0" w:line="168" w:lineRule="exact"/>
        <w:rPr>
          <w:sz w:val="20"/>
          <w:szCs w:val="20"/>
          <w:color w:val="auto"/>
        </w:rPr>
      </w:pPr>
    </w:p>
    <w:p>
      <w:pPr>
        <w:ind w:right="200"/>
        <w:spacing w:after="0" w:line="245" w:lineRule="auto"/>
        <w:rPr>
          <w:sz w:val="20"/>
          <w:szCs w:val="20"/>
          <w:color w:val="auto"/>
        </w:rPr>
      </w:pPr>
      <w:r>
        <w:rPr>
          <w:rFonts w:ascii="Arial" w:cs="Arial" w:eastAsia="Arial" w:hAnsi="Arial"/>
          <w:sz w:val="15"/>
          <w:szCs w:val="15"/>
          <w:color w:val="auto"/>
        </w:rPr>
        <w:t>If you have any questions or need any assistance in voting your shares, please contact our proxy solicitor: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MacKenzie Partners, Inc.</w:t>
      </w:r>
    </w:p>
    <w:p>
      <w:pPr>
        <w:jc w:val="center"/>
        <w:spacing w:after="0" w:line="237" w:lineRule="auto"/>
        <w:rPr>
          <w:sz w:val="20"/>
          <w:szCs w:val="20"/>
          <w:color w:val="auto"/>
        </w:rPr>
      </w:pPr>
      <w:r>
        <w:rPr>
          <w:rFonts w:ascii="Arial" w:cs="Arial" w:eastAsia="Arial" w:hAnsi="Arial"/>
          <w:sz w:val="15"/>
          <w:szCs w:val="15"/>
          <w:color w:val="auto"/>
        </w:rPr>
        <w:t>105 Madison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 NY 10016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Toll Free: (800) 322-2885</w:t>
      </w:r>
    </w:p>
    <w:p>
      <w:pPr>
        <w:jc w:val="center"/>
        <w:spacing w:after="0" w:line="237" w:lineRule="auto"/>
        <w:rPr>
          <w:sz w:val="20"/>
          <w:szCs w:val="20"/>
          <w:color w:val="auto"/>
        </w:rPr>
      </w:pPr>
      <w:r>
        <w:rPr>
          <w:rFonts w:ascii="Arial" w:cs="Arial" w:eastAsia="Arial" w:hAnsi="Arial"/>
          <w:sz w:val="15"/>
          <w:szCs w:val="15"/>
          <w:color w:val="auto"/>
        </w:rPr>
        <w:t>Collect: (212) 929-5500</w:t>
      </w:r>
    </w:p>
    <w:p>
      <w:pPr>
        <w:jc w:val="center"/>
        <w:spacing w:after="0"/>
        <w:rPr>
          <w:sz w:val="20"/>
          <w:szCs w:val="20"/>
          <w:color w:val="auto"/>
        </w:rPr>
      </w:pPr>
      <w:r>
        <w:rPr>
          <w:rFonts w:ascii="Arial" w:cs="Arial" w:eastAsia="Arial" w:hAnsi="Arial"/>
          <w:sz w:val="15"/>
          <w:szCs w:val="15"/>
          <w:color w:val="auto"/>
        </w:rPr>
        <w:t>Fax: (212) 929-0308</w:t>
      </w:r>
    </w:p>
    <w:p>
      <w:pPr>
        <w:jc w:val="center"/>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color w:val="auto"/>
        </w:rPr>
        <w:t>proxy@mackenziepartners.com</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168275</wp:posOffset>
            </wp:positionV>
            <wp:extent cx="7273290" cy="19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0" w:space="720"/>
            <w:col w:w="5380"/>
          </w:cols>
          <w:pgMar w:left="240" w:top="142" w:right="21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6840855" cy="21501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40855" cy="21501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ind w:right="1100"/>
        <w:spacing w:after="0"/>
        <w:rPr>
          <w:sz w:val="20"/>
          <w:szCs w:val="20"/>
          <w:color w:val="auto"/>
        </w:rPr>
      </w:pPr>
      <w:r>
        <w:rPr>
          <w:rFonts w:ascii="Arial" w:cs="Arial" w:eastAsia="Arial" w:hAnsi="Arial"/>
          <w:sz w:val="12"/>
          <w:szCs w:val="12"/>
          <w:color w:val="FFFFFE"/>
        </w:rPr>
        <w:t xml:space="preserve">REQUIREMENTS FOR SUBMISSION OF STOCKHOLDER PROPOSALS FOR THE 2019 ANNUAL MEETING OF STOCKHOLDERS </w:t>
      </w:r>
      <w:r>
        <w:rPr>
          <w:rFonts w:ascii="Arial" w:cs="Arial" w:eastAsia="Arial" w:hAnsi="Arial"/>
          <w:sz w:val="12"/>
          <w:szCs w:val="12"/>
          <w:b w:val="1"/>
          <w:bCs w:val="1"/>
          <w:color w:val="FFFFFE"/>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00" w:right="3140"/>
        <w:spacing w:after="0" w:line="252" w:lineRule="auto"/>
        <w:rPr>
          <w:sz w:val="20"/>
          <w:szCs w:val="20"/>
          <w:color w:val="auto"/>
        </w:rPr>
      </w:pPr>
      <w:r>
        <w:rPr>
          <w:rFonts w:ascii="Arial" w:cs="Arial" w:eastAsia="Arial" w:hAnsi="Arial"/>
          <w:sz w:val="36"/>
          <w:szCs w:val="36"/>
          <w:color w:val="FFFFFE"/>
        </w:rPr>
        <w:t>Requirements for Submission of Stockholder Proposals for the 2019 Annual Meeting of Stockholders</w:t>
      </w:r>
    </w:p>
    <w:p>
      <w:pPr>
        <w:sectPr>
          <w:pgSz w:w="11900" w:h="16838" w:orient="portrait"/>
          <w:cols w:equalWidth="0" w:num="1">
            <w:col w:w="11440"/>
          </w:cols>
          <w:pgMar w:left="240" w:top="142" w:right="21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right="520"/>
        <w:spacing w:after="0" w:line="251" w:lineRule="auto"/>
        <w:rPr>
          <w:sz w:val="20"/>
          <w:szCs w:val="20"/>
          <w:color w:val="auto"/>
        </w:rPr>
      </w:pPr>
      <w:r>
        <w:rPr>
          <w:rFonts w:ascii="Arial" w:cs="Arial" w:eastAsia="Arial" w:hAnsi="Arial"/>
          <w:sz w:val="18"/>
          <w:szCs w:val="18"/>
          <w:color w:val="58844D"/>
        </w:rPr>
        <w:t>Stockholder Proposals for Inclusion in the Company's Proxy Statement for the 2019 Annual Meeting of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DEADLINE</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In order for a stockholder proposal to be considered for inclusion in our proxy statement for the 2019 Annual Meeting, our Corporate Secretary must receive the proposal no later than the close of business on November 15, 2018, which is the 120th day prior to the first anniversary of the date on which this Proxy Statement was first released to our stockholders in connection with the 2018 Annual Meeting. If we change the date of the 2019 Annual Meeting by more than 30 days from the anniversary of this year's Annual Meeting, stockholder proposals must be received a reasonable time before we begin to print and mail the proxy materials for the 2019 Annual Meeting in order to be considered for inclusion in our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58844D"/>
        </w:rPr>
        <w:t>METHOD OF SUBMITTING PROPOSALS</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Proposals must be sent via registered, certified, or express mail (or other means that allows the stockholder to determine when the proposal was received by the Corporate Secretary) to the Corporate Secretary, NRG Yield, Inc., 804 Carnegie Center,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both"/>
        <w:ind w:left="3" w:right="220"/>
        <w:spacing w:after="0" w:line="244" w:lineRule="auto"/>
        <w:rPr>
          <w:sz w:val="20"/>
          <w:szCs w:val="20"/>
          <w:color w:val="auto"/>
        </w:rPr>
      </w:pPr>
      <w:r>
        <w:rPr>
          <w:rFonts w:ascii="Arial" w:cs="Arial" w:eastAsia="Arial" w:hAnsi="Arial"/>
          <w:sz w:val="18"/>
          <w:szCs w:val="18"/>
          <w:color w:val="58844D"/>
        </w:rPr>
        <w:t>Stockholder Proposals or Stockholder Nomination of Director to be Brought at the 2019 Annual Meeting (Without Inclusion in the Company's Proxy Statement)</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5"/>
          <w:szCs w:val="15"/>
          <w:color w:val="auto"/>
        </w:rPr>
        <w:t>Alternatively, stockholders intending to present a proposal or nominate a director for election at the 2019 Annual Meeting without having the proposal or nomination included in our proxy statement must comply with the requirements set forth in our Bylaws and summarized below.</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DEADLINE</w:t>
      </w:r>
    </w:p>
    <w:p>
      <w:pPr>
        <w:spacing w:after="0" w:line="199" w:lineRule="exact"/>
        <w:rPr>
          <w:sz w:val="20"/>
          <w:szCs w:val="20"/>
          <w:color w:val="auto"/>
        </w:rPr>
      </w:pPr>
    </w:p>
    <w:p>
      <w:pPr>
        <w:ind w:left="3" w:right="40"/>
        <w:spacing w:after="0" w:line="237" w:lineRule="auto"/>
        <w:rPr>
          <w:sz w:val="20"/>
          <w:szCs w:val="20"/>
          <w:color w:val="auto"/>
        </w:rPr>
      </w:pPr>
      <w:r>
        <w:rPr>
          <w:rFonts w:ascii="Arial" w:cs="Arial" w:eastAsia="Arial" w:hAnsi="Arial"/>
          <w:sz w:val="15"/>
          <w:szCs w:val="15"/>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2019 Annual Meeting is more than 30 days before or more than 70 days after such anniversary date. For our 2019 Annual Meeting, our Corporate Secretary must receive the proposal or nomination no earlier than December 24, 2018 and no later than the close of business on January 24, 2019, unless the 2019 Annual Meeting is held earlier than March 25, 2019 or later than July 3, 2019, in which case the proposal or nomination should be received no earlier than the close of business on the 120th day prior to such annual meeting and not later than the close of business on the later of (a) the 90th day prior to the date of the 2019 Annual Meeting or</w:t>
      </w:r>
    </w:p>
    <w:p>
      <w:pPr>
        <w:spacing w:after="0" w:line="8" w:lineRule="exact"/>
        <w:rPr>
          <w:sz w:val="20"/>
          <w:szCs w:val="20"/>
          <w:color w:val="auto"/>
        </w:rPr>
      </w:pPr>
    </w:p>
    <w:p>
      <w:pPr>
        <w:ind w:left="3" w:right="140" w:hanging="3"/>
        <w:spacing w:after="0" w:line="245" w:lineRule="auto"/>
        <w:tabs>
          <w:tab w:leader="none" w:pos="225"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10th day following the day on which the date of the 2019 Annual Meeting is first publicly announced by the Company.</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58844D"/>
        </w:rPr>
        <w:t>INFORMATION REQUIRED</w:t>
      </w:r>
    </w:p>
    <w:p>
      <w:pPr>
        <w:spacing w:after="0" w:line="199" w:lineRule="exact"/>
        <w:rPr>
          <w:sz w:val="20"/>
          <w:szCs w:val="20"/>
          <w:color w:val="auto"/>
        </w:rPr>
      </w:pPr>
    </w:p>
    <w:p>
      <w:pPr>
        <w:ind w:left="3" w:right="60"/>
        <w:spacing w:after="0" w:line="239" w:lineRule="auto"/>
        <w:rPr>
          <w:sz w:val="20"/>
          <w:szCs w:val="20"/>
          <w:color w:val="auto"/>
        </w:rPr>
      </w:pPr>
      <w:r>
        <w:rPr>
          <w:rFonts w:ascii="Arial" w:cs="Arial" w:eastAsia="Arial" w:hAnsi="Arial"/>
          <w:sz w:val="15"/>
          <w:szCs w:val="15"/>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166370</wp:posOffset>
            </wp:positionV>
            <wp:extent cx="7273290"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2">
            <w:col w:w="5340" w:space="717"/>
            <w:col w:w="5383"/>
          </w:cols>
          <w:pgMar w:left="240" w:top="142" w:right="219" w:bottom="1440" w:gutter="0" w:footer="0" w:header="0"/>
          <w:type w:val="continuous"/>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400050</wp:posOffset>
            </wp:positionH>
            <wp:positionV relativeFrom="page">
              <wp:posOffset>212090</wp:posOffset>
            </wp:positionV>
            <wp:extent cx="6768465" cy="87445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768465" cy="8744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400050</wp:posOffset>
            </wp:positionH>
            <wp:positionV relativeFrom="page">
              <wp:posOffset>88900</wp:posOffset>
            </wp:positionV>
            <wp:extent cx="6768465" cy="8737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6768465" cy="87376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lvl w:ilvl="1">
      <w:lvlJc w:val="left"/>
      <w:lvlText w:val="(%2)"/>
      <w:numFmt w:val="decimal"/>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lowerLetter"/>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bullet"/>
      <w:start w:val="1"/>
    </w:lvl>
  </w:abstractNum>
  <w:abstractNum w:abstractNumId="25">
    <w:nsid w:val="38437FDB"/>
    <w:multiLevelType w:val="hybridMultilevel"/>
    <w:lvl w:ilvl="0">
      <w:lvlJc w:val="left"/>
      <w:lvlText w:val="2"/>
      <w:numFmt w:val="bullet"/>
      <w:start w:val="1"/>
    </w:lvl>
  </w:abstractNum>
  <w:abstractNum w:abstractNumId="26">
    <w:nsid w:val="7644A45C"/>
    <w:multiLevelType w:val="hybridMultilevel"/>
    <w:lvl w:ilvl="0">
      <w:lvlJc w:val="left"/>
      <w:lvlText w:val="5"/>
      <w:numFmt w:val="bullet"/>
      <w:start w:val="1"/>
    </w:lvl>
  </w:abstractNum>
  <w:abstractNum w:abstractNumId="27">
    <w:nsid w:val="32FFF902"/>
    <w:multiLevelType w:val="hybridMultilevel"/>
    <w:lvl w:ilvl="0">
      <w:lvlJc w:val="left"/>
      <w:lvlText w:val="2"/>
      <w:numFmt w:val="bullet"/>
      <w:start w:val="1"/>
    </w:lvl>
  </w:abstractNum>
  <w:abstractNum w:abstractNumId="28">
    <w:nsid w:val="684A481A"/>
    <w:multiLevelType w:val="hybridMultilevel"/>
    <w:lvl w:ilvl="0">
      <w:lvlJc w:val="left"/>
      <w:lvlText w:val="6"/>
      <w:numFmt w:val="bullet"/>
      <w:start w:val="1"/>
    </w:lvl>
  </w:abstractNum>
  <w:abstractNum w:abstractNumId="29">
    <w:nsid w:val="579478FE"/>
    <w:multiLevelType w:val="hybridMultilevel"/>
    <w:lvl w:ilvl="0">
      <w:lvlJc w:val="left"/>
      <w:lvlText w:val="7"/>
      <w:numFmt w:val="bullet"/>
      <w:start w:val="1"/>
    </w:lvl>
  </w:abstractNum>
  <w:abstractNum w:abstractNumId="30">
    <w:nsid w:val="749ABB43"/>
    <w:multiLevelType w:val="hybridMultilevel"/>
    <w:lvl w:ilvl="0">
      <w:lvlJc w:val="left"/>
      <w:lvlText w:val="8"/>
      <w:numFmt w:val="bullet"/>
      <w:start w:val="1"/>
    </w:lvl>
  </w:abstractNum>
  <w:abstractNum w:abstractNumId="31">
    <w:nsid w:val="3DC240FB"/>
    <w:multiLevelType w:val="hybridMultilevel"/>
    <w:lvl w:ilvl="0">
      <w:lvlJc w:val="left"/>
      <w:lvlText w:val="9"/>
      <w:numFmt w:val="bullet"/>
      <w:start w:val="1"/>
    </w:lvl>
  </w:abstractNum>
  <w:abstractNum w:abstractNumId="32">
    <w:nsid w:val="1BA026FA"/>
    <w:multiLevelType w:val="hybridMultilevel"/>
    <w:lvl w:ilvl="0">
      <w:lvlJc w:val="left"/>
      <w:lvlText w:val="%1"/>
      <w:numFmt w:val="decimal"/>
      <w:start w:val="10"/>
    </w:lvl>
  </w:abstractNum>
  <w:abstractNum w:abstractNumId="33">
    <w:nsid w:val="79A1DEAA"/>
    <w:multiLevelType w:val="hybridMultilevel"/>
    <w:lvl w:ilvl="0">
      <w:lvlJc w:val="left"/>
      <w:lvlText w:val="2"/>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a"/>
      <w:numFmt w:val="bullet"/>
      <w:start w:val="1"/>
    </w:lvl>
  </w:abstractNum>
  <w:abstractNum w:abstractNumId="38">
    <w:nsid w:val="374A3FE6"/>
    <w:multiLevelType w:val="hybridMultilevel"/>
    <w:lvl w:ilvl="0">
      <w:lvlJc w:val="left"/>
      <w:lvlText w:val="1"/>
      <w:numFmt w:val="bullet"/>
      <w:start w:val="1"/>
    </w:lvl>
  </w:abstractNum>
  <w:abstractNum w:abstractNumId="39">
    <w:nsid w:val="4F4EF005"/>
    <w:multiLevelType w:val="hybridMultilevel"/>
    <w:lvl w:ilvl="0">
      <w:lvlJc w:val="left"/>
      <w:lvlText w:val="(%1)"/>
      <w:numFmt w:val="lowerRoman"/>
      <w:start w:val="3"/>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lowerLetter"/>
      <w:start w:val="5"/>
    </w:lvl>
  </w:abstractNum>
  <w:abstractNum w:abstractNumId="45">
    <w:nsid w:val="180115BE"/>
    <w:multiLevelType w:val="hybridMultilevel"/>
    <w:lvl w:ilvl="0">
      <w:lvlJc w:val="left"/>
      <w:lvlText w:val="(%1)"/>
      <w:numFmt w:val="lowerRoman"/>
      <w:start w:val="2"/>
    </w:lvl>
    <w:lvl w:ilvl="1">
      <w:lvlJc w:val="left"/>
      <w:lvlText w:val="✓"/>
      <w:numFmt w:val="bullet"/>
      <w:start w:val="1"/>
    </w:lvl>
  </w:abstractNum>
  <w:abstractNum w:abstractNumId="46">
    <w:nsid w:val="235BA861"/>
    <w:multiLevelType w:val="hybridMultilevel"/>
    <w:lvl w:ilvl="0">
      <w:lvlJc w:val="left"/>
      <w:lvlText w:val="(%1)"/>
      <w:numFmt w:val="lowerRoman"/>
      <w:start w:val="3"/>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1"/>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lvl w:ilvl="1">
      <w:lvlJc w:val="left"/>
      <w:lvlText w:val="1"/>
      <w:numFmt w:val="bullet"/>
      <w:start w:val="1"/>
    </w:lvl>
  </w:abstractNum>
  <w:abstractNum w:abstractNumId="54">
    <w:nsid w:val="61574095"/>
    <w:multiLevelType w:val="hybridMultilevel"/>
    <w:lvl w:ilvl="0">
      <w:lvlJc w:val="left"/>
      <w:lvlText w:val="1"/>
      <w:numFmt w:val="bullet"/>
      <w:start w:val="1"/>
    </w:lvl>
  </w:abstractNum>
  <w:abstractNum w:abstractNumId="55">
    <w:nsid w:val="7E0C57B1"/>
    <w:multiLevelType w:val="hybridMultilevel"/>
    <w:lvl w:ilvl="0">
      <w:lvlJc w:val="left"/>
      <w:lvlText w:val="1"/>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decimal"/>
      <w:start w:val="77"/>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3"/>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2019-12-08T05:53:19Z</dcterms:created>
  <dcterms:modified xsi:type="dcterms:W3CDTF">2019-12-08T05:53:19Z</dcterms:modified>
</cp:coreProperties>
</file>