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9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Clearway Energy, Inc.</w:t>
      </w:r>
    </w:p>
    <w:p>
      <w:pPr>
        <w:spacing w:after="0" w:line="201"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December 31, 2020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700" w:right="6659" w:hanging="7"/>
        <w:spacing w:after="0" w:line="279" w:lineRule="auto"/>
        <w:tabs>
          <w:tab w:leader="none" w:pos="21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ind w:right="26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7"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The Bank of New York Mellon Corporation</w:t>
      </w:r>
    </w:p>
    <w:p>
      <w:pPr>
        <w:spacing w:after="0" w:line="16" w:lineRule="exact"/>
        <w:rPr>
          <w:sz w:val="24"/>
          <w:szCs w:val="24"/>
          <w:color w:val="auto"/>
        </w:rPr>
      </w:pPr>
    </w:p>
    <w:p>
      <w:pPr>
        <w:jc w:val="right"/>
        <w:ind w:right="2239"/>
        <w:spacing w:after="0"/>
        <w:tabs>
          <w:tab w:leader="none" w:pos="1760" w:val="left"/>
        </w:tabs>
        <w:rPr>
          <w:sz w:val="20"/>
          <w:szCs w:val="20"/>
          <w:color w:val="auto"/>
        </w:rPr>
      </w:pPr>
      <w:r>
        <w:rPr>
          <w:rFonts w:ascii="Courier New" w:cs="Courier New" w:eastAsia="Courier New" w:hAnsi="Courier New"/>
          <w:sz w:val="18"/>
          <w:szCs w:val="18"/>
          <w:color w:val="auto"/>
        </w:rPr>
        <w:t>IRS Identification Nos. of Above Persons</w:t>
      </w:r>
      <w:r>
        <w:rPr>
          <w:sz w:val="20"/>
          <w:szCs w:val="20"/>
          <w:color w:val="auto"/>
        </w:rPr>
        <w:tab/>
      </w:r>
      <w:r>
        <w:rPr>
          <w:rFonts w:ascii="Courier New" w:cs="Courier New" w:eastAsia="Courier New" w:hAnsi="Courier New"/>
          <w:sz w:val="16"/>
          <w:szCs w:val="16"/>
          <w:color w:val="auto"/>
        </w:rPr>
        <w:t>IRS No.13-2614959</w:t>
      </w:r>
    </w:p>
    <w:p>
      <w:pPr>
        <w:spacing w:after="0" w:line="207"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6,028,241</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6,124,483</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142,889</w:t>
            </w:r>
          </w:p>
        </w:tc>
      </w:tr>
    </w:tbl>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6,267,448</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7.68%</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ectPr>
          <w:pgSz w:w="11900" w:h="16848" w:orient="portrait"/>
          <w:cols w:equalWidth="0" w:num="1">
            <w:col w:w="10139"/>
          </w:cols>
          <w:pgMar w:left="320" w:top="244" w:right="1440" w:bottom="0" w:gutter="0" w:footer="0" w:header="0"/>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4"/>
          <w:szCs w:val="24"/>
          <w:color w:val="auto"/>
        </w:rPr>
      </w:pPr>
    </w:p>
    <w:p>
      <w:pPr>
        <w:sectPr>
          <w:pgSz w:w="11900" w:h="16848" w:orient="portrait"/>
          <w:cols w:equalWidth="0" w:num="2">
            <w:col w:w="1380" w:space="320"/>
            <w:col w:w="8439"/>
          </w:cols>
          <w:pgMar w:left="320" w:top="244" w:right="1440" w:bottom="0" w:gutter="0" w:footer="0" w:header="0"/>
          <w:type w:val="continuous"/>
        </w:sectPr>
      </w:pPr>
    </w:p>
    <w:p>
      <w:pPr>
        <w:spacing w:after="0" w:line="18"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right"/>
        <w:ind w:right="2239"/>
        <w:spacing w:after="0"/>
        <w:rPr>
          <w:sz w:val="20"/>
          <w:szCs w:val="20"/>
          <w:color w:val="auto"/>
        </w:rPr>
      </w:pPr>
      <w:r>
        <w:rPr>
          <w:rFonts w:ascii="Courier New" w:cs="Courier New" w:eastAsia="Courier New" w:hAnsi="Courier New"/>
          <w:sz w:val="16"/>
          <w:szCs w:val="16"/>
          <w:color w:val="auto"/>
        </w:rPr>
        <w:t>BNY Mellon IHC, LLC</w:t>
      </w:r>
    </w:p>
    <w:p>
      <w:pPr>
        <w:spacing w:after="0" w:line="16" w:lineRule="exact"/>
        <w:rPr>
          <w:sz w:val="24"/>
          <w:szCs w:val="24"/>
          <w:color w:val="auto"/>
        </w:rPr>
      </w:pPr>
    </w:p>
    <w:p>
      <w:pPr>
        <w:jc w:val="right"/>
        <w:ind w:right="2239"/>
        <w:spacing w:after="0"/>
        <w:rPr>
          <w:sz w:val="20"/>
          <w:szCs w:val="20"/>
          <w:color w:val="auto"/>
        </w:rPr>
      </w:pPr>
      <w:r>
        <w:rPr>
          <w:rFonts w:ascii="Courier New" w:cs="Courier New" w:eastAsia="Courier New" w:hAnsi="Courier New"/>
          <w:sz w:val="18"/>
          <w:szCs w:val="18"/>
          <w:color w:val="auto"/>
        </w:rPr>
        <w:t>IRS No.82-2121983</w:t>
      </w:r>
    </w:p>
    <w:p>
      <w:pPr>
        <w:spacing w:after="0" w:line="200" w:lineRule="exact"/>
        <w:rPr>
          <w:sz w:val="24"/>
          <w:szCs w:val="24"/>
          <w:color w:val="auto"/>
        </w:rPr>
      </w:pPr>
    </w:p>
    <w:p>
      <w:pPr>
        <w:sectPr>
          <w:pgSz w:w="11900" w:h="16848" w:orient="portrait"/>
          <w:cols w:equalWidth="0" w:num="2">
            <w:col w:w="5180" w:space="720"/>
            <w:col w:w="4239"/>
          </w:cols>
          <w:pgMar w:left="320" w:top="244" w:right="1440" w:bottom="0" w:gutter="0" w:footer="0" w:header="0"/>
          <w:type w:val="continuous"/>
        </w:sectPr>
      </w:pPr>
    </w:p>
    <w:p>
      <w:pPr>
        <w:spacing w:after="0" w:line="7" w:lineRule="exact"/>
        <w:rPr>
          <w:sz w:val="24"/>
          <w:szCs w:val="24"/>
          <w:color w:val="auto"/>
        </w:rPr>
      </w:pPr>
    </w:p>
    <w:p>
      <w:pPr>
        <w:ind w:left="860" w:hanging="852"/>
        <w:spacing w:after="0"/>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80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Citizenship or Place of Organization</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5,435,432</w:t>
            </w:r>
          </w:p>
        </w:tc>
      </w:tr>
      <w:tr>
        <w:trPr>
          <w:trHeight w:val="202"/>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2"/>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48" w:orient="portrait"/>
          <w:cols w:equalWidth="0" w:num="1">
            <w:col w:w="10139"/>
          </w:cols>
          <w:pgMar w:left="32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5,535,285</w:t>
            </w:r>
          </w:p>
        </w:tc>
      </w:tr>
      <w:tr>
        <w:trPr>
          <w:trHeight w:val="405"/>
        </w:trPr>
        <w:tc>
          <w:tcPr>
            <w:tcW w:w="25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135,394</w:t>
            </w:r>
          </w:p>
        </w:tc>
      </w:tr>
    </w:tbl>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5,670,679</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6.95%</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ectPr>
          <w:pgSz w:w="11900" w:h="16838" w:orient="portrait"/>
          <w:cols w:equalWidth="0" w:num="1">
            <w:col w:w="10139"/>
          </w:cols>
          <w:pgMar w:left="320" w:top="136" w:right="1440" w:bottom="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380" w:space="320"/>
            <w:col w:w="8439"/>
          </w:cols>
          <w:pgMar w:left="320" w:top="136" w:right="1440" w:bottom="0" w:gutter="0" w:footer="0" w:header="0"/>
          <w:type w:val="continuous"/>
        </w:sectPr>
      </w:pPr>
    </w:p>
    <w:p>
      <w:pPr>
        <w:spacing w:after="0" w:line="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239"/>
        <w:spacing w:after="0"/>
        <w:rPr>
          <w:sz w:val="20"/>
          <w:szCs w:val="20"/>
          <w:color w:val="auto"/>
        </w:rPr>
      </w:pPr>
      <w:r>
        <w:rPr>
          <w:rFonts w:ascii="Courier New" w:cs="Courier New" w:eastAsia="Courier New" w:hAnsi="Courier New"/>
          <w:sz w:val="16"/>
          <w:szCs w:val="16"/>
          <w:color w:val="auto"/>
        </w:rPr>
        <w:t>MBC Investments Corporation</w:t>
      </w:r>
    </w:p>
    <w:p>
      <w:pPr>
        <w:spacing w:after="0" w:line="16" w:lineRule="exact"/>
        <w:rPr>
          <w:sz w:val="20"/>
          <w:szCs w:val="20"/>
          <w:color w:val="auto"/>
        </w:rPr>
      </w:pPr>
    </w:p>
    <w:p>
      <w:pPr>
        <w:jc w:val="right"/>
        <w:ind w:right="2239"/>
        <w:spacing w:after="0"/>
        <w:rPr>
          <w:sz w:val="20"/>
          <w:szCs w:val="20"/>
          <w:color w:val="auto"/>
        </w:rPr>
      </w:pPr>
      <w:r>
        <w:rPr>
          <w:rFonts w:ascii="Courier New" w:cs="Courier New" w:eastAsia="Courier New" w:hAnsi="Courier New"/>
          <w:sz w:val="18"/>
          <w:szCs w:val="18"/>
          <w:color w:val="auto"/>
        </w:rPr>
        <w:t>IRS No.51-0301132</w:t>
      </w:r>
    </w:p>
    <w:p>
      <w:pPr>
        <w:spacing w:after="0" w:line="200" w:lineRule="exact"/>
        <w:rPr>
          <w:sz w:val="20"/>
          <w:szCs w:val="20"/>
          <w:color w:val="auto"/>
        </w:rPr>
      </w:pPr>
    </w:p>
    <w:p>
      <w:pPr>
        <w:sectPr>
          <w:pgSz w:w="11900" w:h="16838" w:orient="portrait"/>
          <w:cols w:equalWidth="0" w:num="2">
            <w:col w:w="5060" w:space="0"/>
            <w:col w:w="5079"/>
          </w:cols>
          <w:pgMar w:left="320" w:top="136" w:right="1440" w:bottom="0" w:gutter="0" w:footer="0" w:header="0"/>
          <w:type w:val="continuous"/>
        </w:sectPr>
      </w:pPr>
    </w:p>
    <w:p>
      <w:pPr>
        <w:spacing w:after="0" w:line="7"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5,435,432</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5,535,285</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135,394</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5,670,679</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6.95%</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ectPr>
          <w:pgSz w:w="11900" w:h="16838" w:orient="portrait"/>
          <w:cols w:equalWidth="0" w:num="1">
            <w:col w:w="10139"/>
          </w:cols>
          <w:pgMar w:left="320" w:top="136"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380" w:space="320"/>
            <w:col w:w="8439"/>
          </w:cols>
          <w:pgMar w:left="320" w:top="136" w:right="1440" w:bottom="0" w:gutter="0" w:footer="0" w:header="0"/>
          <w:type w:val="continuous"/>
        </w:sectPr>
      </w:pPr>
    </w:p>
    <w:p>
      <w:pPr>
        <w:spacing w:after="0" w:line="24" w:lineRule="exact"/>
        <w:rPr>
          <w:sz w:val="20"/>
          <w:szCs w:val="20"/>
          <w:color w:val="auto"/>
        </w:rPr>
      </w:pPr>
    </w:p>
    <w:p>
      <w:pPr>
        <w:jc w:val="both"/>
        <w:ind w:left="860" w:right="2239" w:hanging="859"/>
        <w:spacing w:after="0" w:line="290" w:lineRule="auto"/>
        <w:tabs>
          <w:tab w:leader="none" w:pos="84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Names of Reporting Persons           Mellon Investments Corporation IRS Identification Nos. of Above Persons          IRS No.25-1442864</w:t>
      </w:r>
    </w:p>
    <w:p>
      <w:pPr>
        <w:sectPr>
          <w:pgSz w:w="11900" w:h="16838" w:orient="portrait"/>
          <w:cols w:equalWidth="0" w:num="1">
            <w:col w:w="10139"/>
          </w:cols>
          <w:pgMar w:left="320" w:top="136" w:right="1440" w:bottom="0" w:gutter="0" w:footer="0" w:header="0"/>
          <w:type w:val="continuous"/>
        </w:sectPr>
      </w:pPr>
    </w:p>
    <w:p>
      <w:pPr>
        <w:spacing w:after="0" w:line="169"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4,316,347</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4,416,200</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135,394</w:t>
            </w:r>
          </w:p>
        </w:tc>
      </w:tr>
    </w:tbl>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4,551,594</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5.58%</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IA</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ectPr>
          <w:pgSz w:w="11900" w:h="16838" w:orient="portrait"/>
          <w:cols w:equalWidth="0" w:num="1">
            <w:col w:w="10139"/>
          </w:cols>
          <w:pgMar w:left="320" w:top="136" w:right="1440" w:bottom="0" w:gutter="0" w:footer="0" w:header="0"/>
          <w:type w:val="continuous"/>
        </w:sectPr>
      </w:pPr>
    </w:p>
    <w:bookmarkStart w:id="2" w:name="page3"/>
    <w:bookmarkEnd w:id="2"/>
    <w:p>
      <w:pPr>
        <w:spacing w:after="0"/>
        <w:tabs>
          <w:tab w:leader="none" w:pos="1360" w:val="left"/>
          <w:tab w:leader="none" w:pos="3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Clearway Energy,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300 Carnegie Center, Suite 300</w:t>
      </w:r>
    </w:p>
    <w:p>
      <w:pPr>
        <w:ind w:left="3580"/>
        <w:spacing w:after="0"/>
        <w:tabs>
          <w:tab w:leader="none" w:pos="6000" w:val="left"/>
        </w:tabs>
        <w:rPr>
          <w:sz w:val="20"/>
          <w:szCs w:val="20"/>
          <w:color w:val="auto"/>
        </w:rPr>
      </w:pPr>
      <w:r>
        <w:rPr>
          <w:rFonts w:ascii="Courier New" w:cs="Courier New" w:eastAsia="Courier New" w:hAnsi="Courier New"/>
          <w:sz w:val="18"/>
          <w:szCs w:val="18"/>
          <w:color w:val="auto"/>
        </w:rPr>
        <w:t>Princeton, New Jersey</w:t>
      </w:r>
      <w:r>
        <w:rPr>
          <w:sz w:val="20"/>
          <w:szCs w:val="20"/>
          <w:color w:val="auto"/>
        </w:rPr>
        <w:tab/>
      </w:r>
      <w:r>
        <w:rPr>
          <w:rFonts w:ascii="Courier New" w:cs="Courier New" w:eastAsia="Courier New" w:hAnsi="Courier New"/>
          <w:sz w:val="16"/>
          <w:szCs w:val="16"/>
          <w:color w:val="auto"/>
        </w:rPr>
        <w:t>08540</w:t>
      </w:r>
    </w:p>
    <w:p>
      <w:pPr>
        <w:ind w:left="3580"/>
        <w:spacing w:after="0" w:line="238" w:lineRule="auto"/>
        <w:rPr>
          <w:sz w:val="20"/>
          <w:szCs w:val="20"/>
          <w:color w:val="auto"/>
        </w:rPr>
      </w:pPr>
      <w:r>
        <w:rPr>
          <w:rFonts w:ascii="Courier New" w:cs="Courier New" w:eastAsia="Courier New" w:hAnsi="Courier New"/>
          <w:sz w:val="18"/>
          <w:szCs w:val="18"/>
          <w:color w:val="auto"/>
        </w:rPr>
        <w:t>United States</w:t>
      </w:r>
    </w:p>
    <w:p>
      <w:pPr>
        <w:spacing w:after="0" w:line="202" w:lineRule="exact"/>
        <w:rPr>
          <w:sz w:val="20"/>
          <w:szCs w:val="20"/>
          <w:color w:val="auto"/>
        </w:rPr>
      </w:pPr>
    </w:p>
    <w:p>
      <w:pPr>
        <w:spacing w:after="0"/>
        <w:tabs>
          <w:tab w:leader="none" w:pos="1360" w:val="left"/>
          <w:tab w:leader="none" w:pos="39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8"/>
          <w:szCs w:val="18"/>
          <w:color w:val="auto"/>
        </w:rPr>
        <w:t>Name of Person Filing:</w:t>
      </w:r>
      <w:r>
        <w:rPr>
          <w:sz w:val="20"/>
          <w:szCs w:val="20"/>
          <w:color w:val="auto"/>
        </w:rPr>
        <w:tab/>
      </w:r>
      <w:r>
        <w:rPr>
          <w:rFonts w:ascii="Courier New" w:cs="Courier New" w:eastAsia="Courier New" w:hAnsi="Courier New"/>
          <w:sz w:val="16"/>
          <w:szCs w:val="16"/>
          <w:color w:val="auto"/>
        </w:rPr>
        <w:t>The Bank of New York Mellon Corporation</w:t>
      </w:r>
    </w:p>
    <w:p>
      <w:pPr>
        <w:ind w:left="4000"/>
        <w:spacing w:after="0" w:line="238" w:lineRule="auto"/>
        <w:rPr>
          <w:sz w:val="20"/>
          <w:szCs w:val="20"/>
          <w:color w:val="auto"/>
        </w:rPr>
      </w:pPr>
      <w:r>
        <w:rPr>
          <w:rFonts w:ascii="Courier New" w:cs="Courier New" w:eastAsia="Courier New" w:hAnsi="Courier New"/>
          <w:sz w:val="18"/>
          <w:szCs w:val="18"/>
          <w:color w:val="auto"/>
        </w:rPr>
        <w:t>and any other reporting person(s)</w:t>
      </w:r>
    </w:p>
    <w:p>
      <w:pPr>
        <w:ind w:left="4000"/>
        <w:spacing w:after="0" w:line="238" w:lineRule="auto"/>
        <w:rPr>
          <w:sz w:val="20"/>
          <w:szCs w:val="20"/>
          <w:color w:val="auto"/>
        </w:rPr>
      </w:pPr>
      <w:r>
        <w:rPr>
          <w:rFonts w:ascii="Courier New" w:cs="Courier New" w:eastAsia="Courier New" w:hAnsi="Courier New"/>
          <w:sz w:val="18"/>
          <w:szCs w:val="18"/>
          <w:color w:val="auto"/>
        </w:rPr>
        <w:t>identified on the second part of the</w:t>
      </w:r>
    </w:p>
    <w:p>
      <w:pPr>
        <w:ind w:left="4000"/>
        <w:spacing w:after="0"/>
        <w:rPr>
          <w:sz w:val="20"/>
          <w:szCs w:val="20"/>
          <w:color w:val="auto"/>
        </w:rPr>
      </w:pPr>
      <w:r>
        <w:rPr>
          <w:rFonts w:ascii="Courier New" w:cs="Courier New" w:eastAsia="Courier New" w:hAnsi="Courier New"/>
          <w:sz w:val="18"/>
          <w:szCs w:val="18"/>
          <w:color w:val="auto"/>
        </w:rPr>
        <w:t>cover page(s) and Exhibit I</w:t>
      </w:r>
    </w:p>
    <w:p>
      <w:pPr>
        <w:sectPr>
          <w:pgSz w:w="11900" w:h="16838" w:orient="portrait"/>
          <w:cols w:equalWidth="0" w:num="1">
            <w:col w:w="10139"/>
          </w:cols>
          <w:pgMar w:left="320" w:top="136" w:right="1440" w:bottom="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 The Bank of New York Mellon Corporation</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240 Greenwich Street</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10286</w:t>
      </w:r>
    </w:p>
    <w:p>
      <w:pPr>
        <w:ind w:left="2640"/>
        <w:spacing w:after="0" w:line="238" w:lineRule="auto"/>
        <w:rPr>
          <w:sz w:val="20"/>
          <w:szCs w:val="20"/>
          <w:color w:val="auto"/>
        </w:rPr>
      </w:pPr>
      <w:r>
        <w:rPr>
          <w:rFonts w:ascii="Courier New" w:cs="Courier New" w:eastAsia="Courier New" w:hAnsi="Courier New"/>
          <w:sz w:val="18"/>
          <w:szCs w:val="18"/>
          <w:color w:val="auto"/>
        </w:rPr>
        <w:t>(for all reporting persons)</w:t>
      </w:r>
    </w:p>
    <w:p>
      <w:pPr>
        <w:spacing w:after="0" w:line="200" w:lineRule="exact"/>
        <w:rPr>
          <w:sz w:val="20"/>
          <w:szCs w:val="20"/>
          <w:color w:val="auto"/>
        </w:rPr>
      </w:pPr>
    </w:p>
    <w:p>
      <w:pPr>
        <w:sectPr>
          <w:pgSz w:w="11900" w:h="16838" w:orient="portrait"/>
          <w:cols w:equalWidth="0" w:num="2">
            <w:col w:w="960" w:space="520"/>
            <w:col w:w="8659"/>
          </w:cols>
          <w:pgMar w:left="320" w:top="136"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cover page and Exhibit I</w:t>
      </w:r>
    </w:p>
    <w:p>
      <w:pPr>
        <w:spacing w:after="0" w:line="200" w:lineRule="exact"/>
        <w:rPr>
          <w:sz w:val="20"/>
          <w:szCs w:val="20"/>
          <w:color w:val="auto"/>
        </w:rPr>
      </w:pPr>
    </w:p>
    <w:p>
      <w:pPr>
        <w:sectPr>
          <w:pgSz w:w="11900" w:h="16838" w:orient="portrait"/>
          <w:cols w:equalWidth="0" w:num="3">
            <w:col w:w="960" w:space="520"/>
            <w:col w:w="1700" w:space="720"/>
            <w:col w:w="6239"/>
          </w:cols>
          <w:pgMar w:left="32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ectPr>
          <w:pgSz w:w="11900" w:h="16838" w:orient="portrait"/>
          <w:cols w:equalWidth="0" w:num="3">
            <w:col w:w="960" w:space="520"/>
            <w:col w:w="3060" w:space="520"/>
            <w:col w:w="5079"/>
          </w:cols>
          <w:pgMar w:left="32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280" w:space="420"/>
            <w:col w:w="8439"/>
          </w:cols>
          <w:pgMar w:left="320" w:top="136" w:right="1440" w:bottom="0" w:gutter="0" w:footer="0" w:header="0"/>
          <w:type w:val="continuous"/>
        </w:sectPr>
      </w:pPr>
    </w:p>
    <w:p>
      <w:pPr>
        <w:spacing w:after="0" w:line="18" w:lineRule="exact"/>
        <w:rPr>
          <w:sz w:val="20"/>
          <w:szCs w:val="20"/>
          <w:color w:val="auto"/>
        </w:rPr>
      </w:pPr>
    </w:p>
    <w:p>
      <w:pPr>
        <w:jc w:val="center"/>
        <w:ind w:right="3919"/>
        <w:spacing w:after="0"/>
        <w:tabs>
          <w:tab w:leader="none" w:pos="5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See Item 12 of cover page(s) ("Type of Reporting</w:t>
      </w:r>
    </w:p>
    <w:p>
      <w:pPr>
        <w:jc w:val="center"/>
        <w:ind w:right="4019"/>
        <w:spacing w:after="0" w:line="238" w:lineRule="auto"/>
        <w:rPr>
          <w:sz w:val="20"/>
          <w:szCs w:val="20"/>
          <w:color w:val="auto"/>
        </w:rPr>
      </w:pPr>
      <w:r>
        <w:rPr>
          <w:rFonts w:ascii="Courier New" w:cs="Courier New" w:eastAsia="Courier New" w:hAnsi="Courier New"/>
          <w:sz w:val="18"/>
          <w:szCs w:val="18"/>
          <w:color w:val="auto"/>
        </w:rPr>
        <w:t>Person ") for each reporting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Symbol Category</w:t>
      </w:r>
    </w:p>
    <w:p>
      <w:pPr>
        <w:sectPr>
          <w:pgSz w:w="11900" w:h="16838" w:orient="portrait"/>
          <w:cols w:equalWidth="0" w:num="1">
            <w:col w:w="10139"/>
          </w:cols>
          <w:pgMar w:left="320" w:top="136" w:right="1440" w:bottom="0" w:gutter="0" w:footer="0" w:header="0"/>
          <w:type w:val="continuous"/>
        </w:sectPr>
      </w:pP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55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Broker or Dealer registered under Section 15 of the Securities Exchange Act of 1934</w:t>
      </w:r>
    </w:p>
    <w:p>
      <w:pPr>
        <w:spacing w:after="0" w:line="200"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ind w:right="24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Bank as defined in Section 3(a)(6) of the Securities Exchange Act of 1934</w:t>
      </w:r>
    </w:p>
    <w:p>
      <w:pPr>
        <w:spacing w:after="0" w:line="200"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IV</w:t>
      </w:r>
    </w:p>
    <w:p>
      <w:pPr>
        <w:spacing w:after="0" w:line="20" w:lineRule="exact"/>
        <w:rPr>
          <w:sz w:val="20"/>
          <w:szCs w:val="20"/>
          <w:color w:val="auto"/>
        </w:rPr>
      </w:pPr>
      <w:r>
        <w:rPr>
          <w:sz w:val="20"/>
          <w:szCs w:val="20"/>
          <w:color w:val="auto"/>
        </w:rPr>
        <w:br w:type="column"/>
      </w:r>
    </w:p>
    <w:p>
      <w:pPr>
        <w:ind w:right="24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ind w:right="22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Advisor registered under Section 203 of the Investment Advisors Act of 1940</w:t>
      </w:r>
    </w:p>
    <w:p>
      <w:pPr>
        <w:spacing w:after="0" w:line="200"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EP</w:t>
      </w:r>
    </w:p>
    <w:p>
      <w:pPr>
        <w:spacing w:after="0" w:line="20" w:lineRule="exact"/>
        <w:rPr>
          <w:sz w:val="20"/>
          <w:szCs w:val="20"/>
          <w:color w:val="auto"/>
        </w:rPr>
      </w:pPr>
      <w:r>
        <w:rPr>
          <w:sz w:val="20"/>
          <w:szCs w:val="20"/>
          <w:color w:val="auto"/>
        </w:rPr>
        <w:br w:type="column"/>
      </w:r>
    </w:p>
    <w:p>
      <w:pPr>
        <w:ind w:right="2439" w:hanging="419"/>
        <w:spacing w:after="0" w:line="275"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Section 240.13 - d(1)(b)(1)(ii)(F)</w:t>
      </w:r>
    </w:p>
    <w:p>
      <w:pPr>
        <w:spacing w:after="0" w:line="182"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HC</w:t>
      </w:r>
    </w:p>
    <w:p>
      <w:pPr>
        <w:spacing w:after="0" w:line="20" w:lineRule="exact"/>
        <w:rPr>
          <w:sz w:val="20"/>
          <w:szCs w:val="20"/>
          <w:color w:val="auto"/>
        </w:rPr>
      </w:pPr>
      <w:r>
        <w:rPr>
          <w:sz w:val="20"/>
          <w:szCs w:val="20"/>
          <w:color w:val="auto"/>
        </w:rPr>
        <w:br w:type="column"/>
      </w:r>
    </w:p>
    <w:p>
      <w:pPr>
        <w:ind w:right="265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Parent Holding Company, in accordance with Section 240.13-d(1)(b)(1)(ii)(G)</w:t>
      </w:r>
    </w:p>
    <w:p>
      <w:pPr>
        <w:spacing w:after="0" w:line="200"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spacing w:after="0" w:line="2" w:lineRule="exact"/>
        <w:rPr>
          <w:sz w:val="20"/>
          <w:szCs w:val="20"/>
          <w:color w:val="auto"/>
        </w:rPr>
      </w:pPr>
    </w:p>
    <w:p>
      <w:pPr>
        <w:spacing w:after="0"/>
        <w:tabs>
          <w:tab w:leader="none" w:pos="840" w:val="left"/>
          <w:tab w:leader="none" w:pos="2100" w:val="left"/>
        </w:tabs>
        <w:rPr>
          <w:sz w:val="20"/>
          <w:szCs w:val="20"/>
          <w:color w:val="auto"/>
        </w:rPr>
      </w:pPr>
      <w:r>
        <w:rPr>
          <w:rFonts w:ascii="Courier New" w:cs="Courier New" w:eastAsia="Courier New" w:hAnsi="Courier New"/>
          <w:sz w:val="18"/>
          <w:szCs w:val="18"/>
          <w:color w:val="auto"/>
        </w:rPr>
        <w:t>Item 4</w:t>
        <w:tab/>
        <w:t>Ownership:</w:t>
      </w:r>
      <w:r>
        <w:rPr>
          <w:sz w:val="20"/>
          <w:szCs w:val="20"/>
          <w:color w:val="auto"/>
        </w:rPr>
        <w:tab/>
      </w:r>
      <w:r>
        <w:rPr>
          <w:rFonts w:ascii="Courier New" w:cs="Courier New" w:eastAsia="Courier New" w:hAnsi="Courier New"/>
          <w:sz w:val="16"/>
          <w:szCs w:val="16"/>
          <w:color w:val="auto"/>
        </w:rPr>
        <w:t>See Item 5 through 9 and 11 of cover page(s)</w:t>
      </w:r>
    </w:p>
    <w:p>
      <w:pPr>
        <w:ind w:left="2120"/>
        <w:spacing w:after="0" w:line="238" w:lineRule="auto"/>
        <w:rPr>
          <w:sz w:val="20"/>
          <w:szCs w:val="20"/>
          <w:color w:val="auto"/>
        </w:rPr>
      </w:pPr>
      <w:r>
        <w:rPr>
          <w:rFonts w:ascii="Courier New" w:cs="Courier New" w:eastAsia="Courier New" w:hAnsi="Courier New"/>
          <w:sz w:val="18"/>
          <w:szCs w:val="18"/>
          <w:color w:val="auto"/>
        </w:rPr>
        <w:t>as to each reporting person.</w:t>
      </w:r>
    </w:p>
    <w:p>
      <w:pPr>
        <w:spacing w:after="0" w:line="207" w:lineRule="exact"/>
        <w:rPr>
          <w:sz w:val="20"/>
          <w:szCs w:val="20"/>
          <w:color w:val="auto"/>
        </w:rPr>
      </w:pPr>
    </w:p>
    <w:p>
      <w:pPr>
        <w:ind w:right="2119"/>
        <w:spacing w:after="0" w:line="270" w:lineRule="auto"/>
        <w:rPr>
          <w:sz w:val="20"/>
          <w:szCs w:val="20"/>
          <w:color w:val="auto"/>
        </w:rPr>
      </w:pPr>
      <w:r>
        <w:rPr>
          <w:rFonts w:ascii="Courier New" w:cs="Courier New" w:eastAsia="Courier New" w:hAnsi="Courier New"/>
          <w:sz w:val="16"/>
          <w:szCs w:val="16"/>
          <w:color w:val="auto"/>
        </w:rPr>
        <w:t>The amount beneficially owned includes, where appropriate, securities not outstanding which are subject to options, warrants, rights or conversion privileges that are exercisable within 60 days. The securities reported herein as beneficially owned may exclude securities of the issuer with respect to which voting and/or dispositive power is exercised by subsidiaries of The Bank of New York Mellon Corporation, or departments or units thereof, independently from the exercise of those powers over the securities reported herein. See SEC Release No. 34-39538 (January 12, 1998). The filing of this Schedule 13G shall not be construed as an admission that The Bank of New York Mellon Corporation, or its direct or indirect subsidiaries, including The Bank of New York Mellon and BNY Mellon, National Association, are for the purposes of Section 13(d) or 13(g) of the Act, the beneficial owners of any securities covered by this Schedule 13G.</w:t>
      </w:r>
    </w:p>
    <w:p>
      <w:pPr>
        <w:spacing w:after="0" w:line="38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43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17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All of the securities are beneficially owned by The Bank of New York Mellon Corporation and its direct or indirect subsidiaries in their various fiduciary capacities. As a result, another entity in every instance</w:t>
      </w:r>
    </w:p>
    <w:p>
      <w:pPr>
        <w:ind w:right="3699"/>
        <w:spacing w:after="0" w:line="290" w:lineRule="auto"/>
        <w:rPr>
          <w:sz w:val="20"/>
          <w:szCs w:val="20"/>
          <w:color w:val="auto"/>
        </w:rPr>
      </w:pPr>
      <w:r>
        <w:rPr>
          <w:rFonts w:ascii="Courier New" w:cs="Courier New" w:eastAsia="Courier New" w:hAnsi="Courier New"/>
          <w:sz w:val="16"/>
          <w:szCs w:val="16"/>
          <w:color w:val="auto"/>
        </w:rPr>
        <w:t>is entitled to dividends or proceeds of sale. The number of individual accounts holding an interest of 5% or more is ( )</w:t>
      </w:r>
    </w:p>
    <w:p>
      <w:pPr>
        <w:sectPr>
          <w:pgSz w:w="11900" w:h="16838" w:orient="portrait"/>
          <w:cols w:equalWidth="0" w:num="1">
            <w:col w:w="10139"/>
          </w:cols>
          <w:pgMar w:left="320" w:top="136"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rPr>
              <w:t>Item 7</w:t>
            </w:r>
          </w:p>
        </w:tc>
        <w:tc>
          <w:tcPr>
            <w:tcW w:w="20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Identification and</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Classification</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the Subsidiary</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Which Acquired</w:t>
            </w: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60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Security Being Reported by the Parent Holding Company:</w:t>
            </w:r>
          </w:p>
        </w:tc>
        <w:tc>
          <w:tcPr>
            <w:tcW w:w="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I.</w:t>
            </w: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364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8"/>
              </w:rPr>
              <w:t>Identification and Classification</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Members of the</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Group:</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3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Notice of Dissolution of Group:</w:t>
            </w:r>
          </w:p>
        </w:tc>
        <w:tc>
          <w:tcPr>
            <w:tcW w:w="1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 This filing is signed by The Bank of New York Mellon Corporation on behalf of all reporting entities pursuant to Rule 13d-1(k)(1) promulgated under the Securities and Exchange Act of 1934, as amended.</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CORPORATION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ANDREW WEISER</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Andrew Weiser</w:t>
      </w:r>
    </w:p>
    <w:p>
      <w:pPr>
        <w:ind w:left="22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3"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8"/>
          <w:szCs w:val="18"/>
          <w:color w:val="auto"/>
        </w:rPr>
        <w:t>EXHIBIT I</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The shares reported on the attached Schedule 13G are beneficially owned by the following direct or indirect subsidiaries of The Bank of New York Mellon Corporation, as marked (X):</w:t>
      </w:r>
    </w:p>
    <w:p>
      <w:pPr>
        <w:spacing w:after="0" w:line="208" w:lineRule="exact"/>
        <w:rPr>
          <w:sz w:val="20"/>
          <w:szCs w:val="20"/>
          <w:color w:val="auto"/>
        </w:rPr>
      </w:pPr>
    </w:p>
    <w:p>
      <w:pPr>
        <w:ind w:left="540" w:right="191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3(b) Bank as defined in Section 3(a)(6) of the Act" (15 U.S.C. 78c) or "Item 3(j)A non-U.S. institution in accordance with Rule 240.13d-1 (b)(1)(ii)(J)"</w:t>
      </w:r>
    </w:p>
    <w:p>
      <w:pPr>
        <w:spacing w:after="0" w:line="207" w:lineRule="exact"/>
        <w:rPr>
          <w:sz w:val="20"/>
          <w:szCs w:val="20"/>
          <w:color w:val="auto"/>
        </w:rPr>
      </w:pPr>
    </w:p>
    <w:p>
      <w:pPr>
        <w:ind w:left="1060" w:right="1699" w:hanging="526"/>
        <w:spacing w:after="0" w:line="268" w:lineRule="auto"/>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of New York Mellon (parent holding company of Mellon Overseas Investment Corporation; BNY International Financing Corporation;</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Bank of New York Mellon SA/NV)</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The Bank of New York Mellon Trust Company, National Association</w:t>
      </w:r>
    </w:p>
    <w:p>
      <w:pPr>
        <w:ind w:left="1060" w:hanging="526"/>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National Association</w:t>
      </w:r>
    </w:p>
    <w:p>
      <w:pPr>
        <w:ind w:left="1060" w:hanging="526"/>
        <w:spacing w:after="0" w:line="237"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Trust of Delaware</w:t>
      </w:r>
    </w:p>
    <w:p>
      <w:pPr>
        <w:spacing w:after="0" w:line="5" w:lineRule="exact"/>
        <w:rPr>
          <w:sz w:val="20"/>
          <w:szCs w:val="20"/>
          <w:color w:val="auto"/>
        </w:rPr>
      </w:pPr>
    </w:p>
    <w:p>
      <w:pPr>
        <w:ind w:left="1060" w:right="2339" w:hanging="526"/>
        <w:spacing w:after="0" w:line="235" w:lineRule="auto"/>
        <w:tabs>
          <w:tab w:leader="none" w:pos="74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Bank of New York Mellon SA/NV (parent holding company of BNY Mellon Service Kapitalanlage-Gesellschaft mbH)</w:t>
      </w:r>
    </w:p>
    <w:p>
      <w:pPr>
        <w:spacing w:after="0" w:line="208" w:lineRule="exact"/>
        <w:rPr>
          <w:rFonts w:ascii="Courier New" w:cs="Courier New" w:eastAsia="Courier New" w:hAnsi="Courier New"/>
          <w:sz w:val="18"/>
          <w:szCs w:val="18"/>
          <w:color w:val="auto"/>
        </w:rPr>
      </w:pPr>
    </w:p>
    <w:p>
      <w:pPr>
        <w:ind w:left="540" w:right="2239" w:hanging="532"/>
        <w:spacing w:after="0" w:line="268"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3(e) An investment adviser in accordance with Section 240.13d-1 (b)(1)(ii)(E)" or "Item 3(j) A non-U.S. institution in accordance with</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Rule 240.13d-1(b)(1)(ii)(J)"</w:t>
      </w:r>
    </w:p>
    <w:p>
      <w:pPr>
        <w:spacing w:after="0" w:line="207" w:lineRule="exact"/>
        <w:rPr>
          <w:rFonts w:ascii="Courier New" w:cs="Courier New" w:eastAsia="Courier New" w:hAnsi="Courier New"/>
          <w:sz w:val="16"/>
          <w:szCs w:val="16"/>
          <w:color w:val="auto"/>
        </w:rPr>
      </w:pPr>
    </w:p>
    <w:p>
      <w:pPr>
        <w:ind w:left="1060" w:right="2759" w:hanging="526"/>
        <w:spacing w:after="0" w:line="235" w:lineRule="auto"/>
        <w:tabs>
          <w:tab w:leader="none" w:pos="74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ARX Investimentos Ltda (parent holding company of BNY Mellon Alocacao de Patrimonia Ltda.)</w:t>
      </w:r>
    </w:p>
    <w:p>
      <w:pPr>
        <w:spacing w:after="0" w:line="1" w:lineRule="exact"/>
        <w:rPr>
          <w:rFonts w:ascii="Courier New" w:cs="Courier New" w:eastAsia="Courier New" w:hAnsi="Courier New"/>
          <w:sz w:val="18"/>
          <w:szCs w:val="18"/>
          <w:color w:val="auto"/>
        </w:rPr>
      </w:pPr>
    </w:p>
    <w:p>
      <w:pPr>
        <w:ind w:left="740" w:hanging="206"/>
        <w:spacing w:after="0" w:line="238" w:lineRule="auto"/>
        <w:tabs>
          <w:tab w:leader="none" w:pos="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Alocacao de Patrimonia Ltda</w:t>
      </w:r>
    </w:p>
    <w:p>
      <w:pPr>
        <w:spacing w:after="0" w:line="4" w:lineRule="exact"/>
        <w:rPr>
          <w:rFonts w:ascii="Courier New" w:cs="Courier New" w:eastAsia="Courier New" w:hAnsi="Courier New"/>
          <w:sz w:val="18"/>
          <w:szCs w:val="18"/>
          <w:color w:val="auto"/>
        </w:rPr>
      </w:pPr>
    </w:p>
    <w:p>
      <w:pPr>
        <w:ind w:left="1060" w:right="4019" w:hanging="526"/>
        <w:spacing w:after="0" w:line="235" w:lineRule="auto"/>
        <w:tabs>
          <w:tab w:leader="none" w:pos="74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Servicos Financeiros Distribuidora de Titulos e Valores Mobiliarios S.A.</w:t>
      </w:r>
    </w:p>
    <w:p>
      <w:pPr>
        <w:spacing w:after="0" w:line="6" w:lineRule="exact"/>
        <w:rPr>
          <w:sz w:val="20"/>
          <w:szCs w:val="20"/>
          <w:color w:val="auto"/>
        </w:rPr>
      </w:pPr>
    </w:p>
    <w:p>
      <w:pPr>
        <w:ind w:left="1060" w:right="2239" w:hanging="526"/>
        <w:spacing w:after="0" w:line="235"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Investment Adviser, Inc (parent holding company of BNY Mellon Securities Corporation)</w:t>
      </w:r>
    </w:p>
    <w:p>
      <w:pPr>
        <w:ind w:left="740" w:hanging="206"/>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(Global) Limited</w:t>
      </w:r>
    </w:p>
    <w:p>
      <w:pPr>
        <w:ind w:left="740" w:hanging="206"/>
        <w:spacing w:after="0" w:line="238"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North America LLC</w:t>
      </w:r>
    </w:p>
    <w:p>
      <w:pPr>
        <w:ind w:left="1060" w:hanging="526"/>
        <w:spacing w:after="0" w:line="238" w:lineRule="auto"/>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Lockwood Advisors, Inc.</w:t>
      </w:r>
    </w:p>
    <w:p>
      <w:pPr>
        <w:ind w:left="1060" w:hanging="526"/>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Mellon Investments Corporation</w:t>
      </w:r>
    </w:p>
    <w:p>
      <w:pPr>
        <w:ind w:left="740" w:hanging="206"/>
        <w:spacing w:after="0" w:line="237"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Investment Management Limited</w:t>
      </w:r>
    </w:p>
    <w:p>
      <w:pPr>
        <w:ind w:left="740" w:hanging="206"/>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Walter Scott &amp; Partners Limited</w:t>
      </w:r>
    </w:p>
    <w:p>
      <w:pPr>
        <w:ind w:left="740" w:hanging="206"/>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Wealth Management, Advisory Services, Inc.</w:t>
      </w:r>
    </w:p>
    <w:p>
      <w:pPr>
        <w:ind w:left="740" w:hanging="206"/>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Trust Company(Cayman) Limited</w:t>
      </w:r>
    </w:p>
    <w:p>
      <w:pPr>
        <w:ind w:left="740" w:hanging="206"/>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Cayman Limited</w:t>
      </w:r>
    </w:p>
    <w:p>
      <w:pPr>
        <w:ind w:left="740" w:hanging="206"/>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International Limited</w:t>
      </w:r>
    </w:p>
    <w:p>
      <w:pPr>
        <w:ind w:left="740" w:hanging="206"/>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Japan Limited</w:t>
      </w:r>
    </w:p>
    <w:p>
      <w:pPr>
        <w:ind w:left="740" w:hanging="206"/>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ETF Investment Adviser, LLC</w:t>
      </w:r>
    </w:p>
    <w:p>
      <w:pPr>
        <w:sectPr>
          <w:pgSz w:w="11900" w:h="16838" w:orient="portrait"/>
          <w:cols w:equalWidth="0" w:num="1">
            <w:col w:w="10139"/>
          </w:cols>
          <w:pgMar w:left="320" w:top="136" w:right="1440" w:bottom="0" w:gutter="0" w:footer="0" w:header="0"/>
        </w:sectPr>
      </w:pPr>
    </w:p>
    <w:bookmarkStart w:id="4" w:name="page5"/>
    <w:bookmarkEnd w:id="4"/>
    <w:p>
      <w:pPr>
        <w:ind w:left="740" w:hanging="206"/>
        <w:spacing w:after="0"/>
        <w:tabs>
          <w:tab w:leader="none" w:pos="7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Investor Solutions, LLC</w:t>
      </w:r>
    </w:p>
    <w:p>
      <w:pPr>
        <w:spacing w:after="0" w:line="206" w:lineRule="exact"/>
        <w:rPr>
          <w:rFonts w:ascii="Courier New" w:cs="Courier New" w:eastAsia="Courier New" w:hAnsi="Courier New"/>
          <w:sz w:val="18"/>
          <w:szCs w:val="18"/>
          <w:color w:val="auto"/>
        </w:rPr>
      </w:pPr>
    </w:p>
    <w:p>
      <w:pPr>
        <w:ind w:left="540" w:right="2339" w:hanging="532"/>
        <w:spacing w:after="0" w:line="268" w:lineRule="auto"/>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3(a) Broker or dealer registered under Section 15 of the Act"</w:t>
      </w:r>
    </w:p>
    <w:p>
      <w:pPr>
        <w:ind w:left="540" w:right="21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 U.S.C. 78c) or "Item 3(j) A non-U.S. institution in accordance with Rule 240.13d-1(b)(1)(ii)(J)"</w:t>
      </w:r>
    </w:p>
    <w:p>
      <w:pPr>
        <w:spacing w:after="0" w:line="202" w:lineRule="exact"/>
        <w:rPr>
          <w:rFonts w:ascii="Courier New" w:cs="Courier New" w:eastAsia="Courier New" w:hAnsi="Courier New"/>
          <w:sz w:val="16"/>
          <w:szCs w:val="16"/>
          <w:color w:val="auto"/>
        </w:rPr>
      </w:pPr>
    </w:p>
    <w:p>
      <w:pPr>
        <w:ind w:left="740" w:hanging="206"/>
        <w:spacing w:after="0"/>
        <w:tabs>
          <w:tab w:leader="none" w:pos="7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Capital Markets, LLC</w:t>
      </w:r>
    </w:p>
    <w:p>
      <w:pPr>
        <w:ind w:left="1060" w:hanging="526"/>
        <w:spacing w:after="0" w:line="238" w:lineRule="auto"/>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Securities Corporation</w:t>
      </w:r>
    </w:p>
    <w:p>
      <w:pPr>
        <w:ind w:left="1060" w:hanging="526"/>
        <w:spacing w:after="0" w:line="238"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Pershing LLC</w:t>
      </w:r>
    </w:p>
    <w:p>
      <w:pPr>
        <w:spacing w:after="0" w:line="207" w:lineRule="exact"/>
        <w:rPr>
          <w:rFonts w:ascii="Courier New" w:cs="Courier New" w:eastAsia="Courier New" w:hAnsi="Courier New"/>
          <w:sz w:val="18"/>
          <w:szCs w:val="18"/>
          <w:color w:val="auto"/>
        </w:rPr>
      </w:pPr>
    </w:p>
    <w:p>
      <w:pPr>
        <w:ind w:left="540" w:right="2019" w:hanging="532"/>
        <w:spacing w:after="0" w:line="236"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3(g) a parent holding company or control person in accordance with Rule 13d-1(b)(1)(ii)(G)"</w:t>
      </w:r>
    </w:p>
    <w:p>
      <w:pPr>
        <w:spacing w:after="0" w:line="202" w:lineRule="exact"/>
        <w:rPr>
          <w:rFonts w:ascii="Courier New" w:cs="Courier New" w:eastAsia="Courier New" w:hAnsi="Courier New"/>
          <w:sz w:val="18"/>
          <w:szCs w:val="18"/>
          <w:color w:val="auto"/>
        </w:rPr>
      </w:pPr>
    </w:p>
    <w:p>
      <w:pPr>
        <w:ind w:left="1060" w:hanging="526"/>
        <w:spacing w:after="0"/>
        <w:tabs>
          <w:tab w:leader="none" w:pos="10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 Corporation</w:t>
      </w:r>
    </w:p>
    <w:p>
      <w:pPr>
        <w:spacing w:after="0" w:line="4" w:lineRule="exact"/>
        <w:rPr>
          <w:sz w:val="20"/>
          <w:szCs w:val="20"/>
          <w:color w:val="auto"/>
        </w:rPr>
      </w:pPr>
    </w:p>
    <w:p>
      <w:pPr>
        <w:ind w:left="1060" w:right="2239" w:hanging="526"/>
        <w:spacing w:after="0" w:line="235" w:lineRule="auto"/>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Holdings (Delaware) Corporation (parent holding company of BNY Mellon Trust of Delaware)</w:t>
      </w:r>
    </w:p>
    <w:p>
      <w:pPr>
        <w:spacing w:after="0" w:line="6" w:lineRule="exact"/>
        <w:rPr>
          <w:sz w:val="20"/>
          <w:szCs w:val="20"/>
          <w:color w:val="auto"/>
        </w:rPr>
      </w:pPr>
    </w:p>
    <w:p>
      <w:pPr>
        <w:ind w:left="1060" w:right="2559" w:hanging="526"/>
        <w:spacing w:after="0" w:line="235"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IHC, LLC (parent holding company of MBC Investments Corporation)</w:t>
      </w:r>
    </w:p>
    <w:p>
      <w:pPr>
        <w:spacing w:after="0" w:line="6" w:lineRule="exact"/>
        <w:rPr>
          <w:sz w:val="20"/>
          <w:szCs w:val="20"/>
          <w:color w:val="auto"/>
        </w:rPr>
      </w:pPr>
    </w:p>
    <w:p>
      <w:pPr>
        <w:ind w:left="1060" w:right="2239" w:hanging="526"/>
        <w:spacing w:after="0" w:line="237" w:lineRule="auto"/>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MBC Investments Corporation (parent holding company of Mellon Investments Corporation; BNY Mellon Investment Management(Jersey) Ltd.; BNY Mellon Investment Management APAC LP; BNY Mellon Investment Adviser, Inc.; ARX Investimentos Ltda. ; Mellon Global Investing Corporation; BNY Mellon ETF Investment Adviser, LLC; BNY Mellon Investor Solutions, LLC)</w:t>
      </w:r>
    </w:p>
    <w:p>
      <w:pPr>
        <w:spacing w:after="0" w:line="7" w:lineRule="exact"/>
        <w:rPr>
          <w:sz w:val="20"/>
          <w:szCs w:val="20"/>
          <w:color w:val="auto"/>
        </w:rPr>
      </w:pPr>
    </w:p>
    <w:p>
      <w:pPr>
        <w:ind w:left="1060" w:right="1699" w:hanging="526"/>
        <w:spacing w:after="0" w:line="235" w:lineRule="auto"/>
        <w:tabs>
          <w:tab w:leader="none" w:pos="74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(Jersey) Ltd. (parent holding company of BNY Mellon Investment Management Europe Holdings Ltd.;</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Investment Management Cayman Ltd.)</w:t>
      </w:r>
    </w:p>
    <w:p>
      <w:pPr>
        <w:spacing w:after="0" w:line="5" w:lineRule="exact"/>
        <w:rPr>
          <w:sz w:val="20"/>
          <w:szCs w:val="20"/>
          <w:color w:val="auto"/>
        </w:rPr>
      </w:pPr>
    </w:p>
    <w:p>
      <w:pPr>
        <w:ind w:left="1060" w:right="1819" w:hanging="526"/>
        <w:spacing w:after="0" w:line="268" w:lineRule="auto"/>
        <w:tabs>
          <w:tab w:leader="none" w:pos="74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Europe Holdings Ltd. (parent holding company of BNY Mellon International Asset Management Group Limited)</w:t>
      </w:r>
    </w:p>
    <w:p>
      <w:pPr>
        <w:ind w:left="1060" w:right="1699" w:hanging="526"/>
        <w:spacing w:after="0" w:line="237" w:lineRule="auto"/>
        <w:tabs>
          <w:tab w:leader="none" w:pos="74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International Asset Management Group Limited (parent holding company of Newton Management Limited; BNY Mellon International Asset Management (Holdings) Limited; Insight Investment Management Limited)</w:t>
      </w:r>
    </w:p>
    <w:p>
      <w:pPr>
        <w:spacing w:after="0" w:line="5" w:lineRule="exact"/>
        <w:rPr>
          <w:sz w:val="20"/>
          <w:szCs w:val="20"/>
          <w:color w:val="auto"/>
        </w:rPr>
      </w:pPr>
    </w:p>
    <w:p>
      <w:pPr>
        <w:ind w:left="1060" w:right="1699" w:hanging="526"/>
        <w:spacing w:after="0" w:line="235" w:lineRule="auto"/>
        <w:tabs>
          <w:tab w:leader="none" w:pos="74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Management Limited (parent holding company of Newton Investment Management Limited)</w:t>
      </w:r>
    </w:p>
    <w:p>
      <w:pPr>
        <w:spacing w:after="0" w:line="6" w:lineRule="exact"/>
        <w:rPr>
          <w:sz w:val="20"/>
          <w:szCs w:val="20"/>
          <w:color w:val="auto"/>
        </w:rPr>
      </w:pPr>
    </w:p>
    <w:p>
      <w:pPr>
        <w:ind w:left="1060" w:right="1919" w:hanging="526"/>
        <w:spacing w:after="0" w:line="236" w:lineRule="auto"/>
        <w:tabs>
          <w:tab w:leader="none" w:pos="74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International Asset Management (Holdings) Limited (parent holding company of BNY Mellon International Asset Management (Holdings) No. 1 Limited)</w:t>
      </w:r>
    </w:p>
    <w:p>
      <w:pPr>
        <w:spacing w:after="0" w:line="6" w:lineRule="exact"/>
        <w:rPr>
          <w:sz w:val="20"/>
          <w:szCs w:val="20"/>
          <w:color w:val="auto"/>
        </w:rPr>
      </w:pPr>
    </w:p>
    <w:p>
      <w:pPr>
        <w:ind w:left="1060" w:right="2119" w:hanging="526"/>
        <w:spacing w:after="0" w:line="268" w:lineRule="auto"/>
        <w:tabs>
          <w:tab w:leader="none" w:pos="74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(Holdings) No. 1 Limited (parent holding company of Walter Scott &amp; Partners Limited)</w:t>
      </w:r>
    </w:p>
    <w:p>
      <w:pPr>
        <w:ind w:left="1060" w:right="2339" w:hanging="526"/>
        <w:spacing w:after="0" w:line="236" w:lineRule="auto"/>
        <w:tabs>
          <w:tab w:leader="none" w:pos="74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Limited (parent holding company of Insight Investment Management (Global) Limited; Insight Investment International Limited )</w:t>
      </w:r>
    </w:p>
    <w:p>
      <w:pPr>
        <w:spacing w:after="0" w:line="6" w:lineRule="exact"/>
        <w:rPr>
          <w:sz w:val="20"/>
          <w:szCs w:val="20"/>
          <w:color w:val="auto"/>
        </w:rPr>
      </w:pPr>
    </w:p>
    <w:p>
      <w:pPr>
        <w:ind w:left="1060" w:right="2019" w:hanging="526"/>
        <w:spacing w:after="0" w:line="235" w:lineRule="auto"/>
        <w:tabs>
          <w:tab w:leader="none" w:pos="74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APAC LP (Parent holding company of BNY Mellon Investment Management (APAC) Holdings Limited)</w:t>
      </w:r>
    </w:p>
    <w:p>
      <w:pPr>
        <w:spacing w:after="0" w:line="6" w:lineRule="exact"/>
        <w:rPr>
          <w:sz w:val="20"/>
          <w:szCs w:val="20"/>
          <w:color w:val="auto"/>
        </w:rPr>
      </w:pPr>
    </w:p>
    <w:p>
      <w:pPr>
        <w:ind w:left="1060" w:right="2119" w:hanging="526"/>
        <w:spacing w:after="0" w:line="268" w:lineRule="auto"/>
        <w:tabs>
          <w:tab w:leader="none" w:pos="74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(APAC) Holdings Limited (parent holding company of BNY Mellon Investment Management Japan Limited)</w:t>
      </w:r>
    </w:p>
    <w:p>
      <w:pPr>
        <w:ind w:left="1060" w:right="1819" w:hanging="526"/>
        <w:spacing w:after="0" w:line="235" w:lineRule="auto"/>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Pershing Group LLC (parent holding company of Lockwood Advisors, Inc; Pershing LLC)</w:t>
      </w:r>
    </w:p>
    <w:p>
      <w:pPr>
        <w:ind w:left="740" w:hanging="206"/>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Overseas Investment Corporation (parent holding company of</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Mellon Canada Holding Company; BNY Mellon Participacoes Ltda.)</w:t>
      </w:r>
    </w:p>
    <w:p>
      <w:pPr>
        <w:spacing w:after="0" w:line="5" w:lineRule="exact"/>
        <w:rPr>
          <w:sz w:val="20"/>
          <w:szCs w:val="20"/>
          <w:color w:val="auto"/>
        </w:rPr>
      </w:pPr>
    </w:p>
    <w:p>
      <w:pPr>
        <w:ind w:left="1060" w:right="2019" w:hanging="526"/>
        <w:spacing w:after="0" w:line="235" w:lineRule="auto"/>
        <w:tabs>
          <w:tab w:leader="none" w:pos="74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Canada Holding Company (parent holding company of BNY Mellon Wealth Management, Advisory Services, Inc)</w:t>
      </w:r>
    </w:p>
    <w:p>
      <w:pPr>
        <w:spacing w:after="0" w:line="6" w:lineRule="exact"/>
        <w:rPr>
          <w:sz w:val="20"/>
          <w:szCs w:val="20"/>
          <w:color w:val="auto"/>
        </w:rPr>
      </w:pPr>
    </w:p>
    <w:p>
      <w:pPr>
        <w:ind w:left="1060" w:right="2019" w:hanging="526"/>
        <w:spacing w:after="0" w:line="236" w:lineRule="auto"/>
        <w:tabs>
          <w:tab w:leader="none" w:pos="74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Participacoes Ltda.(parent holding company of BNY Mellon Servicos Financeiros Distribuidora de Titulos e Valores Mobiliarios S.A.)</w:t>
      </w:r>
    </w:p>
    <w:p>
      <w:pPr>
        <w:spacing w:after="0" w:line="6" w:lineRule="exact"/>
        <w:rPr>
          <w:sz w:val="20"/>
          <w:szCs w:val="20"/>
          <w:color w:val="auto"/>
        </w:rPr>
      </w:pPr>
    </w:p>
    <w:p>
      <w:pPr>
        <w:ind w:left="1060" w:right="2119" w:hanging="526"/>
        <w:spacing w:after="0" w:line="235" w:lineRule="auto"/>
        <w:tabs>
          <w:tab w:leader="none" w:pos="74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International Financing Corporation (parent holding company of BNY Mellon Trust Company (Cayman) Limited)</w:t>
      </w:r>
    </w:p>
    <w:p>
      <w:pPr>
        <w:spacing w:after="0" w:line="6" w:lineRule="exact"/>
        <w:rPr>
          <w:sz w:val="20"/>
          <w:szCs w:val="20"/>
          <w:color w:val="auto"/>
        </w:rPr>
      </w:pPr>
    </w:p>
    <w:p>
      <w:pPr>
        <w:ind w:left="1060" w:right="2659" w:hanging="526"/>
        <w:spacing w:after="0" w:line="235" w:lineRule="auto"/>
        <w:tabs>
          <w:tab w:leader="none" w:pos="74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Capital Markets Holdings, Inc. (parent holding company of BNY Mellon Capital Markets, LLC)</w:t>
      </w:r>
    </w:p>
    <w:p>
      <w:pPr>
        <w:spacing w:after="0" w:line="6" w:lineRule="exact"/>
        <w:rPr>
          <w:sz w:val="20"/>
          <w:szCs w:val="20"/>
          <w:color w:val="auto"/>
        </w:rPr>
      </w:pPr>
    </w:p>
    <w:p>
      <w:pPr>
        <w:ind w:left="1060" w:right="2559" w:hanging="526"/>
        <w:spacing w:after="0" w:line="235" w:lineRule="auto"/>
        <w:tabs>
          <w:tab w:leader="none" w:pos="744"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Global Investing Corporation (parent holding company of Insight North America LLC)</w:t>
      </w:r>
    </w:p>
    <w:p>
      <w:pPr>
        <w:spacing w:after="0" w:line="200" w:lineRule="exact"/>
        <w:rPr>
          <w:sz w:val="20"/>
          <w:szCs w:val="20"/>
          <w:color w:val="auto"/>
        </w:rPr>
      </w:pPr>
    </w:p>
    <w:p>
      <w:pPr>
        <w:spacing w:after="0" w:line="211"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NOTE: ALL OF THE LEGAL ENTITIES LISTED UNDER (A), (B), (C) AND (D) ABOVE ARE DIRECT OR INDIRECT SUBSIDIARIES OF THE BANK OF NEW YORK MELLON CORPORATION. 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THE BANK OF NEW YORK MELLON CORPORATION'S REPORTING PERSON PAGE. (DO NOT ADD THE SHARES OR PERCENT OF CLASS REPORTED ON EACH JOINT REPORTING PERSON PAGE ON THE ATTACHED SCHEDULE 13G TO DETERMINE THE TOTAL PERCENT OF CLASS FOR THE BANK OF NEW YORK MELLON CORPORATION).</w:t>
      </w:r>
    </w:p>
    <w:p>
      <w:pPr>
        <w:sectPr>
          <w:pgSz w:w="11900" w:h="16838" w:orient="portrait"/>
          <w:cols w:equalWidth="0" w:num="1">
            <w:col w:w="10139"/>
          </w:cols>
          <w:pgMar w:left="320" w:top="136" w:right="1440" w:bottom="753" w:gutter="0" w:footer="0" w:header="0"/>
        </w:sectPr>
      </w:pPr>
    </w:p>
    <w:bookmarkStart w:id="5" w:name="page6"/>
    <w:bookmarkEnd w:id="5"/>
    <w:p>
      <w:pPr>
        <w:jc w:val="center"/>
        <w:ind w:right="2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KNOW ALL PERSONS BY THESE PRESENTS that each of the undersigned (each a "Company") does hereby make, constitute and appoint each of Ivan Arias and Andrew Weiser (and any other employee of The Bank of New York Mellon Corporation, or one of its affiliates, associated with the Global Holdings Reporting Group and designated in writing by one of the attorneys-in-fact), acting individually, its true and lawful attorney to execute and deliver in its name and on its behalf, whether the Company is acting individually or as representative of others, any and all filings, be they written or oral, required to be made by the Company with respect to securities which may be deemed to be beneficially owned by the Company or under the Company's investment discretion under:</w:t>
      </w:r>
    </w:p>
    <w:p>
      <w:pPr>
        <w:spacing w:after="0" w:line="215" w:lineRule="exact"/>
        <w:rPr>
          <w:sz w:val="20"/>
          <w:szCs w:val="20"/>
          <w:color w:val="auto"/>
        </w:rPr>
      </w:pPr>
    </w:p>
    <w:p>
      <w:pPr>
        <w:ind w:left="540" w:right="2979" w:hanging="104"/>
        <w:spacing w:after="0" w:line="279" w:lineRule="auto"/>
        <w:rPr>
          <w:sz w:val="20"/>
          <w:szCs w:val="20"/>
          <w:color w:val="auto"/>
        </w:rPr>
      </w:pPr>
      <w:r>
        <w:rPr>
          <w:rFonts w:ascii="Courier New" w:cs="Courier New" w:eastAsia="Courier New" w:hAnsi="Courier New"/>
          <w:sz w:val="16"/>
          <w:szCs w:val="16"/>
          <w:color w:val="auto"/>
        </w:rPr>
        <w:t>*the Securities Exchange Act of 1934, as amended (the "Exchange Act"), including those filings required to be submitted on Form 13F, Schedule 13G, Schedule 13D and Forms 3, 4 and 5, and</w:t>
      </w:r>
    </w:p>
    <w:p>
      <w:pPr>
        <w:spacing w:after="0" w:line="17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laws of any jurisdiction other than the United States</w:t>
      </w:r>
    </w:p>
    <w:p>
      <w:pPr>
        <w:spacing w:after="0" w:line="4" w:lineRule="exact"/>
        <w:rPr>
          <w:sz w:val="20"/>
          <w:szCs w:val="20"/>
          <w:color w:val="auto"/>
        </w:rPr>
      </w:pPr>
    </w:p>
    <w:p>
      <w:pPr>
        <w:ind w:left="540" w:right="2979"/>
        <w:spacing w:after="0" w:line="236" w:lineRule="auto"/>
        <w:rPr>
          <w:sz w:val="20"/>
          <w:szCs w:val="20"/>
          <w:color w:val="auto"/>
        </w:rPr>
      </w:pPr>
      <w:r>
        <w:rPr>
          <w:rFonts w:ascii="Courier New" w:cs="Courier New" w:eastAsia="Courier New" w:hAnsi="Courier New"/>
          <w:sz w:val="18"/>
          <w:szCs w:val="18"/>
          <w:color w:val="auto"/>
        </w:rPr>
        <w:t>of America, including those filings made to disclose securities holdings as required to be submitted to regulatory agencies, exchanges and/or issuers,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giving and granting unto each said attorney-in-fact power and authority</w:t>
      </w:r>
    </w:p>
    <w:p>
      <w:pPr>
        <w:spacing w:after="0" w:line="238" w:lineRule="auto"/>
        <w:rPr>
          <w:sz w:val="20"/>
          <w:szCs w:val="20"/>
          <w:color w:val="auto"/>
        </w:rPr>
      </w:pPr>
      <w:r>
        <w:rPr>
          <w:rFonts w:ascii="Courier New" w:cs="Courier New" w:eastAsia="Courier New" w:hAnsi="Courier New"/>
          <w:sz w:val="18"/>
          <w:szCs w:val="18"/>
          <w:color w:val="auto"/>
        </w:rPr>
        <w:t>to correspond with issuers, regulatory authorities, and other entities</w:t>
      </w:r>
    </w:p>
    <w:p>
      <w:pPr>
        <w:spacing w:after="0" w:line="238" w:lineRule="auto"/>
        <w:rPr>
          <w:sz w:val="20"/>
          <w:szCs w:val="20"/>
          <w:color w:val="auto"/>
        </w:rPr>
      </w:pPr>
      <w:r>
        <w:rPr>
          <w:rFonts w:ascii="Courier New" w:cs="Courier New" w:eastAsia="Courier New" w:hAnsi="Courier New"/>
          <w:sz w:val="18"/>
          <w:szCs w:val="18"/>
          <w:color w:val="auto"/>
        </w:rPr>
        <w:t>as is required in support of the filings referenced above, and to act</w:t>
      </w:r>
    </w:p>
    <w:p>
      <w:pPr>
        <w:spacing w:after="0"/>
        <w:tabs>
          <w:tab w:leader="none" w:pos="840" w:val="left"/>
        </w:tabs>
        <w:rPr>
          <w:sz w:val="20"/>
          <w:szCs w:val="20"/>
          <w:color w:val="auto"/>
        </w:rPr>
      </w:pPr>
      <w:r>
        <w:rPr>
          <w:rFonts w:ascii="Courier New" w:cs="Courier New" w:eastAsia="Courier New" w:hAnsi="Courier New"/>
          <w:sz w:val="18"/>
          <w:szCs w:val="18"/>
          <w:color w:val="auto"/>
        </w:rPr>
        <w:t>in the</w:t>
      </w:r>
      <w:r>
        <w:rPr>
          <w:sz w:val="20"/>
          <w:szCs w:val="20"/>
          <w:color w:val="auto"/>
        </w:rPr>
        <w:tab/>
      </w:r>
      <w:r>
        <w:rPr>
          <w:rFonts w:ascii="Courier New" w:cs="Courier New" w:eastAsia="Courier New" w:hAnsi="Courier New"/>
          <w:sz w:val="16"/>
          <w:szCs w:val="16"/>
          <w:color w:val="auto"/>
        </w:rPr>
        <w:t>premises as fully and to all intents and purposes as the Company</w:t>
      </w:r>
    </w:p>
    <w:p>
      <w:pPr>
        <w:spacing w:after="0" w:line="237" w:lineRule="auto"/>
        <w:rPr>
          <w:sz w:val="20"/>
          <w:szCs w:val="20"/>
          <w:color w:val="auto"/>
        </w:rPr>
      </w:pPr>
      <w:r>
        <w:rPr>
          <w:rFonts w:ascii="Courier New" w:cs="Courier New" w:eastAsia="Courier New" w:hAnsi="Courier New"/>
          <w:sz w:val="18"/>
          <w:szCs w:val="18"/>
          <w:color w:val="auto"/>
        </w:rPr>
        <w:t>might or could do to comply with the applicable regulations if personally</w:t>
      </w:r>
    </w:p>
    <w:p>
      <w:pPr>
        <w:spacing w:after="0" w:line="238" w:lineRule="auto"/>
        <w:rPr>
          <w:sz w:val="20"/>
          <w:szCs w:val="20"/>
          <w:color w:val="auto"/>
        </w:rPr>
      </w:pPr>
      <w:r>
        <w:rPr>
          <w:rFonts w:ascii="Courier New" w:cs="Courier New" w:eastAsia="Courier New" w:hAnsi="Courier New"/>
          <w:sz w:val="18"/>
          <w:szCs w:val="18"/>
          <w:color w:val="auto"/>
        </w:rPr>
        <w:t>present by one of its authorized signatories (including, but not limited</w:t>
      </w:r>
    </w:p>
    <w:p>
      <w:pPr>
        <w:spacing w:after="0"/>
        <w:rPr>
          <w:sz w:val="20"/>
          <w:szCs w:val="20"/>
          <w:color w:val="auto"/>
        </w:rPr>
      </w:pPr>
      <w:r>
        <w:rPr>
          <w:rFonts w:ascii="Courier New" w:cs="Courier New" w:eastAsia="Courier New" w:hAnsi="Courier New"/>
          <w:sz w:val="18"/>
          <w:szCs w:val="18"/>
          <w:color w:val="auto"/>
        </w:rPr>
        <w:t>to, instructing local counsel on a Company's behalf), hereby ratifying</w:t>
      </w:r>
    </w:p>
    <w:p>
      <w:pPr>
        <w:spacing w:after="0" w:line="237" w:lineRule="auto"/>
        <w:rPr>
          <w:sz w:val="20"/>
          <w:szCs w:val="20"/>
          <w:color w:val="auto"/>
        </w:rPr>
      </w:pPr>
      <w:r>
        <w:rPr>
          <w:rFonts w:ascii="Courier New" w:cs="Courier New" w:eastAsia="Courier New" w:hAnsi="Courier New"/>
          <w:sz w:val="18"/>
          <w:szCs w:val="18"/>
          <w:color w:val="auto"/>
        </w:rPr>
        <w:t>and confirming all that said attorney-in-fact shall lawfully do or cause</w:t>
      </w:r>
    </w:p>
    <w:p>
      <w:pPr>
        <w:spacing w:after="0" w:line="207" w:lineRule="exact"/>
        <w:rPr>
          <w:sz w:val="20"/>
          <w:szCs w:val="20"/>
          <w:color w:val="auto"/>
        </w:rPr>
      </w:pPr>
    </w:p>
    <w:p>
      <w:pPr>
        <w:ind w:right="2439"/>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either revoked in writing by the Company or until such time as the person or</w:t>
      </w:r>
    </w:p>
    <w:p>
      <w:pPr>
        <w:ind w:right="2019"/>
        <w:spacing w:after="0" w:line="290" w:lineRule="auto"/>
        <w:rPr>
          <w:sz w:val="20"/>
          <w:szCs w:val="20"/>
          <w:color w:val="auto"/>
        </w:rPr>
      </w:pPr>
      <w:r>
        <w:rPr>
          <w:rFonts w:ascii="Courier New" w:cs="Courier New" w:eastAsia="Courier New" w:hAnsi="Courier New"/>
          <w:sz w:val="16"/>
          <w:szCs w:val="16"/>
          <w:color w:val="auto"/>
        </w:rPr>
        <w:t>to whom power of attorney has been hereby granted cease(s) to be an persons employee of The Bank of New York Mellon Corporation or one of its affiliates.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may be executed in any number of counterparts</w:t>
      </w:r>
    </w:p>
    <w:p>
      <w:pPr>
        <w:spacing w:after="0" w:line="238" w:lineRule="auto"/>
        <w:rPr>
          <w:sz w:val="20"/>
          <w:szCs w:val="20"/>
          <w:color w:val="auto"/>
        </w:rPr>
      </w:pPr>
      <w:r>
        <w:rPr>
          <w:rFonts w:ascii="Courier New" w:cs="Courier New" w:eastAsia="Courier New" w:hAnsi="Courier New"/>
          <w:sz w:val="18"/>
          <w:szCs w:val="18"/>
          <w:color w:val="auto"/>
        </w:rPr>
        <w:t>all of which taken together shall constitute one and the same instrument.</w:t>
      </w:r>
    </w:p>
    <w:p>
      <w:pPr>
        <w:spacing w:after="0" w:line="207"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36" w:right="1440" w:bottom="0" w:gutter="0" w:footer="0" w:header="0"/>
        </w:sectPr>
      </w:pPr>
    </w:p>
    <w:p>
      <w:pPr>
        <w:spacing w:after="0" w:line="22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ind w:left="420"/>
        <w:spacing w:after="0"/>
        <w:rPr>
          <w:sz w:val="20"/>
          <w:szCs w:val="20"/>
          <w:color w:val="auto"/>
        </w:rPr>
      </w:pPr>
      <w:r>
        <w:rPr>
          <w:rFonts w:ascii="Courier New" w:cs="Courier New" w:eastAsia="Courier New" w:hAnsi="Courier New"/>
          <w:sz w:val="18"/>
          <w:szCs w:val="18"/>
          <w:color w:val="auto"/>
        </w:rPr>
        <w:t>Chief Executive Officer,</w:t>
      </w:r>
    </w:p>
    <w:p>
      <w:pPr>
        <w:ind w:left="420"/>
        <w:spacing w:after="0" w:line="237" w:lineRule="auto"/>
        <w:rPr>
          <w:sz w:val="20"/>
          <w:szCs w:val="20"/>
          <w:color w:val="auto"/>
        </w:rPr>
      </w:pPr>
      <w:r>
        <w:rPr>
          <w:rFonts w:ascii="Courier New" w:cs="Courier New" w:eastAsia="Courier New" w:hAnsi="Courier New"/>
          <w:sz w:val="18"/>
          <w:szCs w:val="18"/>
          <w:color w:val="auto"/>
        </w:rPr>
        <w:t>Investment Management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March 17, 2017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Thomas J. Dicker</w:t>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9,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jc w:val="right"/>
        <w:spacing w:after="0"/>
        <w:rPr>
          <w:sz w:val="20"/>
          <w:szCs w:val="20"/>
          <w:color w:val="auto"/>
        </w:rPr>
      </w:pPr>
      <w:r>
        <w:rPr>
          <w:rFonts w:ascii="Courier New" w:cs="Courier New" w:eastAsia="Courier New" w:hAnsi="Courier New"/>
          <w:sz w:val="18"/>
          <w:szCs w:val="18"/>
          <w:color w:val="auto"/>
        </w:rPr>
        <w:t>Senior Executive Vice 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September 18, 2015</w:t>
      </w:r>
    </w:p>
    <w:p>
      <w:pPr>
        <w:spacing w:after="0" w:line="200" w:lineRule="exact"/>
        <w:rPr>
          <w:sz w:val="20"/>
          <w:szCs w:val="20"/>
          <w:color w:val="auto"/>
        </w:rPr>
      </w:pPr>
    </w:p>
    <w:p>
      <w:pPr>
        <w:spacing w:after="0" w:line="21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ANTONIO PORTUONDO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Donald Heberle</w:t>
      </w:r>
    </w:p>
    <w:p>
      <w:pPr>
        <w:ind w:left="54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September 16,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Laura Ahto</w:t>
      </w:r>
    </w:p>
    <w:p>
      <w:pPr>
        <w:ind w:left="420"/>
        <w:spacing w:after="0"/>
        <w:rPr>
          <w:sz w:val="20"/>
          <w:szCs w:val="20"/>
          <w:color w:val="auto"/>
        </w:rPr>
      </w:pPr>
      <w:r>
        <w:rPr>
          <w:rFonts w:ascii="Courier New" w:cs="Courier New" w:eastAsia="Courier New" w:hAnsi="Courier New"/>
          <w:sz w:val="18"/>
          <w:szCs w:val="18"/>
          <w:color w:val="auto"/>
        </w:rPr>
        <w:t>Chief Executive Officer</w:t>
      </w:r>
    </w:p>
    <w:p>
      <w:pPr>
        <w:spacing w:after="0" w:line="237"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Curtis Arledge</w:t>
      </w:r>
    </w:p>
    <w:p>
      <w:pPr>
        <w:ind w:left="540"/>
        <w:spacing w:after="0"/>
        <w:rPr>
          <w:sz w:val="20"/>
          <w:szCs w:val="20"/>
          <w:color w:val="auto"/>
        </w:rPr>
      </w:pPr>
      <w:r>
        <w:rPr>
          <w:rFonts w:ascii="Courier New" w:cs="Courier New" w:eastAsia="Courier New" w:hAnsi="Courier New"/>
          <w:sz w:val="18"/>
          <w:szCs w:val="18"/>
          <w:color w:val="auto"/>
        </w:rPr>
        <w:t>Vice Chairman</w:t>
      </w:r>
    </w:p>
    <w:p>
      <w:pPr>
        <w:ind w:left="220"/>
        <w:spacing w:after="0" w:line="237" w:lineRule="auto"/>
        <w:tabs>
          <w:tab w:leader="none" w:pos="940" w:val="left"/>
        </w:tabs>
        <w:rPr>
          <w:sz w:val="20"/>
          <w:szCs w:val="20"/>
          <w:color w:val="auto"/>
        </w:rPr>
      </w:pPr>
      <w:r>
        <w:rPr>
          <w:rFonts w:ascii="Courier New" w:cs="Courier New" w:eastAsia="Courier New" w:hAnsi="Courier New"/>
          <w:sz w:val="18"/>
          <w:szCs w:val="18"/>
          <w:color w:val="auto"/>
        </w:rPr>
        <w:t>Date:</w:t>
        <w:tab/>
        <w:t>August 26, 2015</w:t>
      </w:r>
    </w:p>
    <w:p>
      <w:pPr>
        <w:spacing w:after="0" w:line="200" w:lineRule="exact"/>
        <w:rPr>
          <w:sz w:val="20"/>
          <w:szCs w:val="20"/>
          <w:color w:val="auto"/>
        </w:rPr>
      </w:pPr>
    </w:p>
    <w:p>
      <w:pPr>
        <w:spacing w:after="0" w:line="210" w:lineRule="exact"/>
        <w:rPr>
          <w:sz w:val="20"/>
          <w:szCs w:val="20"/>
          <w:color w:val="auto"/>
        </w:rPr>
      </w:pPr>
    </w:p>
    <w:p>
      <w:pPr>
        <w:ind w:right="2339"/>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3700" w:space="620"/>
            <w:col w:w="5819"/>
          </w:cols>
          <w:pgMar w:left="320" w:top="136" w:right="1440" w:bottom="0" w:gutter="0" w:footer="0" w:header="0"/>
          <w:type w:val="continuous"/>
        </w:sectPr>
      </w:pPr>
    </w:p>
    <w:bookmarkStart w:id="6" w:name="page7"/>
    <w:bookmarkEnd w:id="6"/>
    <w:p>
      <w:pPr>
        <w:ind w:left="420"/>
        <w:spacing w:after="0"/>
        <w:tabs>
          <w:tab w:leader="none" w:pos="4840" w:val="left"/>
        </w:tabs>
        <w:rPr>
          <w:sz w:val="20"/>
          <w:szCs w:val="20"/>
          <w:color w:val="auto"/>
        </w:rPr>
      </w:pPr>
      <w:r>
        <w:rPr>
          <w:rFonts w:ascii="Courier New" w:cs="Courier New" w:eastAsia="Courier New" w:hAnsi="Courier New"/>
          <w:sz w:val="18"/>
          <w:szCs w:val="18"/>
          <w:color w:val="auto"/>
        </w:rPr>
        <w:t>Antonio Portuondo</w:t>
      </w:r>
      <w:r>
        <w:rPr>
          <w:sz w:val="20"/>
          <w:szCs w:val="20"/>
          <w:color w:val="auto"/>
        </w:rPr>
        <w:tab/>
      </w:r>
      <w:r>
        <w:rPr>
          <w:rFonts w:ascii="Courier New" w:cs="Courier New" w:eastAsia="Courier New" w:hAnsi="Courier New"/>
          <w:sz w:val="16"/>
          <w:szCs w:val="16"/>
          <w:color w:val="auto"/>
        </w:rPr>
        <w:t>Kurtis R. Kurimsky</w:t>
      </w:r>
    </w:p>
    <w:p>
      <w:pPr>
        <w:ind w:left="420"/>
        <w:spacing w:after="0" w:line="238" w:lineRule="auto"/>
        <w:tabs>
          <w:tab w:leader="none" w:pos="4840" w:val="left"/>
        </w:tabs>
        <w:rPr>
          <w:sz w:val="20"/>
          <w:szCs w:val="20"/>
          <w:color w:val="auto"/>
        </w:rPr>
      </w:pPr>
      <w:r>
        <w:rPr>
          <w:rFonts w:ascii="Courier New" w:cs="Courier New" w:eastAsia="Courier New" w:hAnsi="Courier New"/>
          <w:sz w:val="18"/>
          <w:szCs w:val="18"/>
          <w:color w:val="auto"/>
        </w:rPr>
        <w:t>President</w:t>
      </w:r>
      <w:r>
        <w:rPr>
          <w:sz w:val="20"/>
          <w:szCs w:val="20"/>
          <w:color w:val="auto"/>
        </w:rPr>
        <w:tab/>
      </w:r>
      <w:r>
        <w:rPr>
          <w:rFonts w:ascii="Courier New" w:cs="Courier New" w:eastAsia="Courier New" w:hAnsi="Courier New"/>
          <w:sz w:val="18"/>
          <w:szCs w:val="18"/>
          <w:color w:val="auto"/>
        </w:rPr>
        <w:t>Executive Vice President</w:t>
      </w:r>
    </w:p>
    <w:p>
      <w:pPr>
        <w:spacing w:after="0"/>
        <w:tabs>
          <w:tab w:leader="none" w:pos="720" w:val="left"/>
          <w:tab w:leader="none" w:pos="4300" w:val="left"/>
          <w:tab w:leader="none" w:pos="5040" w:val="left"/>
        </w:tabs>
        <w:rPr>
          <w:sz w:val="20"/>
          <w:szCs w:val="20"/>
          <w:color w:val="auto"/>
        </w:rPr>
      </w:pPr>
      <w:r>
        <w:rPr>
          <w:rFonts w:ascii="Courier New" w:cs="Courier New" w:eastAsia="Courier New" w:hAnsi="Courier New"/>
          <w:sz w:val="18"/>
          <w:szCs w:val="18"/>
          <w:color w:val="auto"/>
        </w:rPr>
        <w:t>Date:</w:t>
        <w:tab/>
        <w:t>October 20, 2015</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8, 2016</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BNY MELLON TRUST OF DELAWARE</w:t>
      </w:r>
      <w:r>
        <w:rPr>
          <w:sz w:val="20"/>
          <w:szCs w:val="20"/>
          <w:color w:val="auto"/>
        </w:rPr>
        <w:tab/>
      </w:r>
      <w:r>
        <w:rPr>
          <w:rFonts w:ascii="Courier New" w:cs="Courier New" w:eastAsia="Courier New" w:hAnsi="Courier New"/>
          <w:sz w:val="16"/>
          <w:szCs w:val="16"/>
          <w:color w:val="auto"/>
        </w:rPr>
        <w:t>BNY MELLON TRUST OF DELAWARE</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By: /S/ JAMES P. AMBAGIS</w:t>
      </w:r>
      <w:r>
        <w:rPr>
          <w:sz w:val="20"/>
          <w:szCs w:val="20"/>
          <w:color w:val="auto"/>
        </w:rPr>
        <w:tab/>
      </w:r>
      <w:r>
        <w:rPr>
          <w:rFonts w:ascii="Courier New" w:cs="Courier New" w:eastAsia="Courier New" w:hAnsi="Courier New"/>
          <w:sz w:val="16"/>
          <w:szCs w:val="16"/>
          <w:color w:val="auto"/>
        </w:rPr>
        <w:t>By: /S/ LEE JAMES WOOLLEY</w:t>
      </w:r>
    </w:p>
    <w:p>
      <w:pPr>
        <w:ind w:left="4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4940" w:val="left"/>
        </w:tabs>
        <w:rPr>
          <w:sz w:val="20"/>
          <w:szCs w:val="20"/>
          <w:color w:val="auto"/>
        </w:rPr>
      </w:pPr>
      <w:r>
        <w:rPr>
          <w:rFonts w:ascii="Courier New" w:cs="Courier New" w:eastAsia="Courier New" w:hAnsi="Courier New"/>
          <w:sz w:val="18"/>
          <w:szCs w:val="18"/>
          <w:color w:val="auto"/>
        </w:rPr>
        <w:t>James P. Ambagis</w:t>
      </w:r>
      <w:r>
        <w:rPr>
          <w:sz w:val="20"/>
          <w:szCs w:val="20"/>
          <w:color w:val="auto"/>
        </w:rPr>
        <w:tab/>
      </w:r>
      <w:r>
        <w:rPr>
          <w:rFonts w:ascii="Courier New" w:cs="Courier New" w:eastAsia="Courier New" w:hAnsi="Courier New"/>
          <w:sz w:val="16"/>
          <w:szCs w:val="16"/>
          <w:color w:val="auto"/>
        </w:rPr>
        <w:t>Lee James Woolley</w:t>
      </w:r>
    </w:p>
    <w:p>
      <w:pPr>
        <w:ind w:left="420"/>
        <w:spacing w:after="0"/>
        <w:tabs>
          <w:tab w:leader="none" w:pos="4940" w:val="left"/>
        </w:tabs>
        <w:rPr>
          <w:sz w:val="20"/>
          <w:szCs w:val="20"/>
          <w:color w:val="auto"/>
        </w:rPr>
      </w:pPr>
      <w:r>
        <w:rPr>
          <w:rFonts w:ascii="Courier New" w:cs="Courier New" w:eastAsia="Courier New" w:hAnsi="Courier New"/>
          <w:sz w:val="18"/>
          <w:szCs w:val="18"/>
          <w:color w:val="auto"/>
        </w:rPr>
        <w:t>President</w:t>
      </w:r>
      <w:r>
        <w:rPr>
          <w:sz w:val="20"/>
          <w:szCs w:val="20"/>
          <w:color w:val="auto"/>
        </w:rPr>
        <w:tab/>
      </w:r>
      <w:r>
        <w:rPr>
          <w:rFonts w:ascii="Courier New" w:cs="Courier New" w:eastAsia="Courier New" w:hAnsi="Courier New"/>
          <w:sz w:val="18"/>
          <w:szCs w:val="18"/>
          <w:color w:val="auto"/>
        </w:rPr>
        <w:t>Chairman and</w:t>
      </w:r>
    </w:p>
    <w:p>
      <w:pPr>
        <w:ind w:left="496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 w:leader="none" w:pos="4300" w:val="left"/>
          <w:tab w:leader="none" w:pos="5040" w:val="left"/>
        </w:tabs>
        <w:rPr>
          <w:sz w:val="20"/>
          <w:szCs w:val="20"/>
          <w:color w:val="auto"/>
        </w:rPr>
      </w:pPr>
      <w:r>
        <w:rPr>
          <w:rFonts w:ascii="Courier New" w:cs="Courier New" w:eastAsia="Courier New" w:hAnsi="Courier New"/>
          <w:sz w:val="18"/>
          <w:szCs w:val="18"/>
          <w:color w:val="auto"/>
        </w:rPr>
        <w:t>Date:</w:t>
        <w:tab/>
        <w:t>October 21, 2015</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36" w:right="1440" w:bottom="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PERSHING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CLAIRE SANTANIELLO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Claire Santaniello</w:t>
      </w:r>
    </w:p>
    <w:p>
      <w:pPr>
        <w:ind w:left="420"/>
        <w:spacing w:after="0"/>
        <w:rPr>
          <w:sz w:val="20"/>
          <w:szCs w:val="20"/>
          <w:color w:val="auto"/>
        </w:rPr>
      </w:pPr>
      <w:r>
        <w:rPr>
          <w:rFonts w:ascii="Courier New" w:cs="Courier New" w:eastAsia="Courier New" w:hAnsi="Courier New"/>
          <w:sz w:val="18"/>
          <w:szCs w:val="18"/>
          <w:color w:val="auto"/>
        </w:rPr>
        <w:t>Chief Administrative Officer</w:t>
      </w:r>
    </w:p>
    <w:p>
      <w:pPr>
        <w:ind w:left="420"/>
        <w:spacing w:after="0" w:line="237" w:lineRule="auto"/>
        <w:rPr>
          <w:sz w:val="20"/>
          <w:szCs w:val="20"/>
          <w:color w:val="auto"/>
        </w:rPr>
      </w:pPr>
      <w:r>
        <w:rPr>
          <w:rFonts w:ascii="Courier New" w:cs="Courier New" w:eastAsia="Courier New" w:hAnsi="Courier New"/>
          <w:sz w:val="18"/>
          <w:szCs w:val="18"/>
          <w:color w:val="auto"/>
        </w:rPr>
        <w:t>and Chief Risk Officer</w:t>
      </w:r>
    </w:p>
    <w:p>
      <w:pPr>
        <w:spacing w:after="0"/>
        <w:tabs>
          <w:tab w:leader="none" w:pos="720" w:val="left"/>
          <w:tab w:leader="none" w:pos="1260" w:val="left"/>
        </w:tabs>
        <w:rPr>
          <w:sz w:val="20"/>
          <w:szCs w:val="20"/>
          <w:color w:val="auto"/>
        </w:rPr>
      </w:pPr>
      <w:r>
        <w:rPr>
          <w:rFonts w:ascii="Courier New" w:cs="Courier New" w:eastAsia="Courier New" w:hAnsi="Courier New"/>
          <w:sz w:val="18"/>
          <w:szCs w:val="18"/>
          <w:color w:val="auto"/>
        </w:rPr>
        <w:t>Date:</w:t>
        <w:tab/>
        <w:t>May</w:t>
      </w:r>
      <w:r>
        <w:rPr>
          <w:sz w:val="20"/>
          <w:szCs w:val="20"/>
          <w:color w:val="auto"/>
        </w:rPr>
        <w:tab/>
      </w:r>
      <w:r>
        <w:rPr>
          <w:rFonts w:ascii="Courier New" w:cs="Courier New" w:eastAsia="Courier New" w:hAnsi="Courier New"/>
          <w:sz w:val="16"/>
          <w:szCs w:val="16"/>
          <w:color w:val="auto"/>
        </w:rPr>
        <w:t>24, 2016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Camila Souza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right="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08"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Gustavo Castello Branco</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ADVISER, INC</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Bitetto</w:t>
      </w:r>
    </w:p>
    <w:p>
      <w:pPr>
        <w:ind w:left="420"/>
        <w:spacing w:after="0"/>
        <w:rPr>
          <w:sz w:val="20"/>
          <w:szCs w:val="20"/>
          <w:color w:val="auto"/>
        </w:rPr>
      </w:pPr>
      <w:r>
        <w:rPr>
          <w:rFonts w:ascii="Courier New" w:cs="Courier New" w:eastAsia="Courier New" w:hAnsi="Courier New"/>
          <w:sz w:val="18"/>
          <w:szCs w:val="18"/>
          <w:color w:val="auto"/>
        </w:rPr>
        <w:t>Secretary</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June 03,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BRETT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John J. Brett</w:t>
      </w:r>
    </w:p>
    <w:p>
      <w:pPr>
        <w:ind w:left="420"/>
        <w:spacing w:after="0"/>
        <w:rPr>
          <w:sz w:val="20"/>
          <w:szCs w:val="20"/>
          <w:color w:val="auto"/>
        </w:rPr>
      </w:pPr>
      <w:r>
        <w:rPr>
          <w:rFonts w:ascii="Courier New" w:cs="Courier New" w:eastAsia="Courier New" w:hAnsi="Courier New"/>
          <w:sz w:val="18"/>
          <w:szCs w:val="18"/>
          <w:color w:val="auto"/>
        </w:rPr>
        <w:t>Chairman</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July 30, 2015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CAPITAL MARKETS,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JEFF GEARHART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Jeff Gearhart</w:t>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19,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GUILHERME ABRY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Guilherme Abry</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right="223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10"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Camila Souza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INSIGHT INVESTMENT MANAGEMENT</w:t>
      </w:r>
    </w:p>
    <w:p>
      <w:pPr>
        <w:spacing w:after="0" w:line="238" w:lineRule="auto"/>
        <w:rPr>
          <w:sz w:val="20"/>
          <w:szCs w:val="20"/>
          <w:color w:val="auto"/>
        </w:rPr>
      </w:pPr>
      <w:r>
        <w:rPr>
          <w:rFonts w:ascii="Courier New" w:cs="Courier New" w:eastAsia="Courier New" w:hAnsi="Courier New"/>
          <w:sz w:val="18"/>
          <w:szCs w:val="18"/>
          <w:color w:val="auto"/>
        </w:rPr>
        <w:t>(GLOBAL)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FARQUHARSON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Charles Farquharson</w:t>
      </w:r>
    </w:p>
    <w:p>
      <w:pPr>
        <w:ind w:left="420"/>
        <w:spacing w:after="0"/>
        <w:rPr>
          <w:sz w:val="20"/>
          <w:szCs w:val="20"/>
          <w:color w:val="auto"/>
        </w:rPr>
      </w:pPr>
      <w:r>
        <w:rPr>
          <w:rFonts w:ascii="Courier New" w:cs="Courier New" w:eastAsia="Courier New" w:hAnsi="Courier New"/>
          <w:sz w:val="18"/>
          <w:szCs w:val="18"/>
          <w:color w:val="auto"/>
        </w:rPr>
        <w:t>Chief Risk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February 16, 2016</w:t>
      </w:r>
    </w:p>
    <w:p>
      <w:pPr>
        <w:spacing w:after="0" w:line="200" w:lineRule="exact"/>
        <w:rPr>
          <w:sz w:val="20"/>
          <w:szCs w:val="20"/>
          <w:color w:val="auto"/>
        </w:rPr>
      </w:pPr>
    </w:p>
    <w:p>
      <w:pPr>
        <w:spacing w:after="0" w:line="210"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BNY MELLON INVESTMENT MANAGEMENT JAPAN LIMITED</w:t>
      </w:r>
    </w:p>
    <w:p>
      <w:pPr>
        <w:spacing w:after="0"/>
        <w:rPr>
          <w:sz w:val="20"/>
          <w:szCs w:val="20"/>
          <w:color w:val="auto"/>
        </w:rPr>
      </w:pPr>
      <w:r>
        <w:rPr>
          <w:rFonts w:ascii="Courier New" w:cs="Courier New" w:eastAsia="Courier New" w:hAnsi="Courier New"/>
          <w:sz w:val="18"/>
          <w:szCs w:val="18"/>
          <w:color w:val="auto"/>
        </w:rPr>
        <w:t>By: /S/ SHOGO YAMAGUCHI</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Shogo Yamaguchi</w:t>
      </w:r>
    </w:p>
    <w:p>
      <w:pPr>
        <w:spacing w:after="0"/>
        <w:rPr>
          <w:sz w:val="20"/>
          <w:szCs w:val="20"/>
          <w:color w:val="auto"/>
        </w:rPr>
      </w:pPr>
      <w:r>
        <w:rPr>
          <w:rFonts w:ascii="Courier New" w:cs="Courier New" w:eastAsia="Courier New" w:hAnsi="Courier New"/>
          <w:sz w:val="18"/>
          <w:szCs w:val="18"/>
          <w:color w:val="auto"/>
        </w:rPr>
        <w:t>Representative Director</w:t>
      </w:r>
    </w:p>
    <w:p>
      <w:pPr>
        <w:spacing w:after="0" w:line="237" w:lineRule="auto"/>
        <w:rPr>
          <w:sz w:val="20"/>
          <w:szCs w:val="20"/>
          <w:color w:val="auto"/>
        </w:rPr>
      </w:pPr>
      <w:r>
        <w:rPr>
          <w:rFonts w:ascii="Courier New" w:cs="Courier New" w:eastAsia="Courier New" w:hAnsi="Courier New"/>
          <w:sz w:val="18"/>
          <w:szCs w:val="18"/>
          <w:color w:val="auto"/>
        </w:rPr>
        <w:t>Chairman and President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April 10, 2020</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MELLON INVESTMENTS CORPORATION</w:t>
      </w:r>
      <w:r>
        <w:rPr>
          <w:sz w:val="20"/>
          <w:szCs w:val="20"/>
          <w:color w:val="auto"/>
        </w:rPr>
        <w:tab/>
      </w:r>
      <w:r>
        <w:rPr>
          <w:rFonts w:ascii="Courier New" w:cs="Courier New" w:eastAsia="Courier New" w:hAnsi="Courier New"/>
          <w:sz w:val="16"/>
          <w:szCs w:val="16"/>
          <w:color w:val="auto"/>
        </w:rPr>
        <w:t>BNY MELLON SECURITIES CORPORATION</w:t>
      </w:r>
    </w:p>
    <w:p>
      <w:pPr>
        <w:sectPr>
          <w:pgSz w:w="11900" w:h="16838" w:orient="portrait"/>
          <w:cols w:equalWidth="0" w:num="1">
            <w:col w:w="10139"/>
          </w:cols>
          <w:pgMar w:left="320" w:top="136" w:right="1440"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JENNIFER CASSEDY</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/S/  KENNETH J. BRADLE</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Jennifer Cassedy</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Kenneth J. Bradle</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January 10, 2019</w:t>
            </w:r>
          </w:p>
        </w:tc>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  June 03, 2019</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 LIMITED</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INSIGHT NORTH AMERICA LLC</w:t>
            </w: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By: /S/</w:t>
            </w:r>
          </w:p>
        </w:tc>
        <w:tc>
          <w:tcPr>
            <w:tcW w:w="3260" w:type="dxa"/>
            <w:vAlign w:val="bottom"/>
          </w:tcPr>
          <w:p>
            <w:pPr>
              <w:ind w:left="220"/>
              <w:spacing w:after="0"/>
              <w:rPr>
                <w:sz w:val="20"/>
                <w:szCs w:val="20"/>
                <w:color w:val="auto"/>
              </w:rPr>
            </w:pPr>
            <w:r>
              <w:rPr>
                <w:rFonts w:ascii="Courier New" w:cs="Courier New" w:eastAsia="Courier New" w:hAnsi="Courier New"/>
                <w:sz w:val="18"/>
                <w:szCs w:val="18"/>
                <w:color w:val="auto"/>
              </w:rPr>
              <w:t>JAMES HELBY</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/S/ JOHN ARIOLA</w:t>
            </w:r>
          </w:p>
        </w:tc>
      </w:tr>
      <w:tr>
        <w:trPr>
          <w:trHeight w:val="202"/>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Helby</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John Ariola</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Head of Financial Analysis</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 December 7, 2016</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w w:val="97"/>
              </w:rPr>
              <w:t>INSIGHT INVESTMENT INTERNATIONAL</w:t>
            </w:r>
          </w:p>
        </w:tc>
      </w:tr>
      <w:tr>
        <w:trPr>
          <w:trHeight w:val="203"/>
        </w:trPr>
        <w:tc>
          <w:tcPr>
            <w:tcW w:w="7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RODGER NISBET</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/S/ LEE PALMER</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Rodger Nisbet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Lee Palmer</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Executive Chairman</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Chief Compliance Officer</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July 15, 2015</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 February 14, 2018</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w w:val="97"/>
              </w:rPr>
              <w:t>BNY MELLON INVESTMENT MANAGEMENT</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CAYMAN LTD</w:t>
            </w:r>
          </w:p>
        </w:tc>
      </w:tr>
      <w:tr>
        <w:trPr>
          <w:trHeight w:val="405"/>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MARIE-CLAUDE LEPAGE</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/S/ BRENDON J. DONNELLAN</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Brendon J.Donnellan</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May 9, 2016</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 August 22, 2016</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LIMITED</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CANELLA SECRETARIES</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(CAYMAN) LTD, SECRETARY</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/S/ PATRICIA BRUZIO</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Gillian Nelson</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Patricia Bruzio</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Authorized Person</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17, 2016</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 May 17, 2016</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ETF INVESTMENT</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BNY Mellon Investor</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ADVISER, LLC</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Solutions, LLC</w:t>
            </w:r>
          </w:p>
        </w:tc>
      </w:tr>
      <w:tr>
        <w:trPr>
          <w:trHeight w:val="405"/>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JENNIFER CASSEDY</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/S/ JAMIE W. LEWIN</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Jennifer Cassedy</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Jamie W. Lewin</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Head of Investor Solutions</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04, 2019</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 July 30, 2020</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HOLDINGS (DELAWARE) CORPORATION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PERSHING GROUP LLC</w:t>
      </w:r>
    </w:p>
    <w:p>
      <w:pPr>
        <w:spacing w:after="0" w:line="200" w:lineRule="exact"/>
        <w:rPr>
          <w:sz w:val="20"/>
          <w:szCs w:val="20"/>
          <w:color w:val="auto"/>
        </w:rPr>
      </w:pPr>
    </w:p>
    <w:p>
      <w:pPr>
        <w:sectPr>
          <w:pgSz w:w="11900" w:h="16838" w:orient="portrait"/>
          <w:cols w:equalWidth="0" w:num="2">
            <w:col w:w="4000" w:space="320"/>
            <w:col w:w="5819"/>
          </w:cols>
          <w:pgMar w:left="320" w:top="339"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James P. Ambagis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CLAIRE SANTANIELLO</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Claire Santaniello</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Administrative Officer</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 Chief Risk Officer</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May 11, 2016</w:t>
      </w:r>
    </w:p>
    <w:p>
      <w:pPr>
        <w:spacing w:after="0" w:line="200" w:lineRule="exact"/>
        <w:rPr>
          <w:sz w:val="20"/>
          <w:szCs w:val="20"/>
          <w:color w:val="auto"/>
        </w:rPr>
      </w:pPr>
    </w:p>
    <w:p>
      <w:pPr>
        <w:sectPr>
          <w:pgSz w:w="11900" w:h="16838" w:orient="portrait"/>
          <w:cols w:equalWidth="0" w:num="2">
            <w:col w:w="3600" w:space="720"/>
            <w:col w:w="5819"/>
          </w:cols>
          <w:pgMar w:left="320" w:top="339" w:right="1440" w:bottom="0" w:gutter="0" w:footer="0" w:header="0"/>
          <w:type w:val="continuous"/>
        </w:sectPr>
      </w:pPr>
    </w:p>
    <w:p>
      <w:pPr>
        <w:spacing w:after="0" w:line="209"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BNY MELLON INVESTMENT MANAGEMENT (APAC) HOLDINGS 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(APAC) HOLDINGS LIMITED</w:t>
      </w:r>
    </w:p>
    <w:p>
      <w:pPr>
        <w:spacing w:after="0" w:line="201" w:lineRule="exact"/>
        <w:rPr>
          <w:sz w:val="20"/>
          <w:szCs w:val="20"/>
          <w:color w:val="auto"/>
        </w:rPr>
      </w:pPr>
    </w:p>
    <w:p>
      <w:pPr>
        <w:sectPr>
          <w:pgSz w:w="11900" w:h="16838" w:orient="portrait"/>
          <w:cols w:equalWidth="0" w:num="2">
            <w:col w:w="3600" w:space="720"/>
            <w:col w:w="5819"/>
          </w:cols>
          <w:pgMar w:left="320" w:top="339"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EMILY CHAN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Emily Chan</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April 19,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DONI SHAMSUDDIN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Doni Shamsuddin</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April 19, 2016</w:t>
      </w:r>
    </w:p>
    <w:p>
      <w:pPr>
        <w:sectPr>
          <w:pgSz w:w="11900" w:h="16838" w:orient="portrait"/>
          <w:cols w:equalWidth="0" w:num="2">
            <w:col w:w="3600" w:space="720"/>
            <w:col w:w="5819"/>
          </w:cols>
          <w:pgMar w:left="320" w:top="339" w:right="1440"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41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w w:val="95"/>
              </w:rPr>
              <w:t>By: /S/</w:t>
            </w:r>
          </w:p>
        </w:tc>
        <w:tc>
          <w:tcPr>
            <w:tcW w:w="3060" w:type="dxa"/>
            <w:vAlign w:val="bottom"/>
          </w:tcPr>
          <w:p>
            <w:pPr>
              <w:ind w:left="200"/>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1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1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1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IHC, LLC</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PAUL A. GRIFFITHS</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Paul A. Griffiths</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Chairman, President and</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Date: March 29, 2017</w:t>
            </w:r>
          </w:p>
        </w:tc>
        <w:tc>
          <w:tcPr>
            <w:tcW w:w="11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April 29,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MELLON OVERSEAS INVESTMENT</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President and Controller</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7, 2015</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February 16,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INTERNATIONAL FINANCING</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INTERNATIONAL FINANCING</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JOHN M. ROY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John M. Roy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Comptroller</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May 12, 2016</w:t>
            </w:r>
          </w:p>
        </w:tc>
        <w:tc>
          <w:tcPr>
            <w:tcW w:w="11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15,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11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EUROPE HOLDINGS LIMITED</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11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21, 2015</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CAPITAL MARKETS HOLDINGS, INC.</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(JERSEY)LIMITED</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THOMAS P. GIBBONS</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Thomas P. Gibbons</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Vice Chairman and Chief</w:t>
            </w:r>
          </w:p>
        </w:tc>
      </w:tr>
      <w:tr>
        <w:trPr>
          <w:trHeight w:val="203"/>
        </w:trPr>
        <w:tc>
          <w:tcPr>
            <w:tcW w:w="7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Financial Officer</w:t>
            </w:r>
          </w:p>
        </w:tc>
      </w:tr>
      <w:tr>
        <w:trPr>
          <w:trHeight w:val="202"/>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October 24,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MELLON INTERNATIONAL ASSET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(HOLDINGS) LIMITED</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7"/>
              </w:rPr>
              <w:t>MANAGEMENT (HOLDINGS) No. 1 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GREG BRISK</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Greg Brisk</w:t>
            </w:r>
          </w:p>
        </w:tc>
      </w:tr>
      <w:tr>
        <w:trPr>
          <w:trHeight w:val="202"/>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2"/>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October 21,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MELLON CANADA HOLDING COMPANY</w:t>
            </w:r>
          </w:p>
        </w:tc>
        <w:tc>
          <w:tcPr>
            <w:tcW w:w="11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KELLY SCHWARTZ</w:t>
            </w:r>
          </w:p>
        </w:tc>
        <w:tc>
          <w:tcPr>
            <w:tcW w:w="11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02"/>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Kelly Schwartz</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Director</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May 3, 2016</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bl>
    <w:p>
      <w:pPr>
        <w:sectPr>
          <w:pgSz w:w="11900" w:h="16838" w:orient="portrait"/>
          <w:cols w:equalWidth="0" w:num="1">
            <w:col w:w="10139"/>
          </w:cols>
          <w:pgMar w:left="320" w:top="541"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0" w:lineRule="exact"/>
        <w:rPr>
          <w:sz w:val="20"/>
          <w:szCs w:val="20"/>
          <w:color w:val="auto"/>
        </w:rPr>
      </w:pPr>
    </w:p>
    <w:p>
      <w:pPr>
        <w:sectPr>
          <w:pgSz w:w="11900" w:h="16838" w:orient="portrait"/>
          <w:cols w:equalWidth="0" w:num="2">
            <w:col w:w="3500" w:space="720"/>
            <w:col w:w="5919"/>
          </w:cols>
          <w:pgMar w:left="320" w:top="344" w:right="1440" w:bottom="1440" w:gutter="0" w:footer="0" w:header="0"/>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54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0" w:lineRule="exact"/>
        <w:rPr>
          <w:sz w:val="20"/>
          <w:szCs w:val="20"/>
          <w:color w:val="auto"/>
        </w:rPr>
      </w:pPr>
    </w:p>
    <w:p>
      <w:pPr>
        <w:sectPr>
          <w:pgSz w:w="11900" w:h="16838" w:orient="portrait"/>
          <w:cols w:equalWidth="0" w:num="2">
            <w:col w:w="3500" w:space="720"/>
            <w:col w:w="5919"/>
          </w:cols>
          <w:pgMar w:left="320" w:top="344" w:right="1440"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19"/>
          </w:cols>
          <w:pgMar w:left="320" w:top="34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139"/>
          </w:cols>
          <w:pgMar w:left="320" w:top="344"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By: /S/ 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By: /S/ LEO P. GROHOWSKI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19"/>
          </w:cols>
          <w:pgMar w:left="320" w:top="344"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BNY MELLON SERVICE KAPITALANLAGE-</w:t>
            </w:r>
          </w:p>
        </w:tc>
        <w:tc>
          <w:tcPr>
            <w:tcW w:w="390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BNY MELLON SERVICE KAPITALANLAGE-</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GESELLSCHAFT mbH</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GESELLSCHAFT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mbH</w:t>
            </w:r>
          </w:p>
        </w:tc>
        <w:tc>
          <w:tcPr>
            <w:tcW w:w="1740" w:type="dxa"/>
            <w:vAlign w:val="bottom"/>
          </w:tcPr>
          <w:p>
            <w:pPr>
              <w:spacing w:after="0"/>
              <w:rPr>
                <w:sz w:val="17"/>
                <w:szCs w:val="17"/>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By: /S/ KATARINA MELVAN</w:t>
            </w:r>
          </w:p>
        </w:tc>
        <w:tc>
          <w:tcPr>
            <w:tcW w:w="21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By: /S/ CAROLINE</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Katarina Melvan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Caroline</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Managing Director(Chairman)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Managing</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August 19, 2016</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 August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2016</w:t>
            </w:r>
          </w:p>
        </w:tc>
      </w:tr>
    </w:tbl>
    <w:p>
      <w:pPr>
        <w:sectPr>
          <w:pgSz w:w="11900" w:h="16838" w:orient="portrait"/>
          <w:cols w:equalWidth="0" w:num="1">
            <w:col w:w="10139"/>
          </w:cols>
          <w:pgMar w:left="320" w:top="344" w:right="1440" w:bottom="1440" w:gutter="0" w:footer="0" w:header="0"/>
          <w:type w:val="continuous"/>
        </w:sectPr>
      </w:pPr>
    </w:p>
    <w:bookmarkStart w:id="10" w:name="page11"/>
    <w:bookmarkEnd w:id="10"/>
    <w:p>
      <w:pPr>
        <w:spacing w:after="0" w:line="7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239"/>
        <w:spacing w:after="0" w:line="271"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the undersigned hereby agree to any and all joint filings required to be made on their behalf on Schedule 13G (including amendments thereto) under the Exchange Act, with respect to securities which may be deemed to be beneficially owned by them under the Exchange Act, and that this Agreement be included as an Exhibit to any such joint filing. This Agreement may be executed in any number of counterparts all of which taken together shall constitute one and the same instrument.</w:t>
      </w:r>
    </w:p>
    <w:p>
      <w:pPr>
        <w:spacing w:after="0" w:line="185"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917" w:orient="portrait"/>
          <w:cols w:equalWidth="0" w:num="1">
            <w:col w:w="10139"/>
          </w:cols>
          <w:pgMar w:left="320" w:top="919" w:right="1440" w:bottom="0" w:gutter="0" w:footer="0" w:header="0"/>
        </w:sectPr>
      </w:pPr>
    </w:p>
    <w:p>
      <w:pPr>
        <w:spacing w:after="0" w:line="22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ind w:left="420"/>
        <w:spacing w:after="0"/>
        <w:rPr>
          <w:sz w:val="20"/>
          <w:szCs w:val="20"/>
          <w:color w:val="auto"/>
        </w:rPr>
      </w:pPr>
      <w:r>
        <w:rPr>
          <w:rFonts w:ascii="Courier New" w:cs="Courier New" w:eastAsia="Courier New" w:hAnsi="Courier New"/>
          <w:sz w:val="18"/>
          <w:szCs w:val="18"/>
          <w:color w:val="auto"/>
        </w:rPr>
        <w:t>Chief Executive Officer,</w:t>
      </w:r>
    </w:p>
    <w:p>
      <w:pPr>
        <w:ind w:left="420"/>
        <w:spacing w:after="0" w:line="237" w:lineRule="auto"/>
        <w:rPr>
          <w:sz w:val="20"/>
          <w:szCs w:val="20"/>
          <w:color w:val="auto"/>
        </w:rPr>
      </w:pPr>
      <w:r>
        <w:rPr>
          <w:rFonts w:ascii="Courier New" w:cs="Courier New" w:eastAsia="Courier New" w:hAnsi="Courier New"/>
          <w:sz w:val="18"/>
          <w:szCs w:val="18"/>
          <w:color w:val="auto"/>
        </w:rPr>
        <w:t>Investment Management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March 17, 2017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Thomas J. Dicker</w:t>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9,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jc w:val="right"/>
        <w:spacing w:after="0"/>
        <w:rPr>
          <w:sz w:val="20"/>
          <w:szCs w:val="20"/>
          <w:color w:val="auto"/>
        </w:rPr>
      </w:pPr>
      <w:r>
        <w:rPr>
          <w:rFonts w:ascii="Courier New" w:cs="Courier New" w:eastAsia="Courier New" w:hAnsi="Courier New"/>
          <w:sz w:val="18"/>
          <w:szCs w:val="18"/>
          <w:color w:val="auto"/>
        </w:rPr>
        <w:t>Senior Executive Vice 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August 27, 2015</w:t>
      </w:r>
    </w:p>
    <w:p>
      <w:pPr>
        <w:spacing w:after="0" w:line="200" w:lineRule="exact"/>
        <w:rPr>
          <w:sz w:val="20"/>
          <w:szCs w:val="20"/>
          <w:color w:val="auto"/>
        </w:rPr>
      </w:pPr>
    </w:p>
    <w:p>
      <w:pPr>
        <w:spacing w:after="0" w:line="21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ANTONIO PORTUONDO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Antonio Portuondo</w:t>
      </w:r>
    </w:p>
    <w:p>
      <w:pPr>
        <w:ind w:left="420"/>
        <w:spacing w:after="0"/>
        <w:rPr>
          <w:sz w:val="20"/>
          <w:szCs w:val="20"/>
          <w:color w:val="auto"/>
        </w:rPr>
      </w:pPr>
      <w:r>
        <w:rPr>
          <w:rFonts w:ascii="Courier New" w:cs="Courier New" w:eastAsia="Courier New" w:hAnsi="Courier New"/>
          <w:sz w:val="18"/>
          <w:szCs w:val="18"/>
          <w:color w:val="auto"/>
        </w:rPr>
        <w:t>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20,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P. Ambagis</w:t>
      </w:r>
    </w:p>
    <w:p>
      <w:pPr>
        <w:ind w:left="42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21, 2015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Donald Heberle</w:t>
      </w:r>
    </w:p>
    <w:p>
      <w:pPr>
        <w:ind w:left="54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September 16,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Laura Ahto</w:t>
      </w:r>
    </w:p>
    <w:p>
      <w:pPr>
        <w:ind w:left="420"/>
        <w:spacing w:after="0"/>
        <w:rPr>
          <w:sz w:val="20"/>
          <w:szCs w:val="20"/>
          <w:color w:val="auto"/>
        </w:rPr>
      </w:pPr>
      <w:r>
        <w:rPr>
          <w:rFonts w:ascii="Courier New" w:cs="Courier New" w:eastAsia="Courier New" w:hAnsi="Courier New"/>
          <w:sz w:val="18"/>
          <w:szCs w:val="18"/>
          <w:color w:val="auto"/>
        </w:rPr>
        <w:t>Chief Executive Officer</w:t>
      </w:r>
    </w:p>
    <w:p>
      <w:pPr>
        <w:spacing w:after="0" w:line="237"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Curtis Arledge</w:t>
      </w:r>
    </w:p>
    <w:p>
      <w:pPr>
        <w:ind w:left="540"/>
        <w:spacing w:after="0"/>
        <w:rPr>
          <w:sz w:val="20"/>
          <w:szCs w:val="20"/>
          <w:color w:val="auto"/>
        </w:rPr>
      </w:pPr>
      <w:r>
        <w:rPr>
          <w:rFonts w:ascii="Courier New" w:cs="Courier New" w:eastAsia="Courier New" w:hAnsi="Courier New"/>
          <w:sz w:val="18"/>
          <w:szCs w:val="18"/>
          <w:color w:val="auto"/>
        </w:rPr>
        <w:t>Vice Chairman</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August 26, 2015</w:t>
      </w:r>
    </w:p>
    <w:p>
      <w:pPr>
        <w:spacing w:after="0" w:line="200" w:lineRule="exact"/>
        <w:rPr>
          <w:sz w:val="20"/>
          <w:szCs w:val="20"/>
          <w:color w:val="auto"/>
        </w:rPr>
      </w:pPr>
    </w:p>
    <w:p>
      <w:pPr>
        <w:spacing w:after="0" w:line="210" w:lineRule="exact"/>
        <w:rPr>
          <w:sz w:val="20"/>
          <w:szCs w:val="20"/>
          <w:color w:val="auto"/>
        </w:rPr>
      </w:pPr>
    </w:p>
    <w:p>
      <w:pPr>
        <w:ind w:right="2339"/>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Kurtis R. Kurimsky</w:t>
      </w:r>
    </w:p>
    <w:p>
      <w:pPr>
        <w:ind w:left="540"/>
        <w:spacing w:after="0"/>
        <w:rPr>
          <w:sz w:val="20"/>
          <w:szCs w:val="20"/>
          <w:color w:val="auto"/>
        </w:rPr>
      </w:pPr>
      <w:r>
        <w:rPr>
          <w:rFonts w:ascii="Courier New" w:cs="Courier New" w:eastAsia="Courier New" w:hAnsi="Courier New"/>
          <w:sz w:val="18"/>
          <w:szCs w:val="18"/>
          <w:color w:val="auto"/>
        </w:rPr>
        <w:t>Executive Vice 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March 8,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LEE JAMES WOOLLEY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Lee James Woolley</w:t>
      </w:r>
    </w:p>
    <w:p>
      <w:pPr>
        <w:ind w:left="640"/>
        <w:spacing w:after="0"/>
        <w:rPr>
          <w:sz w:val="20"/>
          <w:szCs w:val="20"/>
          <w:color w:val="auto"/>
        </w:rPr>
      </w:pPr>
      <w:r>
        <w:rPr>
          <w:rFonts w:ascii="Courier New" w:cs="Courier New" w:eastAsia="Courier New" w:hAnsi="Courier New"/>
          <w:sz w:val="18"/>
          <w:szCs w:val="18"/>
          <w:color w:val="auto"/>
        </w:rPr>
        <w:t>Chairman and</w:t>
      </w:r>
    </w:p>
    <w:p>
      <w:pPr>
        <w:ind w:left="6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October 19, 2015</w:t>
      </w:r>
    </w:p>
    <w:p>
      <w:pPr>
        <w:spacing w:after="0" w:line="200" w:lineRule="exact"/>
        <w:rPr>
          <w:sz w:val="20"/>
          <w:szCs w:val="20"/>
          <w:color w:val="auto"/>
        </w:rPr>
      </w:pPr>
    </w:p>
    <w:p>
      <w:pPr>
        <w:sectPr>
          <w:pgSz w:w="11900" w:h="16917" w:orient="portrait"/>
          <w:cols w:equalWidth="0" w:num="2">
            <w:col w:w="3700" w:space="620"/>
            <w:col w:w="5819"/>
          </w:cols>
          <w:pgMar w:left="320" w:top="919"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PERSHING LLC</w:t>
      </w:r>
      <w:r>
        <w:rPr>
          <w:sz w:val="20"/>
          <w:szCs w:val="20"/>
          <w:color w:val="auto"/>
        </w:rPr>
        <w:tab/>
      </w:r>
      <w:r>
        <w:rPr>
          <w:rFonts w:ascii="Courier New" w:cs="Courier New" w:eastAsia="Courier New" w:hAnsi="Courier New"/>
          <w:sz w:val="16"/>
          <w:szCs w:val="16"/>
          <w:color w:val="auto"/>
        </w:rPr>
        <w:t>BNY MELLON CAPITAL MARKETS, LLC</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By: /S/ CLAIRE SANTANIELLO</w:t>
      </w:r>
      <w:r>
        <w:rPr>
          <w:sz w:val="20"/>
          <w:szCs w:val="20"/>
          <w:color w:val="auto"/>
        </w:rPr>
        <w:tab/>
      </w:r>
      <w:r>
        <w:rPr>
          <w:rFonts w:ascii="Courier New" w:cs="Courier New" w:eastAsia="Courier New" w:hAnsi="Courier New"/>
          <w:sz w:val="16"/>
          <w:szCs w:val="16"/>
          <w:color w:val="auto"/>
        </w:rPr>
        <w:t>By: /S/ JEFF GEARHART</w:t>
      </w:r>
    </w:p>
    <w:p>
      <w:pPr>
        <w:ind w:left="4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Claire Santaniello</w:t>
      </w:r>
      <w:r>
        <w:rPr>
          <w:sz w:val="20"/>
          <w:szCs w:val="20"/>
          <w:color w:val="auto"/>
        </w:rPr>
        <w:tab/>
      </w:r>
      <w:r>
        <w:rPr>
          <w:rFonts w:ascii="Courier New" w:cs="Courier New" w:eastAsia="Courier New" w:hAnsi="Courier New"/>
          <w:sz w:val="16"/>
          <w:szCs w:val="16"/>
          <w:color w:val="auto"/>
        </w:rPr>
        <w:t>Jeff Gearhart</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Chief Administrative Officer</w:t>
      </w:r>
      <w:r>
        <w:rPr>
          <w:sz w:val="20"/>
          <w:szCs w:val="20"/>
          <w:color w:val="auto"/>
        </w:rPr>
        <w:tab/>
      </w:r>
      <w:r>
        <w:rPr>
          <w:rFonts w:ascii="Courier New" w:cs="Courier New" w:eastAsia="Courier New" w:hAnsi="Courier New"/>
          <w:sz w:val="16"/>
          <w:szCs w:val="16"/>
          <w:color w:val="auto"/>
        </w:rPr>
        <w:t>Chief Operating Officer</w:t>
      </w:r>
    </w:p>
    <w:p>
      <w:pPr>
        <w:sectPr>
          <w:pgSz w:w="11900" w:h="16917" w:orient="portrait"/>
          <w:cols w:equalWidth="0" w:num="1">
            <w:col w:w="10139"/>
          </w:cols>
          <w:pgMar w:left="320" w:top="919" w:right="1440" w:bottom="0" w:gutter="0" w:footer="0" w:header="0"/>
          <w:type w:val="continuous"/>
        </w:sectPr>
      </w:pPr>
    </w:p>
    <w:bookmarkStart w:id="11" w:name="page12"/>
    <w:bookmarkEnd w:id="11"/>
    <w:p>
      <w:pPr>
        <w:ind w:right="1060" w:firstLine="421"/>
        <w:spacing w:after="0" w:line="290" w:lineRule="auto"/>
        <w:rPr>
          <w:sz w:val="20"/>
          <w:szCs w:val="20"/>
          <w:color w:val="auto"/>
        </w:rPr>
      </w:pPr>
      <w:r>
        <w:rPr>
          <w:rFonts w:ascii="Courier New" w:cs="Courier New" w:eastAsia="Courier New" w:hAnsi="Courier New"/>
          <w:sz w:val="16"/>
          <w:szCs w:val="16"/>
          <w:color w:val="auto"/>
        </w:rPr>
        <w:t>and Chief Risk Officer Date: May 24, 2016</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Camila Souza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08" w:lineRule="exact"/>
        <w:rPr>
          <w:sz w:val="20"/>
          <w:szCs w:val="20"/>
          <w:color w:val="auto"/>
        </w:rPr>
      </w:pPr>
    </w:p>
    <w:p>
      <w:pPr>
        <w:ind w:right="3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Gustavo Castello Branco</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INVESTMENT ADVISER,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Bitetto</w:t>
      </w:r>
    </w:p>
    <w:p>
      <w:pPr>
        <w:ind w:left="420"/>
        <w:spacing w:after="0"/>
        <w:rPr>
          <w:sz w:val="20"/>
          <w:szCs w:val="20"/>
          <w:color w:val="auto"/>
        </w:rPr>
      </w:pPr>
      <w:r>
        <w:rPr>
          <w:rFonts w:ascii="Courier New" w:cs="Courier New" w:eastAsia="Courier New" w:hAnsi="Courier New"/>
          <w:sz w:val="18"/>
          <w:szCs w:val="18"/>
          <w:color w:val="auto"/>
        </w:rPr>
        <w:t>Secretary</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June 03,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BRETT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John J. Brett</w:t>
      </w:r>
    </w:p>
    <w:p>
      <w:pPr>
        <w:ind w:left="420"/>
        <w:spacing w:after="0"/>
        <w:rPr>
          <w:sz w:val="20"/>
          <w:szCs w:val="20"/>
          <w:color w:val="auto"/>
        </w:rPr>
      </w:pPr>
      <w:r>
        <w:rPr>
          <w:rFonts w:ascii="Courier New" w:cs="Courier New" w:eastAsia="Courier New" w:hAnsi="Courier New"/>
          <w:sz w:val="18"/>
          <w:szCs w:val="18"/>
          <w:color w:val="auto"/>
        </w:rPr>
        <w:t>Chairman</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July 30,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INVESTMENTS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JENNIFER CASSEDY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Jennifer Cassedy</w:t>
      </w:r>
    </w:p>
    <w:p>
      <w:pPr>
        <w:ind w:left="420"/>
        <w:spacing w:after="0"/>
        <w:rPr>
          <w:sz w:val="20"/>
          <w:szCs w:val="20"/>
          <w:color w:val="auto"/>
        </w:rPr>
      </w:pPr>
      <w:r>
        <w:rPr>
          <w:rFonts w:ascii="Courier New" w:cs="Courier New" w:eastAsia="Courier New" w:hAnsi="Courier New"/>
          <w:sz w:val="18"/>
          <w:szCs w:val="18"/>
          <w:color w:val="auto"/>
        </w:rPr>
        <w:t>Chief Compliance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10, 2019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NEWTON INVESTMENT MANAGEMENT LIMITED</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JAMES HELBY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Helby</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July 17,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WALTER SCOTT &amp; PARTNERS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RODGER NISBET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Rodger Nisbet</w:t>
      </w:r>
    </w:p>
    <w:p>
      <w:pPr>
        <w:ind w:left="420"/>
        <w:spacing w:after="0"/>
        <w:rPr>
          <w:sz w:val="20"/>
          <w:szCs w:val="20"/>
          <w:color w:val="auto"/>
        </w:rPr>
      </w:pPr>
      <w:r>
        <w:rPr>
          <w:rFonts w:ascii="Courier New" w:cs="Courier New" w:eastAsia="Courier New" w:hAnsi="Courier New"/>
          <w:sz w:val="18"/>
          <w:szCs w:val="18"/>
          <w:color w:val="auto"/>
        </w:rPr>
        <w:t>Executive Chairman</w:t>
      </w:r>
    </w:p>
    <w:p>
      <w:pPr>
        <w:spacing w:after="0" w:line="237" w:lineRule="auto"/>
        <w:rPr>
          <w:sz w:val="20"/>
          <w:szCs w:val="20"/>
          <w:color w:val="auto"/>
        </w:rPr>
      </w:pPr>
      <w:r>
        <w:rPr>
          <w:rFonts w:ascii="Courier New" w:cs="Courier New" w:eastAsia="Courier New" w:hAnsi="Courier New"/>
          <w:sz w:val="18"/>
          <w:szCs w:val="18"/>
          <w:color w:val="auto"/>
        </w:rPr>
        <w:t>Date: July 15, 2015</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tab/>
        <w:t>October 19,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GUILHERME ABRY</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Guilherme Abry</w:t>
      </w:r>
    </w:p>
    <w:p>
      <w:pPr>
        <w:ind w:left="520"/>
        <w:spacing w:after="0"/>
        <w:rPr>
          <w:sz w:val="20"/>
          <w:szCs w:val="20"/>
          <w:color w:val="auto"/>
        </w:rPr>
      </w:pPr>
      <w:r>
        <w:rPr>
          <w:rFonts w:ascii="Courier New" w:cs="Courier New" w:eastAsia="Courier New" w:hAnsi="Courier New"/>
          <w:sz w:val="18"/>
          <w:szCs w:val="18"/>
          <w:color w:val="auto"/>
        </w:rPr>
        <w:t>Director</w:t>
      </w:r>
    </w:p>
    <w:p>
      <w:pPr>
        <w:ind w:left="100"/>
        <w:spacing w:after="0" w:line="237" w:lineRule="auto"/>
        <w:tabs>
          <w:tab w:leader="none" w:pos="8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left="100" w:right="223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Marcus Vinicius Mathias Pereira</w:t>
      </w:r>
    </w:p>
    <w:p>
      <w:pPr>
        <w:ind w:left="520"/>
        <w:spacing w:after="0" w:line="238" w:lineRule="auto"/>
        <w:rPr>
          <w:sz w:val="20"/>
          <w:szCs w:val="20"/>
          <w:color w:val="auto"/>
        </w:rPr>
      </w:pPr>
      <w:r>
        <w:rPr>
          <w:rFonts w:ascii="Courier New" w:cs="Courier New" w:eastAsia="Courier New" w:hAnsi="Courier New"/>
          <w:sz w:val="18"/>
          <w:szCs w:val="18"/>
          <w:color w:val="auto"/>
        </w:rPr>
        <w:t>Director</w:t>
      </w:r>
    </w:p>
    <w:p>
      <w:pPr>
        <w:ind w:left="100"/>
        <w:spacing w:after="0" w:line="238" w:lineRule="auto"/>
        <w:tabs>
          <w:tab w:leader="none" w:pos="8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10" w:lineRule="exact"/>
        <w:rPr>
          <w:sz w:val="20"/>
          <w:szCs w:val="20"/>
          <w:color w:val="auto"/>
        </w:rPr>
      </w:pPr>
    </w:p>
    <w:p>
      <w:pPr>
        <w:ind w:left="100" w:right="233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CAMILA SOUZA</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Camila Souza</w:t>
      </w:r>
    </w:p>
    <w:p>
      <w:pPr>
        <w:ind w:left="520"/>
        <w:spacing w:after="0"/>
        <w:rPr>
          <w:sz w:val="20"/>
          <w:szCs w:val="20"/>
          <w:color w:val="auto"/>
        </w:rPr>
      </w:pPr>
      <w:r>
        <w:rPr>
          <w:rFonts w:ascii="Courier New" w:cs="Courier New" w:eastAsia="Courier New" w:hAnsi="Courier New"/>
          <w:sz w:val="18"/>
          <w:szCs w:val="18"/>
          <w:color w:val="auto"/>
        </w:rPr>
        <w:t>Director</w:t>
      </w:r>
    </w:p>
    <w:p>
      <w:pPr>
        <w:ind w:left="100"/>
        <w:spacing w:after="0" w:line="237" w:lineRule="auto"/>
        <w:tabs>
          <w:tab w:leader="none" w:pos="8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INVESTMENT MANAGEMENT</w:t>
      </w:r>
    </w:p>
    <w:p>
      <w:pPr>
        <w:ind w:left="100"/>
        <w:spacing w:after="0" w:line="238" w:lineRule="auto"/>
        <w:rPr>
          <w:sz w:val="20"/>
          <w:szCs w:val="20"/>
          <w:color w:val="auto"/>
        </w:rPr>
      </w:pPr>
      <w:r>
        <w:rPr>
          <w:rFonts w:ascii="Courier New" w:cs="Courier New" w:eastAsia="Courier New" w:hAnsi="Courier New"/>
          <w:sz w:val="18"/>
          <w:szCs w:val="18"/>
          <w:color w:val="auto"/>
        </w:rPr>
        <w:t>(GLOBAL) LIMITED</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CHARLES FARQUHARSON</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Charles Farquharson</w:t>
      </w:r>
    </w:p>
    <w:p>
      <w:pPr>
        <w:ind w:left="520"/>
        <w:spacing w:after="0"/>
        <w:rPr>
          <w:sz w:val="20"/>
          <w:szCs w:val="20"/>
          <w:color w:val="auto"/>
        </w:rPr>
      </w:pPr>
      <w:r>
        <w:rPr>
          <w:rFonts w:ascii="Courier New" w:cs="Courier New" w:eastAsia="Courier New" w:hAnsi="Courier New"/>
          <w:sz w:val="18"/>
          <w:szCs w:val="18"/>
          <w:color w:val="auto"/>
        </w:rPr>
        <w:t>Chief Risk Officer</w:t>
      </w:r>
    </w:p>
    <w:p>
      <w:pPr>
        <w:ind w:left="100"/>
        <w:spacing w:after="0" w:line="237" w:lineRule="auto"/>
        <w:tabs>
          <w:tab w:leader="none" w:pos="820" w:val="left"/>
        </w:tabs>
        <w:rPr>
          <w:sz w:val="20"/>
          <w:szCs w:val="20"/>
          <w:color w:val="auto"/>
        </w:rPr>
      </w:pPr>
      <w:r>
        <w:rPr>
          <w:rFonts w:ascii="Courier New" w:cs="Courier New" w:eastAsia="Courier New" w:hAnsi="Courier New"/>
          <w:sz w:val="18"/>
          <w:szCs w:val="18"/>
          <w:color w:val="auto"/>
        </w:rPr>
        <w:t>Date:</w:t>
        <w:tab/>
        <w:t>February 16, 2016</w:t>
      </w:r>
    </w:p>
    <w:p>
      <w:pPr>
        <w:spacing w:after="0" w:line="200" w:lineRule="exact"/>
        <w:rPr>
          <w:sz w:val="20"/>
          <w:szCs w:val="20"/>
          <w:color w:val="auto"/>
        </w:rPr>
      </w:pPr>
    </w:p>
    <w:p>
      <w:pPr>
        <w:spacing w:after="0" w:line="210" w:lineRule="exact"/>
        <w:rPr>
          <w:sz w:val="20"/>
          <w:szCs w:val="20"/>
          <w:color w:val="auto"/>
        </w:rPr>
      </w:pPr>
    </w:p>
    <w:p>
      <w:pPr>
        <w:ind w:left="100" w:right="2439"/>
        <w:spacing w:after="0" w:line="235" w:lineRule="auto"/>
        <w:rPr>
          <w:sz w:val="20"/>
          <w:szCs w:val="20"/>
          <w:color w:val="auto"/>
        </w:rPr>
      </w:pPr>
      <w:r>
        <w:rPr>
          <w:rFonts w:ascii="Courier New" w:cs="Courier New" w:eastAsia="Courier New" w:hAnsi="Courier New"/>
          <w:sz w:val="18"/>
          <w:szCs w:val="18"/>
          <w:color w:val="auto"/>
        </w:rPr>
        <w:t>BNY MELLON INVESTMENT MANAGEMENT JAPAN LIMITED</w:t>
      </w:r>
    </w:p>
    <w:p>
      <w:pPr>
        <w:ind w:left="100"/>
        <w:spacing w:after="0"/>
        <w:rPr>
          <w:sz w:val="20"/>
          <w:szCs w:val="20"/>
          <w:color w:val="auto"/>
        </w:rPr>
      </w:pPr>
      <w:r>
        <w:rPr>
          <w:rFonts w:ascii="Courier New" w:cs="Courier New" w:eastAsia="Courier New" w:hAnsi="Courier New"/>
          <w:sz w:val="18"/>
          <w:szCs w:val="18"/>
          <w:color w:val="auto"/>
        </w:rPr>
        <w:t>By: /S/ SHOGO YAMAGUCHI</w:t>
      </w:r>
    </w:p>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line="238" w:lineRule="auto"/>
        <w:rPr>
          <w:sz w:val="20"/>
          <w:szCs w:val="20"/>
          <w:color w:val="auto"/>
        </w:rPr>
      </w:pPr>
      <w:r>
        <w:rPr>
          <w:rFonts w:ascii="Courier New" w:cs="Courier New" w:eastAsia="Courier New" w:hAnsi="Courier New"/>
          <w:sz w:val="18"/>
          <w:szCs w:val="18"/>
          <w:color w:val="auto"/>
        </w:rPr>
        <w:t>Shogo Yamaguchi</w:t>
      </w:r>
    </w:p>
    <w:p>
      <w:pPr>
        <w:ind w:left="100"/>
        <w:spacing w:after="0"/>
        <w:rPr>
          <w:sz w:val="20"/>
          <w:szCs w:val="20"/>
          <w:color w:val="auto"/>
        </w:rPr>
      </w:pPr>
      <w:r>
        <w:rPr>
          <w:rFonts w:ascii="Courier New" w:cs="Courier New" w:eastAsia="Courier New" w:hAnsi="Courier New"/>
          <w:sz w:val="18"/>
          <w:szCs w:val="18"/>
          <w:color w:val="auto"/>
        </w:rPr>
        <w:t>Representative Director</w:t>
      </w:r>
    </w:p>
    <w:p>
      <w:pPr>
        <w:ind w:left="100"/>
        <w:spacing w:after="0" w:line="237" w:lineRule="auto"/>
        <w:rPr>
          <w:sz w:val="20"/>
          <w:szCs w:val="20"/>
          <w:color w:val="auto"/>
        </w:rPr>
      </w:pPr>
      <w:r>
        <w:rPr>
          <w:rFonts w:ascii="Courier New" w:cs="Courier New" w:eastAsia="Courier New" w:hAnsi="Courier New"/>
          <w:sz w:val="18"/>
          <w:szCs w:val="18"/>
          <w:color w:val="auto"/>
        </w:rPr>
        <w:t>Chairman and President</w:t>
      </w:r>
    </w:p>
    <w:p>
      <w:pPr>
        <w:ind w:left="100"/>
        <w:spacing w:after="0" w:line="238" w:lineRule="auto"/>
        <w:tabs>
          <w:tab w:leader="none" w:pos="820" w:val="left"/>
        </w:tabs>
        <w:rPr>
          <w:sz w:val="20"/>
          <w:szCs w:val="20"/>
          <w:color w:val="auto"/>
        </w:rPr>
      </w:pPr>
      <w:r>
        <w:rPr>
          <w:rFonts w:ascii="Courier New" w:cs="Courier New" w:eastAsia="Courier New" w:hAnsi="Courier New"/>
          <w:sz w:val="18"/>
          <w:szCs w:val="18"/>
          <w:color w:val="auto"/>
        </w:rPr>
        <w:t>Date:</w:t>
        <w:tab/>
        <w:t>April 10, 2020</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BNY MELLON SECURITIES CORPORATION</w:t>
      </w:r>
    </w:p>
    <w:p>
      <w:pPr>
        <w:spacing w:after="0" w:line="200" w:lineRule="exact"/>
        <w:rPr>
          <w:sz w:val="20"/>
          <w:szCs w:val="20"/>
          <w:color w:val="auto"/>
        </w:rPr>
      </w:pPr>
    </w:p>
    <w:p>
      <w:pPr>
        <w:spacing w:after="0" w:line="204"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KENNETH J. BRADLE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Kenneth J. Bradle</w:t>
      </w:r>
    </w:p>
    <w:p>
      <w:pPr>
        <w:ind w:left="520"/>
        <w:spacing w:after="0"/>
        <w:rPr>
          <w:sz w:val="20"/>
          <w:szCs w:val="20"/>
          <w:color w:val="auto"/>
        </w:rPr>
      </w:pPr>
      <w:r>
        <w:rPr>
          <w:rFonts w:ascii="Courier New" w:cs="Courier New" w:eastAsia="Courier New" w:hAnsi="Courier New"/>
          <w:sz w:val="18"/>
          <w:szCs w:val="18"/>
          <w:color w:val="auto"/>
        </w:rPr>
        <w:t>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JUNE 03, 2019</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NORTH AMERICA LLC</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JOHN ARIOLA</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John Ariola</w:t>
      </w:r>
    </w:p>
    <w:p>
      <w:pPr>
        <w:ind w:left="520"/>
        <w:spacing w:after="0"/>
        <w:rPr>
          <w:sz w:val="20"/>
          <w:szCs w:val="20"/>
          <w:color w:val="auto"/>
        </w:rPr>
      </w:pPr>
      <w:r>
        <w:rPr>
          <w:rFonts w:ascii="Courier New" w:cs="Courier New" w:eastAsia="Courier New" w:hAnsi="Courier New"/>
          <w:sz w:val="18"/>
          <w:szCs w:val="18"/>
          <w:color w:val="auto"/>
        </w:rPr>
        <w:t>Head of Financial Analysis</w:t>
      </w:r>
    </w:p>
    <w:p>
      <w:pPr>
        <w:ind w:left="100"/>
        <w:spacing w:after="0" w:line="237" w:lineRule="auto"/>
        <w:rPr>
          <w:sz w:val="20"/>
          <w:szCs w:val="20"/>
          <w:color w:val="auto"/>
        </w:rPr>
      </w:pPr>
      <w:r>
        <w:rPr>
          <w:rFonts w:ascii="Courier New" w:cs="Courier New" w:eastAsia="Courier New" w:hAnsi="Courier New"/>
          <w:sz w:val="18"/>
          <w:szCs w:val="18"/>
          <w:color w:val="auto"/>
        </w:rPr>
        <w:t>Date: December 7,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INVESTMENT INTERNATIONAL</w:t>
      </w:r>
    </w:p>
    <w:p>
      <w:pPr>
        <w:ind w:left="100"/>
        <w:spacing w:after="0" w:line="238" w:lineRule="auto"/>
        <w:rPr>
          <w:sz w:val="20"/>
          <w:szCs w:val="20"/>
          <w:color w:val="auto"/>
        </w:rPr>
      </w:pPr>
      <w:r>
        <w:rPr>
          <w:rFonts w:ascii="Courier New" w:cs="Courier New" w:eastAsia="Courier New" w:hAnsi="Courier New"/>
          <w:sz w:val="18"/>
          <w:szCs w:val="18"/>
          <w:color w:val="auto"/>
        </w:rPr>
        <w:t>LIMITED</w:t>
      </w:r>
    </w:p>
    <w:p>
      <w:pPr>
        <w:ind w:left="100"/>
        <w:spacing w:after="0" w:line="238" w:lineRule="auto"/>
        <w:rPr>
          <w:sz w:val="20"/>
          <w:szCs w:val="20"/>
          <w:color w:val="auto"/>
        </w:rPr>
      </w:pPr>
      <w:r>
        <w:rPr>
          <w:rFonts w:ascii="Courier New" w:cs="Courier New" w:eastAsia="Courier New" w:hAnsi="Courier New"/>
          <w:sz w:val="18"/>
          <w:szCs w:val="18"/>
          <w:color w:val="auto"/>
        </w:rPr>
        <w:t>By: /S/ LEE PALMER</w:t>
      </w:r>
    </w:p>
    <w:p>
      <w:pPr>
        <w:ind w:left="520"/>
        <w:spacing w:after="0"/>
        <w:rPr>
          <w:sz w:val="20"/>
          <w:szCs w:val="20"/>
          <w:color w:val="auto"/>
        </w:rPr>
      </w:pPr>
      <w:r>
        <w:rPr>
          <w:rFonts w:ascii="Courier New" w:cs="Courier New" w:eastAsia="Courier New" w:hAnsi="Courier New"/>
          <w:sz w:val="18"/>
          <w:szCs w:val="18"/>
          <w:color w:val="auto"/>
        </w:rPr>
        <w:t>----------------------</w:t>
      </w:r>
    </w:p>
    <w:p>
      <w:pPr>
        <w:ind w:left="520"/>
        <w:spacing w:after="0" w:line="237" w:lineRule="auto"/>
        <w:rPr>
          <w:sz w:val="20"/>
          <w:szCs w:val="20"/>
          <w:color w:val="auto"/>
        </w:rPr>
      </w:pPr>
      <w:r>
        <w:rPr>
          <w:rFonts w:ascii="Courier New" w:cs="Courier New" w:eastAsia="Courier New" w:hAnsi="Courier New"/>
          <w:sz w:val="18"/>
          <w:szCs w:val="18"/>
          <w:color w:val="auto"/>
        </w:rPr>
        <w:t>Lee Palmer</w:t>
      </w:r>
    </w:p>
    <w:p>
      <w:pPr>
        <w:ind w:left="52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100"/>
        <w:spacing w:after="0"/>
        <w:rPr>
          <w:sz w:val="20"/>
          <w:szCs w:val="20"/>
          <w:color w:val="auto"/>
        </w:rPr>
      </w:pPr>
      <w:r>
        <w:rPr>
          <w:rFonts w:ascii="Courier New" w:cs="Courier New" w:eastAsia="Courier New" w:hAnsi="Courier New"/>
          <w:sz w:val="18"/>
          <w:szCs w:val="18"/>
          <w:color w:val="auto"/>
        </w:rPr>
        <w:t>Date: February 14, 2018</w:t>
      </w:r>
    </w:p>
    <w:p>
      <w:pPr>
        <w:sectPr>
          <w:pgSz w:w="11900" w:h="16838" w:orient="portrait"/>
          <w:cols w:equalWidth="0" w:num="2">
            <w:col w:w="3800" w:space="420"/>
            <w:col w:w="5919"/>
          </w:cols>
          <w:pgMar w:left="320" w:top="142" w:right="1440"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w w:val="97"/>
              </w:rPr>
              <w:t>BNY MELLON INVESTMENT MANAGEMENT</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CAYMAN LTD</w:t>
            </w: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By: /S/ MARIE-CLAUDE LEPAGE</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rPr>
              <w:t>By: /S/ BRENDON J. DONNELLAN</w:t>
            </w:r>
          </w:p>
        </w:tc>
      </w:tr>
      <w:tr>
        <w:trPr>
          <w:trHeight w:val="202"/>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Brendon J.Donnellan</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May 9, 2016</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Date: August 22, 2016</w:t>
            </w:r>
          </w:p>
        </w:tc>
      </w:tr>
      <w:tr>
        <w:trPr>
          <w:trHeight w:val="608"/>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LIMITED</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rPr>
              <w:t>By: CANELLA SECRETARIES</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(CAYMAN) LTD, SECRETARY</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By: /S/ PATRICIA BRUZIO</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Gillian Nelson</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Patricia Bruzio</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Authorized Person</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17, 2016</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Date: May 17, 2016</w:t>
            </w:r>
          </w:p>
        </w:tc>
      </w:tr>
      <w:tr>
        <w:trPr>
          <w:trHeight w:val="608"/>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BNY Mellon ETF INVESTMENT</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rPr>
              <w:t>BNY Mellon Investor</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ADVISER, LLC</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Solutions, LLC</w:t>
            </w: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By: /S/ JENNIFER CASSEDY</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rPr>
              <w:t>By: /S/ JAMIE W. LEWIN</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Jennifer Cassedy</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Jamie W. Lewin</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Head of Investor Solutions</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04, 2019</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Date: July 30, 2020</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B.N.Y. HOLDINGS (DELAWARE) CORPORATION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PERSHING GROUP LLC</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JAMES P. AMBAGIS</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James P. Ambagis</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Chief Administrative Officer</w:t>
            </w:r>
          </w:p>
        </w:tc>
      </w:tr>
      <w:tr>
        <w:trPr>
          <w:trHeight w:val="203"/>
        </w:trPr>
        <w:tc>
          <w:tcPr>
            <w:tcW w:w="4120" w:type="dxa"/>
            <w:vAlign w:val="bottom"/>
          </w:tcPr>
          <w:p>
            <w:pPr>
              <w:spacing w:after="0"/>
              <w:rPr>
                <w:sz w:val="17"/>
                <w:szCs w:val="17"/>
                <w:color w:val="auto"/>
              </w:rPr>
            </w:pP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Chief Risk Officer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May 11, 2016</w:t>
            </w:r>
          </w:p>
        </w:tc>
      </w:tr>
      <w:tr>
        <w:trPr>
          <w:trHeight w:val="607"/>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(APAC) HOLDINGS LIMITED</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(APAC) HOLDINGS LIMITED</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EMILY CHAN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Emily Chan</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April 19, 2016</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April 19, 2016</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3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84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GREG BRISK</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By: /S/</w:t>
            </w:r>
          </w:p>
        </w:tc>
        <w:tc>
          <w:tcPr>
            <w:tcW w:w="28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6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5"/>
              </w:rPr>
              <w:t>July 17, 2015</w:t>
            </w:r>
          </w:p>
        </w:tc>
      </w:tr>
      <w:tr>
        <w:trPr>
          <w:trHeight w:val="607"/>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IHC, LLC</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KURTIS R. KURIMSKY</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PAUL A. GRIFFITHS</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Paul A. Griffiths</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Chairman, President and</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Date: March 29, 2017</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April 29, 2016</w:t>
            </w:r>
          </w:p>
        </w:tc>
      </w:tr>
      <w:tr>
        <w:trPr>
          <w:trHeight w:val="607"/>
        </w:trPr>
        <w:tc>
          <w:tcPr>
            <w:tcW w:w="4120" w:type="dxa"/>
            <w:vAlign w:val="bottom"/>
          </w:tcPr>
          <w:p>
            <w:pPr>
              <w:spacing w:after="0"/>
              <w:rPr>
                <w:sz w:val="20"/>
                <w:szCs w:val="20"/>
                <w:color w:val="auto"/>
              </w:rPr>
            </w:pPr>
            <w:r>
              <w:rPr>
                <w:rFonts w:ascii="Courier New" w:cs="Courier New" w:eastAsia="Courier New" w:hAnsi="Courier New"/>
                <w:sz w:val="18"/>
                <w:szCs w:val="18"/>
                <w:color w:val="auto"/>
              </w:rPr>
              <w:t>MELLON OVERSEAS INVESTMENT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LIMITED</w:t>
            </w:r>
          </w:p>
        </w:tc>
      </w:tr>
    </w:tbl>
    <w:p>
      <w:pPr>
        <w:sectPr>
          <w:pgSz w:w="11900" w:h="16838" w:orient="portrait"/>
          <w:cols w:equalWidth="0" w:num="1">
            <w:col w:w="10139"/>
          </w:cols>
          <w:pgMar w:left="320" w:top="541"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Kurtis R. Kurimsky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Vice President and Controller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7,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CHARLES FARQUHARSON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Charles Farquharson</w:t>
      </w:r>
    </w:p>
    <w:p>
      <w:pPr>
        <w:ind w:left="540"/>
        <w:spacing w:after="0" w:line="238" w:lineRule="auto"/>
        <w:rPr>
          <w:sz w:val="20"/>
          <w:szCs w:val="20"/>
          <w:color w:val="auto"/>
        </w:rPr>
      </w:pPr>
      <w:r>
        <w:rPr>
          <w:rFonts w:ascii="Courier New" w:cs="Courier New" w:eastAsia="Courier New" w:hAnsi="Courier New"/>
          <w:sz w:val="18"/>
          <w:szCs w:val="18"/>
          <w:color w:val="auto"/>
        </w:rPr>
        <w:t>Chief Risk Officer</w:t>
      </w:r>
    </w:p>
    <w:p>
      <w:pPr>
        <w:spacing w:after="0"/>
        <w:rPr>
          <w:sz w:val="20"/>
          <w:szCs w:val="20"/>
          <w:color w:val="auto"/>
        </w:rPr>
      </w:pPr>
      <w:r>
        <w:rPr>
          <w:rFonts w:ascii="Courier New" w:cs="Courier New" w:eastAsia="Courier New" w:hAnsi="Courier New"/>
          <w:sz w:val="18"/>
          <w:szCs w:val="18"/>
          <w:color w:val="auto"/>
        </w:rPr>
        <w:t>Date: February 16, 2016</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sectPr>
      </w:pPr>
    </w:p>
    <w:p>
      <w:pPr>
        <w:spacing w:after="0" w:line="208"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INTERNATIONAL FINANCING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INTERNATIONAL FINANCING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Kurtis R. Kurimsky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President and Comptroller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12,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JOHN M. ROY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John M. Roy</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August 15, 2016</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 HOLDINGS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Greg Brisk</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21, 2015</w:t>
      </w:r>
    </w:p>
    <w:p>
      <w:pPr>
        <w:sectPr>
          <w:pgSz w:w="11900" w:h="16838" w:orient="portrait"/>
          <w:cols w:equalWidth="0" w:num="1">
            <w:col w:w="10139"/>
          </w:cols>
          <w:pgMar w:left="320" w:top="136"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right="220"/>
        <w:spacing w:after="0" w:line="235" w:lineRule="auto"/>
        <w:rPr>
          <w:sz w:val="20"/>
          <w:szCs w:val="20"/>
          <w:color w:val="auto"/>
        </w:rPr>
      </w:pPr>
      <w:r>
        <w:rPr>
          <w:rFonts w:ascii="Courier New" w:cs="Courier New" w:eastAsia="Courier New" w:hAnsi="Courier New"/>
          <w:sz w:val="18"/>
          <w:szCs w:val="18"/>
          <w:color w:val="auto"/>
        </w:rPr>
        <w:t>BNY MELLON INVESTMENT MANAGEMENT (JERSEY)LIMITED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CAPITAL MARKETS HOLDINGS, INC.</w:t>
      </w:r>
    </w:p>
    <w:p>
      <w:pPr>
        <w:spacing w:after="0" w:line="418"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THOMAS P. GIBBONS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Thomas P. Gibbons</w:t>
      </w:r>
    </w:p>
    <w:p>
      <w:pPr>
        <w:ind w:left="420"/>
        <w:spacing w:after="0" w:line="238" w:lineRule="auto"/>
        <w:rPr>
          <w:sz w:val="20"/>
          <w:szCs w:val="20"/>
          <w:color w:val="auto"/>
        </w:rPr>
      </w:pPr>
      <w:r>
        <w:rPr>
          <w:rFonts w:ascii="Courier New" w:cs="Courier New" w:eastAsia="Courier New" w:hAnsi="Courier New"/>
          <w:sz w:val="18"/>
          <w:szCs w:val="18"/>
          <w:color w:val="auto"/>
        </w:rPr>
        <w:t>Vice Chairman and Chief</w:t>
      </w:r>
    </w:p>
    <w:p>
      <w:pPr>
        <w:ind w:left="420"/>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rPr>
          <w:sz w:val="20"/>
          <w:szCs w:val="20"/>
          <w:color w:val="auto"/>
        </w:rPr>
      </w:pPr>
      <w:r>
        <w:rPr>
          <w:rFonts w:ascii="Courier New" w:cs="Courier New" w:eastAsia="Courier New" w:hAnsi="Courier New"/>
          <w:sz w:val="18"/>
          <w:szCs w:val="18"/>
          <w:color w:val="auto"/>
        </w:rPr>
        <w:t>Date: October 24, 2015</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08"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LIMITED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119"/>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No. 1 LIMITED</w:t>
      </w:r>
    </w:p>
    <w:p>
      <w:pPr>
        <w:spacing w:after="0" w:line="164"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October 21, 2015</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CANADA HOLDING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KELLY SCHWARTZ</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Kelly Schwartz</w:t>
      </w:r>
    </w:p>
    <w:p>
      <w:pPr>
        <w:ind w:left="420"/>
        <w:spacing w:after="0"/>
        <w:rPr>
          <w:sz w:val="20"/>
          <w:szCs w:val="20"/>
          <w:color w:val="auto"/>
        </w:rPr>
      </w:pPr>
      <w:r>
        <w:rPr>
          <w:rFonts w:ascii="Courier New" w:cs="Courier New" w:eastAsia="Courier New" w:hAnsi="Courier New"/>
          <w:sz w:val="18"/>
          <w:szCs w:val="18"/>
          <w:color w:val="auto"/>
        </w:rPr>
        <w:t>President and 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May 3, 2016</w:t>
      </w:r>
    </w:p>
    <w:p>
      <w:pPr>
        <w:sectPr>
          <w:pgSz w:w="11900" w:h="16838" w:orient="portrait"/>
          <w:cols w:equalWidth="0" w:num="1">
            <w:col w:w="10139"/>
          </w:cols>
          <w:pgMar w:left="320" w:top="136"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0"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54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0"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139"/>
          </w:cols>
          <w:pgMar w:left="320" w:top="136" w:right="1440" w:bottom="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By: /S/ 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By: /S/ LEO P. GROHOWSKI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36" w:right="1440" w:bottom="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BNY MELLON SERVICE KAPITALANLAGE-</w:t>
            </w:r>
          </w:p>
        </w:tc>
        <w:tc>
          <w:tcPr>
            <w:tcW w:w="390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BNY MELLON SERVICE KAPITALANLAGE-</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GESELLSCHAFT mbH</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GESELLSCHAFT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mbH</w:t>
            </w:r>
          </w:p>
        </w:tc>
        <w:tc>
          <w:tcPr>
            <w:tcW w:w="1740" w:type="dxa"/>
            <w:vAlign w:val="bottom"/>
          </w:tcPr>
          <w:p>
            <w:pPr>
              <w:spacing w:after="0"/>
              <w:rPr>
                <w:sz w:val="17"/>
                <w:szCs w:val="17"/>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By: /S/ KATARINA MELVAN</w:t>
            </w:r>
          </w:p>
        </w:tc>
        <w:tc>
          <w:tcPr>
            <w:tcW w:w="21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By: /S/ CAROLINE</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Katarina Melvan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Caroline</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Managing Director(Chairman)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Managing</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August 19, 2016</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 August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2016</w:t>
            </w:r>
          </w:p>
        </w:tc>
      </w:tr>
    </w:tbl>
    <w:p>
      <w:pPr>
        <w:spacing w:after="0" w:line="1" w:lineRule="exact"/>
        <w:rPr>
          <w:sz w:val="20"/>
          <w:szCs w:val="20"/>
          <w:color w:val="auto"/>
        </w:rPr>
      </w:pP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upperLetter"/>
      <w:start w:val="24"/>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2"/>
    </w:lvl>
    <w:lvl w:ilvl="1">
      <w:lvlJc w:val="left"/>
      <w:lvlText w:val="(%2)"/>
      <w:numFmt w:val="lowerLetter"/>
      <w:start w:val="1"/>
    </w:lvl>
  </w:abstractNum>
  <w:abstractNum w:abstractNumId="3">
    <w:nsid w:val="6763845E"/>
    <w:multiLevelType w:val="hybridMultilevel"/>
    <w:lvl w:ilvl="0">
      <w:lvlJc w:val="left"/>
      <w:lvlText w:val="(%1)"/>
      <w:numFmt w:val="decimal"/>
      <w:start w:val="9"/>
    </w:lvl>
  </w:abstractNum>
  <w:abstractNum w:abstractNumId="4">
    <w:nsid w:val="75A2A8D4"/>
    <w:multiLevelType w:val="hybridMultilevel"/>
    <w:lvl w:ilvl="0">
      <w:lvlJc w:val="left"/>
      <w:lvlText w:val="(%1)"/>
      <w:numFmt w:val="decimal"/>
      <w:start w:val="2"/>
    </w:lvl>
    <w:lvl w:ilvl="1">
      <w:lvlJc w:val="left"/>
      <w:lvlText w:val="(%2)"/>
      <w:numFmt w:val="lowerLetter"/>
      <w:start w:val="1"/>
    </w:lvl>
  </w:abstractNum>
  <w:abstractNum w:abstractNumId="5">
    <w:nsid w:val="8EDBDAB"/>
    <w:multiLevelType w:val="hybridMultilevel"/>
    <w:lvl w:ilvl="0">
      <w:lvlJc w:val="left"/>
      <w:lvlText w:val="(%1)"/>
      <w:numFmt w:val="decimal"/>
      <w:start w:val="9"/>
    </w:lvl>
  </w:abstractNum>
  <w:abstractNum w:abstractNumId="6">
    <w:nsid w:val="79838CB2"/>
    <w:multiLevelType w:val="hybridMultilevel"/>
    <w:lvl w:ilvl="0">
      <w:lvlJc w:val="left"/>
      <w:lvlText w:val="(%1)"/>
      <w:numFmt w:val="decimal"/>
      <w:start w:val="2"/>
    </w:lvl>
    <w:lvl w:ilvl="1">
      <w:lvlJc w:val="left"/>
      <w:lvlText w:val="(%2)"/>
      <w:numFmt w:val="lowerLetter"/>
      <w:start w:val="1"/>
    </w:lvl>
  </w:abstractNum>
  <w:abstractNum w:abstractNumId="7">
    <w:nsid w:val="4353D0CD"/>
    <w:multiLevelType w:val="hybridMultilevel"/>
    <w:lvl w:ilvl="0">
      <w:lvlJc w:val="left"/>
      <w:lvlText w:val="(%1)"/>
      <w:numFmt w:val="decimal"/>
      <w:start w:val="9"/>
    </w:lvl>
  </w:abstractNum>
  <w:abstractNum w:abstractNumId="8">
    <w:nsid w:val="B03E0C6"/>
    <w:multiLevelType w:val="hybridMultilevel"/>
    <w:lvl w:ilvl="0">
      <w:lvlJc w:val="left"/>
      <w:lvlText w:val="(%1)"/>
      <w:numFmt w:val="decimal"/>
      <w:start w:val="2"/>
    </w:lvl>
    <w:lvl w:ilvl="1">
      <w:lvlJc w:val="left"/>
      <w:lvlText w:val="(%2)"/>
      <w:numFmt w:val="lowerLetter"/>
      <w:start w:val="1"/>
    </w:lvl>
  </w:abstractNum>
  <w:abstractNum w:abstractNumId="9">
    <w:nsid w:val="189A769B"/>
    <w:multiLevelType w:val="hybridMultilevel"/>
    <w:lvl w:ilvl="0">
      <w:lvlJc w:val="left"/>
      <w:lvlText w:val="(%1)"/>
      <w:numFmt w:val="decimal"/>
      <w:start w:val="9"/>
    </w:lvl>
  </w:abstractNum>
  <w:abstractNum w:abstractNumId="10">
    <w:nsid w:val="54E49EB4"/>
    <w:multiLevelType w:val="hybridMultilevel"/>
    <w:lvl w:ilvl="0">
      <w:lvlJc w:val="left"/>
      <w:lvlText w:val="(%1)"/>
      <w:numFmt w:val="upperLetter"/>
      <w:start w:val="1"/>
    </w:lvl>
  </w:abstractNum>
  <w:abstractNum w:abstractNumId="11">
    <w:nsid w:val="71F32454"/>
    <w:multiLevelType w:val="hybridMultilevel"/>
    <w:lvl w:ilvl="0">
      <w:lvlJc w:val="left"/>
      <w:lvlText w:val="(%1)"/>
      <w:numFmt w:val="upperLetter"/>
      <w:start w:val="24"/>
    </w:lvl>
  </w:abstractNum>
  <w:abstractNum w:abstractNumId="12">
    <w:nsid w:val="2CA88611"/>
    <w:multiLevelType w:val="hybridMultilevel"/>
    <w:lvl w:ilvl="0">
      <w:lvlJc w:val="left"/>
      <w:lvlText w:val="(%1)"/>
      <w:numFmt w:val="upperLetter"/>
      <w:start w:val="24"/>
    </w:lvl>
  </w:abstractNum>
  <w:abstractNum w:abstractNumId="13">
    <w:nsid w:val="836C40E"/>
    <w:multiLevelType w:val="hybridMultilevel"/>
    <w:lvl w:ilvl="0">
      <w:lvlJc w:val="left"/>
      <w:lvlText w:val="(%1)"/>
      <w:numFmt w:val="upperLetter"/>
      <w:start w:val="24"/>
    </w:lvl>
  </w:abstractNum>
  <w:abstractNum w:abstractNumId="14">
    <w:nsid w:val="2901D82"/>
    <w:multiLevelType w:val="hybridMultilevel"/>
    <w:lvl w:ilvl="0">
      <w:lvlJc w:val="left"/>
      <w:lvlText w:val="(%1)"/>
      <w:numFmt w:val="upperLetter"/>
      <w:start w:val="1"/>
    </w:lvl>
    <w:lvl w:ilvl="1">
      <w:lvlJc w:val="left"/>
      <w:lvlText w:val="("/>
      <w:numFmt w:val="bullet"/>
      <w:start w:val="1"/>
    </w:lvl>
  </w:abstractNum>
  <w:abstractNum w:abstractNumId="15">
    <w:nsid w:val="3A95F874"/>
    <w:multiLevelType w:val="hybridMultilevel"/>
    <w:lvl w:ilvl="0">
      <w:lvlJc w:val="left"/>
      <w:lvlText w:val="(%1)"/>
      <w:numFmt w:val="upperLetter"/>
      <w:start w:val="24"/>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upperLetter"/>
      <w:start w:val="24"/>
    </w:lvl>
  </w:abstractNum>
  <w:abstractNum w:abstractNumId="18">
    <w:nsid w:val="7C3DBD3D"/>
    <w:multiLevelType w:val="hybridMultilevel"/>
    <w:lvl w:ilvl="0">
      <w:lvlJc w:val="left"/>
      <w:lvlText w:val="(%1)"/>
      <w:numFmt w:val="upperLetter"/>
      <w:start w:val="24"/>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upperLetter"/>
      <w:start w:val="2"/>
    </w:lvl>
    <w:lvl w:ilvl="1">
      <w:lvlJc w:val="left"/>
      <w:lvlText w:val="("/>
      <w:numFmt w:val="bullet"/>
      <w:start w:val="1"/>
    </w:lvl>
  </w:abstractNum>
  <w:abstractNum w:abstractNumId="21">
    <w:nsid w:val="22221A70"/>
    <w:multiLevelType w:val="hybridMultilevel"/>
    <w:lvl w:ilvl="0">
      <w:lvlJc w:val="left"/>
      <w:lvlText w:val="(%1)"/>
      <w:numFmt w:val="upperLetter"/>
      <w:start w:val="24"/>
    </w:lvl>
  </w:abstractNum>
  <w:abstractNum w:abstractNumId="22">
    <w:nsid w:val="4516DDE9"/>
    <w:multiLevelType w:val="hybridMultilevel"/>
    <w:lvl w:ilvl="0">
      <w:lvlJc w:val="left"/>
      <w:lvlText w:val="%1"/>
      <w:numFmt w:val="upperLetter"/>
      <w:start w:val="1"/>
    </w:lvl>
    <w:lvl w:ilvl="1">
      <w:lvlJc w:val="left"/>
      <w:lvlText w:val="(%2)"/>
      <w:numFmt w:val="upperLetter"/>
      <w:start w:val="24"/>
    </w:lvl>
  </w:abstractNum>
  <w:abstractNum w:abstractNumId="23">
    <w:nsid w:val="3006C83E"/>
    <w:multiLevelType w:val="hybridMultilevel"/>
    <w:lvl w:ilvl="0">
      <w:lvlJc w:val="left"/>
      <w:lvlText w:val="(%1)"/>
      <w:numFmt w:val="upperLetter"/>
      <w:start w:val="4"/>
    </w:lvl>
    <w:lvl w:ilvl="1">
      <w:lvlJc w:val="left"/>
      <w:lvlText w:val="(%2)"/>
      <w:numFmt w:val="upperLetter"/>
      <w:start w:val="24"/>
    </w:lvl>
  </w:abstractNum>
  <w:abstractNum w:abstractNumId="24">
    <w:nsid w:val="614FD4A1"/>
    <w:multiLevelType w:val="hybridMultilevel"/>
    <w:lvl w:ilvl="0">
      <w:lvlJc w:val="left"/>
      <w:lvlText w:val="(%1)"/>
      <w:numFmt w:val="upperLetter"/>
      <w:start w:val="24"/>
    </w:lvl>
  </w:abstractNum>
  <w:abstractNum w:abstractNumId="25">
    <w:nsid w:val="419AC241"/>
    <w:multiLevelType w:val="hybridMultilevel"/>
    <w:lvl w:ilvl="0">
      <w:lvlJc w:val="left"/>
      <w:lvlText w:val="(%1)"/>
      <w:numFmt w:val="upperLetter"/>
      <w:start w:val="24"/>
    </w:lvl>
  </w:abstractNum>
  <w:abstractNum w:abstractNumId="26">
    <w:nsid w:val="5577F8E1"/>
    <w:multiLevelType w:val="hybridMultilevel"/>
    <w:lvl w:ilvl="0">
      <w:lvlJc w:val="left"/>
      <w:lvlText w:val="(%1)"/>
      <w:numFmt w:val="upperLetter"/>
      <w:start w:val="24"/>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upperLetter"/>
      <w:start w:val="24"/>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2021-02-01T07:38:18Z</dcterms:created>
  <dcterms:modified xsi:type="dcterms:W3CDTF">2021-02-01T07:38:18Z</dcterms:modified>
</cp:coreProperties>
</file>