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987d1_8k.htm"/>
      <w:bookmarkStart w:id="1" w:name="kstm26298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601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January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Clearway Energy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0" w:type="dxa"/>
          <w:left w:w="0" w:type="dxa"/>
          <w:bottom w:w="0" w:type="dxa"/>
          <w:right w:w="0" w:type="dxa"/>
        </w:tblCellMar>
      </w:tblPr>
      <w:tblGrid>
        <w:gridCol w:w="2420"/>
        <w:gridCol w:w="60"/>
        <w:gridCol w:w="2210"/>
        <w:gridCol w:w="60"/>
        <w:gridCol w:w="2795"/>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113"/>
            <w:bookmarkEnd w:id="6"/>
            <w:r>
              <w:rPr>
                <w:rFonts w:ascii="Times New Roman;Times;Serif" w:hAnsi="Times New Roman;Times;Serif"/>
                <w:b/>
                <w:i w:val="false"/>
                <w:caps w:val="false"/>
                <w:smallCaps w:val="false"/>
                <w:sz w:val="20"/>
              </w:rPr>
              <w:t>333-203369</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32-0407370</w:t>
            </w:r>
          </w:p>
        </w:tc>
      </w:tr>
      <w:tr>
        <w:trPr/>
        <w:tc>
          <w:tcPr>
            <w:tcW w:w="24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w:t>
            </w: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300 Carnegie Center, </w:t>
      </w:r>
      <w:bookmarkStart w:id="9" w:name="xdx_903_edei--EntityAddressAddressLine2_"/>
      <w:bookmarkEnd w:id="9"/>
      <w:r>
        <w:rPr>
          <w:rFonts w:ascii="Times New Roman;Times;Serif" w:hAnsi="Times New Roman;Times;Serif"/>
          <w:b/>
          <w:i w:val="false"/>
          <w:caps w:val="false"/>
          <w:smallCaps w:val="false"/>
          <w:sz w:val="20"/>
        </w:rPr>
        <w:t xml:space="preserve">Suite 300, </w:t>
      </w:r>
      <w:bookmarkStart w:id="10" w:name="xdx_90E_edei--EntityAddressCityOrTown_c2"/>
      <w:bookmarkEnd w:id="10"/>
      <w:r>
        <w:rPr>
          <w:rFonts w:ascii="Times New Roman;Times;Serif" w:hAnsi="Times New Roman;Times;Serif"/>
          <w:b/>
          <w:i w:val="false"/>
          <w:caps w:val="false"/>
          <w:smallCaps w:val="false"/>
          <w:sz w:val="20"/>
        </w:rPr>
        <w:t xml:space="preserve">Princeton, </w:t>
      </w:r>
      <w:bookmarkStart w:id="11" w:name="xdx_900_edei--EntityAddressStateOrProvin"/>
      <w:bookmarkEnd w:id="11"/>
      <w:r>
        <w:rPr>
          <w:rFonts w:ascii="Times New Roman;Times;Serif" w:hAnsi="Times New Roman;Times;Serif"/>
          <w:b/>
          <w:i w:val="false"/>
          <w:caps w:val="false"/>
          <w:smallCaps w:val="false"/>
          <w:sz w:val="20"/>
        </w:rPr>
        <w:t xml:space="preserve">New Jersey </w:t>
      </w:r>
      <w:bookmarkStart w:id="12" w:name="xdx_900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C_edei--CityAreaCode_c20260113__20"/>
      <w:bookmarkEnd w:id="13"/>
      <w:r>
        <w:rPr>
          <w:rFonts w:ascii="Times New Roman;Times;Serif" w:hAnsi="Times New Roman;Times;Serif"/>
          <w:b/>
          <w:i w:val="false"/>
          <w:caps w:val="false"/>
          <w:smallCaps w:val="false"/>
          <w:sz w:val="20"/>
        </w:rPr>
        <w:t xml:space="preserve">609) </w:t>
      </w:r>
      <w:bookmarkStart w:id="14" w:name="xdx_908_edei--LocalPhoneNumber_c20260113"/>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4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8_edei--SolicitingMaterial_c202601"/>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9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1535"/>
        <w:gridCol w:w="60"/>
        <w:gridCol w:w="1610"/>
        <w:gridCol w:w="60"/>
        <w:gridCol w:w="28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0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Clearway Energy Operating LLC (“Clearway Operating”), a subsidiary of Clearway Energy LLC, completed the sale of $600 million aggregate principal amount of 5.750% senior notes due 2034 (the “Senior Notes”) pursuant to the terms of the purchase agreement, dated January 8, 2026 (the “Purchase Agreement”), among Clearway Operating, the guarantors named therein and the initial purchasers named therein (the “Initial Purchasers”).  The Senior Notes were issued under an Indenture, dated January 13, 2026 (the “Indenture”), among Clearway Operating, the guarantors named therein and CSC Delaware Trust Company (formerly known as Delaware Trust Company), as trustee (the “Trustee”).  The Indenture and the form of Senior Note, which is attached as an exhibit to the Indenture, provide, among other things, that the Senior Notes will be senior unsecured obligations of Clearway Operating.  Interest is payable on the Senior Notes on January 15 and July 15 of each year beginning on July 15, 2026 until their maturity date of January 15,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January 15, 2029, Clearway Operating may redeem up to 40% of the Senior Notes at a redemption price of 105.750% of the principal amount of the Senior Notes redeemed, plus accrued and unpaid interest to the redemption date, in an amount equal to the net cash proceeds of one or more equity offerings, so long as the redemption occurs within 180 days of completing such equity offering and at least 50% of the aggregate principal amount of the Senior Notes remains outstanding after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prior to January 15, 2029, Clearway Operating may redeem all or a portion of the Senior Notes for cash at a redemption price equal to 100% of the principal amount of the Senior Notes redeemed, plus an applicable make-whole premium and accrued and unpaid interest to the redemption date.  On and after January 15, 2029, Clearway Operating may redeem all or a portion of the Senior Notes at redemption prices set forth in the Indenture, plus accrued and unpaid interest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Indenture, among other things, limit the ability of Clearway Operating and certain of its subsidiaries to create liens on assets and consolidate, merge or transfer all or substantially all of its assets and the assets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Clearway Operating and its subsidiaries; the failure of certain guarantees to be enforceable; and certain events of bankruptcy or insolvency.  Generally, if an event of default occurs and is not cured within the time periods specified, the Trustee or the holders of at least 30% in principal amount of the then outstanding series of Senior Notes may declare all the Senior Notes of such series to be due and payable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were sold to the Initial Purchasers for resale to persons reasonably believed to be qualified institutional buyers under Rule 144A of the Securities Act of 1933, as amended (the “Securities Act”), and to persons outside the United States under Regulation S of the Securities Act.  The Senior Notes were issued in a transaction exempt from registration under the Securities Act or any state securities laws. Therefore, Senior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do not purport to be complete and are qualified by reference to the Indenture and the form of Senior Note, which are filed as Exhibits 4.1 and 4.2, respectively, to this Current Report on Form 8-K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disclosures under Item 1.01 of this Current Report on Form 8-K relating to the Indenture and the form of Senior Note are also responsive to Item 2.03 of this report and are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Document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center"/>
              <w:rPr/>
            </w:pPr>
            <w:r>
              <w:rPr/>
              <w:t> </w:t>
            </w:r>
          </w:p>
        </w:tc>
      </w:tr>
      <w:tr>
        <w:trPr/>
        <w:tc>
          <w:tcPr>
            <w:tcW w:w="665" w:type="dxa"/>
            <w:tcBorders/>
            <w:tcMar>
              <w:bottom w:w="0" w:type="dxa"/>
            </w:tcMar>
            <w:vAlign w:val="center"/>
          </w:tcPr>
          <w:p>
            <w:pPr>
              <w:pStyle w:val="TableContents"/>
              <w:bidi w:val="0"/>
              <w:spacing w:before="0" w:after="283"/>
              <w:jc w:val="left"/>
              <w:rPr/>
            </w:pPr>
            <w:hyperlink w:anchor="tm262987d1_ex4-1.htm">
              <w:r>
                <w:rPr>
                  <w:rStyle w:val="InternetLink"/>
                </w:rPr>
                <w:t xml:space="preserve">4.1  </w:t>
              </w:r>
            </w:hyperlink>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w:anchor="tm262987d1_ex4-1.htm">
              <w:r>
                <w:rPr>
                  <w:rStyle w:val="InternetLink"/>
                </w:rPr>
                <w:t xml:space="preserve">Indenture, dated January 13, 2026, among Clearway Energy Operating LLC, the guarantors named therein and CSC Delaware Trust Company, as trustee. </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987d1_ex4-1.htm">
              <w:r>
                <w:rPr>
                  <w:rStyle w:val="InternetLink"/>
                </w:rPr>
                <w:t>4.2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987d1_ex4-1.htm">
              <w:r>
                <w:rPr>
                  <w:rStyle w:val="InternetLink"/>
                </w:rPr>
                <w:t>Form of 5.750% Senior Notes due 2034 (incorporated by reference to Exhibit 4.1 filed herewith).</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Cover Page Interactive Data File - the cover page XBRL tags are embedded within the Inline XBRL document.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15" w:type="dxa"/>
        <w:jc w:val="left"/>
        <w:tblInd w:w="0" w:type="dxa"/>
        <w:tblLayout w:type="fixed"/>
        <w:tblCellMar>
          <w:top w:w="0" w:type="dxa"/>
          <w:left w:w="0" w:type="dxa"/>
          <w:bottom w:w="0" w:type="dxa"/>
          <w:right w:w="0" w:type="dxa"/>
        </w:tblCellMar>
      </w:tblPr>
      <w:tblGrid>
        <w:gridCol w:w="2015"/>
        <w:gridCol w:w="320"/>
        <w:gridCol w:w="3380"/>
      </w:tblGrid>
      <w:tr>
        <w:trPr/>
        <w:tc>
          <w:tcPr>
            <w:tcW w:w="201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Clearway Energy LLC</w:t>
            </w:r>
          </w:p>
        </w:tc>
      </w:tr>
      <w:tr>
        <w:trPr/>
        <w:tc>
          <w:tcPr>
            <w:tcW w:w="201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both"/>
              <w:rPr/>
            </w:pPr>
            <w:r>
              <w:rPr/>
              <w:t> </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3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Kevin P. Malcarney</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Kevin P. Malcarney</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 and Corporate Secretary</w:t>
            </w:r>
          </w:p>
        </w:tc>
      </w:tr>
      <w:tr>
        <w:trPr/>
        <w:tc>
          <w:tcPr>
            <w:tcW w:w="201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both"/>
              <w:rPr/>
            </w:pPr>
            <w:r>
              <w:rPr/>
              <w:t> </w:t>
            </w:r>
          </w:p>
        </w:tc>
      </w:tr>
      <w:tr>
        <w:trPr/>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January 13, 2026</w:t>
            </w:r>
          </w:p>
        </w:tc>
        <w:tc>
          <w:tcPr>
            <w:tcW w:w="3700"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tm262987d1_ex4-1.htm"/>
      <w:bookmarkStart w:id="21" w:name="kstm262987d1_ex41"/>
      <w:bookmarkEnd w:id="20"/>
      <w:bookmarkEnd w:id="21"/>
      <w:r>
        <w:rPr>
          <w:rFonts w:ascii="Times New Roman;Times;Serif" w:hAnsi="Times New Roman;Times;Serif"/>
          <w:b/>
          <w:i w:val="false"/>
          <w:caps w:val="false"/>
          <w:smallCaps w:val="false"/>
          <w:sz w:val="20"/>
        </w:rPr>
        <w:t>Exhibit 4.1</w:t>
      </w:r>
      <w:r>
        <w:br w:type="page"/>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OPERATING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and each of the Guarantors</w:t>
      </w:r>
      <w:r>
        <w:rPr>
          <w:rFonts w:ascii="Times New Roman;Times;Serif" w:hAnsi="Times New Roman;Times;Serif"/>
          <w:b w:val="false"/>
          <w:i w:val="false"/>
          <w:caps w:val="false"/>
          <w:smallCaps w:val="false"/>
          <w:sz w:val="20"/>
        </w:rPr>
        <w:t xml:space="preserve">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 SENIOR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January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CSC Delaware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425"/>
        <w:gridCol w:w="425"/>
      </w:tblGrid>
      <w:tr>
        <w:trPr/>
        <w:tc>
          <w:tcPr>
            <w:tcW w:w="685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1</w:t>
            </w:r>
          </w:p>
        </w:tc>
      </w:tr>
      <w:tr>
        <w:trPr/>
        <w:tc>
          <w:tcPr>
            <w:tcW w:w="685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DEFINITIONS AND INCORPORATION</w:t>
            </w:r>
          </w:p>
        </w:tc>
      </w:tr>
      <w:tr>
        <w:trPr/>
        <w:tc>
          <w:tcPr>
            <w:tcW w:w="685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BY REFERENCE</w:t>
            </w:r>
          </w:p>
        </w:tc>
      </w:tr>
      <w:tr>
        <w:trPr/>
        <w:tc>
          <w:tcPr>
            <w:tcW w:w="6850" w:type="dxa"/>
            <w:gridSpan w:val="2"/>
            <w:tcBorders/>
            <w:vAlign w:val="center"/>
          </w:tcPr>
          <w:p>
            <w:pPr>
              <w:pStyle w:val="TableContents"/>
              <w:bidi w:val="0"/>
              <w:spacing w:before="0" w:after="283"/>
              <w:jc w:val="center"/>
              <w:rPr/>
            </w:pPr>
            <w:r>
              <w:rPr/>
              <w:t> </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     Definitions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1</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     Other Definitions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     Rules of Construction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15</w:t>
            </w:r>
          </w:p>
        </w:tc>
      </w:tr>
      <w:tr>
        <w:trPr/>
        <w:tc>
          <w:tcPr>
            <w:tcW w:w="642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685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2</w:t>
            </w:r>
          </w:p>
        </w:tc>
      </w:tr>
      <w:tr>
        <w:trPr/>
        <w:tc>
          <w:tcPr>
            <w:tcW w:w="685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THE ISSUANCE OF NOTES AND ADDITIONAL SECURITIES</w:t>
            </w:r>
          </w:p>
        </w:tc>
      </w:tr>
      <w:tr>
        <w:trPr/>
        <w:tc>
          <w:tcPr>
            <w:tcW w:w="6850" w:type="dxa"/>
            <w:gridSpan w:val="2"/>
            <w:tcBorders/>
            <w:vAlign w:val="center"/>
          </w:tcPr>
          <w:p>
            <w:pPr>
              <w:pStyle w:val="TableContents"/>
              <w:bidi w:val="0"/>
              <w:spacing w:before="0" w:after="283"/>
              <w:jc w:val="center"/>
              <w:rPr/>
            </w:pPr>
            <w:r>
              <w:rPr/>
              <w:t> </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     Form and Dating of Notes; Creation of Additional Securities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15</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     Execution and Authentication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18</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     Registrar and Paying Agent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19</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     Paying Agent to Hold Money in Trust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     Holder Lists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19</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     Transfer and Exchange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     Issuance of Additional Notes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     Replacement Securities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31</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     Outstanding Securities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31</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     Treasury Securities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31</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     Temporary Securities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32</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     Cancellation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32</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     Defaulted Interest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32</w:t>
            </w:r>
          </w:p>
        </w:tc>
      </w:tr>
      <w:tr>
        <w:trPr/>
        <w:tc>
          <w:tcPr>
            <w:tcW w:w="642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685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3</w:t>
            </w:r>
          </w:p>
        </w:tc>
      </w:tr>
      <w:tr>
        <w:trPr/>
        <w:tc>
          <w:tcPr>
            <w:tcW w:w="685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REDEMPTION AND PREPAYMENT</w:t>
            </w:r>
          </w:p>
        </w:tc>
      </w:tr>
      <w:tr>
        <w:trPr/>
        <w:tc>
          <w:tcPr>
            <w:tcW w:w="6850" w:type="dxa"/>
            <w:gridSpan w:val="2"/>
            <w:tcBorders/>
            <w:vAlign w:val="center"/>
          </w:tcPr>
          <w:p>
            <w:pPr>
              <w:pStyle w:val="TableContents"/>
              <w:bidi w:val="0"/>
              <w:spacing w:before="0" w:after="283"/>
              <w:jc w:val="center"/>
              <w:rPr/>
            </w:pPr>
            <w:r>
              <w:rPr/>
              <w:t> </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     Notices to Trustee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     Selection of Notes to Be Redeemed or Purchased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33</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     Notice of Redemption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33</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     Effect of Notice of Redemption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     Deposit of Redemption or Purchase Price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34</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     Notes Redeemed or Purchased in Part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35</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     Optional Redemption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35</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     Mandatory Redemption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36</w:t>
            </w:r>
          </w:p>
        </w:tc>
      </w:tr>
      <w:tr>
        <w:trPr/>
        <w:tc>
          <w:tcPr>
            <w:tcW w:w="642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685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4</w:t>
            </w:r>
          </w:p>
        </w:tc>
      </w:tr>
      <w:tr>
        <w:trPr/>
        <w:tc>
          <w:tcPr>
            <w:tcW w:w="685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COVENANTS</w:t>
            </w:r>
          </w:p>
        </w:tc>
      </w:tr>
      <w:tr>
        <w:trPr/>
        <w:tc>
          <w:tcPr>
            <w:tcW w:w="6850" w:type="dxa"/>
            <w:gridSpan w:val="2"/>
            <w:tcBorders/>
            <w:vAlign w:val="center"/>
          </w:tcPr>
          <w:p>
            <w:pPr>
              <w:pStyle w:val="TableContents"/>
              <w:bidi w:val="0"/>
              <w:spacing w:before="0" w:after="283"/>
              <w:jc w:val="center"/>
              <w:rPr/>
            </w:pPr>
            <w:r>
              <w:rPr/>
              <w:t> </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     Payment of Notes.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36</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     Maintenance of Office or Agency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37</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     Reports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     Compliance Certificate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39</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     Taxes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     Stay, Extension and Usury Laws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     Liens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     Company Existence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42</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4.09     Offer to Repurchase Upon Change of Control Triggering Event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42</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     Additional Subsidiary Guarantees.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44</w:t>
            </w:r>
          </w:p>
        </w:tc>
      </w:tr>
      <w:tr>
        <w:trPr/>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     Holding Company Status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45</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i/>
          <w:sz w:val="20"/>
        </w:rPr>
      </w:pPr>
      <w:r>
        <w:rPr>
          <w:i/>
          <w:sz w:val="20"/>
        </w:rPr>
        <w:t>Page</w:t>
      </w:r>
    </w:p>
    <w:tbl>
      <w:tblPr>
        <w:tblW w:w="9625" w:type="dxa"/>
        <w:jc w:val="left"/>
        <w:tblInd w:w="0" w:type="dxa"/>
        <w:tblLayout w:type="fixed"/>
        <w:tblCellMar>
          <w:top w:w="0" w:type="dxa"/>
          <w:left w:w="0" w:type="dxa"/>
          <w:bottom w:w="0" w:type="dxa"/>
          <w:right w:w="0" w:type="dxa"/>
        </w:tblCellMar>
      </w:tblPr>
      <w:tblGrid>
        <w:gridCol w:w="9200"/>
        <w:gridCol w:w="425"/>
      </w:tblGrid>
      <w:tr>
        <w:trPr/>
        <w:tc>
          <w:tcPr>
            <w:tcW w:w="962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5</w:t>
            </w:r>
          </w:p>
        </w:tc>
      </w:tr>
      <w:tr>
        <w:trPr/>
        <w:tc>
          <w:tcPr>
            <w:tcW w:w="962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SUCCESSORS</w:t>
            </w:r>
          </w:p>
        </w:tc>
      </w:tr>
      <w:tr>
        <w:trPr/>
        <w:tc>
          <w:tcPr>
            <w:tcW w:w="9625" w:type="dxa"/>
            <w:gridSpan w:val="2"/>
            <w:tcBorders/>
            <w:vAlign w:val="center"/>
          </w:tcPr>
          <w:p>
            <w:pPr>
              <w:pStyle w:val="TableContents"/>
              <w:bidi w:val="0"/>
              <w:spacing w:before="0" w:after="283"/>
              <w:jc w:val="center"/>
              <w:rPr/>
            </w:pPr>
            <w:r>
              <w:rPr/>
              <w:t> </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     Merger, Consolidation or Sale of Assets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45</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     Successor Entity Substituted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920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962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6</w:t>
            </w:r>
          </w:p>
        </w:tc>
      </w:tr>
      <w:tr>
        <w:trPr/>
        <w:tc>
          <w:tcPr>
            <w:tcW w:w="962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DEFAULTS AND REMEDIES</w:t>
            </w:r>
          </w:p>
        </w:tc>
      </w:tr>
      <w:tr>
        <w:trPr/>
        <w:tc>
          <w:tcPr>
            <w:tcW w:w="9625" w:type="dxa"/>
            <w:gridSpan w:val="2"/>
            <w:tcBorders/>
            <w:vAlign w:val="center"/>
          </w:tcPr>
          <w:p>
            <w:pPr>
              <w:pStyle w:val="TableContents"/>
              <w:bidi w:val="0"/>
              <w:spacing w:before="0" w:after="283"/>
              <w:jc w:val="center"/>
              <w:rPr/>
            </w:pPr>
            <w:r>
              <w:rPr/>
              <w:t> </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     Events of Default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47</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     Acceleration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     Other Remedies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     Waiver of Past Defaults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49</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     Control by Majority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49</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     Limitation on Suits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49</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     Rights of Holders of Notes to Receive Payment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     Collection Suit by Trustee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50</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     Trustee May File Proofs of Claim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50</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     Priorities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51</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     Undertaking for Costs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920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962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7</w:t>
            </w:r>
          </w:p>
        </w:tc>
      </w:tr>
      <w:tr>
        <w:trPr/>
        <w:tc>
          <w:tcPr>
            <w:tcW w:w="962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TRUSTEE</w:t>
            </w:r>
          </w:p>
        </w:tc>
      </w:tr>
      <w:tr>
        <w:trPr/>
        <w:tc>
          <w:tcPr>
            <w:tcW w:w="9625" w:type="dxa"/>
            <w:gridSpan w:val="2"/>
            <w:tcBorders/>
            <w:vAlign w:val="center"/>
          </w:tcPr>
          <w:p>
            <w:pPr>
              <w:pStyle w:val="TableContents"/>
              <w:bidi w:val="0"/>
              <w:spacing w:before="0" w:after="283"/>
              <w:jc w:val="center"/>
              <w:rPr/>
            </w:pPr>
            <w:r>
              <w:rPr/>
              <w:t> </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     Duties of Trustee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51</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     Rights of Trustee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52</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     Individual Rights of Trustee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     Trustee’s Disclaimer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     Notice of Defaults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54</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     [Reserved]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     Compensation and Indemnity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54</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     Replacement of Trustee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     Successor Trustee by Merger, etc.</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56</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     Eligibility; Disqualification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56</w:t>
            </w:r>
          </w:p>
        </w:tc>
      </w:tr>
      <w:tr>
        <w:trPr/>
        <w:tc>
          <w:tcPr>
            <w:tcW w:w="920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962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8</w:t>
            </w:r>
          </w:p>
        </w:tc>
      </w:tr>
      <w:tr>
        <w:trPr/>
        <w:tc>
          <w:tcPr>
            <w:tcW w:w="962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LEGAL DEFEASANCE AND COVENANT DEFEASANCE</w:t>
            </w:r>
          </w:p>
        </w:tc>
      </w:tr>
      <w:tr>
        <w:trPr/>
        <w:tc>
          <w:tcPr>
            <w:tcW w:w="9625" w:type="dxa"/>
            <w:gridSpan w:val="2"/>
            <w:tcBorders/>
            <w:vAlign w:val="center"/>
          </w:tcPr>
          <w:p>
            <w:pPr>
              <w:pStyle w:val="TableContents"/>
              <w:bidi w:val="0"/>
              <w:spacing w:before="0" w:after="283"/>
              <w:jc w:val="center"/>
              <w:rPr/>
            </w:pPr>
            <w:r>
              <w:rPr/>
              <w:t> </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     Option to Effect Legal Defeasance or Covenant Defeasance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56</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     Legal Defeasance and Discharge.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56</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     Covenant Defeasance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     Conditions to Legal or Covenant Defeasance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     Deposited Money and Government Securities to be Held in Trust; Other Miscellaneous Provisions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58</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8.06     Repayment to Company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59</w:t>
            </w:r>
          </w:p>
        </w:tc>
      </w:tr>
      <w:tr>
        <w:trPr/>
        <w:tc>
          <w:tcPr>
            <w:tcW w:w="9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8.07     Reinstatement </w:t>
            </w:r>
          </w:p>
        </w:tc>
        <w:tc>
          <w:tcPr>
            <w:tcW w:w="425" w:type="dxa"/>
            <w:tcBorders/>
            <w:vAlign w:val="center"/>
          </w:tcPr>
          <w:p>
            <w:pPr>
              <w:pStyle w:val="TableContents"/>
              <w:bidi w:val="0"/>
              <w:spacing w:before="0" w:after="283"/>
              <w:jc w:val="right"/>
              <w:rPr/>
            </w:pPr>
            <w:r>
              <w:rPr/>
              <w:t> </w:t>
            </w:r>
            <w:r>
              <w:rPr>
                <w:rFonts w:ascii="Times New Roman;Times;Serif" w:hAnsi="Times New Roman;Times;Serif"/>
                <w:sz w:val="20"/>
              </w:rPr>
              <w:t>59</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i/>
          <w:sz w:val="20"/>
        </w:rPr>
      </w:pPr>
      <w:r>
        <w:rPr>
          <w:i/>
          <w:sz w:val="20"/>
        </w:rPr>
        <w:t>Page</w:t>
      </w:r>
    </w:p>
    <w:tbl>
      <w:tblPr>
        <w:tblW w:w="8695" w:type="dxa"/>
        <w:jc w:val="left"/>
        <w:tblInd w:w="0" w:type="dxa"/>
        <w:tblLayout w:type="fixed"/>
        <w:tblCellMar>
          <w:top w:w="0" w:type="dxa"/>
          <w:left w:w="0" w:type="dxa"/>
          <w:bottom w:w="0" w:type="dxa"/>
          <w:right w:w="0" w:type="dxa"/>
        </w:tblCellMar>
      </w:tblPr>
      <w:tblGrid>
        <w:gridCol w:w="8315"/>
        <w:gridCol w:w="380"/>
      </w:tblGrid>
      <w:tr>
        <w:trPr/>
        <w:tc>
          <w:tcPr>
            <w:tcW w:w="831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869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9</w:t>
            </w:r>
          </w:p>
        </w:tc>
      </w:tr>
      <w:tr>
        <w:trPr/>
        <w:tc>
          <w:tcPr>
            <w:tcW w:w="869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AMENDMENT, SUPPLEMENT AND WAIVER</w:t>
            </w:r>
          </w:p>
        </w:tc>
      </w:tr>
      <w:tr>
        <w:trPr/>
        <w:tc>
          <w:tcPr>
            <w:tcW w:w="8695" w:type="dxa"/>
            <w:gridSpan w:val="2"/>
            <w:tcBorders/>
            <w:vAlign w:val="center"/>
          </w:tcPr>
          <w:p>
            <w:pPr>
              <w:pStyle w:val="TableContents"/>
              <w:bidi w:val="0"/>
              <w:spacing w:before="0" w:after="283"/>
              <w:jc w:val="center"/>
              <w:rPr/>
            </w:pPr>
            <w:r>
              <w:rPr/>
              <w:t> </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     Without Consent of Holders of Notes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59</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     With Consent of Holders of Notes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60</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     [Reserved]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62</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     Revocation and Effect of Consents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62</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     Notation on or Exchange of Securities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62</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     Trustee to Sign Amendments, etc.     </w:t>
            </w:r>
          </w:p>
        </w:tc>
        <w:tc>
          <w:tcPr>
            <w:tcW w:w="3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831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869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10</w:t>
            </w:r>
          </w:p>
        </w:tc>
      </w:tr>
      <w:tr>
        <w:trPr/>
        <w:tc>
          <w:tcPr>
            <w:tcW w:w="869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GUARANTEES</w:t>
            </w:r>
          </w:p>
        </w:tc>
      </w:tr>
      <w:tr>
        <w:trPr/>
        <w:tc>
          <w:tcPr>
            <w:tcW w:w="8695" w:type="dxa"/>
            <w:gridSpan w:val="2"/>
            <w:tcBorders/>
            <w:vAlign w:val="center"/>
          </w:tcPr>
          <w:p>
            <w:pPr>
              <w:pStyle w:val="TableContents"/>
              <w:bidi w:val="0"/>
              <w:spacing w:before="0" w:after="283"/>
              <w:jc w:val="center"/>
              <w:rPr/>
            </w:pPr>
            <w:r>
              <w:rPr/>
              <w:t> </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     Guarantee     </w:t>
            </w:r>
          </w:p>
        </w:tc>
        <w:tc>
          <w:tcPr>
            <w:tcW w:w="3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     Limitation on Guarantor Liability     </w:t>
            </w:r>
          </w:p>
        </w:tc>
        <w:tc>
          <w:tcPr>
            <w:tcW w:w="3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     Execution and Delivery of Guarantee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64</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     [Reserved]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64</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     Releases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64</w:t>
            </w:r>
          </w:p>
        </w:tc>
      </w:tr>
      <w:tr>
        <w:trPr/>
        <w:tc>
          <w:tcPr>
            <w:tcW w:w="831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869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11</w:t>
            </w:r>
          </w:p>
        </w:tc>
      </w:tr>
      <w:tr>
        <w:trPr/>
        <w:tc>
          <w:tcPr>
            <w:tcW w:w="869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satisfaction and discharge</w:t>
            </w:r>
          </w:p>
        </w:tc>
      </w:tr>
      <w:tr>
        <w:trPr/>
        <w:tc>
          <w:tcPr>
            <w:tcW w:w="8695" w:type="dxa"/>
            <w:gridSpan w:val="2"/>
            <w:tcBorders/>
            <w:vAlign w:val="center"/>
          </w:tcPr>
          <w:p>
            <w:pPr>
              <w:pStyle w:val="TableContents"/>
              <w:bidi w:val="0"/>
              <w:spacing w:before="0" w:after="283"/>
              <w:jc w:val="center"/>
              <w:rPr/>
            </w:pPr>
            <w:r>
              <w:rPr/>
              <w:t> </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     Satisfaction and Discharge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65</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     Application of Trust Money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66</w:t>
            </w:r>
          </w:p>
        </w:tc>
      </w:tr>
      <w:tr>
        <w:trPr/>
        <w:tc>
          <w:tcPr>
            <w:tcW w:w="831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869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12</w:t>
            </w:r>
          </w:p>
        </w:tc>
      </w:tr>
      <w:tr>
        <w:trPr/>
        <w:tc>
          <w:tcPr>
            <w:tcW w:w="869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MISCELLANEOUS</w:t>
            </w:r>
          </w:p>
        </w:tc>
      </w:tr>
      <w:tr>
        <w:trPr/>
        <w:tc>
          <w:tcPr>
            <w:tcW w:w="8695" w:type="dxa"/>
            <w:gridSpan w:val="2"/>
            <w:tcBorders/>
            <w:vAlign w:val="center"/>
          </w:tcPr>
          <w:p>
            <w:pPr>
              <w:pStyle w:val="TableContents"/>
              <w:bidi w:val="0"/>
              <w:spacing w:before="0" w:after="283"/>
              <w:jc w:val="center"/>
              <w:rPr/>
            </w:pPr>
            <w:r>
              <w:rPr/>
              <w:t> </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     [Reserved]     </w:t>
            </w:r>
          </w:p>
        </w:tc>
        <w:tc>
          <w:tcPr>
            <w:tcW w:w="3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12.02     Notices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67</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12.03     [Reserved]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68</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12.04     Certificate and Opinion as to Conditions Precedent     </w:t>
            </w:r>
          </w:p>
        </w:tc>
        <w:tc>
          <w:tcPr>
            <w:tcW w:w="3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12.05     Statements Required in Certificate or Opinion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68</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12.06     Rules by Trustee and Agents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68</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12.07     No Personal Liability of Directors, Officers, Employees and Stockholders    </w:t>
            </w:r>
          </w:p>
        </w:tc>
        <w:tc>
          <w:tcPr>
            <w:tcW w:w="3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12.08     Governing Law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69</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12.09     No Adverse Interpretation of Other Agreements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69</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12.10     Successors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69</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12.11     Severability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69</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12.12     Counterpart Originals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69</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12.13     Table of Contents, Headings, etc.     </w:t>
            </w:r>
          </w:p>
        </w:tc>
        <w:tc>
          <w:tcPr>
            <w:tcW w:w="3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12.14     Compliance with Applicable Anti-Terrorism and Anti-Money Laundering Regulations</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69</w:t>
            </w:r>
          </w:p>
        </w:tc>
      </w:tr>
      <w:tr>
        <w:trPr/>
        <w:tc>
          <w:tcPr>
            <w:tcW w:w="8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12.15     Electronic Signatures.   </w:t>
            </w:r>
          </w:p>
        </w:tc>
        <w:tc>
          <w:tcPr>
            <w:tcW w:w="380" w:type="dxa"/>
            <w:tcBorders/>
            <w:vAlign w:val="center"/>
          </w:tcPr>
          <w:p>
            <w:pPr>
              <w:pStyle w:val="TableContents"/>
              <w:bidi w:val="0"/>
              <w:spacing w:before="0" w:after="283"/>
              <w:jc w:val="right"/>
              <w:rPr/>
            </w:pPr>
            <w:r>
              <w:rPr/>
              <w:t> </w:t>
            </w:r>
            <w:r>
              <w:rPr>
                <w:rFonts w:ascii="Times New Roman;Times;Serif" w:hAnsi="Times New Roman;Times;Serif"/>
                <w:sz w:val="20"/>
              </w:rPr>
              <w:t>70</w:t>
            </w:r>
          </w:p>
        </w:tc>
      </w:tr>
      <w:tr>
        <w:trPr/>
        <w:tc>
          <w:tcPr>
            <w:tcW w:w="831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869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EXHIBITS</w:t>
            </w:r>
          </w:p>
        </w:tc>
      </w:tr>
      <w:tr>
        <w:trPr/>
        <w:tc>
          <w:tcPr>
            <w:tcW w:w="869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A            FORM OF NOTE</w:t>
            </w:r>
          </w:p>
        </w:tc>
      </w:tr>
      <w:tr>
        <w:trPr/>
        <w:tc>
          <w:tcPr>
            <w:tcW w:w="869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B             FORM OF CERTIFICATE OF TRANSFER</w:t>
            </w:r>
          </w:p>
        </w:tc>
      </w:tr>
      <w:tr>
        <w:trPr/>
        <w:tc>
          <w:tcPr>
            <w:tcW w:w="869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C             FORM OF CERTIFICATE OF EXCHANGE</w:t>
            </w:r>
          </w:p>
        </w:tc>
      </w:tr>
      <w:tr>
        <w:trPr/>
        <w:tc>
          <w:tcPr>
            <w:tcW w:w="869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D            FORM OF CERTIFICATE OF ACQUIRING INSTITUTIONAL ACCREDITED INVESTOR</w:t>
            </w:r>
          </w:p>
        </w:tc>
      </w:tr>
      <w:tr>
        <w:trPr/>
        <w:tc>
          <w:tcPr>
            <w:tcW w:w="86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             FORM OF SUPPLEMENTAL INDENTURE</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January 13, 2026, among Clearway Energy Operating LLC, a Delaware limited liability company, the Guarantors (as defined herein) and CSC Delaware Trust Company,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Guarantors and the Trustee agree as follows for the benefit of each other and for the equal and ratable benefit of the Holders (as defined herein) of the 5.750% Senior Notes due 2034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and any other Additional Securities issued pursuant to this Indenture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br/>
        <w:t>DEFINITIONS AND INCORPORATION</w:t>
        <w:br/>
        <w:t>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Notes, the following terms will have the meanings set forth in this Section 1.01. For purposes of any Additional Securities issued under this Indenture, the Supplemental Indenture in respect of such Additional Securities will specify the defined terms to be used therein, which may include some, all or none of the terms contained in this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144A Global Note”</w:t>
      </w:r>
      <w:r>
        <w:rPr>
          <w:rFonts w:ascii="Times New Roman;Times;Serif" w:hAnsi="Times New Roman;Times;Serif"/>
          <w:b w:val="false"/>
          <w:i w:val="false"/>
          <w:caps w:val="false"/>
          <w:smallCaps w:val="false"/>
          <w:sz w:val="20"/>
        </w:rPr>
        <w:t xml:space="preserve"> means a Global Note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bearing the Global Legend and the Private Placement Legend and deposited with or on behalf of, and registered in the name of, the Depositary or its nominee that will be issued in a denomination equal to the outstanding principal amount of the Notes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144A Global Security”</w:t>
      </w:r>
      <w:r>
        <w:rPr>
          <w:rFonts w:ascii="Times New Roman;Times;Serif" w:hAnsi="Times New Roman;Times;Serif"/>
          <w:b w:val="false"/>
          <w:i w:val="false"/>
          <w:caps w:val="false"/>
          <w:smallCaps w:val="false"/>
          <w:sz w:val="20"/>
        </w:rPr>
        <w:t xml:space="preserve"> means a Global Security, in the form specified in the applicable Supplemental Indenture pursuant to which such Series of Securities is created, bearing the Global Legend and the Private Placement Legend and deposited with or on behalf of, and registered in the name of, the Depositary or its nominee that will be issued in a denomination equal to the outstanding principal amount of the Securities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xml:space="preserve"> means additional Notes (other than the Initial Notes) issued from time to time under this Indenture in accordance with Section 2.02 hereof, as part of the same series as the Initial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Additional Securities”</w:t>
      </w:r>
      <w:r>
        <w:rPr>
          <w:rFonts w:ascii="Times New Roman;Times;Serif" w:hAnsi="Times New Roman;Times;Serif"/>
          <w:b w:val="false"/>
          <w:i w:val="false"/>
          <w:caps w:val="false"/>
          <w:smallCaps w:val="false"/>
          <w:sz w:val="20"/>
        </w:rPr>
        <w:t xml:space="preserve"> means any debentures, notes and other debt instruments of the Company of any Series, other than the Notes,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LTM CAFD”</w:t>
      </w:r>
      <w:r>
        <w:rPr>
          <w:rFonts w:ascii="Times New Roman;Times;Serif" w:hAnsi="Times New Roman;Times;Serif"/>
          <w:b w:val="false"/>
          <w:i w:val="false"/>
          <w:caps w:val="false"/>
          <w:smallCaps w:val="false"/>
          <w:sz w:val="20"/>
        </w:rPr>
        <w:t xml:space="preserve"> means, as of any date of determination (for purposes of this definition, the “</w:t>
      </w:r>
      <w:r>
        <w:rPr>
          <w:rFonts w:ascii="Times New Roman;Times;Serif" w:hAnsi="Times New Roman;Times;Serif"/>
          <w:b w:val="false"/>
          <w:i/>
          <w:caps w:val="false"/>
          <w:smallCaps w:val="false"/>
          <w:sz w:val="20"/>
        </w:rPr>
        <w:t>Calculation Date”</w:t>
      </w:r>
      <w:r>
        <w:rPr>
          <w:rFonts w:ascii="Times New Roman;Times;Serif" w:hAnsi="Times New Roman;Times;Serif"/>
          <w:b w:val="false"/>
          <w:i w:val="false"/>
          <w:caps w:val="false"/>
          <w:smallCaps w:val="false"/>
          <w:sz w:val="20"/>
        </w:rPr>
        <w:t>), the net income of the Company and its Subsidiaries during the most recent four-quarter period for which financial statements are publicly available as of the Calculation Date, calculated on a consolidated basis in accordance with GAAP, adjusted (without duplication)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plus interest expense, to the extent deducted in calculating net income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plus income tax expense, net of income tax benefit, to the extent deducted in calculating net income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plus depreciation and amortization, to the extent deducted in calculating net income during such four-quarter 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minus equity in earnings of unconsolidated affiliates to the extent included in net income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plus cash distributions and return of investments from unconsolidated affiliates, to the extent not included in net income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plus cash distributions from noncontrolling interests, to the extent not included in net income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minus cash distributions to noncontrolling interests, to the extent not deducted in calculating net income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minus cash interest payments made by Subsidiaries of the Company that were added back to net income pursuant to clause (1)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minus cash income tax payments made by the Company and its Subsidiaries that were added back to net income pursuant to clause (2)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minus principal payments and repayments of Indebtedness made by the Company’s Subsidiaries, to the extent not deducted in calculating net income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plus any decrease or minus any increase in amounts attributable to contract amortization and any recurring changes in other assets, including changes in prepaid and accrued capacity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minus maintenance capital expenditures, to the extent not deducted in calculating net income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plus any non-cash equity compensation expenses, to the extent deducted in calculating net income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plus any expenses or charges related to any equity offering, investment, acquisition, disposition, recapitalization or incurrence of Indebtedness permitted to be incurred by this Indenture including a refinancing thereof (whether or not successful), including such fees, expenses or charges related to the offering of the Notes and the Credit Agreement, to the extent deducted in calculating net income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plus any professional and underwriting fees related to any equity offering, investment, acquisition, recapitalization or Indebtedness permitted to be incurred under this Indenture, to the extent deducted in calculating net income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plus non-cash mark-to-market losses on economic hedges, to the extent deducted in calculating net income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minus non-cash mark-to-market gains on economic hedges, to the extent included in net income during such four-quarter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plus development expenses, to the extent deducted in calculating net income during such four-quarter 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making the computation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investments and acquisitions that have been made by the Company or any of its Subsidiaries, including through mergers or consolidations, or any Person or any of its Subsidiaries acquired by the Company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Adjusted LTM CAFD attributable to discontinued operations, as determined in accordance with GAAP, and operations or businesses (and ownership interests therein) disposed of prior to the Calculation Date, will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Person that is a Subsidiary on the Calculation Date will be deemed to have been a Subsidiary at all times during such four-quarter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Person that is not a Subsidiary on the Calculation Date will be deemed not to have been a Subsidiary at any time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beneficial ownership of 10% or more of the Voting Stock of a Person will be deemed to be control. For purposes of this definition, the terms “controlling,” “controlled by” and “under common control with”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Agent”</w:t>
      </w:r>
      <w:r>
        <w:rPr>
          <w:rFonts w:ascii="Times New Roman;Times;Serif" w:hAnsi="Times New Roman;Times;Serif"/>
          <w:b w:val="false"/>
          <w:i w:val="false"/>
          <w:caps w:val="false"/>
          <w:smallCaps w:val="false"/>
          <w:sz w:val="20"/>
        </w:rPr>
        <w:t xml:space="preserve"> means any Registrar, co-registrar, Paying Agent or additional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Laws”</w:t>
      </w:r>
      <w:r>
        <w:rPr>
          <w:rFonts w:ascii="Times New Roman;Times;Serif" w:hAnsi="Times New Roman;Times;Serif"/>
          <w:b w:val="false"/>
          <w:i w:val="false"/>
          <w:caps w:val="false"/>
          <w:smallCaps w:val="false"/>
          <w:sz w:val="20"/>
        </w:rPr>
        <w:t xml:space="preserve"> means, as to any Person, any law, rule, regulation, ordinance or treaty, or any determination, ruling or other directive by or 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Premium”</w:t>
      </w:r>
      <w:r>
        <w:rPr>
          <w:rFonts w:ascii="Times New Roman;Times;Serif" w:hAnsi="Times New Roman;Times;Serif"/>
          <w:b w:val="false"/>
          <w:i w:val="false"/>
          <w:caps w:val="false"/>
          <w:smallCaps w:val="false"/>
          <w:sz w:val="20"/>
        </w:rPr>
        <w:t xml:space="preserve"> means, with respect to any Note on any redemption date,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1.0% of the principal amount of such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excess (if any)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present value at such redemption date of (i) the redemption price of such Note at January 15, 2029 (such redemption price being set forth in the table appearing in Section 3.07(d) hereof)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all required interest payments due on the Note through January 15, 2029 (excluding accrued but unpaid interest to the redemption date), computed using a discount rate equal to the Treasury Rate as of such redemption date plus 50 basis points; 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then outstanding principal amount of the Note.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Procedures”</w:t>
      </w:r>
      <w:r>
        <w:rPr>
          <w:rFonts w:ascii="Times New Roman;Times;Serif" w:hAnsi="Times New Roman;Times;Serif"/>
          <w:b w:val="false"/>
          <w:i w:val="false"/>
          <w:caps w:val="false"/>
          <w:smallCaps w:val="false"/>
          <w:sz w:val="20"/>
        </w:rPr>
        <w:t xml:space="preserve"> means, with respect to any transfer or exchange of or for beneficial interests in any Global Note, the rules and procedures of the Depositary, Euroclear and Clearstream that apply to such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Bankruptcy Law”</w:t>
      </w:r>
      <w:r>
        <w:rPr>
          <w:rFonts w:ascii="Times New Roman;Times;Serif" w:hAnsi="Times New Roman;Times;Serif"/>
          <w:b w:val="false"/>
          <w:i w:val="false"/>
          <w:caps w:val="false"/>
          <w:smallCaps w:val="false"/>
          <w:sz w:val="20"/>
        </w:rPr>
        <w:t xml:space="preserve"> means Title 11, U.S. Code or any similar federal or state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Beneficial Owner”</w:t>
      </w:r>
      <w:r>
        <w:rPr>
          <w:rFonts w:ascii="Times New Roman;Times;Serif" w:hAnsi="Times New Roman;Times;Serif"/>
          <w:b w:val="false"/>
          <w:i w:val="false"/>
          <w:caps w:val="false"/>
          <w:smallCaps w:val="false"/>
          <w:sz w:val="20"/>
        </w:rPr>
        <w:t xml:space="preserve"> has the meaning assigned to such term in Rule 13d-3 and Rule 13d-5 under the Exchange Act. The terms “Beneficially Owns” and “Beneficially Owned” have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 of Directors”</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a corporation, the board of directors of the corporation or any committee thereof duly authorized to act on behalf of such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a partnership, the Board of Directors of the general partner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a limited liability company, the managing member or members or any controlling committee of managing members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any other Person, the board or committee of such Person serving a similar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 Resolution”</w:t>
      </w:r>
      <w:r>
        <w:rPr>
          <w:rFonts w:ascii="Times New Roman;Times;Serif" w:hAnsi="Times New Roman;Times;Serif"/>
          <w:b w:val="false"/>
          <w:i w:val="false"/>
          <w:caps w:val="false"/>
          <w:smallCaps w:val="false"/>
          <w:sz w:val="20"/>
        </w:rPr>
        <w:t xml:space="preserve">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xml:space="preserve"> means any day other than a Legal Holiday.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 Lease Obligation”</w:t>
      </w:r>
      <w:r>
        <w:rPr>
          <w:rFonts w:ascii="Times New Roman;Times;Serif" w:hAnsi="Times New Roman;Times;Serif"/>
          <w:b w:val="false"/>
          <w:i w:val="false"/>
          <w:caps w:val="false"/>
          <w:smallCaps w:val="false"/>
          <w:sz w:val="20"/>
        </w:rPr>
        <w:t xml:space="preserve">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corporation, corporate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an association or business entity, any and all shares, interests, participations, rights or other equivalents (however designated) of corporate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partnership or limited liability company, partnership interests (whether general or limited) or membership interests;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Change of Control”</w:t>
      </w:r>
      <w:r>
        <w:rPr>
          <w:rFonts w:ascii="Times New Roman;Times;Serif" w:hAnsi="Times New Roman;Times;Serif"/>
          <w:b w:val="false"/>
          <w:i w:val="false"/>
          <w:caps w:val="false"/>
          <w:smallCaps w:val="false"/>
          <w:sz w:val="20"/>
        </w:rPr>
        <w:t xml:space="preserve"> means the occurrence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but excluding any employee benefit plan of the Company or any of its Subsidiaries, and any person or entity acting in its capacity as trustee, agent or other fiduciary or administrator of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adoption of a plan relating to the liquidation or dissolution of Clearway Inc., the Parent Guarantor 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consummation of any transaction (including, without limitation, any merger or consolidation) the result of which is that any “person” (as defined above), other than (i) the Sponsor or (ii) a corporation owned directly or indirectly by the stockholders of Clearway Inc. in substantially the same proportion as their ownership of stock of Clearway Inc. prior to such transaction, becomes the Beneficial Owner, directly or indirectly, of more than 50% of the Voting Stock of Clearway Inc., measured by voting power rather than number of shares;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first day on which either (i) Clearway Inc. ceases to be the sole managing member of the Parent Guarantor or (ii) the Company ceases to be a Wholly Owned Subsidiary of the Parent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Change of Control Triggering Event</w:t>
      </w:r>
      <w:r>
        <w:rPr>
          <w:rFonts w:ascii="Times New Roman;Times;Serif" w:hAnsi="Times New Roman;Times;Serif"/>
          <w:b w:val="false"/>
          <w:i w:val="false"/>
          <w:caps w:val="false"/>
          <w:smallCaps w:val="false"/>
          <w:sz w:val="20"/>
        </w:rPr>
        <w:t xml:space="preserve">” means (1) a Change of Control has occurred and (2) the Notes are downgraded by both S&amp;P and Moody’s on any date within the 60-day period after the earlier of (a) the occurrence of a Change of Control and (b) public disclosure by the Company of the occurrence of a Change of Control or the Company’s intention to effect a Change of Control;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the Company’s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no Change of Control Triggering Event shall occur if following such downgrade, (x) the Notes are rated Investment Grade by both S&amp;P and Moody’s or (y) the ratings of the Notes by both S&amp;P and Moody’s are equal to or better than their respective ratings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Clearstream”</w:t>
      </w:r>
      <w:r>
        <w:rPr>
          <w:rFonts w:ascii="Times New Roman;Times;Serif" w:hAnsi="Times New Roman;Times;Serif"/>
          <w:b w:val="false"/>
          <w:i w:val="false"/>
          <w:caps w:val="false"/>
          <w:smallCaps w:val="false"/>
          <w:sz w:val="20"/>
        </w:rPr>
        <w:t xml:space="preserve"> means Clearstream Banking,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Clearway Inc.”</w:t>
      </w:r>
      <w:r>
        <w:rPr>
          <w:rFonts w:ascii="Times New Roman;Times;Serif" w:hAnsi="Times New Roman;Times;Serif"/>
          <w:b w:val="false"/>
          <w:i w:val="false"/>
          <w:caps w:val="false"/>
          <w:smallCaps w:val="false"/>
          <w:sz w:val="20"/>
        </w:rPr>
        <w:t xml:space="preserve"> means 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xml:space="preserve">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xml:space="preserve"> means Clearway Energy Operating LLC, and any and all successors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continuing” </w:t>
      </w:r>
      <w:r>
        <w:rPr>
          <w:rFonts w:ascii="Times New Roman;Times;Serif" w:hAnsi="Times New Roman;Times;Serif"/>
          <w:b w:val="false"/>
          <w:i w:val="false"/>
          <w:caps w:val="false"/>
          <w:smallCaps w:val="false"/>
          <w:sz w:val="20"/>
        </w:rPr>
        <w:t>means, with respect to any Default or Event of Default, that such Default or Event of Default has not been cured or waived.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Corporate Trust Office of the Trustee”</w:t>
      </w:r>
      <w:r>
        <w:rPr>
          <w:rFonts w:ascii="Times New Roman;Times;Serif" w:hAnsi="Times New Roman;Times;Serif"/>
          <w:b w:val="false"/>
          <w:i w:val="false"/>
          <w:caps w:val="false"/>
          <w:smallCaps w:val="false"/>
          <w:sz w:val="20"/>
        </w:rPr>
        <w:t xml:space="preserve"> means the address of the Trustee specified in Section 12.02 hereof or such other address as to which the Trustee may give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Credit Agreement”</w:t>
      </w:r>
      <w:r>
        <w:rPr>
          <w:rFonts w:ascii="Times New Roman;Times;Serif" w:hAnsi="Times New Roman;Times;Serif"/>
          <w:b w:val="false"/>
          <w:i w:val="false"/>
          <w:caps w:val="false"/>
          <w:smallCaps w:val="false"/>
          <w:sz w:val="20"/>
        </w:rPr>
        <w:t xml:space="preserve"> means the Amended and Restated Credit Agreement, dated April 25, 2014, among the Company, the Parent Guarantor, each other guarantor from time to time party thereto, each lender and letter of credit issuer from time to time party thereto and JPMorgan Chase Bank, N.A., as the administrative agent, as the same may be amended, restated, modified, renewed, refunded, replaced or refinanced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Credit Facilities”</w:t>
      </w:r>
      <w:r>
        <w:rPr>
          <w:rFonts w:ascii="Times New Roman;Times;Serif" w:hAnsi="Times New Roman;Times;Serif"/>
          <w:b w:val="false"/>
          <w:i w:val="false"/>
          <w:caps w:val="false"/>
          <w:smallCaps w:val="false"/>
          <w:sz w:val="20"/>
        </w:rPr>
        <w:t xml:space="preserve"> means (i) one or more debt facilities (including, without limitation, the Credit Agreement) or commercial paper facilities, in 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Custodian”</w:t>
      </w:r>
      <w:r>
        <w:rPr>
          <w:rFonts w:ascii="Times New Roman;Times;Serif" w:hAnsi="Times New Roman;Times;Serif"/>
          <w:b w:val="false"/>
          <w:i w:val="false"/>
          <w:caps w:val="false"/>
          <w:smallCaps w:val="false"/>
          <w:sz w:val="20"/>
        </w:rPr>
        <w:t xml:space="preserve"> means the Trustee, as custodian with respect to the Notes in global form, or any successor entity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xml:space="preserve"> means any event that is, or with the passage of time or the giving of notice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Definitive Note”</w:t>
      </w:r>
      <w:r>
        <w:rPr>
          <w:rFonts w:ascii="Times New Roman;Times;Serif" w:hAnsi="Times New Roman;Times;Serif"/>
          <w:b w:val="false"/>
          <w:i w:val="false"/>
          <w:caps w:val="false"/>
          <w:smallCaps w:val="false"/>
          <w:sz w:val="20"/>
        </w:rPr>
        <w:t xml:space="preserve"> means a certificated Note registered in the name of the Holder thereof and issued in accordance with Section 2.06 hereof. Definitive Notes will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except that such Note shall not bear the Global Legend and shall not have the “Schedule of Exchanges of Interests in the Global Note” attached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Definitive Security”</w:t>
      </w:r>
      <w:r>
        <w:rPr>
          <w:rFonts w:ascii="Times New Roman;Times;Serif" w:hAnsi="Times New Roman;Times;Serif"/>
          <w:b w:val="false"/>
          <w:i w:val="false"/>
          <w:caps w:val="false"/>
          <w:smallCaps w:val="false"/>
          <w:sz w:val="20"/>
        </w:rPr>
        <w:t xml:space="preserve"> means a certificated Security registered in the name of the Holder thereof and issued in accordance with Section 2.06 hereof. Definitive Securities with respect to all other Series of Securities will be in the form specified in the Supplemental Indenture pursuant to which such Series of Securities is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xml:space="preserve">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CapEx Debt”</w:t>
      </w:r>
      <w:r>
        <w:rPr>
          <w:rFonts w:ascii="Times New Roman;Times;Serif" w:hAnsi="Times New Roman;Times;Serif"/>
          <w:b w:val="false"/>
          <w:i w:val="false"/>
          <w:caps w:val="false"/>
          <w:smallCaps w:val="false"/>
          <w:sz w:val="20"/>
        </w:rPr>
        <w:t xml:space="preserve"> means Indebtedness of the Company or any of its Subsidiaries incurred for the purpose of financing capital expenditures to the extent deemed reasonably necessary, as determined by the Company or any of its Subsidiaries, as applicable, in good faith and pursuant to prudent judgment, to comply with applicable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xml:space="preserve"> means all former, current and future federal, state, local and foreign laws (including common law), treaties, regulations, 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Equity Interests”</w:t>
      </w:r>
      <w:r>
        <w:rPr>
          <w:rFonts w:ascii="Times New Roman;Times;Serif" w:hAnsi="Times New Roman;Times;Serif"/>
          <w:b w:val="false"/>
          <w:i w:val="false"/>
          <w:caps w:val="false"/>
          <w:smallCaps w:val="false"/>
          <w:sz w:val="20"/>
        </w:rPr>
        <w:t xml:space="preserve"> means Capital Stock and all warrants, options or other rights to acquire Capital Stock (but excluding any debt security that is convertible into, or exchangeable for,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Equity Offerings”</w:t>
      </w:r>
      <w:r>
        <w:rPr>
          <w:rFonts w:ascii="Times New Roman;Times;Serif" w:hAnsi="Times New Roman;Times;Serif"/>
          <w:b w:val="false"/>
          <w:i w:val="false"/>
          <w:caps w:val="false"/>
          <w:smallCaps w:val="false"/>
          <w:sz w:val="20"/>
        </w:rPr>
        <w:t xml:space="preserve"> means any public or private sale after the Issue Date of Capital Stock of the Parent Guarantor or Clearway Inc., the proceeds of which have been contributed to the Company as common equity,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public offerings with respect to Clearway Inc.’s common stock registered on Form S-4 or Form S-8;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issuances to any Subsidiary of Clearway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Euroclear”</w:t>
      </w:r>
      <w:r>
        <w:rPr>
          <w:rFonts w:ascii="Times New Roman;Times;Serif" w:hAnsi="Times New Roman;Times;Serif"/>
          <w:b w:val="false"/>
          <w:i w:val="false"/>
          <w:caps w:val="false"/>
          <w:smallCaps w:val="false"/>
          <w:sz w:val="20"/>
        </w:rPr>
        <w:t xml:space="preserve"> means Euroclear Bank, S.A./N.V., as operator of the Euroclear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xml:space="preserve">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means the Second Amended and Restated Exchange Agreement, dated as of October 28, 2024, by and among Clearway Inc., the Parent Guarantor, Clearway Energy Group LLC and each of the other parties thereto from time to time, as amended,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Existing Liens”</w:t>
      </w:r>
      <w:r>
        <w:rPr>
          <w:rFonts w:ascii="Times New Roman;Times;Serif" w:hAnsi="Times New Roman;Times;Serif"/>
          <w:b w:val="false"/>
          <w:i w:val="false"/>
          <w:caps w:val="false"/>
          <w:smallCaps w:val="false"/>
          <w:sz w:val="20"/>
        </w:rPr>
        <w:t xml:space="preserve"> means Liens on the property or assets of the Company and/or any of its Subsidiaries existing on the date of this Indenture securing Indebtedness of the Company or any of its Subsidiaries (other than Liens incurred pursuant to clause (1) of Section 4.07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Facility Debt”</w:t>
      </w:r>
      <w:r>
        <w:rPr>
          <w:rFonts w:ascii="Times New Roman;Times;Serif" w:hAnsi="Times New Roman;Times;Serif"/>
          <w:b w:val="false"/>
          <w:i w:val="false"/>
          <w:caps w:val="false"/>
          <w:smallCaps w:val="false"/>
          <w:sz w:val="20"/>
        </w:rPr>
        <w:t xml:space="preserve"> means Indebtedness of one or more Facility Subsidiaries incurred for the purpose of holding, leasing, developing, constructing, investing in or acquiring energy generating, transmission, storage or distribution assets, or assets related thereto, or any other power or energy facility or any assets related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is not liable with respect to such Indebtedness except to the extent of a non-recourse pledge of equity interests in one or more Facility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Facility Subsidiary”</w:t>
      </w:r>
      <w:r>
        <w:rPr>
          <w:rFonts w:ascii="Times New Roman;Times;Serif" w:hAnsi="Times New Roman;Times;Serif"/>
          <w:b w:val="false"/>
          <w:i w:val="false"/>
          <w:caps w:val="false"/>
          <w:smallCaps w:val="false"/>
          <w:sz w:val="20"/>
        </w:rPr>
        <w:t xml:space="preserve"> means any Subsidiary of the Company held for the purpose of holding, leasing, developing, constructing, investing in or acquiring energy generating, transmission, storage or distribution assets, or assets related thereto, or any other power or energy facility or any assets related thereto, and any Subsidiary of the Company whose assets consist primarily of equity interests in one or more other Facility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Subsidiary will cease to be a Facility Subsidiary if it Guarantees any Indebtedness of the Company other than obligations of the Company related to Facility Debt of one or more Facility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lease that would not be considered a capital lease pursuant to GAAP prior to the effectiveness of Accounting Standards Codification 842 (whether or not such lease was in effect on such date) shall be treated as an operating lease for all purposes under this Indenture and shall not be deemed to constitute a capitalized lease or Indebtedness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Global Legend”</w:t>
      </w:r>
      <w:r>
        <w:rPr>
          <w:rFonts w:ascii="Times New Roman;Times;Serif" w:hAnsi="Times New Roman;Times;Serif"/>
          <w:b w:val="false"/>
          <w:i w:val="false"/>
          <w:caps w:val="false"/>
          <w:smallCaps w:val="false"/>
          <w:sz w:val="20"/>
        </w:rPr>
        <w:t xml:space="preserve"> means the legend set forth in Section 2.06(g)(2) hereof, which is required to be placed on all Global Securities issued under this Indenture.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means, individually and collectively, each Restricted Global Note and each Unrestricted Global Note deposited with or on behalf of and registered in the name of the Depositary or its nominee that bears the Global Legend and that has the “Schedule of Exchanges of Interests in the Global Note” attached thereto, issued in accordance with Section 2.01, 2.06(b)(3), 2.06(b)(4), 2.06(d)(1), 2.06(d)(2), 2.06(d)(3) or 2.06(f)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Global Securities”</w:t>
      </w:r>
      <w:r>
        <w:rPr>
          <w:rFonts w:ascii="Times New Roman;Times;Serif" w:hAnsi="Times New Roman;Times;Serif"/>
          <w:b w:val="false"/>
          <w:i w:val="false"/>
          <w:caps w:val="false"/>
          <w:smallCaps w:val="false"/>
          <w:sz w:val="20"/>
        </w:rPr>
        <w:t xml:space="preserve"> means, individually and collectively, each Restricted Global Security and each Unrestricted Global Security deposited with or on behalf of and registered in the name of the Depositary or its nominee that bears the Global Legend and that has the “Schedule of Exchanges of Interests in the Global Securities” attached thereto, issued in accordance with Section 2.01, 2.06(b)(3), 2.06(b)(4), 2.06(d)(1), 2.06(d)(2), 2.06(d)(3) or 2.06(f) hereof. The Global Security in respect of the Notes will be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 Securities”</w:t>
      </w:r>
      <w:r>
        <w:rPr>
          <w:rFonts w:ascii="Times New Roman;Times;Serif" w:hAnsi="Times New Roman;Times;Serif"/>
          <w:b w:val="false"/>
          <w:i w:val="false"/>
          <w:caps w:val="false"/>
          <w:smallCaps w:val="false"/>
          <w:sz w:val="20"/>
        </w:rPr>
        <w:t xml:space="preserve">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xml:space="preserv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standard contractual indemnities which do not relate to Indebtedness shall not be considered a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Guarantors”</w:t>
      </w:r>
      <w:r>
        <w:rPr>
          <w:rFonts w:ascii="Times New Roman;Times;Serif" w:hAnsi="Times New Roman;Times;Serif"/>
          <w:b w:val="false"/>
          <w:i w:val="false"/>
          <w:caps w:val="false"/>
          <w:smallCaps w:val="false"/>
          <w:sz w:val="20"/>
        </w:rPr>
        <w:t xml:space="preserve"> means each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1060"/>
        <w:gridCol w:w="9007"/>
      </w:tblGrid>
      <w:tr>
        <w:trPr/>
        <w:tc>
          <w:tcPr>
            <w:tcW w:w="13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pPr>
            <w:r>
              <w:rPr/>
              <w:t>(1)</w:t>
            </w:r>
          </w:p>
        </w:tc>
        <w:tc>
          <w:tcPr>
            <w:tcW w:w="9007" w:type="dxa"/>
            <w:tcBorders/>
            <w:vAlign w:val="center"/>
          </w:tcPr>
          <w:p>
            <w:pPr>
              <w:pStyle w:val="TableContents"/>
              <w:bidi w:val="0"/>
              <w:spacing w:before="0" w:after="283"/>
              <w:jc w:val="both"/>
              <w:rPr/>
            </w:pPr>
            <w:r>
              <w:rPr/>
              <w:t>the Parent Guarantor;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4"/>
        <w:gridCol w:w="9850"/>
      </w:tblGrid>
      <w:tr>
        <w:trPr/>
        <w:tc>
          <w:tcPr>
            <w:tcW w:w="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(2)</w:t>
            </w:r>
          </w:p>
        </w:tc>
        <w:tc>
          <w:tcPr>
            <w:tcW w:w="9850" w:type="dxa"/>
            <w:tcBorders/>
            <w:vAlign w:val="center"/>
          </w:tcPr>
          <w:p>
            <w:pPr>
              <w:pStyle w:val="TableContents"/>
              <w:bidi w:val="0"/>
              <w:spacing w:before="0" w:after="283"/>
              <w:jc w:val="both"/>
              <w:rPr/>
            </w:pPr>
            <w:r>
              <w:rPr/>
              <w:t>the Subsidiary Guarantors, until such time as they are released pursuant to Section 10.05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Hedging Obligations”</w:t>
      </w:r>
      <w:r>
        <w:rPr>
          <w:rFonts w:ascii="Times New Roman;Times;Serif" w:hAnsi="Times New Roman;Times;Serif"/>
          <w:b w:val="false"/>
          <w:i w:val="false"/>
          <w:caps w:val="false"/>
          <w:smallCaps w:val="false"/>
          <w:sz w:val="20"/>
        </w:rPr>
        <w:t xml:space="preserve"> means, with respect to any specified Person, the obligations of such Person 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currency exchange, interest rate or commodity swap agreements, currency exchange, interest rate or commodity cap agreements and currency exchange, interest rate or commodity collar agreements;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xml:space="preserve"> means a Person in whose name a Security is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IAI Global Note” </w:t>
      </w:r>
      <w:r>
        <w:rPr>
          <w:rFonts w:ascii="Times New Roman;Times;Serif" w:hAnsi="Times New Roman;Times;Serif"/>
          <w:b w:val="false"/>
          <w:i w:val="false"/>
          <w:caps w:val="false"/>
          <w:smallCaps w:val="false"/>
          <w:sz w:val="20"/>
        </w:rPr>
        <w:t xml:space="preserve">means a Global Note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bearing the Global Legend and the Private Placement Legend and deposited with or on behalf of, and registered in the name of, the Depositary or its nominee that will be issued in a denomination equal to the outstanding principal amount of the Notes resold to Institutional Accredited Investors.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IAI Global Security” </w:t>
      </w:r>
      <w:r>
        <w:rPr>
          <w:rFonts w:ascii="Times New Roman;Times;Serif" w:hAnsi="Times New Roman;Times;Serif"/>
          <w:b w:val="false"/>
          <w:i w:val="false"/>
          <w:caps w:val="false"/>
          <w:smallCaps w:val="false"/>
          <w:sz w:val="20"/>
        </w:rPr>
        <w:t>means a Global Security, in the form specified in the applicable Supplemental Indenture pursuant to which such Series of Securities is created, bearing the Global Legend and the Private Placement Legend and deposited with or on behalf of, and registered in the name of, the Depositary or its nominee that will be issued in a denomination equal to the outstanding principal amount of the Securities resold to Institutional Accredited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Indebtedness” </w:t>
      </w:r>
      <w:r>
        <w:rPr>
          <w:rFonts w:ascii="Times New Roman;Times;Serif" w:hAnsi="Times New Roman;Times;Serif"/>
          <w:b w:val="false"/>
          <w:i w:val="false"/>
          <w:caps w:val="false"/>
          <w:smallCaps w:val="false"/>
          <w:sz w:val="20"/>
        </w:rPr>
        <w:t>means, with respect to any specified Person, any indebtedness of such Person (excluding accrued expenses and trade payables, except as provided in clause (5) below, and surety bonds), whether or not contingent: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respect of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evidenced by bonds, notes, debentures or similar instruments or letters of credit (or reimbursement agreements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respect of banker’s acceptances;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representing Capital Lease Obligations in respect of sale and leaseback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representing the balance of deferred and unpaid purchase price of any property or services with a scheduled due date more than six months after such property is acquired or such services are completed;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such Indebtedness shall be deemed not to exceed the lesser of the amount secured by such Lien and the value of the Person’s property securing such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xml:space="preserve"> means this Indenture, as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Indirect Participant”</w:t>
      </w:r>
      <w:r>
        <w:rPr>
          <w:rFonts w:ascii="Times New Roman;Times;Serif" w:hAnsi="Times New Roman;Times;Serif"/>
          <w:b w:val="false"/>
          <w:i w:val="false"/>
          <w:caps w:val="false"/>
          <w:smallCaps w:val="false"/>
          <w:sz w:val="20"/>
        </w:rPr>
        <w:t xml:space="preserve"> means a Person who holds a beneficial interest in a Global Security through a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xml:space="preserve"> means the first $600,000,000 in aggregate principal amount of Notes issued under this Indenture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Initial Purchasers”</w:t>
      </w:r>
      <w:r>
        <w:rPr>
          <w:rFonts w:ascii="Times New Roman;Times;Serif" w:hAnsi="Times New Roman;Times;Serif"/>
          <w:b w:val="false"/>
          <w:i w:val="false"/>
          <w:caps w:val="false"/>
          <w:smallCaps w:val="false"/>
          <w:sz w:val="20"/>
        </w:rPr>
        <w:t xml:space="preserve"> means Wells Fargo Securities, LLC, MUFG Securities Americas Inc., Citigroup Global Markets Inc., Morgan Stanley &amp; Co. LLC, TD Securities (USA) LLC, Truist Securities, Inc., BNP Paribas Securities Corp., BofA Securities, Inc., J.P. Morgan Securities LLC, KeyBanc Capital Markets Inc. and RBC Capital Markets, LLC and shall include any other entity designated as such in any Supplemental Indenture with respect to any Series of Securities issued after the date of this Indenture.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Institutional Accredited Investor”</w:t>
      </w:r>
      <w:r>
        <w:rPr>
          <w:rFonts w:ascii="Times New Roman;Times;Serif" w:hAnsi="Times New Roman;Times;Serif"/>
          <w:b w:val="false"/>
          <w:i w:val="false"/>
          <w:caps w:val="false"/>
          <w:smallCaps w:val="false"/>
          <w:sz w:val="20"/>
        </w:rPr>
        <w:t xml:space="preserve"> means an institution that is an “accredited investor” as defined in Rule 501(a)(1), (2), (3) or (7) under the Securities Act, who are not also QIBs.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Investment Grade” </w:t>
      </w:r>
      <w:r>
        <w:rPr>
          <w:rFonts w:ascii="Times New Roman;Times;Serif" w:hAnsi="Times New Roman;Times;Serif"/>
          <w:b w:val="false"/>
          <w:i w:val="false"/>
          <w:caps w:val="false"/>
          <w:smallCaps w:val="false"/>
          <w:sz w:val="20"/>
        </w:rPr>
        <w:t>in respect of the Notes means a rating of (i) Baa3 or better by Moody’s, (ii) BBB- or better by S&amp;P, or (iii) the equivalent of such rating by such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Issue Date”</w:t>
      </w:r>
      <w:r>
        <w:rPr>
          <w:rFonts w:ascii="Times New Roman;Times;Serif" w:hAnsi="Times New Roman;Times;Serif"/>
          <w:b w:val="false"/>
          <w:i w:val="false"/>
          <w:caps w:val="false"/>
          <w:smallCaps w:val="false"/>
          <w:sz w:val="20"/>
        </w:rPr>
        <w:t xml:space="preserve"> means January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Legal Holiday”</w:t>
      </w:r>
      <w:r>
        <w:rPr>
          <w:rFonts w:ascii="Times New Roman;Times;Serif" w:hAnsi="Times New Roman;Times;Serif"/>
          <w:b w:val="false"/>
          <w:i w:val="false"/>
          <w:caps w:val="false"/>
          <w:smallCaps w:val="false"/>
          <w:sz w:val="20"/>
        </w:rPr>
        <w:t xml:space="preserve">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xml:space="preserve"> means, with respect to any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mortgage, deed of trust, deed to secure debt, lien (statutory or otherwise), pledge, hypothecation, encumbrance, restriction, collateral assignment, charge or security interest in, on or of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interest of a vendor or a lessor under any conditional sale agreement, capital lease or title retention agreement (or any financing lease having substantially the same economic effect as any of the foregoing) relating to such asset;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Equity Interests or debt securities, any purchase option, call or similar right of a third party with respect to such Equity Interests 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Indebtedness”</w:t>
      </w:r>
      <w:r>
        <w:rPr>
          <w:rFonts w:ascii="Times New Roman;Times;Serif" w:hAnsi="Times New Roman;Times;Serif"/>
          <w:b w:val="false"/>
          <w:i w:val="false"/>
          <w:caps w:val="false"/>
          <w:smallCaps w:val="false"/>
          <w:sz w:val="20"/>
        </w:rPr>
        <w:t xml:space="preserve"> means, as of any date, any series of Indebtedness with an aggregate principal amount outstanding in excess of the greater of (i) 1.5% of Total Assets, as of such date, and (ii) $150.0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Moody’s”</w:t>
      </w:r>
      <w:r>
        <w:rPr>
          <w:rFonts w:ascii="Times New Roman;Times;Serif" w:hAnsi="Times New Roman;Times;Serif"/>
          <w:b w:val="false"/>
          <w:i w:val="false"/>
          <w:caps w:val="false"/>
          <w:smallCaps w:val="false"/>
          <w:sz w:val="20"/>
        </w:rPr>
        <w:t xml:space="preserve"> means Moody’s Investors Service, Inc. or any 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Necessary CapEx Debt”</w:t>
      </w:r>
      <w:r>
        <w:rPr>
          <w:rFonts w:ascii="Times New Roman;Times;Serif" w:hAnsi="Times New Roman;Times;Serif"/>
          <w:b w:val="false"/>
          <w:i w:val="false"/>
          <w:caps w:val="false"/>
          <w:smallCaps w:val="false"/>
          <w:sz w:val="20"/>
        </w:rPr>
        <w:t xml:space="preserve"> means Indebtedness of the Company or any of its Subsidiaries incurred for the purpose of financing capital expenditures (other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Non-U.S. Person”</w:t>
      </w:r>
      <w:r>
        <w:rPr>
          <w:rFonts w:ascii="Times New Roman;Times;Serif" w:hAnsi="Times New Roman;Times;Serif"/>
          <w:b w:val="false"/>
          <w:i w:val="false"/>
          <w:caps w:val="false"/>
          <w:smallCaps w:val="false"/>
          <w:sz w:val="20"/>
        </w:rPr>
        <w:t xml:space="preserve"> means a Person who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xml:space="preserve">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Obligations”</w:t>
      </w:r>
      <w:r>
        <w:rPr>
          <w:rFonts w:ascii="Times New Roman;Times;Serif" w:hAnsi="Times New Roman;Times;Serif"/>
          <w:b w:val="false"/>
          <w:i w:val="false"/>
          <w:caps w:val="false"/>
          <w:smallCaps w:val="false"/>
          <w:sz w:val="20"/>
        </w:rPr>
        <w:t xml:space="preserve"> means any principal, interest, penalties, fees, indemnifications, reimbursements, damages and other liabilities payable under the documentation governing any Indebtedness.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Offering Memorandum”</w:t>
      </w:r>
      <w:r>
        <w:rPr>
          <w:rFonts w:ascii="Times New Roman;Times;Serif" w:hAnsi="Times New Roman;Times;Serif"/>
          <w:b w:val="false"/>
          <w:i w:val="false"/>
          <w:caps w:val="false"/>
          <w:smallCaps w:val="false"/>
          <w:sz w:val="20"/>
        </w:rPr>
        <w:t xml:space="preserve"> means the offering memorandum dated January 8, 2026 in connection with the offering of the Notes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Officer”</w:t>
      </w:r>
      <w:r>
        <w:rPr>
          <w:rFonts w:ascii="Times New Roman;Times;Serif" w:hAnsi="Times New Roman;Times;Serif"/>
          <w:b w:val="false"/>
          <w:i w:val="false"/>
          <w:caps w:val="false"/>
          <w:smallCaps w:val="false"/>
          <w:sz w:val="20"/>
        </w:rPr>
        <w:t xml:space="preserve"> means, with respect to any Person, the Chairman of the Board of Directors, the Chief Executive Officer, the President, the Chief Operating Officer, the Chief Financial Officer, the Chief Accounting Officer, the Treasurer, any Assistant Treasurer, the Secretary, the Controller, Assistant Secretary or any Vice President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xml:space="preserve"> means a certificate signed on behalf of the Company by two Officers of the Company, one of whom must be the principal executive officer, the principal financial officer, the treasurer or the principal accounting officer of the Company, that meets the requirements of Section 12.05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xml:space="preserve"> means an opinion from legal counsel who is reasonably acceptable to the Trustee, that meets the requirements of Section 12.05 hereof. The counsel may be an employee of or counsel to the Company, any Subsidiary of the Company or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Original Issue Discount Legend”</w:t>
      </w:r>
      <w:r>
        <w:rPr>
          <w:rFonts w:ascii="Times New Roman;Times;Serif" w:hAnsi="Times New Roman;Times;Serif"/>
          <w:b w:val="false"/>
          <w:i w:val="false"/>
          <w:caps w:val="false"/>
          <w:smallCaps w:val="false"/>
          <w:sz w:val="20"/>
        </w:rPr>
        <w:t xml:space="preserve"> means the legend set forth in Section 2.06(g)(3) hereof to be placed on all Securities issued under this Indenture,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Parent Guarantee” </w:t>
      </w:r>
      <w:r>
        <w:rPr>
          <w:rFonts w:ascii="Times New Roman;Times;Serif" w:hAnsi="Times New Roman;Times;Serif"/>
          <w:b w:val="false"/>
          <w:i w:val="false"/>
          <w:caps w:val="false"/>
          <w:smallCaps w:val="false"/>
          <w:sz w:val="20"/>
        </w:rPr>
        <w:t>means the Guarantee by the Parent Guarantor of the Company’s obligations under this Indenture and on the Notes, executed pursuant to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Parent Guarantor”</w:t>
      </w:r>
      <w:r>
        <w:rPr>
          <w:rFonts w:ascii="Times New Roman;Times;Serif" w:hAnsi="Times New Roman;Times;Serif"/>
          <w:b w:val="false"/>
          <w:i w:val="false"/>
          <w:caps w:val="false"/>
          <w:smallCaps w:val="false"/>
          <w:sz w:val="20"/>
        </w:rPr>
        <w:t xml:space="preserve"> means Clearway Energy LLC and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Participant”</w:t>
      </w:r>
      <w:r>
        <w:rPr>
          <w:rFonts w:ascii="Times New Roman;Times;Serif" w:hAnsi="Times New Roman;Times;Serif"/>
          <w:b w:val="false"/>
          <w:i w:val="false"/>
          <w:caps w:val="false"/>
          <w:smallCaps w:val="false"/>
          <w:sz w:val="20"/>
        </w:rPr>
        <w:t xml:space="preserve"> means, with respect to the Depositary, Euroclear or Clearstream, a Person who has an account with the Depositary, Euroclear or Clearstream, respectively (and, with respect to DTC, shall include Euroclear and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xml:space="preserve"> means any individual, corporation, partnership, joint venture, association, joint-stock company, trust, unincorporated organization, limited liability company or government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Principal Property”</w:t>
      </w:r>
      <w:r>
        <w:rPr>
          <w:rFonts w:ascii="Times New Roman;Times;Serif" w:hAnsi="Times New Roman;Times;Serif"/>
          <w:b w:val="false"/>
          <w:i w:val="false"/>
          <w:caps w:val="false"/>
          <w:smallCaps w:val="false"/>
          <w:sz w:val="20"/>
        </w:rPr>
        <w:t xml:space="preserve"> means any building, structure or other facility, and all related property, plant or equipment or other long-term assets used or useful in the ownership, development, construction or operation of such building, structure or other facility owned or leased by the Company or any Guarantor and having a net book value in excess of 2.0% of Total Assets, except any such building, structure or other facility (or related property, plant or equipment) that in the reasonable opinion of the Company is not of material importance to the business conducted by the Company and its consolidated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Private Placement Legend”</w:t>
      </w:r>
      <w:r>
        <w:rPr>
          <w:rFonts w:ascii="Times New Roman;Times;Serif" w:hAnsi="Times New Roman;Times;Serif"/>
          <w:b w:val="false"/>
          <w:i w:val="false"/>
          <w:caps w:val="false"/>
          <w:smallCaps w:val="false"/>
          <w:sz w:val="20"/>
        </w:rPr>
        <w:t xml:space="preserve"> means the legend set forth in Section 2.06(g)(1) hereof to be placed on all Notes issued under this Indenture except where otherwise permitted by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Pro Forma Cost Savings”</w:t>
      </w:r>
      <w:r>
        <w:rPr>
          <w:rFonts w:ascii="Times New Roman;Times;Serif" w:hAnsi="Times New Roman;Times;Serif"/>
          <w:b w:val="false"/>
          <w:i w:val="false"/>
          <w:caps w:val="false"/>
          <w:smallCaps w:val="false"/>
          <w:sz w:val="20"/>
        </w:rPr>
        <w:t xml:space="preserve"> means, without duplication, with respect to any period, reductions in costs and related adjustments that have been actually realized or are projected by the Company’s Chief Financial Officer in good faith to result from reasonably identifiable and factually supportable actions or events, but only to the extent such reductions in costs and related adjustments are so projected by the Company to be realized prior to the end of the consecutive four-quarter period commencing after the transaction giving rise to such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QIB”</w:t>
      </w:r>
      <w:r>
        <w:rPr>
          <w:rFonts w:ascii="Times New Roman;Times;Serif" w:hAnsi="Times New Roman;Times;Serif"/>
          <w:b w:val="false"/>
          <w:i w:val="false"/>
          <w:caps w:val="false"/>
          <w:smallCaps w:val="false"/>
          <w:sz w:val="20"/>
        </w:rPr>
        <w:t xml:space="preserve"> means a “qualified institutional buyer” as defined in Rule 144A.</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Refinancing Liens”</w:t>
      </w:r>
      <w:r>
        <w:rPr>
          <w:rFonts w:ascii="Times New Roman;Times;Serif" w:hAnsi="Times New Roman;Times;Serif"/>
          <w:b w:val="false"/>
          <w:i w:val="false"/>
          <w:caps w:val="false"/>
          <w:smallCaps w:val="false"/>
          <w:sz w:val="20"/>
        </w:rPr>
        <w:t xml:space="preserve"> means Liens granted in connection with amending, extending, modifying, renewing, replacing, refunding or refinancing in whole or in part any Indebtedness secured by Liens described in clauses (2) through (13) of Section 4.07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Refinancing Liens do not (a) extend to property or assets other than property or assets of the type that were subject to the original 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Regulation S”</w:t>
      </w:r>
      <w:r>
        <w:rPr>
          <w:rFonts w:ascii="Times New Roman;Times;Serif" w:hAnsi="Times New Roman;Times;Serif"/>
          <w:b w:val="false"/>
          <w:i w:val="false"/>
          <w:caps w:val="false"/>
          <w:smallCaps w:val="false"/>
          <w:sz w:val="20"/>
        </w:rPr>
        <w:t xml:space="preserve"> means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Regulation S-K”</w:t>
      </w:r>
      <w:r>
        <w:rPr>
          <w:rFonts w:ascii="Times New Roman;Times;Serif" w:hAnsi="Times New Roman;Times;Serif"/>
          <w:b w:val="false"/>
          <w:i w:val="false"/>
          <w:caps w:val="false"/>
          <w:smallCaps w:val="false"/>
          <w:sz w:val="20"/>
        </w:rPr>
        <w:t xml:space="preserve"> means Regulation S-K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Regulation S-X”</w:t>
      </w:r>
      <w:r>
        <w:rPr>
          <w:rFonts w:ascii="Times New Roman;Times;Serif" w:hAnsi="Times New Roman;Times;Serif"/>
          <w:b w:val="false"/>
          <w:i w:val="false"/>
          <w:caps w:val="false"/>
          <w:smallCaps w:val="false"/>
          <w:sz w:val="20"/>
        </w:rPr>
        <w:t xml:space="preserve"> means Regulation S-X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Regulation S Global Note”</w:t>
      </w:r>
      <w:r>
        <w:rPr>
          <w:rFonts w:ascii="Times New Roman;Times;Serif" w:hAnsi="Times New Roman;Times;Serif"/>
          <w:b w:val="false"/>
          <w:i w:val="false"/>
          <w:caps w:val="false"/>
          <w:smallCaps w:val="false"/>
          <w:sz w:val="20"/>
        </w:rPr>
        <w:t xml:space="preserve"> means a Global Note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bearing the Global Legend and the Private Placement Legend and deposited with or on behalf of and registered in the name of the Depositary or its nominee, issued in a denomination equal to the outstanding principal amount of the Notes sold in reliance on Rule 903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Regulation S Global Security”</w:t>
      </w:r>
      <w:r>
        <w:rPr>
          <w:rFonts w:ascii="Times New Roman;Times;Serif" w:hAnsi="Times New Roman;Times;Serif"/>
          <w:b w:val="false"/>
          <w:i w:val="false"/>
          <w:caps w:val="false"/>
          <w:smallCaps w:val="false"/>
          <w:sz w:val="20"/>
        </w:rPr>
        <w:t xml:space="preserve"> means a Global Security, in the form specified in the applicable Supplemental Indenture pursuant to which such Series of Securities is created, bearing the Global Legend and the Private Placement Legend and deposited with or on behalf of and registered in the name of the Depositary or its nominee, issued in a denomination equal to the outstanding principal amount of the Securities sold in reliance on Rule 903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xml:space="preserve"> means, when used with respect to the Trustee, any officer within the Corporate Trust Administration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Definitive Note”</w:t>
      </w:r>
      <w:r>
        <w:rPr>
          <w:rFonts w:ascii="Times New Roman;Times;Serif" w:hAnsi="Times New Roman;Times;Serif"/>
          <w:b w:val="false"/>
          <w:i w:val="false"/>
          <w:caps w:val="false"/>
          <w:smallCaps w:val="false"/>
          <w:sz w:val="20"/>
        </w:rPr>
        <w:t xml:space="preserve"> means a Definitive Note bearing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Definitive Security”</w:t>
      </w:r>
      <w:r>
        <w:rPr>
          <w:rFonts w:ascii="Times New Roman;Times;Serif" w:hAnsi="Times New Roman;Times;Serif"/>
          <w:b w:val="false"/>
          <w:i w:val="false"/>
          <w:caps w:val="false"/>
          <w:smallCaps w:val="false"/>
          <w:sz w:val="20"/>
        </w:rPr>
        <w:t xml:space="preserve"> means a Definitive Security bearing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Global Note”</w:t>
      </w:r>
      <w:r>
        <w:rPr>
          <w:rFonts w:ascii="Times New Roman;Times;Serif" w:hAnsi="Times New Roman;Times;Serif"/>
          <w:b w:val="false"/>
          <w:i w:val="false"/>
          <w:caps w:val="false"/>
          <w:smallCaps w:val="false"/>
          <w:sz w:val="20"/>
        </w:rPr>
        <w:t xml:space="preserve"> means a Global Note bearing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Global Security”</w:t>
      </w:r>
      <w:r>
        <w:rPr>
          <w:rFonts w:ascii="Times New Roman;Times;Serif" w:hAnsi="Times New Roman;Times;Serif"/>
          <w:b w:val="false"/>
          <w:i w:val="false"/>
          <w:caps w:val="false"/>
          <w:smallCaps w:val="false"/>
          <w:sz w:val="20"/>
        </w:rPr>
        <w:t xml:space="preserve"> means a Global Security bearing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Restricted Period” </w:t>
      </w:r>
      <w:r>
        <w:rPr>
          <w:rFonts w:ascii="Times New Roman;Times;Serif" w:hAnsi="Times New Roman;Times;Serif"/>
          <w:b w:val="false"/>
          <w:i w:val="false"/>
          <w:caps w:val="false"/>
          <w:smallCaps w:val="false"/>
          <w:sz w:val="20"/>
        </w:rPr>
        <w:t>means the 40-day distribution compliance period as defined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Rule 144”</w:t>
      </w:r>
      <w:r>
        <w:rPr>
          <w:rFonts w:ascii="Times New Roman;Times;Serif" w:hAnsi="Times New Roman;Times;Serif"/>
          <w:b w:val="false"/>
          <w:i w:val="false"/>
          <w:caps w:val="false"/>
          <w:smallCaps w:val="false"/>
          <w:sz w:val="20"/>
        </w:rPr>
        <w:t xml:space="preserve"> means Rule 144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Rule 144A”</w:t>
      </w:r>
      <w:r>
        <w:rPr>
          <w:rFonts w:ascii="Times New Roman;Times;Serif" w:hAnsi="Times New Roman;Times;Serif"/>
          <w:b w:val="false"/>
          <w:i w:val="false"/>
          <w:caps w:val="false"/>
          <w:smallCaps w:val="false"/>
          <w:sz w:val="20"/>
        </w:rPr>
        <w:t xml:space="preserve"> means Rule 144A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Rule 903”</w:t>
      </w:r>
      <w:r>
        <w:rPr>
          <w:rFonts w:ascii="Times New Roman;Times;Serif" w:hAnsi="Times New Roman;Times;Serif"/>
          <w:b w:val="false"/>
          <w:i w:val="false"/>
          <w:caps w:val="false"/>
          <w:smallCaps w:val="false"/>
          <w:sz w:val="20"/>
        </w:rPr>
        <w:t xml:space="preserve"> means Rule 903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Rule 904”</w:t>
      </w:r>
      <w:r>
        <w:rPr>
          <w:rFonts w:ascii="Times New Roman;Times;Serif" w:hAnsi="Times New Roman;Times;Serif"/>
          <w:b w:val="false"/>
          <w:i w:val="false"/>
          <w:caps w:val="false"/>
          <w:smallCaps w:val="false"/>
          <w:sz w:val="20"/>
        </w:rPr>
        <w:t xml:space="preserve"> means Rule 904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S&amp;P”</w:t>
      </w:r>
      <w:r>
        <w:rPr>
          <w:rFonts w:ascii="Times New Roman;Times;Serif" w:hAnsi="Times New Roman;Times;Serif"/>
          <w:b w:val="false"/>
          <w:i w:val="false"/>
          <w:caps w:val="false"/>
          <w:smallCaps w:val="false"/>
          <w:sz w:val="20"/>
        </w:rPr>
        <w:t xml:space="preserve"> means S&amp;P Global Ratings, a division of S&amp;P Global Inc., or any successor entity.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xml:space="preserve"> means the U.S. Securities and Exchange Commission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xml:space="preserve"> means all debentures, notes and other debt instruments of the Company of any Series authenticated and delivered under this Indenture, including all Notes and Additional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xml:space="preserve">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Series”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Series of Securities”</w:t>
      </w:r>
      <w:r>
        <w:rPr>
          <w:rFonts w:ascii="Times New Roman;Times;Serif" w:hAnsi="Times New Roman;Times;Serif"/>
          <w:b w:val="false"/>
          <w:i w:val="false"/>
          <w:caps w:val="false"/>
          <w:smallCaps w:val="false"/>
          <w:sz w:val="20"/>
        </w:rPr>
        <w:t xml:space="preserve"> means each series of Securities created pursuant to Section 2.01 hereof (for the avoidance of doubt, the Notes constitute a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Significant Subsidiary”</w:t>
      </w:r>
      <w:r>
        <w:rPr>
          <w:rFonts w:ascii="Times New Roman;Times;Serif" w:hAnsi="Times New Roman;Times;Serif"/>
          <w:b w:val="false"/>
          <w:i w:val="false"/>
          <w:caps w:val="false"/>
          <w:smallCaps w:val="false"/>
          <w:sz w:val="20"/>
        </w:rPr>
        <w:t xml:space="preserve"> means any Subsidiary that would be a “significant subsidiary” as defined in Article 1, Rule 1-02 of Regulation S-X, promulgated pursuant to the Securities Act, as such Regulation is in effect on the date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Sponsor” </w:t>
      </w:r>
      <w:r>
        <w:rPr>
          <w:rFonts w:ascii="Times New Roman;Times;Serif" w:hAnsi="Times New Roman;Times;Serif"/>
          <w:b w:val="false"/>
          <w:i w:val="false"/>
          <w:caps w:val="false"/>
          <w:smallCaps w:val="false"/>
          <w:sz w:val="20"/>
        </w:rPr>
        <w:t>means any of (i) BlackRock, Inc., (ii) Global Infrastructure Management, LLC, (iii) TotalEnergies SE, (iv) one or more Sponsor Affiliates and (v) any funds or partnerships or co-investment vehicles managed or advised or controlled by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Sponsor Affiliate”</w:t>
      </w:r>
      <w:r>
        <w:rPr>
          <w:rFonts w:ascii="Times New Roman;Times;Serif" w:hAnsi="Times New Roman;Times;Serif"/>
          <w:b w:val="false"/>
          <w:i w:val="false"/>
          <w:caps w:val="false"/>
          <w:smallCaps w:val="false"/>
          <w:sz w:val="20"/>
        </w:rPr>
        <w:t xml:space="preserve"> means any Affiliate of the Sponsor that is not a portfolio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Stated Maturity”</w:t>
      </w:r>
      <w:r>
        <w:rPr>
          <w:rFonts w:ascii="Times New Roman;Times;Serif" w:hAnsi="Times New Roman;Times;Serif"/>
          <w:b w:val="false"/>
          <w:i w:val="false"/>
          <w:caps w:val="false"/>
          <w:smallCaps w:val="false"/>
          <w:sz w:val="20"/>
        </w:rPr>
        <w:t xml:space="preserve"> means, with respect to any installment of interest or principal on any series of Indebtedness, the date on which the payment of 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xml:space="preserve"> means, with respect to any specified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partnership (a) the sole general partner or the managing general partner of which is such Person or a Subsidiary of such Person or (b) the only general partners of which are that Person or one or more Subsidiaries of that Person (or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 Guarantee”</w:t>
      </w:r>
      <w:r>
        <w:rPr>
          <w:rFonts w:ascii="Times New Roman;Times;Serif" w:hAnsi="Times New Roman;Times;Serif"/>
          <w:b w:val="false"/>
          <w:i w:val="false"/>
          <w:caps w:val="false"/>
          <w:smallCaps w:val="false"/>
          <w:sz w:val="20"/>
        </w:rPr>
        <w:t xml:space="preserve"> means the Guarantee by each Subsidiary Guarantor of the Company’s obligations under this Indenture and the Notes, executed pursuant to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 Guarantors”</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of the Company’s Wholly Owned Subsidiaries that Guarantee the Notes on the date of this Indenture, until such time as they are released pursuant to Section 10.05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other Subsidiary that executes a Subsidiary Guarantee in accordance with the provisions of this Indenture, and their respective successors and assigns.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means any supplemental indenture entered into pursuant to Section 2.01 hereof to evidence the issuance of any Additional Securities after the date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Financing”</w:t>
      </w:r>
      <w:r>
        <w:rPr>
          <w:rFonts w:ascii="Times New Roman;Times;Serif" w:hAnsi="Times New Roman;Times;Serif"/>
          <w:b w:val="false"/>
          <w:i w:val="false"/>
          <w:caps w:val="false"/>
          <w:smallCaps w:val="false"/>
          <w:sz w:val="20"/>
        </w:rPr>
        <w:t xml:space="preserve"> means a tax equity financing entered into solely in connection with the acquisition, expansion, upgrade or refurbishment (or refinancing of any of the foregoing or of any Indebtedness incurred in connection therewith) of or by a Facility Subsidiary (and/or another Subsidiary that is a direct or indirect parent company of such Facility Subsidiary) of energy generating, transmission, storage or distribution assets, or of any other energy or power facility or any assets related to any of the foregoing that are eligible for green energy tax credits available under the Code, on an arm’s length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Total Assets”</w:t>
      </w:r>
      <w:r>
        <w:rPr>
          <w:rFonts w:ascii="Times New Roman;Times;Serif" w:hAnsi="Times New Roman;Times;Serif"/>
          <w:b w:val="false"/>
          <w:i w:val="false"/>
          <w:caps w:val="false"/>
          <w:smallCaps w:val="false"/>
          <w:sz w:val="20"/>
        </w:rPr>
        <w:t xml:space="preserve"> means, as of any date of determination, the total consolidated assets of the Company and its Subsidiaries, determined on a consolidated basis in accordance with GAAP, as shown on the most recent publicly available balance sheet of the Company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Treasury Rate”</w:t>
      </w:r>
      <w:r>
        <w:rPr>
          <w:rFonts w:ascii="Times New Roman;Times;Serif" w:hAnsi="Times New Roman;Times;Serif"/>
          <w:b w:val="false"/>
          <w:i w:val="false"/>
          <w:caps w:val="false"/>
          <w:smallCaps w:val="false"/>
          <w:sz w:val="20"/>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January 15, 2029;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period from the redemption date to January 15, 2029 is less than one year, the weekly average yield on actually traded United States Treasury securities adjusted to a constant maturity of one year will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Unrestricted Definitive Note”</w:t>
      </w:r>
      <w:r>
        <w:rPr>
          <w:rFonts w:ascii="Times New Roman;Times;Serif" w:hAnsi="Times New Roman;Times;Serif"/>
          <w:b w:val="false"/>
          <w:i w:val="false"/>
          <w:caps w:val="false"/>
          <w:smallCaps w:val="false"/>
          <w:sz w:val="20"/>
        </w:rPr>
        <w:t xml:space="preserve"> means a Definitive Note that does not bear and is not required to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Unrestricted Definitive Security”</w:t>
      </w:r>
      <w:r>
        <w:rPr>
          <w:rFonts w:ascii="Times New Roman;Times;Serif" w:hAnsi="Times New Roman;Times;Serif"/>
          <w:b w:val="false"/>
          <w:i w:val="false"/>
          <w:caps w:val="false"/>
          <w:smallCaps w:val="false"/>
          <w:sz w:val="20"/>
        </w:rPr>
        <w:t xml:space="preserve"> means a Definitive Security that does not bear and is not required to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Unrestricted Global Note”</w:t>
      </w:r>
      <w:r>
        <w:rPr>
          <w:rFonts w:ascii="Times New Roman;Times;Serif" w:hAnsi="Times New Roman;Times;Serif"/>
          <w:b w:val="false"/>
          <w:i w:val="false"/>
          <w:caps w:val="false"/>
          <w:smallCaps w:val="false"/>
          <w:sz w:val="20"/>
        </w:rPr>
        <w:t xml:space="preserve"> means a Global Note that does not bear and is not required to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Unrestricted Global Security”</w:t>
      </w:r>
      <w:r>
        <w:rPr>
          <w:rFonts w:ascii="Times New Roman;Times;Serif" w:hAnsi="Times New Roman;Times;Serif"/>
          <w:b w:val="false"/>
          <w:i w:val="false"/>
          <w:caps w:val="false"/>
          <w:smallCaps w:val="false"/>
          <w:sz w:val="20"/>
        </w:rPr>
        <w:t xml:space="preserve"> means a Global Security that does not bear and is not required to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U.S. Person”</w:t>
      </w:r>
      <w:r>
        <w:rPr>
          <w:rFonts w:ascii="Times New Roman;Times;Serif" w:hAnsi="Times New Roman;Times;Serif"/>
          <w:b w:val="false"/>
          <w:i w:val="false"/>
          <w:caps w:val="false"/>
          <w:smallCaps w:val="false"/>
          <w:sz w:val="20"/>
        </w:rPr>
        <w:t xml:space="preserve"> means a U.S. Person as defined in Rule 902(k)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Voting Stock”</w:t>
      </w:r>
      <w:r>
        <w:rPr>
          <w:rFonts w:ascii="Times New Roman;Times;Serif" w:hAnsi="Times New Roman;Times;Serif"/>
          <w:b w:val="false"/>
          <w:i w:val="false"/>
          <w:caps w:val="false"/>
          <w:smallCaps w:val="false"/>
          <w:sz w:val="20"/>
        </w:rPr>
        <w:t xml:space="preserve"> of any Person as of any date means the Capital Stock of such Person that is at the time entitled to vote in the election of the Board of Directors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Wholly Owned Subsidiary”</w:t>
      </w:r>
      <w:r>
        <w:rPr>
          <w:rFonts w:ascii="Times New Roman;Times;Serif" w:hAnsi="Times New Roman;Times;Serif"/>
          <w:b w:val="false"/>
          <w:i w:val="false"/>
          <w:caps w:val="false"/>
          <w:smallCaps w:val="false"/>
          <w:sz w:val="20"/>
        </w:rPr>
        <w:t xml:space="preserve"> means, with respect to any specified Person, a direct or indirect Subsidiary of such Person, 100% of the outstanding Capital Stock or other ownership interests of which is at the time owned by such Person or by one or more Wholly Owned Subsidiaries of such Person.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caps w:val="false"/>
          <w:smallCaps w:val="false"/>
          <w:sz w:val="20"/>
        </w:rPr>
        <w:t>Other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Notes, the following terms will have the meanings set forth in this Section 1.02. For purposes of any Additional Securities issued under this Indenture, the Supplemental Indenture in respect of such Additional Securities will specify the defined terms to be used therein, which may include some, all or none of the terms contained in this Section 1.02.</w:t>
      </w:r>
    </w:p>
    <w:p>
      <w:pPr>
        <w:pStyle w:val="TextBody"/>
        <w:bidi w:val="0"/>
        <w:spacing w:before="0" w:after="0"/>
        <w:ind w:left="0" w:right="0" w:hanging="0"/>
        <w:jc w:val="left"/>
        <w:rPr>
          <w:caps w:val="false"/>
          <w:smallCaps w:val="false"/>
        </w:rPr>
      </w:pPr>
      <w:r>
        <w:rPr>
          <w:caps w:val="false"/>
          <w:smallCaps w:val="false"/>
        </w:rPr>
        <w:t> </w:t>
      </w:r>
    </w:p>
    <w:tbl>
      <w:tblPr>
        <w:tblW w:w="4134" w:type="dxa"/>
        <w:jc w:val="center"/>
        <w:tblInd w:w="0" w:type="dxa"/>
        <w:tblLayout w:type="fixed"/>
        <w:tblCellMar>
          <w:top w:w="0" w:type="dxa"/>
          <w:left w:w="0" w:type="dxa"/>
          <w:bottom w:w="0" w:type="dxa"/>
          <w:right w:w="0" w:type="dxa"/>
        </w:tblCellMar>
      </w:tblPr>
      <w:tblGrid>
        <w:gridCol w:w="3125"/>
        <w:gridCol w:w="60"/>
        <w:gridCol w:w="118"/>
        <w:gridCol w:w="756"/>
        <w:gridCol w:w="75"/>
      </w:tblGrid>
      <w:tr>
        <w:trPr/>
        <w:tc>
          <w:tcPr>
            <w:tcW w:w="31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in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Authentication Order”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Change of Control Offer”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Change of Control Payment”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Change of Control Payment Date”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Covenant Defeasance”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DTC”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Event of Default”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Legal Defeasance”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Paying Agent”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Payment Default”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Registrar”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caps w:val="false"/>
          <w:smallCaps w:val="false"/>
          <w:sz w:val="20"/>
        </w:rPr>
        <w:t>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term has the meaning assigned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accounting term not otherwise defined has the meaning assigned to it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“or”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“including” is not limiting;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words in the singular include the plural, and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“will” shall be interpreted to express a command;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provisions apply to successive events and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references to sections of or rules under the Securities Act will be deemed to include substitute, replacement or successor sections or rules adopted by the SEC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this Indenture will apply to any Additional Securities issued from time to time pursuant to this Indenture, except as may be otherwise provided in the Supplemental Indenture with respect to such Additional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br/>
        <w:t>THE ISSUANCE OF NOTES AND ADDITIONAL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caps w:val="false"/>
          <w:smallCaps w:val="false"/>
          <w:sz w:val="20"/>
        </w:rPr>
        <w:t>Form and Dating of Notes; Creation of Additional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Securities to be Issued in Series</w:t>
      </w:r>
      <w:r>
        <w:rPr>
          <w:rFonts w:ascii="Times New Roman;Times;Serif" w:hAnsi="Times New Roman;Times;Serif"/>
          <w:b w:val="false"/>
          <w:i w:val="false"/>
          <w:caps w:val="false"/>
          <w:smallCaps w:val="false"/>
          <w:sz w:val="20"/>
        </w:rPr>
        <w:t>. The aggregate amount of Securities that may be authenticated and delivered under this Indenture is unlimited. The Securities may be issued in one or more Series. All Additional Securities will have the terms set forth in the Supplemental Indenture pursuant to which such Series of Additional Securities is created, which Supplemental Indenture will detail the adoption of the terms of such Series of Additional Securities pursuant to the authority granted under a Board Resolution. In the case of Securities of a Series to be issued from time to time, the Supplemental Indenture creating such Series will detail the adoption of the terms thereof pursuant to the authority granted under a Board Resolution and will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Series of Additional Securities, the following terms shall be established in the Supplemental Indenture in respect of such Series created pursuant to authority granted under a Board Resolution and executed and delivered by the Company and the Trustee (and, if applicable, any guarantors of such Additional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Series (which shall distinguish the Securities of that particular Series from the Securities of any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price or prices (expressed as a percentage of the principal amount thereof) at which the Securities of the Series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this Article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date or dates on which the principal of the Securities of the Series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applicable, the period or periods within which the price or prices at which and the terms and conditions upon which the Securities of the Series may be redeemed, in whole or in part, at the option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dates, if any, on which and the price or prices at which the Securities of the Series will be repurchased by the Company at the option of the Holders thereof and other detailed terms and provisions of such repurchase obligations;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other than denominations of $2,000 and any integral multiples of $1,000 in excess thereof, the denominations in which the Securities of the Series shall be issuable;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forms of the Securities of the Series in bearer or fully registered form (and, if in fully registered form, whether the Securities will be issuable as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other than the principal amount thereof, the portion of the principal amount of the Securities of the Series that shall be payable upon declaration of acceleration of the maturity thereof pursuant to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currency of denomination of the Securities of the Series, which may be U.S. dollars or any other currency, and if such currency of denomination is a composite currency, the agency or organization, if any, responsible for overseeing such composite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designation of the currency, currencies or currency units in which payment of the principal of and interest, if any, on the Securities of the Series will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provisions, if any, relating to any security or guarantee provided for the Securities of the Series, and any subordination in right of payment, if any, of the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addition to or change in or deletion of any of the covenants set forth in Articles 4 or 5 which applies to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any addition to or change in or deletion of any of the provisions and terms set forth in Articles 7 and 9 which applies to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any other terms of the Securities of the Series (which may modify or delete any provision of this Indenture insofar as it applies to such Series and/or add additional provisions);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any depositories, interest rate calculation agents, exchange rate calculation agents or other agents with respect to Securities of such Series if other than those appointed herein.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may be issued from time to time, consistent with the terms of this Indenture, if so provided by or pursuant to the Supplemental Indenture pursuant to which such Series is created, and the authorized principal amount of any Series may be increased to provide for issuances of Additional Securities of such Series, unless otherwise provided in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The Notes</w:t>
      </w:r>
      <w:r>
        <w:rPr>
          <w:rFonts w:ascii="Times New Roman;Times;Serif" w:hAnsi="Times New Roman;Times;Serif"/>
          <w:b w:val="false"/>
          <w:i w:val="false"/>
          <w:caps w:val="false"/>
          <w:smallCaps w:val="false"/>
          <w:sz w:val="20"/>
        </w:rPr>
        <w:t xml:space="preserve">. The Notes shall be issued in registered global form without interest coupons. The Notes and the Trustee’s certificate of authentication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Notes may have notations, legends or endorsements required by law, stock exchange rule or usage. The Company shall furnish any such notations, legends or endorsements to the Trustee in writing. Each Note shall be dated the date of its authentication. The Notes shall be in minimum denominations of $2,000 and integral multiples of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shall constitute, and are hereby expressly made, a part of the Indenture and the Company, the Guarantors and the Trustee, by their execution and delivery of this Indenture, expressly agree to such terms and provisions and to be bound thereby. However, to the extent any provision of the Note conflicts with the express provisions of this Indenture, the provisions of this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Global Securities</w:t>
      </w:r>
      <w:r>
        <w:rPr>
          <w:rFonts w:ascii="Times New Roman;Times;Serif" w:hAnsi="Times New Roman;Times;Serif"/>
          <w:b w:val="false"/>
          <w:i w:val="false"/>
          <w:caps w:val="false"/>
          <w:smallCaps w:val="false"/>
          <w:sz w:val="20"/>
        </w:rPr>
        <w:t xml:space="preserve">. Notes issued in global form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(including the Global Legend thereon and the “Schedule of Exchanges of Interests in the Global Note” attached thereto). Notes issued in definitive form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(but without the Global Legend thereon and without the “Schedule of Exchanges of Interests in the Global Note” attached thereto). All other Global Securities will be in the form specified in the Supplemental Indenture pursuant to which such Series of Securities is created. Each Global Security shall represent such of the outstanding Securities as will be specified therein and each shall provide that it represents the aggregate principal amount of outstanding Securities from time to time as reflected in the records of the Trustee and that the aggregate principal amount of outstanding Securities represented thereby may from time to time be reduced or increased, as appropriate, to reflect exchanges and redemptions. The Trustee’s records shall be noted to reflect the amount of any increase or decrease in the aggregate principal amount of outstanding Securities represented thereby, in accordance with instructions given by the Holder thereof as required by Section 2.06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Euroclear and Clearstream Procedures Applicable.</w:t>
      </w:r>
      <w:r>
        <w:rPr>
          <w:rFonts w:ascii="Times New Roman;Times;Serif" w:hAnsi="Times New Roman;Times;Serif"/>
          <w:b w:val="false"/>
          <w:i w:val="false"/>
          <w:caps w:val="false"/>
          <w:smallCaps w:val="false"/>
          <w:sz w:val="20"/>
        </w:rPr>
        <w:t xml:space="preserve"> The provisions of the “Operating Procedures of the Euroclear System” and “Terms and Conditions Governing Use of Euroclear” and the “General Terms and Conditions of Clearstream Banking” and “Customer Handbook” of Clearstream will be applicable to transfers of beneficial interests in the Regulation S Global Security that are held by Participants through Euroclear or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caps w:val="false"/>
          <w:smallCaps w:val="false"/>
          <w:sz w:val="20"/>
        </w:rPr>
        <w:t>Execution and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Officer must sign the Securities for the Company by manual or facsimile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a Security is authenticated, the Security will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will not be valid until authenticated by the manual signature of the Trustee. The signature will be conclusive evidence that the Security has been authenticated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upon receipt of a written order of the Company signed by at least one Officer (an “</w:t>
      </w:r>
      <w:r>
        <w:rPr>
          <w:rFonts w:ascii="Times New Roman;Times;Serif" w:hAnsi="Times New Roman;Times;Serif"/>
          <w:b w:val="false"/>
          <w:i/>
          <w:caps w:val="false"/>
          <w:smallCaps w:val="false"/>
          <w:sz w:val="20"/>
        </w:rPr>
        <w:t>Authentication Order”</w:t>
      </w:r>
      <w:r>
        <w:rPr>
          <w:rFonts w:ascii="Times New Roman;Times;Serif" w:hAnsi="Times New Roman;Times;Serif"/>
          <w:b w:val="false"/>
          <w:i w:val="false"/>
          <w:caps w:val="false"/>
          <w:smallCaps w:val="false"/>
          <w:sz w:val="20"/>
        </w:rPr>
        <w:t>), authenticate Securities for original issue under this Indenture. The aggregate principal amount of Securities outstanding at any time may not exceed the aggregate principal amount of Securities authorized for issuance by the Company pursuant to one or more Authentication Orders, except as provided in Section 2.08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caps w:val="false"/>
          <w:smallCaps w:val="false"/>
          <w:sz w:val="20"/>
        </w:rPr>
        <w:t>Registrar and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maintain an office or agency with respect to each Series of Securities issued pursuant to this Indenture, where such securities may be presented for registration of transfer or for exchange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and an office or agency where such Securities may be presented for payment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The Registrar will keep a register of all such Securities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or parent entities may act as Paying Agent or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Depository Trust Company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to act as Depositary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to act as the Registrar and Paying Agent and to act as Custodian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caps w:val="false"/>
          <w:smallCaps w:val="false"/>
          <w:sz w:val="20"/>
        </w:rPr>
        <w:t>Paying Agent to Hold Money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require each Paying Agent other than the Trustee to agree in writing that the Paying Agent will hold in trust for the benefit of Holders of the Securities for which it is acting as Paying Agent or the Trustee all money held by the Paying Agent for the payment of principal of, premium, if any, and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caps w:val="false"/>
          <w:smallCaps w:val="false"/>
          <w:sz w:val="20"/>
        </w:rPr>
        <w:t>Holder 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all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caps w:val="false"/>
          <w:smallCaps w:val="false"/>
          <w:sz w:val="20"/>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Transfer and Exchange of Global Securities</w:t>
      </w:r>
      <w:r>
        <w:rPr>
          <w:rFonts w:ascii="Times New Roman;Times;Serif" w:hAnsi="Times New Roman;Times;Serif"/>
          <w:b w:val="false"/>
          <w:i w:val="false"/>
          <w:caps w:val="false"/>
          <w:smallCaps w:val="false"/>
          <w:sz w:val="20"/>
        </w:rPr>
        <w:t>. A Global Security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Securities shall be exchanged by the Company for Definitive Securities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in its sole discretion determines that the Global Securities (in whole but not in part) should be exchanged for Definitive Securities and delivers a written notice to such effect to the Trustee;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there has occurred and is continuing a Default or Event of Default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of the preceding events in (1), (2) or (3) above, Definitive Securities shall be issued in such names and in any approved denominations as the Depositary shall instruct the Trustee. Global Securities also may be exchanged or replaced, in whole or in part, as provided in Sections 2.08 and 2.11 hereof. Every Security authenticated and delivered in exchange for, or in lieu of, a Global Security or any portion thereof, pursuant to this Section 2.06 or Section 2.08 or 2.11 hereof, shall be authenticated and delivered in the form of, and shall be, a Global Security. A Global Security may not be exchanged for another Security other than as provided in this Section 2.06(a); however, beneficial interests in a Global Security may be transferred and exchanged as provided in Section 2.06(b), (c) or (f)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Transfer and Exchange of Beneficial Interests in the Global Securities</w:t>
      </w:r>
      <w:r>
        <w:rPr>
          <w:rFonts w:ascii="Times New Roman;Times;Serif" w:hAnsi="Times New Roman;Times;Serif"/>
          <w:b w:val="false"/>
          <w:i w:val="false"/>
          <w:caps w:val="false"/>
          <w:smallCaps w:val="false"/>
          <w:sz w:val="20"/>
        </w:rPr>
        <w:t>. The transfer and exchange of beneficial interests in the Global Securities shall be effected through the Depositary, in accordance with the provisions of this Indenture and the Applicable Procedures. Transfers of beneficial interests in the Global Securities also will require compliance with either subparagraph (1) or (2) below, as applicable, as well as one or more of the other following subparagraphs,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Transfer of Beneficial Interests in the Same Global Security</w:t>
      </w:r>
      <w:r>
        <w:rPr>
          <w:rFonts w:ascii="Times New Roman;Times;Serif" w:hAnsi="Times New Roman;Times;Serif"/>
          <w:b w:val="false"/>
          <w:i w:val="false"/>
          <w:caps w:val="false"/>
          <w:smallCaps w:val="false"/>
          <w:sz w:val="20"/>
        </w:rPr>
        <w:t xml:space="preserve">. Beneficial interests in any Restricted Global Security may be transferred to Persons who take delivery thereof in the form of a beneficial interest in the same Restricted Global Security in accordance with the transfer restrictions set forth in the Private Placement Legend;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prior to the expiration of the Restricted Period, transfers of beneficial interests in the applicable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Any person who transfers a beneficial interest in the Regulation S Global Security prior to the expiration of the applicable Restricted Period with respect to any Series of Additional Securities shall be deemed to have certified that such transfer was not made to a U.S. Person or for the account or benefit of a U.S. Person (other than an Initial Purchaser). No written orders or instructions shall be required to be delivered to the Registrar to effect the transfers described in this Section 2.06(b)(1).</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All Other Transfers and Exchanges of Beneficial Interests in Global Securities.</w:t>
      </w:r>
      <w:r>
        <w:rPr>
          <w:rFonts w:ascii="Times New Roman;Times;Serif" w:hAnsi="Times New Roman;Times;Serif"/>
          <w:b w:val="false"/>
          <w:i w:val="false"/>
          <w:caps w:val="false"/>
          <w:smallCaps w:val="false"/>
          <w:sz w:val="20"/>
        </w:rPr>
        <w:t xml:space="preserve"> In connection with all transfers and exchanges of beneficial interests that are not subject to Section 2.06(b)(1) above, the transferor of such beneficial interest must deliver to the Registrar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instructions given in accordance with the Applicable Procedures containing information regarding the Participant account to be credited with such increase;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instructions given by the Depositary to the Registrar containing information regarding the Person in whose name such Definitive Security shall be registered to effect the transfer or exchange referred to in (i)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Transfer of Beneficial Interests to Another Restricted Global Security.</w:t>
      </w:r>
      <w:r>
        <w:rPr>
          <w:rFonts w:ascii="Times New Roman;Times;Serif" w:hAnsi="Times New Roman;Times;Serif"/>
          <w:b w:val="false"/>
          <w:i w:val="false"/>
          <w:caps w:val="false"/>
          <w:smallCaps w:val="false"/>
          <w:sz w:val="20"/>
        </w:rPr>
        <w:t xml:space="preserve"> A beneficial interest in any Restricted Global Security may be transferred to a Person who takes delivery thereof in the form of a beneficial interest in another Restricted Global Security if the transfer complies with the requirements of Section 2.06(b)(2) above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transferee will take delivery in the form of a beneficial interest in the 144A Global Security,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transferee will take delivery in the form of a beneficial interest in the Regulation S Global Security,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transferee will take delivery in the form of a beneficial interest in the IAI Global Security,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certificates and Opinion of Counsel required by item (3) thereof,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Transfer and Exchange of Beneficial Interests in a Restricted Global Security for Beneficial Interests in an Unrestricted Global Security.</w:t>
      </w:r>
      <w:r>
        <w:rPr>
          <w:rFonts w:ascii="Times New Roman;Times;Serif" w:hAnsi="Times New Roman;Times;Serif"/>
          <w:b w:val="false"/>
          <w:i w:val="false"/>
          <w:caps w:val="false"/>
          <w:smallCaps w:val="false"/>
          <w:sz w:val="20"/>
        </w:rPr>
        <w:t xml:space="preserve"> A beneficial interest in any Restricted Global Security may be exchanged by any holder thereof for a beneficial interest in an Unrestricted Global Security or transferred to a Person who takes delivery thereof in the form of a beneficial interest in an Unrestricted Global Security if the exchange or transfer complies with the requirements of Section 2.06(b)(2) above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holder of such beneficial interest in a Restricted Global Note proposes to exchange such beneficial interest for a beneficial interest in an Unrestricted Global Security,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(1)(a) thereof;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of this Section 2.06(b)(4),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transfer is effected pursuant to this Section 2.06(b)(4) at a time when an Unrestricted Global Security has not yet been issued, the Company shall issue and, upon receipt of an Authentication Order in accordance with Section 2.02 hereof, the Trustee shall authenticate one or more Unrestricted Global Securities in an aggregate principal amount equal to the aggregate principal amount of beneficial interests transferred pursuant to this Section 2.06(b)(4).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interests in an Unrestricted Global Security cannot be exchanged for, or transferred to Persons who take delivery thereof in the form of, a beneficial interest in a Restricted Global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Transfer or Exchange of Beneficial Interests in Global Securities for Definitive Securities. </w:t>
      </w:r>
      <w:r>
        <w:rPr>
          <w:rFonts w:ascii="Times New Roman;Times;Serif" w:hAnsi="Times New Roman;Times;Serif"/>
          <w:b w:val="false"/>
          <w:i w:val="false"/>
          <w:caps w:val="false"/>
          <w:smallCaps w:val="false"/>
          <w:sz w:val="20"/>
        </w:rPr>
        <w:t>Transfers or exchanges of beneficial interests in Global Securities for Definitive Securities shall in each case be subject to the satisfaction of any applicable conditions set forth in Section 2.06(b)(2) hereof, and to the requirements set forth below in this Section 2.06(c).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Beneficial Interests in Restricted Global Securities to Restricted Definitive Securities.</w:t>
      </w:r>
      <w:r>
        <w:rPr>
          <w:rFonts w:ascii="Times New Roman;Times;Serif" w:hAnsi="Times New Roman;Times;Serif"/>
          <w:b w:val="false"/>
          <w:i w:val="false"/>
          <w:caps w:val="false"/>
          <w:smallCaps w:val="false"/>
          <w:sz w:val="20"/>
        </w:rPr>
        <w:t xml:space="preserve"> If any holder of a beneficial interest in a Restricted Global Security proposes to exchange such beneficial interest for a Restricted Definitive Security or to transfer such beneficial interest to a Person who takes delivery thereof in the form of a Restricted Definitive Security, then, upon receipt by the Registrar of the following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holder of such beneficial interest in a Restricted Global Security proposes to exchange such beneficial interest for a Restricted Definitive Security,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(2)(a)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such beneficial interest is being transferred to a QIB in accordance with Rule 144A,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such beneficial interest is being transferred to a Non-U.S. Person in an offshore transaction in accordance with Rule 903 or Rule 904,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such beneficial interest is being transferred pursuant to an exemption from the registration requirements of the Securities Act in accordance with Rule 144,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(3)(a)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certificates and Opinion of Counsel required by item (3) thereof, if applicable;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such beneficial interest is being transferred to the Company or any of its Subsidiaries,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(3)(b)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if such beneficial interest is being transferred pursuant to an effective registration statement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(3)(c)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cause the aggregate principal amount of the applicable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in a Restricted Global Security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 Any Definitive Security issued in exchange for a beneficial interest in a Restricted Global Security pursuant to this Section 2.06(c)(1) shall bear the Private Placement Legend and shall be subject to all restrictions on transfer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Beneficial Interests in Restricted Global Securities to Unrestricted Definitive Securities.</w:t>
      </w:r>
      <w:r>
        <w:rPr>
          <w:rFonts w:ascii="Times New Roman;Times;Serif" w:hAnsi="Times New Roman;Times;Serif"/>
          <w:b w:val="false"/>
          <w:i w:val="false"/>
          <w:caps w:val="false"/>
          <w:smallCaps w:val="false"/>
          <w:sz w:val="20"/>
        </w:rPr>
        <w:t xml:space="preserve"> A holder of a beneficial interest in a Restricted Global Security may exchange such beneficial interest for an Unrestricted Definitive Security or may transfer such beneficial interest to a Person who takes delivery thereof in the form of an Unrestricted Definitive Security only if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holder of such beneficial interest in a Restricted Global Security proposes to exchange such beneficial interest for an Unrestricted Definitive Security,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(1)(b)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holder of such beneficial interest in a Restricted Global Security proposes to transfer such beneficial interest to a Person who shall take delivery thereof in the form of an Unrestricted Definitive Security,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of this Section 2.06(c)(2),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Beneficial Interests in Unrestricted Global Securities to Unrestricted Definitive Securities.</w:t>
      </w:r>
      <w:r>
        <w:rPr>
          <w:rFonts w:ascii="Times New Roman;Times;Serif" w:hAnsi="Times New Roman;Times;Serif"/>
          <w:b w:val="false"/>
          <w:i w:val="false"/>
          <w:caps w:val="false"/>
          <w:smallCaps w:val="false"/>
          <w:sz w:val="20"/>
        </w:rPr>
        <w:t xml:space="preserve"> If any holder of a beneficial interest in an Unrestricted Global Security proposes to exchange such beneficial interest for a Definitive Security or to transfer such beneficial interest to a Person who takes delivery thereof in the form of a Definitive Security, then, upon satisfaction of the conditions set forth in Section 2.06(b)(2) hereof, the Trustee shall cause the aggregate principal amount of the applicable Unrestricted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Securities to the Persons in whose names such Securities are so registered. Any Definitive Security issued in exchange for a beneficial interest pursuant to this Section 2.06(c)(3) will not bear the Private Placement Legend.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Transfer and Exchange of Definitive Securities for Beneficial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Restricted Definitive Securities to Beneficial Interests in Restricted Global Securities.</w:t>
      </w:r>
      <w:r>
        <w:rPr>
          <w:rFonts w:ascii="Times New Roman;Times;Serif" w:hAnsi="Times New Roman;Times;Serif"/>
          <w:b w:val="false"/>
          <w:i w:val="false"/>
          <w:caps w:val="false"/>
          <w:smallCaps w:val="false"/>
          <w:sz w:val="20"/>
        </w:rPr>
        <w:t xml:space="preserve"> If any Holder of a Restricted Definitive Security proposes to exchange such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Holder of such Restricted Definitive Security proposes to exchange such Security for a beneficial interest in a Restricted Global Security,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(2)(b)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such Restricted Definitive Security is being transferred to a QIB in accordance with Rule 144A,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such Restricted Definitive Security is being transferred to a Non-U.S. Person in an offshore transaction in accordance with Rule 903 or Rule 904,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such Restricted Definitive Security is being transferred pursuant to an exemption from the registration requirements of the Securities Act in accordance with Rule 144,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(3)(a)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such Restricted Definitive Security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certificates and Opinion of Counsel required by item (3) thereof,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such Restricted Definitive Security is being transferred to the Company or any of its Subsidiaries,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(3)(b)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if such Restricted Definitive Security is being transferred pursuant to an effective registration statement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(3)(c)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cancel the Restricted Definitive Security, increase or cause to be increased the aggregate principal amount of, in the case of clause (A) above, the appropriate Restricted Global Security, in the case of clause (B) above, the 144A Global Security, in the case of clause (C) above, the Regulation S Global Security, and in all other cases, the IAI Global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Restricted Definitive Securities to Beneficial Interests in Unrestricted Global Securities.</w:t>
      </w:r>
      <w:r>
        <w:rPr>
          <w:rFonts w:ascii="Times New Roman;Times;Serif" w:hAnsi="Times New Roman;Times;Serif"/>
          <w:b w:val="false"/>
          <w:i w:val="false"/>
          <w:caps w:val="false"/>
          <w:smallCaps w:val="false"/>
          <w:sz w:val="20"/>
        </w:rPr>
        <w:t xml:space="preserve"> A Holder of a Restricted Definitive Security may exchange such Security for a beneficial interest in an Unrestricted Global Security or transfer such Restricted Definitive Security to a Person who takes delivery thereof in the form of a beneficial interest in an Unrestricted Global Security only if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Holder of such Restricted Definitive Securities proposes to exchange such Notes for a beneficial interest in the Unrestricted Global Security,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(1)(c)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Holder of such Restricted Definitive Securities proposes to transfer such Securities to a Person who shall take delivery thereof in the form of a beneficial interest in the Unrestricted Global Security,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Section 2.06(d)(2),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the conditions of this Section 2.06(d)(2), the Trustee will cancel the Restricted Definitive Securities and increase or cause to be increased the aggregate principal amount of the Unrestricted Global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Unrestricted Definitive Securities to Beneficial Interests in Unrestricted Global Securities.</w:t>
      </w:r>
      <w:r>
        <w:rPr>
          <w:rFonts w:ascii="Times New Roman;Times;Serif" w:hAnsi="Times New Roman;Times;Serif"/>
          <w:b w:val="false"/>
          <w:i w:val="false"/>
          <w:caps w:val="false"/>
          <w:smallCaps w:val="false"/>
          <w:sz w:val="20"/>
        </w:rPr>
        <w:t xml:space="preserve"> A Holder of an Unrestricted Definitive Security may exchange such Security for a beneficial interest in an Unrestricted Global Security or transfer such Definitive Securities to a Person who takes delivery thereof in the form of a beneficial interest in an Unrestricted Global Security at any time. Upon receipt of a request for such an exchange or transfer, the Trustee will cancel the applicable Unrestricted Definitive Security and increase or cause to be increased the aggregate principal amount of one of the Unrestricted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exchange or transfer from a Definitive Security to a beneficial interest is effected pursuant to subparagraphs (2)(B), (2)(D) or (3) above at a time when an Unrestricted Global Security has not yet been issued, the Company will issue and, upon receipt of an Authentication Order in accordance with Section 2.02 hereof, the Trustee will authenticate one or more Unrestricted Global Securities in an aggregate principal amount equal to the principal amount of Definitive Securities so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Transfer and Exchange of Definitive Securities for Definitive Securities.</w:t>
      </w:r>
      <w:r>
        <w:rPr>
          <w:rFonts w:ascii="Times New Roman;Times;Serif" w:hAnsi="Times New Roman;Times;Serif"/>
          <w:b w:val="false"/>
          <w:i w:val="false"/>
          <w:caps w:val="false"/>
          <w:smallCaps w:val="false"/>
          <w:sz w:val="20"/>
        </w:rPr>
        <w:t xml:space="preserve"> Upon request by a Holder of Definitive Securities and such Holder’s compliance with the provisions of this Section 2.06(e), the Registrar shall register the transfer or exchange of Definitive Securities. Prior to such registration of transfer or exchange, the requesting Holder must present or surrender to the Registrar the Definitive Securities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Restricted Definitive Securities to Restricted Definitive Securities.</w:t>
      </w:r>
      <w:r>
        <w:rPr>
          <w:rFonts w:ascii="Times New Roman;Times;Serif" w:hAnsi="Times New Roman;Times;Serif"/>
          <w:b w:val="false"/>
          <w:i w:val="false"/>
          <w:caps w:val="false"/>
          <w:smallCaps w:val="false"/>
          <w:sz w:val="20"/>
        </w:rPr>
        <w:t xml:space="preserve"> Any Restricted Definitive Security may be transferred to and registered in the name of Persons who take delivery thereof in the form of a Restricted Definitive Security if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transfer will be made pursuant to Rule 144A,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transfer will be made pursuant to Rule 903 or Rule 904,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transfer will be made pursuant to any other exemption from the registration requirements of the Securities Act,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certificates and Opinion of Counsel required by item (3) thereof,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Restricted Definitive Securities to Unrestricted Definitive Securities.</w:t>
      </w:r>
      <w:r>
        <w:rPr>
          <w:rFonts w:ascii="Times New Roman;Times;Serif" w:hAnsi="Times New Roman;Times;Serif"/>
          <w:b w:val="false"/>
          <w:i w:val="false"/>
          <w:caps w:val="false"/>
          <w:smallCaps w:val="false"/>
          <w:sz w:val="20"/>
        </w:rPr>
        <w:t xml:space="preserve"> Any Restricted Definitive Security may be exchanged by the Holder thereof for an Unrestricted Definitive Security or transferred to a Person or Persons who take delivery thereof in the form of an Unrestricted Definitive Security if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Holder of such Restricted Definitive Securities proposes to exchange such Securities for an Unrestricted Definitive Security,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(1)(d)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Holder of such Restricted Definitive Securities proposes to transfer such Securities to a Person who shall take delivery thereof in the form of an Unrestricted Definitive Security,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Section 2.06(e)(2),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Unrestricted Definitive Securities to Unrestricted Definitive Securities.</w:t>
      </w:r>
      <w:r>
        <w:rPr>
          <w:rFonts w:ascii="Times New Roman;Times;Serif" w:hAnsi="Times New Roman;Times;Serif"/>
          <w:b w:val="false"/>
          <w:i w:val="false"/>
          <w:caps w:val="false"/>
          <w:smallCaps w:val="false"/>
          <w:sz w:val="20"/>
        </w:rPr>
        <w:t xml:space="preserve"> A Holder of Unrestricted Definitive Securities may transfer such Securities to a Person who takes delivery thereof in the form of an Unrestricted Definitive Security. Upon receipt of a request to register such a transfer, the Registrar shall register the Unrestricted Definitive Securities pursuant to the instructions from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Legends.</w:t>
      </w:r>
      <w:r>
        <w:rPr>
          <w:rFonts w:ascii="Times New Roman;Times;Serif" w:hAnsi="Times New Roman;Times;Serif"/>
          <w:b w:val="false"/>
          <w:i w:val="false"/>
          <w:caps w:val="false"/>
          <w:smallCaps w:val="false"/>
          <w:sz w:val="20"/>
        </w:rPr>
        <w:t xml:space="preserve"> The following legends will appear on the face of all Global Notes and Definitive Notes issued under this Indenture unless specifically stated otherwise in the applicable provisions of this Indenture. Additional Securities will bear the legends, if any, provided for in the Supplemental Indenture pursuant to which such Series of Additional Securities is created.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Private Placement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permitted by subparagraph (B) below, each Global Note and each Definitive Note (and all Notes issued in exchange therefor or substitution thereof) shall bear the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[IN THE CASE OF RULE 144A NOTES: ONE YEAR OR SUCH SHORTER PERIOD UNDER APPLICABLE LAW]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INSIDE THE UNITED STATES TO A QUALIFIED INSTITUTIONAL BUYER IN COMPLIANCE WITH RULE 144A UNDER THE SECURITIES ACT, (C) 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 (F) PURSUANT TO AN EFFECTIVE REGISTRATION STATEMENT UNDER THE SECURITIES ACT AND (3) 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any Global Note or Definitive Note issued pursuant to subparagraphs (b)(4), (c)(2), (c)(3), (d)(2), (d)(3), (e)(2), (e)(3) or (f) of this Section 2.06 (and all Notes issued in exchange therefor or substitution thereof) will not bear the Private Placement Legend.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any Global Note or Definitive Note (or any Note issued in exchange therefor or substitution thereof) (i) is a Note as to which the transfer restrictions set forth in the Private Placement Legend have expired in accordance with their terms, (ii) is transferred pursuant to a registration statement that has become effective or been declared effective under the Securities Act and that continues to be effective at the time of such transfer or (iii) has been sold pursuant to the exemption from registration provided by Rule 144 or any similar provision then in force under the Securities Act, the Private Placement Legend specified in Section 2.06(g)(i) and affixed on such Global Note or Definitive Note will be deemed to be removed therefrom upon the Company’s delivery to the Trustee and the Custodian of an Officers’ Certificate to the effect that one or more of the conditions set forth in clauses (i) through (iii) of this sentence have been satisfied. At such time, such Note will be deemed, pursuant to this Section 2.06(g)(1)(C) and the footnotes to the CUSIP and ISIN numbers set forth on the face of the certificate representing such Note, to thereafter bear the “unrestricted” CUSIP numbers identified in such footnotes; provided, however, that if the Depositary of any Global Note requires a mandatory exchange or other process to cause such Global Note to be identified by an unrestricted CUSIP number in the facilities of such Depositary, then (y) the Company will effect such exchange or procedure as soon as reasonably practicable; and (z) such Global Note will not be deemed to be identified by an “unrestricted” CUSIP number until such time as such exchange or procedure is effected. Without limiting the generality of any other provision of this Indenture, the Trustee will be entitled to receive an instruction letter, together with the documents contemplated under Section 12.04 hereof, from the Company before taking any action with respect to effecting any such mandatory exchange or other process. The Company and the Trustee each reserves the right to require the delivery of such legal opinions, certifications or other evidence as may reasonably be required in order to determine that any proposed transfer of any Note is being made in compliance with the Securities Act and applicable state securities laws. The Company shall be entitled to instruct the Custodian in writing to surrender any Global Note as to which any of the conditions set forth in clauses (i) through (iii) of the first sentence of this Section 2.06(g)(1)(C) have been satisfied, and, upon such instruction, the Custodian shall so surrender such Global Note to the Company for exchange, and any new Global Note so exchanged therefor shall not bear the Private Placement Legend specified in Section 2.06(g)(i) and shall not be assigned (or deemed assigned) a restricted CUSIP number. The Company shall promptly notify the Trustee in writing upon the occurrence of the date that is the later of (1) the date that is one year after the last date of original issuance of the Notes, or such shorter period of time as permitted by Rule 144 or any successor provision thereto, and (2) such later date, if any, as may be required by applicable law and promptly after a registration statement, if any, with respect to the Notes has become effective or 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Global Legend</w:t>
      </w:r>
      <w:r>
        <w:rPr>
          <w:rFonts w:ascii="Times New Roman;Times;Serif" w:hAnsi="Times New Roman;Times;Serif"/>
          <w:b w:val="false"/>
          <w:i w:val="false"/>
          <w:caps w:val="false"/>
          <w:smallCaps w:val="false"/>
          <w:sz w:val="20"/>
        </w:rPr>
        <w:t>. Each Global Security will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2.12 OF THE INDENTURE AND (4) THIS GLOBAL NOTE MAY BE TRANSFERRED TO A SUCCESSOR DEPOSITARY WITH THE PRIOR WRITTEN CONSENT OF CLEARWAY ENERGY OPERATING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Original Issue Discount Legend</w:t>
      </w:r>
      <w:r>
        <w:rPr>
          <w:rFonts w:ascii="Times New Roman;Times;Serif" w:hAnsi="Times New Roman;Times;Serif"/>
          <w:b w:val="false"/>
          <w:i w:val="false"/>
          <w:caps w:val="false"/>
          <w:smallCaps w:val="false"/>
          <w:sz w:val="20"/>
        </w:rPr>
        <w:t>. Each Note issued with original issue discount, if any, will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PURPOSES OF SECTIONS 1272, 1273 AND 1275 OF THE INTERNAL REVENUE CODE OF 1986, AS AMENDED, THIS SECURITY IS BEING ISSUED WITH ORIGINAL ISSUE DISCOUNT; FOR EACH $1,000 IN AGGREGATE PRINCIPAL AMOUNT OF THIS SECURITY, THE ISSUE PRICE IS $[          ], THE AMOUNT OF ORIGINAL ISSUE DISCOUNT IS $[         ], THE ISSUE DATE IS [            ], 20[  ] AND THE YIELD TO MATURITY IS [      ]%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Cancellation and/or Adjustment of Global Securities.</w:t>
      </w:r>
      <w:r>
        <w:rPr>
          <w:rFonts w:ascii="Times New Roman;Times;Serif" w:hAnsi="Times New Roman;Times;Serif"/>
          <w:b w:val="false"/>
          <w:i w:val="false"/>
          <w:caps w:val="false"/>
          <w:smallCaps w:val="false"/>
          <w:sz w:val="20"/>
        </w:rPr>
        <w:t xml:space="preserve"> At such time as all beneficial interests in a particular Global Security have been exchanged for Definitive Securities or a particular Global Security has been redeemed, repurchased or canceled in whole and not in part, each such Global Security shall be returned to or retained and canceled by the Trustee in accordance with Section 2.12 hereof.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will be reduced accordingly and a notation will be made on the records maintained by the Trustee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will be increased accordingly and a notation will be made on the records maintained by the Trustee or by the Depositary at the direction of the Trustee to reflect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General Provisions Relating to Transfers and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permit registrations of transfers and exchanges, the Company shall execute and the Trustee shall authenticate Global Securities and Definitive Securities upon receipt of an Authentication Order in accordance with Section 2.02 hereof or at the Registrar’s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service charge shall be made to a holder of a beneficial interest in a Global Security or to a Holder of a Definitive Security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3.06, 4.09 and 9.05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Registrar shall not be required to register the transfer of or exchange of any Security selected for redemption in whole or in part, except the unredeemed portion of any Note being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 shall not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issue, to register the transfer of or to exchange any Securities during a period beginning at the opening of business 10 days before the day of any selection of Securities for redemption and ending at the close of business on the day of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register the transfer of or to exchange any Security selected for redemption in whole or in part, except the unredeemed portion of any Security being redeemed in part;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register the transfer of or to exchange a Security between a record date and the next succeeding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Prior to due presentment for the registration of a transfer of any Security, the Trustee, any Agent and the Company may deem and treat the Person in whose name any Security is registered as the absolute owner of such Security for the purpose of receiving payment of principal of and interest on such Securities and for all other purposes, and none of the Trustee, any Agent or the Company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Trustee shall authenticate Global Securities and Definitive Securities in accordance with the provisions of Section 2.02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All orders, certifications, certificates and Opinions of Counsel required to be submitted to the Registrar pursuant to this Section 2.06 to effect a registration of transfer or exchange may be submitted by facsimile or electronic format (e.g. “pdf” or “tif”).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Trustee shall have no obligation or duty to monitor, determine or inquire as to compliance with any restrictions on transfer imposed under this Indenture or under applicable law (including any state or federal securities laws (including the Securities Act)) with respect to (i) the removal, or deemed removal, of any Private Placement Legend, or (ii) any transfer of any interest in any Note (including any transfers between or among Depository participants, members or beneficial owners in any Global Note) other than to accept delivery of such certificates and other documentation or evidence as are expressly required by, and to do so if and when expressly required by,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caps w:val="false"/>
          <w:smallCaps w:val="false"/>
          <w:sz w:val="20"/>
        </w:rPr>
        <w:t>Issuance of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be entitled, upon delivery to the Trustee of an Officers’ Certificate, Opinion of Counsel and Authentication Order, to issue Additional Notes under this Indenture which shall have identical terms as the Initial Notes issued on the Issue Date, other than with respect to the date of issuance and issue price. The Initial Notes issued on the Issue Date and any Additional Notes issued shall be treated as a single class for all purposes under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Additional Notes that are not fungible with the Initial Notes for United States federal income tax purposes will be issued with a different CUSIP number than the CUSIP number issued with respect to the Initial Notes.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Additional Notes, the Company shall set forth in a Board Resolution and an Officers’ Certificate, a copy of each which shall be delivered to the Trustee,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principal amount of such Additional Notes to be authenticated and delivered pursuant to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 price, the issue date and the CUSIP number of such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caps w:val="false"/>
          <w:smallCaps w:val="false"/>
          <w:sz w:val="20"/>
        </w:rPr>
        <w:t>Replacement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Trustee or the Company and the Trustee receives evidence to its satisfaction of the destruction, loss or theft of any Security, the Company will issue and the Trustee, upon receipt of an Authentication Order, will authenticate a replacement Security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Security is replaced. The Company may charge for its expenses in replacing 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 an additional obligation of the Company and will be entitled to all of the benefits of this Indenture equally and proportionately with all other Securities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caps w:val="false"/>
          <w:smallCaps w:val="false"/>
          <w:sz w:val="20"/>
        </w:rPr>
        <w:t>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outstanding at any time are all the Notes authenticated by the Trustee except for those canceled by it, those delivered to it for cancellation, those reductions in the interest in a Global Security effected by the Trustee in accordance with the provisions hereof, and those described in this Section 2.09 as not outstanding. Except as set forth in Section 2.10 hereof, a Security does not cease to be outstanding because the Company or an Affiliate of the Company holds the Security; however, Securities held by the Company or a Subsidiary of the Company shall not be deemed to be outstanding for purposes of Section 3.07(a)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2.08 hereof, it ceases to be outstanding unless the Trustee receives proof satisfactory to it that the replaced Security is held by a protected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amount of any Security is considered paid under Section 4.01 hereof, it ceases to be outstanding and interest on it ceases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a Subsidiary or an Affiliate of any thereof) holds, on a redemption date or maturity date, money sufficient to pay Securities payable on that date, then on and after that date such Securities will be deemed to be no longer outstanding and will cease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caps w:val="false"/>
          <w:smallCaps w:val="false"/>
          <w:sz w:val="20"/>
        </w:rPr>
        <w:t>Treasury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Notes have concurred in any direction, waiver or consent, Securities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such Notes that the Trustee has received written notice from the Company or any Guarantor, as applicable, certifying that the relevant Notes are owned by either the Company or any Guarantor, as applicable, will be so disregarded.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caps w:val="false"/>
          <w:smallCaps w:val="false"/>
          <w:sz w:val="20"/>
        </w:rPr>
        <w:t>Temporary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certificates representing Securities are ready for delivery, the Company may prepare and the Trustee, upon receipt of an Authentication Order, will authenticate temporary Securities. Temporary Securities will be substantially in the form of certificated Securities but may have variations that the Company considers appropriate for temporary Securities and as may be reasonably acceptable to the Trustee. Without unreasonable delay, the Company will prepare and the Trustee will authenticate Definitive Securities in exchange for temporary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temporary Notes will be entitled to all of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caps w:val="false"/>
          <w:smallCaps w:val="false"/>
          <w:sz w:val="20"/>
        </w:rPr>
        <w:t>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any time may deliver Securities to the Trustee for cancellation. The Registrar and Paying Agent will forward to the Trustee any Securities surrendered to them for registration of transfer, exchange or payment. Upon receipt of written direction from the Company, the Trustee and no one else will cancel all Securities surrendered for registration of transfer, exchange, payment, replacement or cancellation and will destroy canceled Securities (subject to the record retention requirements of the Exchange Act). Certification of the destruction of all canceled Securities will be delivered to the Company. The Company may not issue new Securities to replace Securities that it has paid or that have been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caps w:val="false"/>
          <w:smallCaps w:val="false"/>
          <w:sz w:val="20"/>
        </w:rPr>
        <w:t>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At least 10 days before the special record date, the Company (or, upon the written request of the Company, the Trustee in the name and at the expense of the Company) will mail or cause to be mailed or delivered electronically to Holders a notice that states the special record date, the related payment date and the amount of such interest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interest will be payable with respect to Additional Securities on the terms provided in the Supplemental Indenture pursuant to which such Series of Additional Securities is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br/>
        <w:t>REDEMPTION AND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Notes, Article 3 hereof provides the terms upon which redemption and prepayment may occur. For purposes of any Additional Securities issued under this Indenture, the Supplemental Indenture in respect of such Additional Securities will specify the terms upon which redemption and prepayment may occur, which may include some, all or none of the terms contained in this Article 3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caps w:val="false"/>
          <w:smallCaps w:val="false"/>
          <w:sz w:val="20"/>
        </w:rPr>
        <w:t>Notices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elects to redeem Notes pursuant to the optional redemption provisions of Section 3.07 hereof, it must furnish to the Trustee, at least 10 days but not more than 60 days before a redemption date, an Officers’ Certificate setting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clause of this Indenture pursuant to which the redemption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principal amount of Notes to be redeemed;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redemption price or, where the redemption price cannot be calculated at the time of such notice, the method of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caps w:val="false"/>
          <w:smallCaps w:val="false"/>
          <w:sz w:val="20"/>
        </w:rPr>
        <w:t>Selection of Notes to Be Redeemed or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less than all of the Notes are to be redeemed at any time, the Trustee shall select Notes for redemption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among all outstanding Notes or, if the Notes are listed on any national securities exchange, in compliance with the requirements of the principal national securities exchange on which the Notes are listed, in either case, unless otherwise required by law or Depositary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partial redemption by lot, the particular Notes to be redeemed or purchased shall be selected, unless otherwise provided herein, not less than 10 nor more than 60 days prior to the redemption by the Trustee from the outstanding Notes not previously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Company in writing of the Notes selected for redemption and, in the case of any Note selected for partial redemption, the principal amount thereof to be redeemed. Notes and portions of Notes selected shall be in amounts of $2,000 or whole multiples of $1,000 in excess of $2,000;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also apply to portions of Notes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Notes of $2,000 or less shall be redeemed in part. Notices of redemption shall be mailed by first class mail or delivered electronically at least 10 but not more than 60 days before the redemption date to each Holder of Notes to be redeemed at its registered address, except that redemption notices may be mailed or delivered electronically more than 60 days prior to a redemption date if the notice is issued in connection with a defeasance of the Notes or a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Note is to be redeemed in part only, the notice of redemption that relates to that Note shall state the portion of the principal amount of that Note that is to be redeemed. A new Note in principal amount equal to the unredeemed portion of the original Note shall be issued in the name of the Holder of Notes upon cancellation of the original Note. Notes called for redemption become due on the date fixed for redemption, subject to the Company’s right to delay or rescind a redemption date as provided in Section 3.03 hereof. On and after the redemption date, interest ceases to accrue on Notes or portions of them called for redemption, so long as the Company has deposited with the Paying Agent funds sufficient to pay the principal of, plus accrued and unpaid interest and premium, if any, on,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caps w:val="false"/>
          <w:smallCaps w:val="false"/>
          <w:sz w:val="20"/>
        </w:rPr>
        <w:t>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10 days but not more than 60 days before a redemption date, the Company shall mail or cause to be mailed, by first class mail or delivered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this Indenture pursuant to Articles 8 or 11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will identify the Notes to be redeemed and will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redemption price or, where the redemption price cannot be calculated at the time of such notice, the method of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name and address of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Notes called for redemption must be surrendered to the Paying Agent to collect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unless the Company defaults in making such redemption payment, interest on Notes called for redemption ceases to accrue on and after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paragraph of the Notes and/or Section of this Indenture pursuant to which the Notes called for redemption are being redeemed;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that no representation is made as to the correctness or accuracy of the CUSIP number, if any, listed in such notice or printed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request, the Trustee shall give the notice of redemption in the Company’s name and at its expense;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has delivered to the Trustee, at least four (4) Business Days prior to the date such notice of redemption is to be distributed to the Holders (or such shorter period as the Trustee in its sole discretion may allow), an Officers’ Certificate requesting that the Trustee give such notice and setting forth the information to be stated in such notice as provided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caps w:val="false"/>
          <w:smallCaps w:val="false"/>
          <w:sz w:val="20"/>
        </w:rPr>
        <w:t>Effect of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of redemption is mailed or delivered in accordance with Section 3.03 hereof, Notes called for redemption become, subject to any conditions precedent set forth in the notice of redemption, irrevocably due and payable on the redemption date at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caps w:val="false"/>
          <w:smallCaps w:val="false"/>
          <w:sz w:val="20"/>
        </w:rPr>
        <w:t>Deposit of Redemption or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10:00 a.m. Eastern time on the redemption or purchase date, the Company shall deposit with the Trustee or with the Paying Agent money sufficient to pay the redemption or purchase price of, accrued interest and premium, if any, on all Notes to be redeemed or purchased on that date. Promptly after the Company’s written request, the Trustee or the Paying Agent shall promptly return to the Company any money deposited with the Trustee or the Paying Agent by the Company in excess of the amounts necessary to pay the redemption or purchase price of accrued interest and premium, if any, on, all Notes to be redeemed or purchased.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w:t>
      </w:r>
      <w:r>
        <w:rPr>
          <w:rFonts w:ascii="Times New Roman;Times;Serif" w:hAnsi="Times New Roman;Times;Serif"/>
          <w:b w:val="false"/>
          <w:i/>
          <w:caps w:val="false"/>
          <w:smallCaps w:val="false"/>
          <w:sz w:val="20"/>
        </w:rPr>
        <w:t>Notes Redeemed or Purchased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Note that is redeemed or purchased in part, the Company shall issue and, upon receipt of an Authentication Order, the Trustee shall authenticate for the Holder at the expense of the Company a new Note equal in principal amount to the unredeemed or unpurchased portion of the Note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w:t>
      </w:r>
      <w:r>
        <w:rPr>
          <w:rFonts w:ascii="Times New Roman;Times;Serif" w:hAnsi="Times New Roman;Times;Serif"/>
          <w:b w:val="false"/>
          <w:i/>
          <w:caps w:val="false"/>
          <w:smallCaps w:val="false"/>
          <w:sz w:val="20"/>
        </w:rPr>
        <w:t>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any time prior to January 15, 2029, the Company may on any one or more occasions redeem up to 40% of the aggregate principal amount of the Notes, upon not less than 10 nor more than 60 days’ prior notice, at a redemption price equal to 105.750%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at least 50% of the aggregate principal amount of Notes originally issued under this Indenture (excluding Notes held by the Company, its Subsidiaries and parent entities) remains outstanding immediately after the occurrence of such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redemption occurs within 180 days of the date of the closing of such equity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January 15, 2029,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redemption date, subject to the rights of Holders on the relevant record date to receive interest due on the relevant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pursuant to the preceding paragraphs, the Notes will not be redeemable at the Company’s option prior to January 15, 2029.</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or after January 15, 2029,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12-month period beginning on January 15 of the years indicated below, subject to the rights of Holders on the relevant record date to receive interest on the relevant interest payment date:</w:t>
      </w:r>
    </w:p>
    <w:p>
      <w:pPr>
        <w:pStyle w:val="TextBody"/>
        <w:bidi w:val="0"/>
        <w:spacing w:before="0" w:after="0"/>
        <w:ind w:left="0" w:right="0" w:hanging="0"/>
        <w:jc w:val="left"/>
        <w:rPr>
          <w:caps w:val="false"/>
          <w:smallCaps w:val="false"/>
        </w:rPr>
      </w:pPr>
      <w:r>
        <w:rPr>
          <w:caps w:val="false"/>
          <w:smallCaps w:val="false"/>
        </w:rPr>
        <w:t> </w:t>
      </w:r>
    </w:p>
    <w:tbl>
      <w:tblPr>
        <w:tblW w:w="2925" w:type="dxa"/>
        <w:jc w:val="center"/>
        <w:tblInd w:w="0" w:type="dxa"/>
        <w:tblLayout w:type="fixed"/>
        <w:tblCellMar>
          <w:top w:w="0" w:type="dxa"/>
          <w:left w:w="0" w:type="dxa"/>
          <w:bottom w:w="28" w:type="dxa"/>
          <w:right w:w="0" w:type="dxa"/>
        </w:tblCellMar>
      </w:tblPr>
      <w:tblGrid>
        <w:gridCol w:w="1760"/>
        <w:gridCol w:w="60"/>
        <w:gridCol w:w="71"/>
        <w:gridCol w:w="834"/>
        <w:gridCol w:w="200"/>
      </w:tblGrid>
      <w:tr>
        <w:trPr/>
        <w:tc>
          <w:tcPr>
            <w:tcW w:w="17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102.875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101.438</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and thereafter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redemption pursuant to this Section 3.07 shall be made pursuant to the provisions of Sections 3.01 through 3.06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provisions of this Article 3 do not prohibit the Company or its Affiliates from acquiring the Notes in market transactions by means other than a redemption, whether pursuant to a tender offer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to the contrary in this Article 3, in connection with any tender offer for, or other offer to purchase, the Notes, including a Change of Control Offer, if Holders of not less than 90.0% in aggregate principal amount of the outstanding Notes validly tender and do not withdraw such Notes in such tender offer (or other offer to purchase) and the Company, or any third party making such a tender offer (or other offer to purchase) in lieu of the Company, purchases all of the Notes validly tendered and not withdrawn by such Holders, the Company will have the right, upon not less than 10 nor more than 60 days’ prior notice, given not more than 30 days following such tender offer expiration date (or purchase date pursuant to such other offer), to redeem all Notes that remain outstanding following such purchase at a redemption price in cash equal to the price paid to each other Holder (excluding any early tender, incentive or similar fee) in such tender offer (or other offer to purchase), plus, to the extent not included in the tender offer payment (or payment pursuant to another offer to purchase),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w:t>
      </w:r>
      <w:r>
        <w:rPr>
          <w:rFonts w:ascii="Times New Roman;Times;Serif" w:hAnsi="Times New Roman;Times;Serif"/>
          <w:b w:val="false"/>
          <w:i/>
          <w:caps w:val="false"/>
          <w:smallCaps w:val="false"/>
          <w:sz w:val="20"/>
        </w:rPr>
        <w:t>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required to make mandatory redemption or sinking fund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Notes, Article 4 hereof provides the terms of the various covenants to which the Notes are subject. For purposes of any Additional Securities issued under this Indenture, the Supplemental Indenture in respect of such Additional Securities will specify the terms of the covenants to which such Additional Securities are subject, which may include some, all or none of the covenants contained in this Article 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caps w:val="false"/>
          <w:smallCaps w:val="false"/>
          <w:sz w:val="20"/>
        </w:rPr>
        <w:t>Payment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or cause to be paid the principal of, premium, if any, and interest on, the Notes on the dates and in the manner provided in the Notes. Principal, premium, if any, and interest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caps w:val="false"/>
          <w:smallCaps w:val="false"/>
          <w:sz w:val="20"/>
        </w:rPr>
        <w:t>Maintenance of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the Notes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designates the Corporate Trust Office of the Trustee as one such office or agency of the Company in accordance with Section 2.03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caps w:val="false"/>
          <w:smallCaps w:val="false"/>
          <w:sz w:val="20"/>
        </w:rPr>
        <w:t>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Whether or not required by the SEC’s rules and regulations, so long as any Notes are outstanding, the Company shall furnish or cause to be furnished to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within the time period (including any extensions thereof) specified in the SEC’s rules and regulations that would apply with respect to the filing of an annual report on Form 10-K, all financial information that would be required to be contained in an annual report on Form 10-K, or any successor or comparable form, filed with the SEC, including a “Management’s Discussion and Analysis of Financial Condition and Results of Operations” and a report on the annual financial statements by the Company’s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within the time period (including any extensions thereof) specified in the SEC’s rules and regulations that would apply with respect to the filing of a quarterly report on Form 10-Q, all financial information that would be required to be contained in a quarterly report on Form 10-Q, or any successor or comparable form, filed with the SEC;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within ten Business Days after the occurrence of any of the following events, a report that contains a brief summary of the material terms, facts and/or circumstances involved (to the extent not otherwise publicly disclosed): (i) entry by the Company or a Subsidiary of the Company into an agreement outside the ordinary course of business that is material to the Company and its Subsidiaries, taken as a whole, including any material amendment thereto or termination of any such agreement other than in accordance with its terms (excluding, for the avoidance of doubt, employee compensatory or benefit agreements or plans), (ii) completion of a merger of the Company with or into another Person or a material acquisition or disposition of assets by the Company or a Subsidiary of the Company outside the ordinary course of business, (iii) the institution of, or material development under, bankruptcy proceedings under Bankruptcy Law with respect to the Company or a Significant Subsidiary, (iv) the Company incurring Indebtedness outside the ordinary course of business that is material to the Company (other than under a Credit Facility or other arrangement which has been described in the Offering Memorandum or borrowings under a Credit Facility that has otherwise been disclosed previously), or a triggering event that causes the increase or acceleration of any such obligation and, in any such case, the consequences thereof that are material to the Company or a Subsidiary of the Company, (v) a change in the certifying independent auditor, (vi) the appointment or departure of directors or executive officers (with respect to the principal executive officer, president, principal financial officer, principal accounting officer and principal operating officer only), and (vii) non-reliance on previously issued financial statements;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provided, however,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no event will the Company be required to furnish any information, document or report referred to in clause (3) above if (i) such information, document or report would not be required to be filed on a current report on Form 8-K if the Company was required to file such form or (ii) such information, document or report is included in a current report on Form 8-K of a parent entity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no event will such reports be required to comply with Section 302, Section 404 or Section 906 of the Sarbanes-Oxley Act of 2002, or related Items 307 and 308 of Regulation S-K promulgated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no event will such reports be required to comply with Item 302 of Regulation S-K promulgated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no event will such reports be required to include any schedules required by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no event will such reports be required to comply with Rule 3-10 of Regulation S-X promulgated by the SEC or contain separate financial statements for the Company, the Guarantors or other Subsidiaries the Capital Stock of which may be pledged to secure the Notes or any Guarantee that would be required under (A) Rule 3-09 of Regulation S-X or (B) Rule 3-16 of Regulation S-X, respectively, promulgated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no event will such reports be required to include separate financial statements or other information contemplated by Rule 3-05 of Regulation S-X or Article 11 thereof (except that, to the extent that pro forma financial information is required to be provided by the Company, the Company may provide only pro forma revenues, net income, consolidated EBITDA, senior secured debt, total debt and capital expenditures (or equivalent financial information)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no event will such reports be required to comply with Regulation G under the Exchange Act or Item 10(e) of Regulation S-K promulgated by the SEC with respect to any non-GAAP financial measures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such reports referenced under clause (3) above will be required to be furnished if the Company determines in its good faith judgment that such event is not material to the Holders of Notes or the business, assets, operations or financial position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no event will such reports be required to comply with Item 601 of Regulation S-K promulgated by the SEC (with respect to exhibits) or, with respect to reports referenced in clause (3) above, to include as an exhibit copies of any agreements, financial statements or other items that would be required to be filed as exhibits to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such information will not be required to contain any “segment reporting;”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 no event will such reports contain compensation or beneficial ownership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information referred to in clauses (1), (2) and (3) above is filed with the SEC for public availability, the information will be deemed to be furnished to the Trustee and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comply with its obligations to provide the above information to the Holders of the Notes and the Trustee if the Company (i) files such information publicly via the SEC’s EDGAR filing system (or any successor system), (ii) makes such information publicly available on the commercial website of the Company or any parent entity thereof and provides reasonably prompt written notice thereof to the Trustee and each Holder of the Notes (which may be by email) of the availability of the information, and/or (iii) posts copies of such information on a website (which may be nonpublic, may require a confidentiality acknowledgement and may be maintained by the Company or a third party) to which access will be given to Holders of the Notes, bona fide prospective investors in the Notes (which prospective investors shall be limited to “qualified institutional buyers” within the meaning of Rule 144A of the Securities Act or non-U.S. persons (as defined in Regulation S under the Securities Act) that certify their status as such to the reasonable satisfaction of the Company), and securities analysts (to the extent providing analysis of an investment in the Notes) and market making financial institutions that are reasonably satisfactory to the Company who agree to treat such information and reports as confidential;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may deny access to any competitively-sensitive information and reports otherwise to be provided pursuant to this paragraph to any Holder, bona fide prospective investor, security analyst or market maker that is a competitor of the Company and its Subsidiaries to the extent that the Company determines in good faith that the provision of such information and reports to such Person would be competitively harmful to the Company and its Subsidiaries or any parent entity thereof;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each person with valid access to such website will receive an email notification (sent to the email address used by such person to obtain access to such website) when any information is posted to such website. The Company may condition the delivery of any such information or reports to such Holders of the Notes, prospective investors in the Notes and securities analysts and market making financial institutions on the agreement of such Persons to (i) treat all such information and reports (and the information contained therein) as confidential, (ii) not use such information and reports (and the information contained therein) for any purpose other than their investment or potential investment in the Notes and (iii) not publicly disclose any such information and reports (and the information contained therein). So long as the Parent Guarantor continues to own, directly or indirectly, all of the Equity Interests of the Company, the Parent Guarantor may elect to prepare, file and furnish, as applicable, the quarterly, annual and current reports and consolidated financial statements referred to above in respect of the Parent Guarantor and such reports and consolidated financial statements will be deemed to satisfy the obligations of the Company under this reporting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and the Guarantors agree that, for so long as any Notes remain outstanding, to the extent not satisfied by the preceding paragraphs, they shall furnish to the Holders and to securities analysts and prospective investors, upon their request, the information required to be delivered pursuant to Rule 144A(d)(4)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caps w:val="false"/>
          <w:smallCaps w:val="false"/>
          <w:sz w:val="20"/>
        </w:rPr>
        <w:t>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deliver to the Trustee, within 90 days after the end of each fiscal year, beginning with the fiscal year ending December 31, 2026,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whether or not to the best of his or her knowledge the Company is in default in the performance and observance of any of the terms, provisions and conditions of this Indenture, and if the Company shall be in default, specifying all such Defaults or Events of Default and the nature and status thereof of which they may have knowledge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any of the Notes are outstanding, the Company shall deliver to the Trustee, promptly after any Officer becoming aware of any Default or Event of Default, an Officers’ Certificate specifying such Default or Event of Default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w:t>
      </w:r>
      <w:r>
        <w:rPr>
          <w:rFonts w:ascii="Times New Roman;Times;Serif" w:hAnsi="Times New Roman;Times;Serif"/>
          <w:b w:val="false"/>
          <w:i/>
          <w:caps w:val="false"/>
          <w:smallCaps w:val="false"/>
          <w:sz w:val="20"/>
        </w:rPr>
        <w:t>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w:t>
      </w:r>
      <w:r>
        <w:rPr>
          <w:rFonts w:ascii="Times New Roman;Times;Serif" w:hAnsi="Times New Roman;Times;Serif"/>
          <w:b w:val="false"/>
          <w:i/>
          <w:caps w:val="false"/>
          <w:smallCaps w:val="false"/>
          <w:sz w:val="20"/>
        </w:rPr>
        <w:t>Stay, Extension and Usury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of the Guarantors covenants (to the extent that it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the Indenture; and the Company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          </w:t>
      </w:r>
      <w:r>
        <w:rPr>
          <w:rFonts w:ascii="Times New Roman;Times;Serif" w:hAnsi="Times New Roman;Times;Serif"/>
          <w:b w:val="false"/>
          <w:i/>
          <w:caps w:val="false"/>
          <w:smallCaps w:val="false"/>
          <w:sz w:val="20"/>
        </w:rPr>
        <w:t>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not, and will not permit any Subsidiary Guarantor to, create or permit to exist any Lien upon any Principal Property owned by the Company or any Subsidiary Guarantor or upon any Equity Interests issued by, or Indebtedness of, any direct or indirect Subsidiary of the Company that directly or indirectly owns Principal Property to secure any Indebtedness of the Company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this restriction will not apply to, or prevent the creation or existence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Liens securing Indebtedness of the Company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$1.7 billion and (c) 2.5 times Adjusted LTM CAFD;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Existing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Liens securing Indebtedness of any Person that (a) is acquired by the Company or any of its Subsidiaries after the date hereof, (b) is merged or amalgamated with or into the Company or any of its Subsidiaries after the date hereof or (c) becomes consolidated in the financial statements of the Company or any of its Subsidiaries after the date hereof in accordance with GAAP;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the Company or any of its Subsidiaries;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Liens securing Indebtedness of the Company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Liens in favor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Liens securing Hedging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agreements were not entered into for speculative purposes (as determined by the Company in its reasonable discretion acting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Liens relating to current or future escrow arrangements securing Indebtedness of the Company or any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Liens to secure Environmental CapEx Debt or Necessary CapEx Debt that encumber only the assets purchased, installed or otherwise acquired with the proceeds of such Environmental CapEx Debt or Necessary CapEx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Liens encumbering deposits made to secure obligations arising from statutory, regulatory, contractual or warranty requirements of the Company or any Guarantor, including rights of offset and set-off;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Refinancing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Liens on the stock or assets of Facility Subsidiaries securing Facility Debt or Tax Equity Financing of one or more Facility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Liens on cash and cash equivalents securing Indebtedness incurred to finance an acquisition of assets or a business or multiple businesses;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within 180 days from the date the related Indebtedness was incurred, such cash or cash equivalents are used to (a) fund the acquisition (or a similar transaction), including any related fees and expenses, and the related Indebtedness is (1) secured by Liens otherwise permitted under this Section 4.07 or (2) unsecured; or (b) retire or repay the Indebtedness that it secures and to pay any related fees and expenses;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other Liens, in addition to those permitted in clauses (1) through (12) above, securing Indebtedness of the Company or any Subsidiary Guarantor having an aggregate principal amount, measured as of the date of creation of any such Lien and the date of incurrence of any such Indebtedness, not to exceed the greater of (i) 2.0% of Total Assets and (ii) $200.0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securing Indebtedness under the Credit Agreement existing on the date of this Indenture will be deemed to have been incurred on such date in reliance on the exception provided by clause (1) above. For purposes of determining compliance with this Section 4.07, in the event that a proposed Lien meets the criteria of more than one of the categories of Liens described in clauses (1) through (13) above, the Company (a) will be permitted to (i) classify such Lien on the date of its incurrence, or later reclassify all or a portion of such Lien, in any manner that complies with this Section 4.07 and (ii) divide and redivide the amount of such Lien arising among more than one of such clauses and (b) will only be required to include such Lien in one of any such clauses.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any Subsidiary Guarantor proposes to create or permit to exist any Lien upon any Principal Property owned by the Company or any Subsidiary Guarantor or upon any Equity Interests or Indebtedness of any direct or indirect Subsidiary of the Company that directly or indirectly owns Principal Property to secure any Indebtedness, other than as permitted by clauses (1) through (13) of the previous paragraph, the Company will give prior written notice thereof to the Trustee, who will give notice to the Holders of the Notes, and the Company will further agree, prior to or simultaneously with the creation of such Lien, effectively to secure all the Notes equally and ratably with (or prior to) such other Indebtedness, for so long as such other Indebtedness is so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          </w:t>
      </w:r>
      <w:r>
        <w:rPr>
          <w:rFonts w:ascii="Times New Roman;Times;Serif" w:hAnsi="Times New Roman;Times;Serif"/>
          <w:b w:val="false"/>
          <w:i/>
          <w:caps w:val="false"/>
          <w:smallCaps w:val="false"/>
          <w:sz w:val="20"/>
        </w:rPr>
        <w:t>Company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5 hereof, the Company shall do or cause to be done all things necessary to preserve and keep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its organizational existence, and the corporate, partnership or other existence, as applicable, of the Parent Guarantor and each of its Subsidiaries, in accordance with the respective organizational documents (as the same may be amended from time to time) of the Company, the Parent Guarantor or any such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rights (charter and statutory), licenses and franchises of the Company, the Parent Guarantor and its Subsidiaries;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to preserve any such right, license or franchise, or the corporate, partnership or other existence of the Parent Guarantor or any of its Subsidiaries, if (a) the Company shall determine that the preservation thereof is no longer desirable in the conduct of the business of the Company, the Parent Guarantor and its Subsidiaries, taken as a whole, and that the loss thereof is not adverse in any material respect to the Holders of the Notes or (b) if a Subsidiary is to be dissolved, such Subsidiary has no material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          </w:t>
      </w:r>
      <w:r>
        <w:rPr>
          <w:rFonts w:ascii="Times New Roman;Times;Serif" w:hAnsi="Times New Roman;Times;Serif"/>
          <w:b w:val="false"/>
          <w:i/>
          <w:caps w:val="false"/>
          <w:smallCaps w:val="false"/>
          <w:sz w:val="20"/>
        </w:rPr>
        <w:t>Offer to Repurchase Upon Change of Control Triggering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 Change of Control Triggering Event, the Company will make an offer (a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Within 30 days following any Change of Control Triggering Event, the Company will mail (or deliver electronically) a notice to each Holder describing the transaction or transactions that constitute the Change of Control and stating: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the Change of Control Offer is being made pursuant to this Section 4.09 and that all Notes tendered will be accepted for payment;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price and the purchase date, which shall be no earlier than 10 days (or such longer period required by applicable securities laws and regulations) and no later than 60 days from the date such notice is mailed or delivered (the “</w:t>
      </w:r>
      <w:r>
        <w:rPr>
          <w:rFonts w:ascii="Times New Roman;Times;Serif" w:hAnsi="Times New Roman;Times;Serif"/>
          <w:b w:val="false"/>
          <w:i/>
          <w:caps w:val="false"/>
          <w:smallCaps w:val="false"/>
          <w:sz w:val="20"/>
        </w:rPr>
        <w:t>Change of Control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any Note not tendered will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unless the Company defaults in the payment of the Change of Control Payment, all Notes accepted for payment pursuant to the Change of Control Offer will cease to accrue interest after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Holders electing to have any Notes purchased pursuant to a Change of Control Offer shall be required to surrender the Notes, with the form entitled “Option of Holder to Elect Purchase” on the reverse of the Notes completed, to the Paying Agent at the address specified in the notice prior to the close of business on the third Business Day preceding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Holders will be entitled to withdraw their election if the Paying Agent receives, not later than the close of business on the second Business Day preceding the Change of Control Payment Date, facsimile transmission or letter setting forth the name of the Holder, the principal amount of Notes delivered for purchase, and a statement that such Holder is withdrawing his election to have the Notes purchased;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that Holders whose Notes are being purchased only in part will be issued new Notes equal in principal amount to the unpurchased portion of the Notes surrendered, which unpurchased portion must be equal to $2,000 in principal amount or an integral multiple of $1,000 in excess of $2,000.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provisions of this Section 4.09, the Company shall comply with the applicable securities laws and regulations and shall not be deemed to have breached its obligations under this Section 4.09 by virtue of such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Change of Control Payment Date, the Company shall,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Notes or portions of Notes properly tendered pursuant to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Paying Agent an amount equal to the Change of Control Payment in respect of all Notes or portions of Notes properly tendered;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the Notes properly accepted together with an Officers’ Certificate stating the aggregate principal amount of Notes or portions of Notes being purchased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Paying Agent shall promptly distribute to each Holder of Notes properly tendered the Change of Control Payment for the Notes, and the Trustee shall promptly authenticate and deliver (or cause to be transferred by book entry) to each Holder a new Note equal in principal amount to any unpurchased portion of the Notes surrendered, if 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new Note shall be in a principal amount of $2,000 or an integral multiple of $1,000 in excess thereof. The Company shall publicly announce the results of the Change of Control Offer on or as soon as practicable after the Change of Control Payment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provisions described in Sections 4.09(a) and (b) shall apply whether or not any other provisions of this Indenture are applicable. Except as described in Sections 4.09(a) and (b) hereof, Holders of Notes shall not be permitted to require that the Company repurchase or redeem the Notes in the event of a takeover, recapitalization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Section 4.09, the Company shall not be required to make a Change of Control Offer upon a Change of Control Triggering Event if (1) a third party makes the Change of Control Offer in the manner, at the times and otherwise in compliance with the requirements set forth in this Section 4.09 and purchases all Notes properly tendered and not withdrawn under the Change of Control Offer, or (2) notice of redemption has been given pursuant to Section 3.07 hereof,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Holders of not less than 90.0% in aggregate principal amount of the outstanding Notes validly tender and not withdraw such Notes in a Change of Control Offer and the Company, or any third party making a Change of Control Offer in lieu of the Company as described above, purchases all of the Notes validly tendered and not withdrawn by such Holders, all of the Holders of the Notes will be deemed to have validly tendered their notes and not withdrawn and, accordingly, the Company will have the right, upon not less than 10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w:t>
      </w:r>
      <w:r>
        <w:rPr>
          <w:rFonts w:ascii="Times New Roman;Times;Serif" w:hAnsi="Times New Roman;Times;Serif"/>
          <w:b w:val="false"/>
          <w:i/>
          <w:caps w:val="false"/>
          <w:smallCaps w:val="false"/>
          <w:sz w:val="20"/>
        </w:rPr>
        <w:t>Additional Subsidiary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or any of its Subsidiaries acquires or creates another Wholly Owned Subsidiary after the Issue Date and such Wholly Owned Subsidiary Guarantees any Obligations of the Company under the Credit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Wholly Owned Subsidiary that does not Guarantee any Obligations of the Company under the Credit Agreement as of the date of the Indenture subsequently Guarantees any Obligations of the Company under the Credit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there is no Indebtedness of the Company outstanding under the Credit Agreement at that time, any Wholly Owned Subsidiary of the Company (including any newly acquired or created Wholly Owned Subsidiary) Guarantees any Obligations with respect to any other Material Indebtedness of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such newly acquired or created Wholly Owned Subsidiary or Wholly Owned Subsidiary that subsequently fully and unconditionally Guarantees Obligations under the Credit Agreement or other Material Indebtedness of the Company, as the case may be, will become a Guarantor of the Notes and execute a supplemental indenture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and deliver an Opinion of Counsel satisfactory to the Trustee within 60 Business Days of the date on which it was acquired or created or guaranteed other Material Indebtedness of the Company,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w:t>
      </w:r>
      <w:r>
        <w:rPr>
          <w:rFonts w:ascii="Times New Roman;Times;Serif" w:hAnsi="Times New Roman;Times;Serif"/>
          <w:b w:val="false"/>
          <w:i/>
          <w:caps w:val="false"/>
          <w:smallCaps w:val="false"/>
          <w:sz w:val="20"/>
        </w:rPr>
        <w:t>Holding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Guarantor will not engage in any business, activity or transaction or own any interest (fee, leasehold or otherwise) in any real property, or incur, assume, or suffer to exist any Indebtedness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ownership of debt or Equity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maintaining its organizational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participating in tax, accounting and other administrative activities as the parent of a consolidated group of companies, including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making distributions to holders of its debt or Equity Interests or contributions to the Company or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performance of its obligations under the Exchange Agreement and similar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issuing a Guarantee in respect of, or otherwise becoming liable with respect to, Indebtedness incurred by Clearway Inc., the Company or any Subsidiary of the Company and the execution and delivery of any agreements related to the foregoing, including credit agreements, indentures, security agreements, and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issuing equity securities and/or issuing or incurring Indebtedness, including to finance acquisitions;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activities incidental to the businesses or activities described in clauses (1) through (7)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b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Notes, Article 5 hereof provides the terms upon which a Person can succeed the Obligations of the Company or the Guarantors. For purposes of any Additional Securities issued under this Indenture, the Supplemental Indenture in respect of such Additional Securities will specify the terms upon which a Person can succeed the obligations of the Company or the Guarantors, if any, to such Additional Securities, which may include some, all or none of the terms contained in this Article 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caps w:val="false"/>
          <w:smallCaps w:val="false"/>
          <w:sz w:val="20"/>
        </w:rPr>
        <w:t>Merger, Consolidation or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Parent Guarantor nor the Company shall, directly or indirectly: (1) consolidate or merge with or into another Person (whether or not the Parent Guarantor or the Company is the surviving Person); or (2) sell, assign, transfer, convey or otherwise dispose of all or substantially all of the properties or assets of the Parent Guarantor or the Parent Guarantor and its Subsidiaries taken as a whole or the Company or the Company and its Subsidiaries taken as a whole, in one or more related transactions, to another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Guarantor or the Company, as the case may be, is the surviving Person;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Person formed by or surviving any such consolidation or merger (if other than the Parent Guarantor or the Company,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Person formed by or surviving any such consolidation or merger (if other than the Parent Guarantor or the Company, as the case may be) or the Person to which such sale, assignment, transfer, conveyance or other disposition has been made assumes all the obligations of the Parent Guarantor or the Company, as the case may be, under the Notes and this Indenture pursuant to a supplemental indenture or other documents and agreements reasonably satisfactory to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immediately after such transaction, no Default or Event of Default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neither the Parent Guarantor nor the Company will, directly or indirectly, lease all or substantially all of its and its respective Subsidiaries’ properties or assets taken as a whole, in one or more related transactions,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5.01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merger of the Parent Guarantor or the Company, as the case may be, with an Affiliate solely for the purpose of reforming the Parent Guarantor or the Company, as the case may be, in another jurisdiction or forming a direct or indirect holding company of the Company that is a Wholly Owned Subsidiary of the Parent Guarantor;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sale, transfer, assignment, conveyance, lease or other disposition of assets between or among the Parent Guarantor, the Company and their respective Subsidiaries, including by way of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caps w:val="false"/>
          <w:smallCaps w:val="false"/>
          <w:sz w:val="20"/>
        </w:rPr>
        <w:t>Successor Entity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any consolidation or merger, or any sale, assignment, transfer, lease, conveyance or other disposition of all or substantially all of the properties or assets of the Parent Guarantor, the Company and their respective Subsidiaries taken as a whole in a transaction that is subject to, and that complies with the provisions of, Section 5.01 hereof, the successor Person formed by such consolidation or into or with which the Parent Guarantor or the Company, as the case may be, is merged or to which such sale, assignment, transfer, conveyance or other disposition is made shall succeed to, and be substituted for (so that from and after the date of such consolidation, merger, sale, assignment, transfer, conveyance or other disposition, the provisions of this Indenture referring to the “Company” shall refer instead to the successor Person and not to the Company or, as the case may be, the provisions of this Indenture referring to the “Parent Guarantor” shall refer instead to the successor Person and not to the Parent Guarantor), and may exercise every right and power of the Parent Guarantor or the Company, as the case may be, under this Indenture with the same effect as if such successor Person had been named as the Parent Guarantor or the Company, as the case may be, herein;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predecessor Company shall not be relieved from the obligation to pay the principal of, premium, if any, and interest on, the Notes and that the predecessor Parent Guarantor shall not be relieved from its obligations under its Guarantee except in the case of a sale of all of the Company’s or the Parent Guarantors assets, as the case may be, in a transaction that is subject to, and that complies with the provisions of, Section 5.01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b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Notes, Article 6 hereof provides the terms of defaults and remedies. For purposes of any Additional Securities issued under this Indenture, the Supplemental Indenture in respect of such Additional Securities will specify the terms of defaults and remedies for such Additional Securities, which may include some, all or none of the terms contained in this Article 6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 is an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default for 30 days in the payment when due of interest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default in the payment when due of the principal of, or premium, if any,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failure by the Company or any Guarantor for 60 days (or, in the case of any failure to comply with Section 4.03 of this Indenture, 120 days) after written notice to the Company given by the Trustee or the Holders of at least 30% in aggregate principal amount of the Notes that are then outstanding, to comply with any of the agreements in this Indenture (other than a default referred to in clause (1) or (2) of this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Issue Date, if that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caused by a failure to pay principal of, or interest or premium, if any, on such Indebtedness prior to the expiration of the grace period provided in such Indebtedness on the date of such default (a “</w:t>
      </w:r>
      <w:r>
        <w:rPr>
          <w:rFonts w:ascii="Times New Roman;Times;Serif" w:hAnsi="Times New Roman;Times;Serif"/>
          <w:b w:val="false"/>
          <w:i/>
          <w:caps w:val="false"/>
          <w:smallCaps w:val="false"/>
          <w:sz w:val="20"/>
        </w:rPr>
        <w:t>Payment Default”</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results in the acceleration of such Indebtedness prior to its express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in each case, the principal amount of any such Indebtedness, together with the principal amount of any other such Indebtedness under which there has been a Payment Default or the maturity of which has been so accelerated, exceeds the greater of (i) 1.5% of Total Assets and (ii) $150.0 million;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(4) shall not apply (i) to secured Indebtedness that becomes due as a result of the voluntary sale or transfer of the property or assets securing such Indebtedness to a Person that is not an Affiliate of the Company and (ii) to the extent constituting Indebtedness, to any indemnification, guarantee or other credit support obligations of the Company or any of the Guarantors in connection with any Tax Equity Financing entered into by a non-Subsidiary Guarantor;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except as permitted by this Indenture, any Guarantee of the Notes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Guarantee(s)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Company or any of the Guarantors that, if a Subsidiary of the Company, would constitute a Significant Subsidiary or any group of Guarantors that, if Subsidiaries of the Company, taken together, would constitute a Significant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commences a 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consents to the entry of an order for relief against it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consents to the appointment of a custodian of it or for all or substantially all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makes a general assignment for the benefit of its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generally is not paying its debts as they become due;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 court of competent jurisdiction enters an order or decree under any Bankruptcy Law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for relief against the Company or any Guarantor that, if a Subsidiary of the Company, would constitute a Significant Subsidiary or any group of Guarantors that, if Subsidiaries of the Company, taken together, would constitute a Significant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appoints a custodian of the Company or any Guarantor that, if a Subsidiary of the Company, would constitute a Significant Subsidiary or any group of Guarantors that, if Subsidiaries of the Company, taken together, would constitute a Significant Subsidiary for all or substantially all of the property of the Company or any such Guarantor;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orders the liquidation of the Company or any Guarantor that, if a Subsidiary of the Company, would constitute a Significant Subsidiary or any group of Guarantors that, if Subsidiaries of the Company, taken together, would constitute a Significant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order or decree remains unstayed and in effect for 60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caps w:val="false"/>
          <w:smallCaps w:val="false"/>
          <w:sz w:val="20"/>
        </w:rPr>
        <w:t>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Event of Default specified in clause (6) or (7) of Section 6.01 hereof, with respect to the Company, or any Guarantor of the Company that, if a Subsidiary of the Company, would constitute a Significant Subsidiary or any group of Guarantors of the Company that, if Subsidiaries of the Company, taken together, would constitute a Significant Subsidiary, all outstanding Notes will become due and payable immediately without further action or notice. If any other Event of Default occurs and is continuing, the Trustee or the Holders of at least 30% in aggregate principal amount of the then outstanding Notes may declare all the Notes to be due and payable immediately. Upon any such declaration, the Notes shall become due and payable immediately.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caps w:val="false"/>
          <w:smallCaps w:val="false"/>
          <w:sz w:val="20"/>
        </w:rPr>
        <w:t>Other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and is continuing, the Trustee may pursue any available remedy to collect the payment of principal of, premium, if any, or interest on, the Notes or to enforce the performance of any provision of the Notes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caps w:val="false"/>
          <w:smallCaps w:val="false"/>
          <w:sz w:val="20"/>
        </w:rPr>
        <w:t>Waiver of Past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the principal of, premium, if any, or interest on, the Notes (including in connection with an offer to purchase);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Holders of a majority in aggregate principal amount of the then outstanding Notes may, by written notice to the Trustee,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caps w:val="false"/>
          <w:smallCaps w:val="false"/>
          <w:sz w:val="20"/>
        </w:rPr>
        <w:t>Control by Majority.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Holders of a majority in principal amount of the Notes that are then outstanding may direct the time, method and place of conducting any proceeding for exercising any remedy available to the Trustee in its exercise of any trust or power. However, the Trustee may refuse to follow any direction that conflicts with law or this Indenture that the Trustee determines may be unduly prejudicial to the rights of other Holders of Securities or that may involve the Trustee in personal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caps w:val="false"/>
          <w:smallCaps w:val="false"/>
          <w:sz w:val="20"/>
        </w:rPr>
        <w:t>Limitation 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 Note may pursue any remedy with respect to this Indenture or the Notes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Holder has previously given the Trustee written notice that an Event of Default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Holders of at least 30% in aggregate principal amount of the outstanding Notes make a written request to the Trustee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Holders have offered the Trustee security or indemnity reasonably satisfactory to the Trustee against any loss, liability or expense;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has not complied with such request within 60 days after receipt of the request and the offer of security or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Holders of a majority in aggregate principal amount of the outstanding Notes have not given the Trustee a direction inconsistent with such request within such 60-day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Note may not use this Indenture to prejudice the rights of another Holder of a Note or to obtain a preference or priority over another Holder of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caps w:val="false"/>
          <w:smallCaps w:val="false"/>
          <w:sz w:val="20"/>
        </w:rPr>
        <w:t>Rights of Holders of Notes to Receive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the right of any Holder of a Note to receive payment of principal of, premium,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caps w:val="false"/>
          <w:smallCaps w:val="false"/>
          <w:sz w:val="20"/>
        </w:rPr>
        <w:t>Collection Suit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specified in Section 6.01(1) or (2) hereof occurs and is continuing, the Trustee is authorized to recover judgment in its own name and as trustee of an express trust against the Company for the whole amount of principal of, premium, if any, and interest on,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caps w:val="false"/>
          <w:smallCaps w:val="false"/>
          <w:sz w:val="20"/>
        </w:rPr>
        <w:t>Trustee May File Proofs of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to the Trustee under this Indenture, including without limitation, under Section 7.07 hereof. To the extent that the payment of any such compensation, expenses, disbursements and advances of the Trustee, its agents and counsel, and any other amounts due to the Trustee under this Indenture, including without limitation,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caps w:val="false"/>
          <w:smallCaps w:val="false"/>
          <w:sz w:val="20"/>
        </w:rPr>
        <w:t>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collects any money pursuant to this Article 6, it shall pay out the money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the Trustee, its agents and attorneys for amounts due under Section 7.07 hereof, including payment of all compensation, expenses and liabilities incurred, and all advances made, by the Trustee and the costs and expenses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Holders of Notes for amounts due and unpaid on the Notes for principal, premium, if any, and interest, ratably, without preference or priority of any kind, according to the amounts due and payable on the Notes for principal, premium, if any, and interest, respectively;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Company or to such party as a court of competent jurisdiction shall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of Notes pursuant to this Section 6.10.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caps w:val="false"/>
          <w:smallCaps w:val="false"/>
          <w:sz w:val="20"/>
        </w:rPr>
        <w:t>Undertaking for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b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caps w:val="false"/>
          <w:smallCaps w:val="false"/>
          <w:sz w:val="20"/>
        </w:rPr>
        <w:t>Duties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with respect to any Series of Securities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liabilities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paragraph does not limit the effect of paragraph (b) of this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will not be liable for any error of judgment made in good faith by a Responsible Officer, unless it is proved that the Trustee was negligent in ascertaining the pertinent facts;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will not be liable with respect to any action taken, suffered or omitted to be taken in respect of the Notes in accordance with a direction received by it pursuant to Section 6.05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every provision of this Indenture that in any way relates to the Trustee is subject to paragraphs (a), (b), and (c) of this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provision of this Indenture will require the Trustee to expend or risk its own funds or incur any liability. The Trustee will be under no obligation to exercise any of its rights or powers under this Indenture at the request of any Holders, unless such Holder has offered to the Trustee security and indemnity satisfactory to it against any loss,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will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Paying Agent and the Registrar shall be entitled to the same protections, immunities and standard of care as are set forth in paragraphs (a), (b) and (c) of this section with respect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caps w:val="false"/>
          <w:smallCaps w:val="false"/>
          <w:sz w:val="20"/>
        </w:rPr>
        <w:t>Rights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upon any document believed by it to be genuine and to have been signed or presented by the proper Person. The Trustee need not investigate any fact or matter stated in the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The Trustee will not be liable for any action it takes or omits to take in good faith in reliance on such Officers’ Certificate.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and will not be responsible for the misconduct or negligence of any agent appointed with due care. No Depositary shall be deemed to be an attorney or agent of the Trustee and the Trustee shall not be responsible for any action or omission by any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will not be liable for any action it takes or omits to take in good faith that it believes to be authorized or within the rights or powers conferred upon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specifically provided in this Indenture, any demand, request, direction or notice from the Company will be sufficient if signed by an Officer of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will be under no obligation to exercise any of the rights or powers under this Indenture at the request or direction of any of the Holders unless such Holders have offered to the Trustee reasonable indemnity or security satisfactory to the Trustee against any loss,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deemed to have notice of any Default or Event of Default unless a Responsible Officer of the Trustee has received written notice thereof at the Corporate Trust Office of the Trustee, and such notice references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 of the Trustee to perform any discretionary act enumerated in this Indenture or any related document shall not be construed as a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rights, privileges, protections, immunities and benefits given to the Trustee hereunder, including, without limitation, its right to be indemnified, are extended to, and shall be enforceable by, the Trustee in each of its capacities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caps w:val="false"/>
          <w:smallCaps w:val="false"/>
          <w:sz w:val="20"/>
        </w:rPr>
        <w:t>Individual Rights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Notes and may otherwise deal with the Company or any Affiliate of the Company with the same rights it would have if it were not the Trustee. However, in the event that the Trustee acquires any conflicting interest it must eliminate such conflict within 90 days or resign. Any Agent may do the same with like rights and duties. The Trustee is also subject to Section 7.10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caps w:val="false"/>
          <w:smallCaps w:val="false"/>
          <w:sz w:val="20"/>
        </w:rPr>
        <w:t>Trustee’s 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caps w:val="false"/>
          <w:smallCaps w:val="false"/>
          <w:sz w:val="20"/>
        </w:rPr>
        <w:t>Notice of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with respect to any Series of Securities occurs and is continuing and if it is known to a Responsible Officer of the Trustee, the Trustee will mail to Holders of such Securities a notice of the Default or Event of Default within 90 days after it occurs or, if later, after a Responsible Officer has knowledge of any Default or Event of Default. Except in the case of a Default or Event of Default in payment of principal of, premium, if any, or interest on, any Security, the Trustee may withhold the notice if and so long as a committee of its Responsible Officers in good faith determines that withholding the notice is in the interests of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w:t>
      </w:r>
      <w:r>
        <w:rPr>
          <w:rFonts w:ascii="Times New Roman;Times;Serif" w:hAnsi="Times New Roman;Times;Serif"/>
          <w:b w:val="false"/>
          <w:i/>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w:t>
      </w:r>
      <w:r>
        <w:rPr>
          <w:rFonts w:ascii="Times New Roman;Times;Serif" w:hAnsi="Times New Roman;Times;Serif"/>
          <w:b w:val="false"/>
          <w:i/>
          <w:caps w:val="false"/>
          <w:smallCaps w:val="false"/>
          <w:sz w:val="20"/>
        </w:rPr>
        <w:t>Compensation and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Guarantors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gross negligence, bad faith or willful misconduct.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obligations of the Company and the Guarantors under this Section 7.07 will survive the satisfaction and discharge of this Indenture.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secure the Company’s and the Guarantors’ payment obligations in this Section 7.07, the Trustee will have a Lien prior to the Securities on all money or property held or collected by the Trustee, except that held in trust to pay principal of, premium, if any, or interest on, particular Securities. Such Lien will survive the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When the Trustee incurs expenses or renders services after an Event of Default specified in clause (6) or (7) of Section 6.01 hereof occurs, the expenses and the compensation for the services (including the fees and expenses of its agents and counsel) are intended to constitute expenses of administration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Company’s and Guarantors’ obligations under this Section 7.07 shall survive the resignation or removal of the Trustee, any termination of this Indenture, including any termination or rejection of this Indenture in any insolvency or similar proceeding and the repayment of all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w:t>
      </w:r>
      <w:r>
        <w:rPr>
          <w:rFonts w:ascii="Times New Roman;Times;Serif" w:hAnsi="Times New Roman;Times;Serif"/>
          <w:b w:val="false"/>
          <w:i/>
          <w:caps w:val="false"/>
          <w:smallCaps w:val="false"/>
          <w:sz w:val="20"/>
        </w:rPr>
        <w:t>Replacement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resignation or removal of the Trustee and appointment of a successor Trustee will become effective only upon the successor Trustee’s acceptance of appointment as provided in this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resign in writing at any time and be discharged from the trust hereby created by so notifying the Company. The Holders of a majority in aggregate principal amount of the then outstanding Securities may remove the Trustee by so notifying the Trustee and the Company in writing at least 30 days prior to the effectiveness of such removal. The Company may remove the Trustee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fails to comply with Section 7.10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is adjudged a bankrupt or an insolvent or an order for relief is entered with respect to the Trustee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custodian or public officer takes charge of the Trustee or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successor Trustee does not take office within 60 days after the retiring Trustee resigns or is removed, the retiring Trustee, the Company, or the Holders of at least 10% in aggregate principal amount of the then outstanding Securities may petition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w:t>
      </w:r>
      <w:r>
        <w:rPr>
          <w:rFonts w:ascii="Times New Roman;Times;Serif" w:hAnsi="Times New Roman;Times;Serif"/>
          <w:b w:val="false"/>
          <w:i/>
          <w:caps w:val="false"/>
          <w:smallCaps w:val="false"/>
          <w:sz w:val="20"/>
        </w:rPr>
        <w:t>Successor Trustee by Merger,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merges or converts into, or transfers all or substantially all of its corporate trust business to, another corporation, the successor corporation without any further act will be the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caps w:val="false"/>
          <w:smallCaps w:val="false"/>
          <w:sz w:val="20"/>
        </w:rPr>
        <w:t>Eligibility; Disqualification.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br/>
        <w:t>LEGAL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Notes, Article 8 hereof provides the terms upon which legal defeasance and covenant defeasance can occur. For purposes of any Additional Securities issued under this Indenture, the Supplemental Indenture in respect of such Additional Securities will specify the terms upon which legal defeasance and covenant defeasance can occur for such Additional Securities, which may include some, all or none of the terms contained in this Article 8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caps w:val="false"/>
          <w:smallCaps w:val="false"/>
          <w:sz w:val="20"/>
        </w:rPr>
        <w:t>Option to Effect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as evidenced by an Officers’ Certificate, elect to have either Section 8.02 or 8.03 hereof be applied to all outstanding Notes upon compliance with the conditions set forth below in this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caps w:val="false"/>
          <w:smallCaps w:val="false"/>
          <w:sz w:val="20"/>
        </w:rPr>
        <w:t>Legal Defeasance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exercise under Section 8.01 hereof of the option applicable to this Section 8.02, the Company and each of the Guarantors shall, subject to the satisfaction of the conditions set forth in Section 8.04 hereof, be deemed to have been discharged from their obligations with respect to all outstanding Notes (including the Guarantees) on the date the conditions set forth in Section 8.04 hereof are satisfied (hereinafter, “</w:t>
      </w: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For this purpose, Legal Defeasance means that the Company and the Guarantors shall be deemed to have paid and discharged the entire Indebtedness represented by the outstanding Notes (including the Guarantees), which will thereafter be deemed to be “outstanding” only for the purposes of Section 8.05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rights of Holders of outstanding Notes to receive payments in respect of the principal of, premium, if any, or interest on such Notes when such payments are due from the trust referred to in Section 8.04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Company’s obligations with respect to such Notes under Article 2 and Section 4.02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rights, powers, trusts, duties, indemnities and immunities of the Trustee hereunder and the Company’s and the Guarantors’ obligations in connection therewith;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this Article 8, the Company may exercise its option under this Section 8.02 notwithstanding the prior exercise of its option under Section 8.03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caps w:val="false"/>
          <w:smallCaps w:val="false"/>
          <w:sz w:val="20"/>
        </w:rPr>
        <w:t>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exercise under Section 8.01 hereof of the option applicable to this Section 8.03, the Company and the Guarantors shall, subject to the satisfaction of the conditions set forth in Section 8.04 hereof, be released from each of their obligations under Sections 4.03, 4.04, 4.05, 4.07, 4.08, 4.09, 4.10 and 4.11 hereof with respect to the outstanding Notes on and after the date the conditions set forth in Section 8.04 hereof are satisfied (hereinafter,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Guarantees shall be unaffected thereby. In addition, upon the Company’s exercise under Section 8.01 hereof of the option applicable to this Section 8.03, subject to the satisfaction of the conditions set forth in Section 8.04 hereof, Sections 6.01(3) and (4) hereof shall not constitute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caps w:val="false"/>
          <w:smallCaps w:val="false"/>
          <w:sz w:val="20"/>
        </w:rPr>
        <w:t>Conditions to Legal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either Legal Defeasance or Covenant Defeasance under either Section 8.02 or 8.03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an election under Section 8.02 hereof, the Company must deliver to the Trustee an Opinion of Counsel reasonably acceptable to the Trustee confirming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received from, or there has been published by, the Internal Revenue Service a ruling;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date of this Indenture, there has been a change in the applicable federal income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its Subsidiaries or the Parent Guarantor is a party or by which the Company or any of its Subsidiaries or the Parent Guarantor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Company must deliver to the Trustee an Officers’ Certificate and an Opinion of Counsel, each stating that all conditions precedent relating to the Legal Defeasance or the Covenant Defeasance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caps w:val="false"/>
          <w:smallCaps w:val="false"/>
          <w:sz w:val="20"/>
        </w:rPr>
        <w:t>Deposited Money and Government Securities to be Held in Trust; Other 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8.06 hereof, all money and non-callable Government Securities (including the proceeds thereof) deposited with the Trustee (or other qualifying trustee, collectively for purposes of this Section 8.05,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Article 8 to the contrary,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w:t>
      </w:r>
      <w:r>
        <w:rPr>
          <w:rFonts w:ascii="Times New Roman;Times;Serif" w:hAnsi="Times New Roman;Times;Serif"/>
          <w:b w:val="false"/>
          <w:i/>
          <w:caps w:val="false"/>
          <w:smallCaps w:val="false"/>
          <w:sz w:val="20"/>
        </w:rPr>
        <w:t>Repayment to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written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shall be repaid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w:t>
      </w:r>
      <w:r>
        <w:rPr>
          <w:rFonts w:ascii="Times New Roman;Times;Serif" w:hAnsi="Times New Roman;Times;Serif"/>
          <w:b w:val="false"/>
          <w:i/>
          <w:caps w:val="false"/>
          <w:smallCaps w:val="false"/>
          <w:sz w:val="20"/>
        </w:rPr>
        <w:t>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9</w:t>
        <w:br/>
        <w:t>AMENDMENT, SUPPLEMENT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caps w:val="false"/>
          <w:smallCaps w:val="false"/>
          <w:sz w:val="20"/>
        </w:rPr>
        <w:t>Without Consent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9.02 of this Indenture, without the consent of any Holder of Securities, the Company, the Guarantors and the Trustee may amend or supplement this Indenture, the Securities or the Subsidiary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cure any ambiguity, mistake, defect or inconsistency;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provide for uncertificated Securities in addition to or in place of certificated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uncertificated Securities are issued in registered form for purposes of Section 163(f)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provide for the assumption of the Parent Guarantor’s or the Company’s Obligations to Holders of Securities in the case of a merger or consolidation or sale of all or substantially all of the Parent Guarantor’s or the Company’s assets,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make any change that would provide any additional rights or benefits to the Holders of the Securities or that does not adversely affect the legal rights under this Indenture of any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conform the text of this Indenture or the Notes to any provision of the “Description of the Notes” section of the Offering Memorandum, relating to the initial offering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evidence and provide for the acceptance and appointment under this Indenture of a successor trustee pursuant to the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provide for the issuance of Additional Notes and Additional Securities in accordance with the limitations set forth in this Indenture as of the date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to allow any Guarantor to execute a supplemental indenture and/or a Subsidiary Guarantee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a Board Resolution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caps w:val="false"/>
          <w:smallCaps w:val="false"/>
          <w:sz w:val="20"/>
        </w:rPr>
        <w:t>With Consent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below in this Section 9.02, the Company and the Trustee may amend or supplement this Indenture (including, without limitation, Section 4.09 hereof), the Notes and the Guarantees with the consent of the Holders of at least a majority in aggregate principal amount of the then outstanding Securities of each Series of Securities affected thereby (including, without limitation, consents obtained in connection with a tender offer or exchange offer for, or purchase of, any Series of Securities), and, subject to Sections 6.04 and 6.07 hereof, any existing Default or Event of Default (other than a Default or Event of Default in the payment of the principal of, premium, if any, or interest on, any Securities, except a payment default resulting from an acceleration that has been rescinded) or compliance with any provision of this Indenture, the Notes or the Guarantees may be waived with the consent of the Holders of a majority in aggregate principal amount of the then outstanding Securities of each Series of Securities affected thereby (including, without limitation, consents obtained in connection with a tender offer or exchange offer for, or purchase of, any Series of Securities). Section 2.09 hereof shall determine which Securities are considered to be “outstanding” for purposes of this Section 9.02.</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a Board Resolution and upon the filing with the Trustee of evidence satisfactory to the Trustee of the consent of the Holders of Securities as aforesaid, and upon receipt by the Trustee of an Officers’ Certificate and Opinion of Counsel, the Trustee shall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necessary for the consent of the Holders of Securities under this Section 9.02 to approve the particular form of any proposed amendment, supplement or waiver, but it is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Company shall mail or deliver electronically to the Holders of Securities affected thereby a notice briefly describing the amendment, supplement or waiver. Any failure of the Company to mail or deliver such notice, or any defect therein, will not, however, in any way impair or affect the validity of any such amended or supplemental indenture or waiver. Subject to Sections 6.04 and 6.07 hereof, the Holders of a majority in aggregate principal amount of the Securities of any particular Series then outstanding voting as a single class may waive compliance in a particular instance by the Company with any provision of this Indenture, the Securities or the Guarantees. However, without the consent of each Holder of any Security affected, an amendment, supplement or waiver under this Section 9.02 may not (with respect to any Security held by a non-consenting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 the principal amount of Securities whose Holders must consent to an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reduce the principal of or change the fixed maturity of any Security or alter the provisions with respect to the redemption of the Securities (other than provisions relating to the covenants described in Section 4.09 hereof and provisions relating to the number of days’ notice to be given in case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 the rate of or change the time for payment of interest on any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waive a Default or Event of Default in the payment of principal of, premium, if any, or interest on, any Security (except a rescission of acceleration of any Series of Securities by the Holders of at least a majority in aggregate principal amount of the then outstanding Securities of such Series and a waiver of the payment default that resulted from such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make any Security payable in currency other than that stated in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make any change in the provisions of this Indenture relating to waivers of past Defaults or the rights of Holders of Securities to receive payments of principal of, premium, if any, or, interest on,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waive a redemption payment with respect to any Security (other than a payment required by Sections 4.09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make any change in the preceding amendment and waiver provisions.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caps w:val="false"/>
          <w:smallCaps w:val="false"/>
          <w:sz w:val="20"/>
        </w:rPr>
        <w:t>Revocation and Effect of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caps w:val="false"/>
          <w:smallCaps w:val="false"/>
          <w:sz w:val="20"/>
        </w:rPr>
        <w:t>Notation on or Exchange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place an appropriate notation about an amendment, supplement or waiver on any Security thereafter authenticated. The Company in exchange for all Securities may issue and the Trustee shall, upon receipt of an Authentication Order, authenticate new Securities that reflect the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make the appropriate notation or issue a new Security will not affect the validity and effect of such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caps w:val="false"/>
          <w:smallCaps w:val="false"/>
          <w:sz w:val="20"/>
        </w:rPr>
        <w:t>Trustee to Sign Amendments,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 Section 7.01 hereof) will be fully protected in relying upon an Officers’ Certificate and an Opinion of Counsel stating that the execution of such amended or supplemental indenture is authorized or permitted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10</w:t>
        <w:br/>
        <w:t>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Notes, Article 10 hereof provides the terms of the Guarantees of the Notes. For purposes of any Additional Securities issued under this Indenture, the Supplemental Indenture in respect of such Additional Securities will specify the terms of guarantees for such Additional Securities, which may include some, all or none of the terms contained in this Article 10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caps w:val="false"/>
          <w:smallCaps w:val="false"/>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this Article 10, each of the Guarantors hereby, jointly and severally, fully and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principal of, premium, if any, and interest on, the Notes shall be promptly paid in full when due, whether at maturity, by acceleration, redemption or otherwise, and interest on the overdue principal of, premium, if any, and interest on, the Notes, if lawful, and all other obligations of the Company to the Holders or the Trustee hereunder or thereunder shall be promptly paid in full or performed, all in accordance with the terms hereof and thereof;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Guarantors hereby agree that their obligations hereunder are full and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caps w:val="false"/>
          <w:smallCaps w:val="false"/>
          <w:sz w:val="20"/>
        </w:rPr>
        <w:t>Limitation on Guarantor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caps w:val="false"/>
          <w:smallCaps w:val="false"/>
          <w:sz w:val="20"/>
        </w:rPr>
        <w:t>Execution and Delivery of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hereby agrees that its Guarantee set forth in Section 10.01 hereof will remain in full force and effect notwithstanding any failure to endorse on each Note a notation of such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this Indenture or on the Guarantee no longer holds that office at the time the Trustee authenticates the Note on which a Guarantee is endorsed, the Guarantee will be valid nevertheless.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delivery of any Note by the Trustee, after the authentication thereof hereunder, will constitute due delivery of the Guarantee set forth in this Indenture on behalf of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caps w:val="false"/>
          <w:smallCaps w:val="false"/>
          <w:sz w:val="20"/>
        </w:rPr>
        <w:t>Releases.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Subsidiary Guarantee of a Subsidiary Guarantor shall be released automatically: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connection with any sale or other disposition of all or substantially all of the assets of that Subsidiary Guarantor (including by way of merger or consolidation) to a Person that is not (either before or after giving effect to such transaction) the Company or a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connection with any sale or other disposition of Capital Stock of that Subsidiary Guarantor to a Person that is not (either before or after giving effect to such transaction) the Company or a Subsidiary of the Company, if following such sale or other disposition, that Subsidiary Guarantor is no longer a direct or indirect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upon repayment in full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upon defeasance or satisfaction and discharge of the Notes as provided in Sections 8.01, 8.02, 8.03, 8.04 and 11.01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upon a dissolution of a Subsidiary Guarantor that is permitted under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otherwise with respect to the Guarantee of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prior consent of Holders of at least a majority in aggregate principal amount of the Notes then outstanding;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has Indebtedness outstanding under the Credit Agreement at that time, upon the consent of the requisite lenders under the Credit Agreement to the release of such Subsidiary Guarantor’s Guarantee of all Obligations under the Credit Agreement, or, if there is no Indebtedness of the Company outstanding under the Credit Agreement at that time, upon the requisite consent of the Holders of all other Material Indebtedness of the Company that is guaranteed by such Subsidiary Guarantor at that time outstanding to the release of such Subsidiary Guarantor’s Guarantee of all Obligations with respect to all such other Material Indebtedness that is guaranteed by such Subsidiary Guarantor at that time outstanding;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has Indebtedness outstanding under the Credit Agreement at that time, upon the release of such Subsidiary Guarantor’s Guarantee of all Obligations of the Company under the Credit Agreement, or, if there is no Indebtedness of the Company outstanding under the Credit Agreement at that time, upon the release of such Subsidiary Guarantor’s Guarantee of all Obligations with respect to all other Material Indebtedness of the Company at that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Guarantee of a Guarantor shall be released with respect to the Notes automatically upon Legal Defeasance, Covenant Defeasance or satisfaction and discharge of this Indenture pursuant to Articles 8 and 11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delivery by the Company to the Trustee of an Officers’ Certificate and an Opinion of Counsel to the effect that the action or event giving rise to the applicable release has occurred or was made by the Company in accordance with the provisions of this Indenture the Trustee shall execute any documents reasonably required in order to evidence the release of any Guarantor from its obligations under its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Guarantor not released from its obligations under its Guarantee as provided in this Section 10.05 will remain liable for the full amount of principal of, premium, if any, and interest on, the Notes and for the other obligations of any Guarantor under this Indenture as provided in this Article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11</w:t>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Notes, Article 11 hereof provides the terms upon which satisfaction and discharge can occur. For purposes of any Additional Securities issued under this Indenture, the Supplemental Indenture in respect of such Additional Securities will specify the terms upon which satisfaction and discharge can occur for such Additional Securities, which may include some, all or none of the terms contained in this Article 11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caps w:val="false"/>
          <w:smallCaps w:val="false"/>
          <w:sz w:val="20"/>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will be discharged and will cease to be of further effect as to all Notes issued hereunder,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Notes that have been authenticated, except lost, stolen or destroyed Notes that have been replaced or paid and Notes for whose payment money has been deposited in trust and thereafter repaid to the Company, have been delivered to the Trustee for such Notes for cancellation;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Notes that have not been delivered to the Trustee for cancellation have become due and payable by reason of the distribution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respect of subclause (b) of clause (1) of this Section 11.01, 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or any Guarantor has paid or caused to be paid all sums payable by it under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has delivered irrevocable instructions to the Trustee under this Indenture to apply the deposited money toward the payment of the Notes at maturity or on the redemption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must deliver an Officers’ Certificate and an Opinion of Counsel to the Trustee stating that all conditions precedent to satisfaction and discharge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if money has been deposited with the Trustee pursuant to subclause (b) of clause (1) of this Section 11.01, the provisions of Sections 11.02 and 8.06 hereof will survive. In addition, nothing in this Section 11.01 will be deemed to discharge those provisions of Section 7.07 hereof, that, by their terms, survive the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caps w:val="false"/>
          <w:smallCaps w:val="false"/>
          <w:sz w:val="20"/>
        </w:rPr>
        <w:t>Application of Trust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8.06 hereof, all money deposited with the Trustee pursuant to Section 11.01 hereof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Securities shall be revived and reinstated as though no deposit had occurred pursuant to Section 11.01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Securities held by the Trustee or Paying Agent.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12</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w:t>
      </w:r>
      <w:r>
        <w:rPr>
          <w:rFonts w:ascii="Times New Roman;Times;Serif" w:hAnsi="Times New Roman;Times;Serif"/>
          <w:b w:val="false"/>
          <w:i/>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          </w:t>
      </w:r>
      <w:r>
        <w:rPr>
          <w:rFonts w:ascii="Times New Roman;Times;Serif" w:hAnsi="Times New Roman;Times;Serif"/>
          <w:b w:val="false"/>
          <w:i/>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Company, any Guarantor or the Trustee to the others is duly given if in writing and delivered in Person or mailed by first class mail (registered or certified, return receipt requested), email, telecopier or overnight air courier guaranteeing next day delivery, to the others’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and/or any Guarantor: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Operating 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Clearway Energy,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Carnegie Center Drive, Suite 300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New Jersey 08540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ogc@clearwayenergy.com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Botts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Ross Ave., Suite 900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75201</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Preston Bernhisel</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preston.bernhisel@bakerbotts.com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CSC Delaware Trust Company</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 Little Falls Drive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Delaware 19808</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Telecopier No.: (302) 636-8666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Trust Department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Lici.Zhu@cscglobal.com; Jordan.Gardner@cscglobal.com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any Guarantor or the Trustee, by notice to the others,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email or telecopier; and the next Business Day after timely delivery to the courier, if sent by overnight air courier guaranteeing next day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in the manner provided above within the time prescribed,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mails (or deliver electronically) a notice or communication to Holders, it will mail (or deliver electronically) a copy to the Trustee and each Agent at the same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          </w:t>
      </w:r>
      <w:r>
        <w:rPr>
          <w:rFonts w:ascii="Times New Roman;Times;Serif" w:hAnsi="Times New Roman;Times;Serif"/>
          <w:b w:val="false"/>
          <w:i/>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          </w:t>
      </w:r>
      <w:r>
        <w:rPr>
          <w:rFonts w:ascii="Times New Roman;Times;Serif" w:hAnsi="Times New Roman;Times;Serif"/>
          <w:b w:val="false"/>
          <w:i/>
          <w:caps w:val="false"/>
          <w:smallCaps w:val="false"/>
          <w:sz w:val="20"/>
        </w:rPr>
        <w:t>Certificate and Opinion as to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 Officers’ Certificate in form and substance reasonably satisfactory to the Trustee (which must include the statements set forth in Section 12.05 hereof) stating that, in the opinion of the signers, all conditions precedent and covenants, if any, provided for in this Indenture relating to the proposed action have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Opinion of Counsel in form and substance reasonably satisfactory to the Trustee (which must include the statements set forth in Section 12.05 hereof) stating that, in the opinion of such counsel, all such conditions precedent and covenants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          </w:t>
      </w:r>
      <w:r>
        <w:rPr>
          <w:rFonts w:ascii="Times New Roman;Times;Serif" w:hAnsi="Times New Roman;Times;Serif"/>
          <w:b w:val="false"/>
          <w:i/>
          <w:caps w:val="false"/>
          <w:smallCaps w:val="false"/>
          <w:sz w:val="20"/>
        </w:rPr>
        <w:t>Statements Required in Certificate 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must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statement that the Person making such certificate or opinion has read such covenant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statement that, in the opinion of such Person, he or she has made such examination or investigation as is necessary to enable him or her to express an informed opinion as to whether or not such covenant or condition has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statement as to whether or not, in the opinion of such Person, such condition or covenant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12.06          </w:t>
      </w:r>
      <w:r>
        <w:rPr>
          <w:rFonts w:ascii="Times New Roman;Times;Serif" w:hAnsi="Times New Roman;Times;Serif"/>
          <w:b w:val="false"/>
          <w:i/>
          <w:caps w:val="false"/>
          <w:smallCaps w:val="false"/>
          <w:sz w:val="20"/>
        </w:rPr>
        <w:t>Rules by Trustee and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at a meeting of Holders. The Registrar or Paying Agent may make reasonable rules and set reasonable requirements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12.07          </w:t>
      </w:r>
      <w:r>
        <w:rPr>
          <w:rFonts w:ascii="Times New Roman;Times;Serif" w:hAnsi="Times New Roman;Times;Serif"/>
          <w:b w:val="false"/>
          <w:i/>
          <w:caps w:val="false"/>
          <w:smallCaps w:val="false"/>
          <w:sz w:val="20"/>
        </w:rPr>
        <w:t>No Personal Liability of Directors, Officers, Employees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incorporator, stockholder, member or unitholder of the Company or any Guarantor, as such, will have any liability for any obligations of the Company or the Guarantors under any Securities, this Indenture, the Guarantees, or for any claim based on, in respect of, or by reason of, such obligations or their creation. Each Holder of Securities by accepting any Security waives and releases all such liability. The waiver and release are part of the consideration for issuance of any Securities. The waiver may not be effective to waive liabilities under the federal securities laws.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12.08          </w:t>
      </w:r>
      <w:r>
        <w:rPr>
          <w:rFonts w:ascii="Times New Roman;Times;Serif" w:hAnsi="Times New Roman;Times;Serif"/>
          <w:b w:val="false"/>
          <w:i/>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LAW OF THE STATE OF NEW YORK WILL GOVERN AND BE USED TO CONSTRUE THIS INDENTURE, THE NOTES AND THE GUARANTEES WITHOUT GIVING EFFECT TO APPLICABLE PRINCIPLES OF CONFLICTS OF LAW TO THE EXTENT THAT THE APPLICATION OF THE LAWS OF ANOTHER JURISDICTION WOULD BE REQUIRED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12.09          </w:t>
      </w:r>
      <w:r>
        <w:rPr>
          <w:rFonts w:ascii="Times New Roman;Times;Serif" w:hAnsi="Times New Roman;Times;Serif"/>
          <w:b w:val="false"/>
          <w:i/>
          <w:caps w:val="false"/>
          <w:smallCaps w:val="false"/>
          <w:sz w:val="20"/>
        </w:rPr>
        <w:t>No Adverse Interpretation of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any other indenture, loan or debt agreement of the Company or its Subsidiaries or of any other Person. Any such indenture, loan or debt agreement may not be used to interpret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12.10          </w:t>
      </w:r>
      <w:r>
        <w:rPr>
          <w:rFonts w:ascii="Times New Roman;Times;Serif" w:hAnsi="Times New Roman;Times;Serif"/>
          <w:b w:val="false"/>
          <w:i/>
          <w:caps w:val="false"/>
          <w:smallCaps w:val="false"/>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any Securities will bind its successors. All agreements of the Trustee in this Indenture will bind its successors. All agreements of each Guarantor in this Indenture will bind its successors, except as otherwise provided in Section 10.05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12.11          </w:t>
      </w:r>
      <w:r>
        <w:rPr>
          <w:rFonts w:ascii="Times New Roman;Times;Serif" w:hAnsi="Times New Roman;Times;Serif"/>
          <w:b w:val="false"/>
          <w:i/>
          <w:caps w:val="false"/>
          <w:smallCaps w:val="false"/>
          <w:sz w:val="20"/>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any Securities is invalid, illegal or unenforceable, the validity, legality and enforceability of the remaining provisions will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12.12          </w:t>
      </w:r>
      <w:r>
        <w:rPr>
          <w:rFonts w:ascii="Times New Roman;Times;Serif" w:hAnsi="Times New Roman;Times;Serif"/>
          <w:b w:val="false"/>
          <w:i/>
          <w:caps w:val="false"/>
          <w:smallCaps w:val="false"/>
          <w:sz w:val="20"/>
        </w:rPr>
        <w:t>Counterpart Originals.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sign any number of copies of this Indenture. Each signed copy will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12.13          </w:t>
      </w:r>
      <w:r>
        <w:rPr>
          <w:rFonts w:ascii="Times New Roman;Times;Serif" w:hAnsi="Times New Roman;Times;Serif"/>
          <w:b w:val="false"/>
          <w:i/>
          <w:caps w:val="false"/>
          <w:smallCaps w:val="false"/>
          <w:sz w:val="20"/>
        </w:rPr>
        <w:t>Table of Contents, Headings,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12.14          </w:t>
      </w:r>
      <w:r>
        <w:rPr>
          <w:rFonts w:ascii="Times New Roman;Times;Serif" w:hAnsi="Times New Roman;Times;Serif"/>
          <w:b w:val="false"/>
          <w:i/>
          <w:caps w:val="false"/>
          <w:smallCaps w:val="false"/>
          <w:sz w:val="20"/>
        </w:rPr>
        <w:t>Compliance with Applicable Anti-Terrorism and Anti-Money Laundering Regulations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laws, rules, regulations and executive orders in effect from time to time applicable to banking institutions, including those relating to the funding of terrorist activities and money laundering (“</w:t>
      </w:r>
      <w:r>
        <w:rPr>
          <w:rFonts w:ascii="Times New Roman;Times;Serif" w:hAnsi="Times New Roman;Times;Serif"/>
          <w:b w:val="false"/>
          <w:i/>
          <w:caps w:val="false"/>
          <w:smallCaps w:val="false"/>
          <w:sz w:val="20"/>
        </w:rPr>
        <w:t>Relevant Law”</w:t>
      </w:r>
      <w:r>
        <w:rPr>
          <w:rFonts w:ascii="Times New Roman;Times;Serif" w:hAnsi="Times New Roman;Times;Serif"/>
          <w:b w:val="false"/>
          <w:i w:val="false"/>
          <w:caps w:val="false"/>
          <w:smallCaps w:val="false"/>
          <w:sz w:val="20"/>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12.15          </w:t>
      </w:r>
      <w:r>
        <w:rPr>
          <w:rFonts w:ascii="Times New Roman;Times;Serif" w:hAnsi="Times New Roman;Times;Serif"/>
          <w:b w:val="false"/>
          <w:i/>
          <w:caps w:val="false"/>
          <w:smallCaps w:val="false"/>
          <w:sz w:val="20"/>
        </w:rPr>
        <w:t>Electronic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agrees on behalf of itself, and any Person acting or claiming by, under or through such party, that any written instrument delivered in connection with this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or any Guarantor to the Trustee shall be considered signed or executed by such person on behalf of the Company or such Guarantor, as applicable. Each of the Company and the Guarantors agrees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January 13, 2026</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60"/>
        <w:gridCol w:w="545"/>
        <w:gridCol w:w="4325"/>
      </w:tblGrid>
      <w:tr>
        <w:trPr/>
        <w:tc>
          <w:tcPr>
            <w:tcW w:w="75" w:type="dxa"/>
            <w:tcBorders/>
            <w:vAlign w:val="center"/>
          </w:tcPr>
          <w:p>
            <w:pPr>
              <w:pStyle w:val="TableContents"/>
              <w:bidi w:val="0"/>
              <w:spacing w:before="0" w:after="283"/>
              <w:jc w:val="left"/>
              <w:rPr/>
            </w:pPr>
            <w:r>
              <w:rPr/>
              <w:t> </w:t>
            </w:r>
          </w:p>
        </w:tc>
        <w:tc>
          <w:tcPr>
            <w:tcW w:w="4930" w:type="dxa"/>
            <w:gridSpan w:val="3"/>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CLEARWAY ENERGY OPERATING LLC</w:t>
            </w:r>
          </w:p>
        </w:tc>
      </w:tr>
      <w:tr>
        <w:trPr/>
        <w:tc>
          <w:tcPr>
            <w:tcW w:w="75" w:type="dxa"/>
            <w:tcBorders/>
            <w:vAlign w:val="center"/>
          </w:tcPr>
          <w:p>
            <w:pPr>
              <w:pStyle w:val="TableContents"/>
              <w:bidi w:val="0"/>
              <w:spacing w:before="0" w:after="283"/>
              <w:jc w:val="left"/>
              <w:rPr/>
            </w:pPr>
            <w:r>
              <w:rPr/>
              <w:t> </w:t>
            </w:r>
          </w:p>
        </w:tc>
        <w:tc>
          <w:tcPr>
            <w:tcW w:w="49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Clearway Energy LLC, as sole member</w:t>
            </w:r>
          </w:p>
        </w:tc>
      </w:tr>
      <w:tr>
        <w:trPr/>
        <w:tc>
          <w:tcPr>
            <w:tcW w:w="75" w:type="dxa"/>
            <w:tcBorders/>
            <w:vAlign w:val="center"/>
          </w:tcPr>
          <w:p>
            <w:pPr>
              <w:pStyle w:val="TableContents"/>
              <w:bidi w:val="0"/>
              <w:spacing w:before="0" w:after="283"/>
              <w:jc w:val="left"/>
              <w:rPr/>
            </w:pPr>
            <w:r>
              <w:rPr/>
              <w:t> </w:t>
            </w:r>
          </w:p>
        </w:tc>
        <w:tc>
          <w:tcPr>
            <w:tcW w:w="49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Sarah Rubenstein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Sarah Rubenstein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30" w:type="dxa"/>
            <w:gridSpan w:val="3"/>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CLEARWAY ENERGY LLC</w:t>
            </w:r>
          </w:p>
        </w:tc>
      </w:tr>
      <w:tr>
        <w:trPr/>
        <w:tc>
          <w:tcPr>
            <w:tcW w:w="75" w:type="dxa"/>
            <w:tcBorders/>
            <w:vAlign w:val="center"/>
          </w:tcPr>
          <w:p>
            <w:pPr>
              <w:pStyle w:val="TableContents"/>
              <w:bidi w:val="0"/>
              <w:spacing w:before="0" w:after="283"/>
              <w:jc w:val="left"/>
              <w:rPr/>
            </w:pPr>
            <w:r>
              <w:rPr/>
              <w:t> </w:t>
            </w:r>
          </w:p>
        </w:tc>
        <w:tc>
          <w:tcPr>
            <w:tcW w:w="49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Clearway Energy, Inc., as managing member</w:t>
            </w:r>
          </w:p>
        </w:tc>
      </w:tr>
      <w:tr>
        <w:trPr/>
        <w:tc>
          <w:tcPr>
            <w:tcW w:w="75" w:type="dxa"/>
            <w:tcBorders/>
            <w:vAlign w:val="center"/>
          </w:tcPr>
          <w:p>
            <w:pPr>
              <w:pStyle w:val="TableContents"/>
              <w:bidi w:val="0"/>
              <w:spacing w:before="0" w:after="283"/>
              <w:jc w:val="left"/>
              <w:rPr/>
            </w:pPr>
            <w:r>
              <w:rPr/>
              <w:t> </w:t>
            </w:r>
          </w:p>
        </w:tc>
        <w:tc>
          <w:tcPr>
            <w:tcW w:w="49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Sarah Rubenstein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Sarah Rubenstein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ALTA WIND 1-5 HOLDING COMPANY,</w:t>
            </w:r>
          </w:p>
        </w:tc>
      </w:tr>
      <w:tr>
        <w:trPr/>
        <w:tc>
          <w:tcPr>
            <w:tcW w:w="75" w:type="dxa"/>
            <w:tcBorders/>
            <w:vAlign w:val="center"/>
          </w:tcPr>
          <w:p>
            <w:pPr>
              <w:pStyle w:val="TableContents"/>
              <w:bidi w:val="0"/>
              <w:spacing w:before="0" w:after="283"/>
              <w:jc w:val="left"/>
              <w:rPr/>
            </w:pPr>
            <w:r>
              <w:rPr/>
              <w:t> </w:t>
            </w:r>
          </w:p>
        </w:tc>
        <w:tc>
          <w:tcPr>
            <w:tcW w:w="49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LLC, as Guarantor</w:t>
            </w:r>
          </w:p>
        </w:tc>
      </w:tr>
      <w:tr>
        <w:trPr/>
        <w:tc>
          <w:tcPr>
            <w:tcW w:w="75" w:type="dxa"/>
            <w:tcBorders/>
            <w:vAlign w:val="center"/>
          </w:tcPr>
          <w:p>
            <w:pPr>
              <w:pStyle w:val="TableContents"/>
              <w:bidi w:val="0"/>
              <w:spacing w:before="0" w:after="283"/>
              <w:jc w:val="left"/>
              <w:rPr/>
            </w:pPr>
            <w:r>
              <w:rPr/>
              <w:t> </w:t>
            </w:r>
          </w:p>
        </w:tc>
        <w:tc>
          <w:tcPr>
            <w:tcW w:w="49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Alta Wind Company, LLC, as sole member</w:t>
            </w:r>
          </w:p>
        </w:tc>
      </w:tr>
      <w:tr>
        <w:trPr/>
        <w:tc>
          <w:tcPr>
            <w:tcW w:w="75" w:type="dxa"/>
            <w:tcBorders/>
            <w:vAlign w:val="center"/>
          </w:tcPr>
          <w:p>
            <w:pPr>
              <w:pStyle w:val="TableContents"/>
              <w:bidi w:val="0"/>
              <w:spacing w:before="0" w:after="283"/>
              <w:jc w:val="left"/>
              <w:rPr/>
            </w:pPr>
            <w:r>
              <w:rPr/>
              <w:t> </w:t>
            </w:r>
          </w:p>
        </w:tc>
        <w:tc>
          <w:tcPr>
            <w:tcW w:w="49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Sarah Rubenstein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Sarah Rubenstein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05" w:type="dxa"/>
        <w:jc w:val="left"/>
        <w:tblInd w:w="0" w:type="dxa"/>
        <w:tblLayout w:type="fixed"/>
        <w:tblCellMar>
          <w:top w:w="0" w:type="dxa"/>
          <w:left w:w="0" w:type="dxa"/>
          <w:bottom w:w="0" w:type="dxa"/>
          <w:right w:w="0" w:type="dxa"/>
        </w:tblCellMar>
      </w:tblPr>
      <w:tblGrid>
        <w:gridCol w:w="75"/>
        <w:gridCol w:w="5030"/>
      </w:tblGrid>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ALTA WIND COMPANY,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CAPISTRANO PORTFOLIO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CARDINAL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CATALINA SOLAR INVESTMENT HOLDCO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CBAD HOLDINGS II,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CEDAR CREEK WIND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CEDRO HILL BL BORROWER HOLDCO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CLEARWAY OPCO POWER MARKETING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CLEARWAY SOLAR STAR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CWEN PINNACLE REPOWERING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CWSP RATTLESNAKE HOLDING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DAGGETT SOLAR HOLDCO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DAN’S MOUNTAIN PARENT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DGPV HOLDING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DG SREC HOLDCO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HONEYCOMB 1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LANGFORD HOLDING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LIGHTHOUSE RENEWABLE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LV-DAGGETT PARENT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NATURAL GAS CA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NIMH SOLAR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OCOTILLO WINDPOWER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PINE FOREST HOLDCO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PORTFOLIO SOLAR I,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ROSAMOND SOLAR HOLDCO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ROSAMOND SOUTH HOLDCO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RPV HOLDING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RS2-SPINDLE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SOLAR FLAGSTAFF ONE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SOLAR IGUANA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SOLAR LAS VEGAS MB 1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SOLAR TABERNACLE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TRENT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SPP ASSET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SPP FUND II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SPP FUND III,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SPRING CANYON TE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UTAH SOLAR MASTER HOLDCO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VP-ARICA PARENT HOLDINGS LLC</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WIND HOLDINGS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75"/>
        <w:gridCol w:w="60"/>
        <w:gridCol w:w="759"/>
        <w:gridCol w:w="759"/>
        <w:gridCol w:w="3270"/>
      </w:tblGrid>
      <w:tr>
        <w:trPr/>
        <w:tc>
          <w:tcPr>
            <w:tcW w:w="75" w:type="dxa"/>
            <w:tcBorders/>
            <w:vAlign w:val="center"/>
          </w:tcPr>
          <w:p>
            <w:pPr>
              <w:pStyle w:val="TableContents"/>
              <w:bidi w:val="0"/>
              <w:spacing w:before="0" w:after="283"/>
              <w:jc w:val="left"/>
              <w:rPr/>
            </w:pPr>
            <w:r>
              <w:rPr/>
              <w:t> </w:t>
            </w:r>
          </w:p>
        </w:tc>
        <w:tc>
          <w:tcPr>
            <w:tcW w:w="4848"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WV WIND HOLDINGS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Clearway Energy Operating LLC, as managing member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Sarah Rubenstein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Sarah Rubenstein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3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DG-CS HOLDINGS LLC, as Guarantor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DGPV Holding LLC, as managing member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Sarah Rubenstein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Sarah Rubenstein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40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SPP FUND II,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SPP FUND II-B, LLC, as Guarantors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SPP Fund II Holdings, LLC, as managing member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Sarah Rubenstein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Sarah Rubenstein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545"/>
        <w:gridCol w:w="60"/>
        <w:gridCol w:w="3171"/>
        <w:gridCol w:w="530"/>
        <w:gridCol w:w="674"/>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5" w:type="dxa"/>
            <w:gridSpan w:val="3"/>
            <w:tcBorders/>
            <w:vAlign w:val="center"/>
          </w:tcPr>
          <w:p>
            <w:pPr>
              <w:pStyle w:val="TableContents"/>
              <w:bidi w:val="0"/>
              <w:spacing w:before="0" w:after="283"/>
              <w:jc w:val="both"/>
              <w:rPr/>
            </w:pPr>
            <w:r>
              <w:rPr>
                <w:rFonts w:ascii="Times New Roman;Times;Serif" w:hAnsi="Times New Roman;Times;Serif"/>
                <w:sz w:val="20"/>
              </w:rPr>
              <w:t xml:space="preserve">CSC DELAWARE TRUST COMPANY, not in its </w:t>
              <w:br/>
              <w:t>individual capacity, but solely as Trustee</w:t>
            </w:r>
            <w:r>
              <w:rPr/>
              <w:t xml:space="preserve"> </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1" w:type="dxa"/>
            <w:tcBorders/>
            <w:vAlign w:val="center"/>
          </w:tcPr>
          <w:p>
            <w:pPr>
              <w:pStyle w:val="TableContents"/>
              <w:bidi w:val="0"/>
              <w:spacing w:before="0" w:after="283"/>
              <w:jc w:val="both"/>
              <w:rPr/>
            </w:pPr>
            <w:r>
              <w:rPr/>
              <w:t> </w:t>
            </w:r>
          </w:p>
        </w:tc>
        <w:tc>
          <w:tcPr>
            <w:tcW w:w="1204" w:type="dxa"/>
            <w:gridSpan w:val="2"/>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1" w:type="dxa"/>
            <w:tcBorders/>
            <w:vAlign w:val="center"/>
          </w:tcPr>
          <w:p>
            <w:pPr>
              <w:pStyle w:val="TableContents"/>
              <w:bidi w:val="0"/>
              <w:spacing w:before="0" w:after="283"/>
              <w:jc w:val="both"/>
              <w:rPr/>
            </w:pPr>
            <w:r>
              <w:rPr/>
              <w:t>By:     </w:t>
            </w:r>
          </w:p>
        </w:tc>
        <w:tc>
          <w:tcPr>
            <w:tcW w:w="1204"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Lici Zhu</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120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Lici Zhu</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20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1"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674"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 Senior Notes due 2034</w:t>
      </w:r>
    </w:p>
    <w:p>
      <w:pPr>
        <w:pStyle w:val="TextBody"/>
        <w:bidi w:val="0"/>
        <w:spacing w:before="0" w:after="0"/>
        <w:ind w:left="0" w:right="0" w:hanging="0"/>
        <w:jc w:val="left"/>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395"/>
        <w:gridCol w:w="60"/>
        <w:gridCol w:w="60"/>
        <w:gridCol w:w="60"/>
        <w:gridCol w:w="140"/>
        <w:gridCol w:w="75"/>
      </w:tblGrid>
      <w:tr>
        <w:trPr/>
        <w:tc>
          <w:tcPr>
            <w:tcW w:w="395" w:type="dxa"/>
            <w:tcBorders/>
            <w:vAlign w:val="center"/>
          </w:tcPr>
          <w:p>
            <w:pPr>
              <w:pStyle w:val="TableContents"/>
              <w:bidi w:val="0"/>
              <w:spacing w:before="0" w:after="283"/>
              <w:jc w:val="left"/>
              <w:rPr/>
            </w:pPr>
            <w:r>
              <w:rPr/>
              <w:t>No.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OPERATING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promises to pay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or registered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sum of __________________________________________________________ DOLLARS on January 15,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January 15 and July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January 1 and July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br/>
        <w:t>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75"/>
        <w:gridCol w:w="320"/>
        <w:gridCol w:w="545"/>
        <w:gridCol w:w="4325"/>
      </w:tblGrid>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CLEARWAY ENERGY OPERATING LLC</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Sarah Rubenstein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19" w:type="dxa"/>
        <w:jc w:val="left"/>
        <w:tblInd w:w="0" w:type="dxa"/>
        <w:tblLayout w:type="fixed"/>
        <w:tblCellMar>
          <w:top w:w="0" w:type="dxa"/>
          <w:left w:w="0" w:type="dxa"/>
          <w:bottom w:w="0" w:type="dxa"/>
          <w:right w:w="0" w:type="dxa"/>
        </w:tblCellMar>
      </w:tblPr>
      <w:tblGrid>
        <w:gridCol w:w="1358"/>
        <w:gridCol w:w="2786"/>
        <w:gridCol w:w="75"/>
      </w:tblGrid>
      <w:tr>
        <w:trPr/>
        <w:tc>
          <w:tcPr>
            <w:tcW w:w="41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CSC </w:t>
            </w:r>
            <w:r>
              <w:rPr>
                <w:rFonts w:ascii="Times New Roman;Times;Serif" w:hAnsi="Times New Roman;Times;Serif"/>
                <w:smallCaps/>
                <w:sz w:val="20"/>
              </w:rPr>
              <w:t>DELAWARE TRUST COMPANY</w:t>
            </w: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41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in its individual capacity, but solely as Trustee</w:t>
            </w:r>
          </w:p>
        </w:tc>
        <w:tc>
          <w:tcPr>
            <w:tcW w:w="75" w:type="dxa"/>
            <w:tcBorders/>
            <w:vAlign w:val="center"/>
          </w:tcPr>
          <w:p>
            <w:pPr>
              <w:pStyle w:val="TableContents"/>
              <w:bidi w:val="0"/>
              <w:spacing w:before="0" w:after="283"/>
              <w:jc w:val="left"/>
              <w:rPr/>
            </w:pPr>
            <w:r>
              <w:rPr/>
              <w:t> </w:t>
            </w:r>
          </w:p>
        </w:tc>
      </w:tr>
      <w:tr>
        <w:trPr/>
        <w:tc>
          <w:tcPr>
            <w:tcW w:w="41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78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44" w:type="dxa"/>
            <w:gridSpan w:val="2"/>
            <w:tcBorders/>
            <w:vAlign w:val="center"/>
          </w:tcPr>
          <w:p>
            <w:pPr>
              <w:pStyle w:val="TableContents"/>
              <w:bidi w:val="0"/>
              <w:spacing w:before="0" w:after="283"/>
              <w:jc w:val="left"/>
              <w:rPr/>
            </w:pPr>
            <w:r>
              <w:rPr/>
              <w:t>          </w:t>
            </w: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 Senior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[Insert the Global Legend, if applicable pursuant to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[Insert the Private Placement Legend, if applicable pursuant to the provisions of the Indenture]</w:t>
      </w:r>
      <w:r>
        <w:rPr>
          <w:rFonts w:ascii="Times New Roman;Times;Serif" w:hAnsi="Times New Roman;Times;Serif"/>
          <w:b w:val="false"/>
          <w:i/>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[Insert the Original Issue Discount Legend, if applicable pursuant to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have the meanings assigned to them in the Indenture referred to below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smallCaps/>
          <w:sz w:val="20"/>
        </w:rPr>
        <w:t>Interest</w:t>
      </w:r>
      <w:r>
        <w:rPr>
          <w:rFonts w:ascii="Times New Roman;Times;Serif" w:hAnsi="Times New Roman;Times;Serif"/>
          <w:b w:val="false"/>
          <w:i w:val="false"/>
          <w:caps w:val="false"/>
          <w:smallCaps w:val="false"/>
          <w:sz w:val="20"/>
        </w:rPr>
        <w:t>. Clearway Energy Operating LLC, a Delaware limited liability company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promises to pay interest on the principal amount of this Note at 5.750% per annum from ________________, ___ until maturity. The Company shall pay interest semi-annually in arrears on January 15 and July 15 of each year, or if any such day is not a Business Day, on the next succeeding Business Day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Interest on the Notes will accrue from the most recent date to which interest has been paid or, if no interest has been paid, from the date of issuance;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the first Interest Payment Date shall be _________. Interest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smallCaps/>
          <w:sz w:val="20"/>
        </w:rPr>
        <w:t>Method of Payment</w:t>
      </w:r>
      <w:r>
        <w:rPr>
          <w:rFonts w:ascii="Times New Roman;Times;Serif" w:hAnsi="Times New Roman;Times;Serif"/>
          <w:b w:val="false"/>
          <w:i w:val="false"/>
          <w:caps w:val="false"/>
          <w:smallCaps w:val="false"/>
          <w:sz w:val="20"/>
        </w:rPr>
        <w:t xml:space="preserve">. The Company shall pay interest on the Notes (except defaulted interest) to the Persons who are registered Holders of Notes at the close of business on the January 1 and July 1 next preceding the Interest Payment Date, even if such Notes are canceled after such record date and on or before such Interest Payment Date, except as provided in Section 2.13 of the Indenture with respect to defaulted interest. The Notes will be payable as to principal, premium, if any, interest at the office or agency of the Paying Agent and Registrar within the City and State of New York, or, at the option of the Company,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premium, if any, and interest on, all Global Notes and all other Notes the Holders of which will have provided wire transfer instructions to the Company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smallCaps/>
          <w:sz w:val="20"/>
        </w:rPr>
        <w:t>Paying Agent and Registrar</w:t>
      </w:r>
      <w:r>
        <w:rPr>
          <w:rFonts w:ascii="Times New Roman;Times;Serif" w:hAnsi="Times New Roman;Times;Serif"/>
          <w:b w:val="false"/>
          <w:i w:val="false"/>
          <w:caps w:val="false"/>
          <w:smallCaps w:val="false"/>
          <w:sz w:val="20"/>
        </w:rPr>
        <w:t>. Initially, CSC Delaware Trust Company, the Trustee under the Indenture, will act as Paying Agent and Registrar. The Company may change the Paying Agent or Registrar without prior notice to the Holders of the Notes. The Company or any of its Subsidiaries or parent entities may act as Paying Agent or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smallCaps/>
          <w:sz w:val="20"/>
        </w:rPr>
        <w:t>Indenture</w:t>
      </w:r>
      <w:r>
        <w:rPr>
          <w:rFonts w:ascii="Times New Roman;Times;Serif" w:hAnsi="Times New Roman;Times;Serif"/>
          <w:b w:val="false"/>
          <w:i w:val="false"/>
          <w:caps w:val="false"/>
          <w:smallCaps w:val="false"/>
          <w:sz w:val="20"/>
        </w:rPr>
        <w:t>. The Company issued the Notes under an Indenture dated as of January 13, 2026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among the Company,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val="false"/>
          <w:caps w:val="false"/>
          <w:smallCaps w:val="false"/>
          <w:sz w:val="20"/>
        </w:rPr>
        <w:t xml:space="preserve"> This Note will be deemed to be identified by CUSIP No. 18539U AJ4 from and after such time when the Company delivers, pursuant to Section 2.06(g)(1)(C) of the within-mentioned Indenture, an Officer’s Certificate to the Trustee certifying as to the occurrence of the conditions for the deemed removal of the Private Placement Legend affixed to this Note.</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smallCaps/>
          <w:sz w:val="20"/>
        </w:rPr>
        <w:t>Optional Redemption</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any time prior to January 15, 2029, the Company may on any one or more occasions redeem up to 40% of the aggregate principal amount of the Notes, upon not less than 10 nor more than 60 days’ notice, at a redemption price equal to 105.750%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least 50% of the aggregate principal amount of Notes originally issued under this Indenture (excluding Notes held by the Company, its Subsidiaries and parent entities) remains outstanding immediately after the occurrence of such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occurs within 180 days of the date of the closing of such equity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January 15, 2029,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date of redemption, subject to the rights of Holders on the relevant record date to receive interest due on the relevant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pursuant to the preceding paragraphs, the Notes will not be redeemable at the Company’s option prior to January 15,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or after January 15, 2029,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twelve-month period beginning on January 15 of the years indicated below, subject to the rights of Holders on the relevant record date to receive interest on the relevant interest payment date:</w:t>
      </w:r>
    </w:p>
    <w:p>
      <w:pPr>
        <w:pStyle w:val="TextBody"/>
        <w:bidi w:val="0"/>
        <w:spacing w:before="0" w:after="0"/>
        <w:ind w:left="0" w:right="0" w:hanging="0"/>
        <w:jc w:val="left"/>
        <w:rPr>
          <w:caps w:val="false"/>
          <w:smallCaps w:val="false"/>
        </w:rPr>
      </w:pPr>
      <w:r>
        <w:rPr>
          <w:caps w:val="false"/>
          <w:smallCaps w:val="false"/>
        </w:rPr>
        <w:t> </w:t>
      </w:r>
    </w:p>
    <w:tbl>
      <w:tblPr>
        <w:tblW w:w="2925" w:type="dxa"/>
        <w:jc w:val="left"/>
        <w:tblInd w:w="0" w:type="dxa"/>
        <w:tblLayout w:type="fixed"/>
        <w:tblCellMar>
          <w:top w:w="0" w:type="dxa"/>
          <w:left w:w="0" w:type="dxa"/>
          <w:bottom w:w="28" w:type="dxa"/>
          <w:right w:w="0" w:type="dxa"/>
        </w:tblCellMar>
      </w:tblPr>
      <w:tblGrid>
        <w:gridCol w:w="1760"/>
        <w:gridCol w:w="60"/>
        <w:gridCol w:w="71"/>
        <w:gridCol w:w="834"/>
        <w:gridCol w:w="200"/>
      </w:tblGrid>
      <w:tr>
        <w:trPr/>
        <w:tc>
          <w:tcPr>
            <w:tcW w:w="17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102.875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101.438</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and thereafter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redemption pursuant to this Section 5 shall be made pursuant to the provisions of Sections 3.01 through 3.06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provisions of Article 3 of the Indenture do not prohibit the Company or its Affiliates from acquiring the Notes in market transactions by means other than a redemption, whether pursuant to a tender offer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smallCaps/>
          <w:sz w:val="20"/>
        </w:rPr>
        <w:t>Mandatory Redemption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is not required to make mandatory redemption or sinking fund payments with respect to the Notes.</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smallCaps/>
          <w:sz w:val="20"/>
        </w:rPr>
        <w:t>Repurchase at the Option of Holder</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 Change of Control Triggering Event, the Company will make an offer (a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Within 30 days following any Change of Control, the Company will mail (or deliver electronically) a notice to each Holder setting forth the procedures governing the Change of Control Offer as required by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smallCaps/>
          <w:sz w:val="20"/>
        </w:rPr>
        <w:t>Notice of Redemption</w:t>
      </w:r>
      <w:r>
        <w:rPr>
          <w:rFonts w:ascii="Times New Roman;Times;Serif" w:hAnsi="Times New Roman;Times;Serif"/>
          <w:b w:val="false"/>
          <w:i w:val="false"/>
          <w:caps w:val="false"/>
          <w:smallCaps w:val="false"/>
          <w:sz w:val="20"/>
        </w:rPr>
        <w:t>. At least 10 days but not more than 60 days before a redemption date, the Company shall mail or cause to be mailed, by first class mail, or deliver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the Indenture pursuant to Articles 8 or 11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smallCaps/>
          <w:sz w:val="20"/>
        </w:rPr>
        <w:t>Denominations, Transfer, Exchange</w:t>
      </w:r>
      <w:r>
        <w:rPr>
          <w:rFonts w:ascii="Times New Roman;Times;Serif" w:hAnsi="Times New Roman;Times;Serif"/>
          <w:b w:val="false"/>
          <w:i w:val="false"/>
          <w:caps w:val="false"/>
          <w:smallCaps w:val="false"/>
          <w:sz w:val="20"/>
        </w:rPr>
        <w:t>.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10 days before a selection of Notes to be redeemed or during the period between a record date and the next succeeding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smallCaps/>
          <w:sz w:val="20"/>
        </w:rPr>
        <w:t>Persons Deemed Owners</w:t>
      </w:r>
      <w:r>
        <w:rPr>
          <w:rFonts w:ascii="Times New Roman;Times;Serif" w:hAnsi="Times New Roman;Times;Serif"/>
          <w:b w:val="false"/>
          <w:i w:val="false"/>
          <w:caps w:val="false"/>
          <w:smallCaps w:val="false"/>
          <w:sz w:val="20"/>
        </w:rPr>
        <w:t>. The registered Holder of a Note may be treated as the owner of it for all purposes. Only registered Holders have rights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smallCaps/>
          <w:sz w:val="20"/>
        </w:rPr>
        <w:t>Amendment, Supplement and Waiver</w:t>
      </w:r>
      <w:r>
        <w:rPr>
          <w:rFonts w:ascii="Times New Roman;Times;Serif" w:hAnsi="Times New Roman;Times;Serif"/>
          <w:b w:val="false"/>
          <w:i w:val="false"/>
          <w:caps w:val="false"/>
          <w:smallCaps w:val="false"/>
          <w:sz w:val="20"/>
        </w:rPr>
        <w:t>. Subject to certain exceptions, the Indenture, the Notes or the Guarantees may be amended or supplemented with the consent of the Holders of at least a majority in aggregate principal amount of the then outstanding Notes including Additional Notes, if any, voting as a single class, and any existing Default or Event of Default or compliance with any provision of the Indenture or the Notes or the Subsidiary Guarantees may be waived with the consent of the Holders of a majority in aggregate principal amount of the then outstanding Notes including Additional Notes, if any, voting as a single class. Without the consent of any Holder of Notes, the Indenture or the Notes may be amended or supplemented (i) to cure any ambiguity, mistake, defect or inconsistency, (ii) to provide for uncertificated Notes in addition to or in place of certificated Notes, (iii) to provide for the assumption of the Company’s Obligations to Holders of the Notes in the case of a merger or consolidation or sale of all or substantially all of the Company’s assets pursuant to Article 5 of the Indenture, (iv) to make any change that would provide any additional rights or benefits to the Holders of the Notes or that does not adversely affect the legal rights under the Indenture of any such Holder, (v) [Reserved], (vi) to conform the text of the Indenture or the Notes to any provision of the “Description of the Notes” section of the Offering Memorandum, relating to the initial offering of the Notes, (vii) to evidence and provide for the acceptance and appointment under the Indenture of a successor trustee pursuant to the requirements thereof, (viii) to provide for the issuance of Additional Notes in accordance with the limitations set forth in the Indenture, or (ix) to allow any Guarantor to execute a supplemental indenture and/or a Guarantee with respect to the Notes.</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smallCaps/>
          <w:sz w:val="20"/>
        </w:rPr>
        <w:t>Defaults and Remedies</w:t>
      </w:r>
      <w:r>
        <w:rPr>
          <w:rFonts w:ascii="Times New Roman;Times;Serif" w:hAnsi="Times New Roman;Times;Serif"/>
          <w:b w:val="false"/>
          <w:i w:val="false"/>
          <w:caps w:val="false"/>
          <w:smallCaps w:val="false"/>
          <w:sz w:val="20"/>
        </w:rPr>
        <w:t>. Events of Default include: (i) default for 30 days in the payment when due of interest on, the Notes; (ii) default in the payment when due of the principal of, or premium on, if any, the Notes; (iii) failure by the Company or any Guarantor for 60 days (or, in the case of any failure to comply with Section 4.03 of the Indenture, 120 days) after written notice to the Company by the Trustee or the Holders of at least 30% in aggregate principal amount of the Notes then outstanding to comply with any of the agreements in the Indenture (other than a default referred to in clause (1) or (2) of Section 6.01 of the Indenture); (iv)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date of this Indenture, if that default: (A) is caused by a failure to pay principal of, or interest or premium, if any, on such Indebtedness prior to the expiration of the grace period provided in such Indebtedness on the date of such default (a “</w:t>
      </w:r>
      <w:r>
        <w:rPr>
          <w:rFonts w:ascii="Times New Roman;Times;Serif" w:hAnsi="Times New Roman;Times;Serif"/>
          <w:b w:val="false"/>
          <w:i/>
          <w:caps w:val="false"/>
          <w:smallCaps w:val="false"/>
          <w:sz w:val="20"/>
        </w:rPr>
        <w:t>Payment Default</w:t>
      </w:r>
      <w:r>
        <w:rPr>
          <w:rFonts w:ascii="Times New Roman;Times;Serif" w:hAnsi="Times New Roman;Times;Serif"/>
          <w:b w:val="false"/>
          <w:i w:val="false"/>
          <w:caps w:val="false"/>
          <w:smallCaps w:val="false"/>
          <w:sz w:val="20"/>
        </w:rPr>
        <w:t xml:space="preserve">”);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(1) 1.5% of Total Assets and (2) $150.0 million;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(iv) shall not apply (x) to secured Indebtedness that becomes due as a result of the voluntary sale or transfer of the property or assets securing such Indebtedness to a Person that is not an Affiliate of the Company and (y) to the extent constituting Indebtedness, any indemnification, guarantee or other credit support obligations of the Company or any of the Guarantors in connection with any Tax Equity Financing entered into by a non-Subsidiary Guarantor; (v) except as permitted by the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Subsidiary Guarantee(s); (vi) the Company or any Guarantor of the Company that, if a Subsidiary of the Company, would constitute a Significant Subsidiary or any group of Guarantors of the Company that, if Subsidiaries of the Company, taken together, would constitute a Significant Subsidiary: (A) commences a voluntary case, (B) consents to the entry of an order for relief against it in an involuntary case, (C) consents to the appointment of a custodian of it or for all or substantially all of its property, (D) makes a general assignment for the benefit of its creditors, or (E) generally is not paying its debts as they become due; or (vii) a court of competent jurisdiction enters an order or decree under any Bankruptcy Law that: (A) is for relief against the Company or any Guarantor of the Company that, if a Subsidiary of the Company, would constitute a Significant Subsidiary or any group of Guarantors of the Company that, if Subsidiaries of the Company, taken together, would constitute a Significant Subsidiary; (B) appoints a custodian of the Company or any Guarantor of the Company that, if a Subsidiary of the Company, would constitute a Significant Subsidiary or any group of Guarantors of the Company that, if Subsidiaries of the Company, taken together, would constitute a Significant Subsidiary, for all or substantially all of the property of the Company or any such Guarantor; or (C) orders the liquidation of the Company or any Guarantor of the Company that, if a Subsidiary of the Company, would constitute a Significant Subsidiary or any group of Guarantors of the Company that, if Subsidiaries of the Company, taken together, would constitute a Significant Subsidiary; and the order or decree remains unstayed and in effect for 60 consecutive days.</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smallCaps/>
          <w:sz w:val="20"/>
        </w:rPr>
        <w:t>Trustee Dealings with Company</w:t>
      </w:r>
      <w:r>
        <w:rPr>
          <w:rFonts w:ascii="Times New Roman;Times;Serif" w:hAnsi="Times New Roman;Times;Serif"/>
          <w:b w:val="false"/>
          <w:i w:val="false"/>
          <w:caps w:val="false"/>
          <w:smallCaps w:val="false"/>
          <w:sz w:val="20"/>
        </w:rPr>
        <w:t>. The Trustee, in its individual or any other capacity, may make loans to, accept deposits from, and perform services for the Company or its Affiliates, and may otherwise deal with the Company or its Affiliates, as if it were not the Trustee. However, in the event that the Trustee acquires any conflicting interest it must eliminate such conflict within 90 days, apply to the SEC for permission to continue as trustee or resign. Any Agent may do the same with like rights and duties. The Trustee is also subject to and entitled to the benefits of Article 7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smallCaps/>
          <w:sz w:val="20"/>
        </w:rPr>
        <w:t>No Recourse Against Others</w:t>
      </w:r>
      <w:r>
        <w:rPr>
          <w:rFonts w:ascii="Times New Roman;Times;Serif" w:hAnsi="Times New Roman;Times;Serif"/>
          <w:b w:val="false"/>
          <w:i w:val="false"/>
          <w:caps w:val="false"/>
          <w:smallCaps w:val="false"/>
          <w:sz w:val="20"/>
        </w:rPr>
        <w:t>. No director, officer, employee, incorporator or stockholder of the Company or any Guarantor, as such, will have any liability for any obligations of the Company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smallCaps/>
          <w:sz w:val="20"/>
        </w:rPr>
        <w:t>Authentication</w:t>
      </w:r>
      <w:r>
        <w:rPr>
          <w:rFonts w:ascii="Times New Roman;Times;Serif" w:hAnsi="Times New Roman;Times;Serif"/>
          <w:b w:val="false"/>
          <w:i w:val="false"/>
          <w:caps w:val="false"/>
          <w:smallCaps w:val="false"/>
          <w:sz w:val="20"/>
        </w:rPr>
        <w:t>. This Note will not be valid until authenticated by the manual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smallCaps/>
          <w:sz w:val="20"/>
        </w:rPr>
        <w:t>Abbreviations</w:t>
      </w:r>
      <w:r>
        <w:rPr>
          <w:rFonts w:ascii="Times New Roman;Times;Serif" w:hAnsi="Times New Roman;Times;Serif"/>
          <w:b w:val="false"/>
          <w:i w:val="false"/>
          <w:caps w:val="false"/>
          <w:smallCaps w:val="false"/>
          <w:sz w:val="20"/>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smallCaps/>
          <w:sz w:val="20"/>
        </w:rPr>
        <w:t>CUSIP Numbers</w:t>
      </w:r>
      <w:r>
        <w:rPr>
          <w:rFonts w:ascii="Times New Roman;Times;Serif" w:hAnsi="Times New Roman;Times;Serif"/>
          <w:b w:val="false"/>
          <w:i w:val="false"/>
          <w:caps w:val="false"/>
          <w:smallCaps w:val="false"/>
          <w:sz w:val="20"/>
        </w:rPr>
        <w:t>.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smallCaps/>
          <w:sz w:val="20"/>
        </w:rPr>
        <w:t>GOVERNING LAW.</w:t>
      </w:r>
      <w:r>
        <w:rPr>
          <w:rFonts w:ascii="Times New Roman;Times;Serif" w:hAnsi="Times New Roman;Times;Serif"/>
          <w:b w:val="false"/>
          <w:i w:val="false"/>
          <w:caps w:val="false"/>
          <w:smallCaps w:val="false"/>
          <w:sz w:val="20"/>
        </w:rPr>
        <w:t xml:space="preserve"> THE INTERNAL LAW OF THE STATE OF NEW YORK WILL GOVERN AND BE USED TO CONSTRUE THE INDENTURE, THIS NOTE AND THE GUARANTEES WITHOUT GIVING EFFECT TO APPLICABLE PRINCIPLES OF CONFLICTS OF LAW TO THE EXTENT THAT THE APPLICATION OF THE LAWS OF ANOTHER JURISDICTION WOULD BE REQUIRED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furnish to any Holder upon written request and without charge a copy of the Indenture. Requests may be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Operating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Clearway Energy,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Carnegie Center, Suite 300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NJ 08540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 ___________________________________________________________________________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hanging="0"/>
        <w:jc w:val="left"/>
        <w:rPr>
          <w:caps w:val="false"/>
          <w:smallCaps w:val="false"/>
        </w:rPr>
      </w:pPr>
      <w:r>
        <w:rPr>
          <w:caps w:val="false"/>
          <w:smallCaps w:val="false"/>
        </w:rPr>
        <w:t> </w:t>
      </w:r>
    </w:p>
    <w:tbl>
      <w:tblPr>
        <w:tblW w:w="3995" w:type="dxa"/>
        <w:jc w:val="left"/>
        <w:tblInd w:w="0" w:type="dxa"/>
        <w:tblLayout w:type="fixed"/>
        <w:tblCellMar>
          <w:top w:w="0" w:type="dxa"/>
          <w:left w:w="0" w:type="dxa"/>
          <w:bottom w:w="28" w:type="dxa"/>
          <w:right w:w="0" w:type="dxa"/>
        </w:tblCellMar>
      </w:tblPr>
      <w:tblGrid>
        <w:gridCol w:w="3995"/>
      </w:tblGrid>
      <w:tr>
        <w:trPr/>
        <w:tc>
          <w:tcPr>
            <w:tcW w:w="3995" w:type="dxa"/>
            <w:tcBorders>
              <w:bottom w:val="single" w:sz="8" w:space="0" w:color="000000"/>
            </w:tcBorders>
            <w:vAlign w:val="center"/>
          </w:tcPr>
          <w:p>
            <w:pPr>
              <w:pStyle w:val="TableContents"/>
              <w:bidi w:val="0"/>
              <w:spacing w:before="0" w:after="283"/>
              <w:jc w:val="both"/>
              <w:rPr/>
            </w:pPr>
            <w:r>
              <w:rPr/>
              <w:t> </w:t>
            </w:r>
          </w:p>
        </w:tc>
      </w:tr>
      <w:tr>
        <w:trPr/>
        <w:tc>
          <w:tcPr>
            <w:tcW w:w="3995" w:type="dxa"/>
            <w:tcBorders/>
            <w:tcMar>
              <w:bottom w:w="0" w:type="dxa"/>
            </w:tcMar>
            <w:vAlign w:val="center"/>
          </w:tcPr>
          <w:p>
            <w:pPr>
              <w:pStyle w:val="TableContents"/>
              <w:bidi w:val="0"/>
              <w:spacing w:before="0" w:after="283"/>
              <w:jc w:val="center"/>
              <w:rPr/>
            </w:pPr>
            <w:r>
              <w:rPr/>
              <w:t>(Insert assignee’s soc. sec. or tax I.D. no.)</w:t>
            </w:r>
          </w:p>
        </w:tc>
      </w:tr>
      <w:tr>
        <w:trPr/>
        <w:tc>
          <w:tcPr>
            <w:tcW w:w="3995" w:type="dxa"/>
            <w:tcBorders/>
            <w:tcMar>
              <w:bottom w:w="0" w:type="dxa"/>
            </w:tcMar>
            <w:vAlign w:val="center"/>
          </w:tcPr>
          <w:p>
            <w:pPr>
              <w:pStyle w:val="TableContents"/>
              <w:bidi w:val="0"/>
              <w:spacing w:before="0" w:after="283"/>
              <w:jc w:val="both"/>
              <w:rPr/>
            </w:pPr>
            <w:r>
              <w:rPr/>
              <w:t> </w:t>
            </w:r>
          </w:p>
        </w:tc>
      </w:tr>
      <w:tr>
        <w:trPr/>
        <w:tc>
          <w:tcPr>
            <w:tcW w:w="3995" w:type="dxa"/>
            <w:tcBorders>
              <w:bottom w:val="single" w:sz="8" w:space="0" w:color="000000"/>
            </w:tcBorders>
            <w:vAlign w:val="center"/>
          </w:tcPr>
          <w:p>
            <w:pPr>
              <w:pStyle w:val="TableContents"/>
              <w:bidi w:val="0"/>
              <w:spacing w:before="0" w:after="283"/>
              <w:jc w:val="both"/>
              <w:rPr/>
            </w:pPr>
            <w:r>
              <w:rPr/>
              <w:t> </w:t>
            </w:r>
          </w:p>
        </w:tc>
      </w:tr>
      <w:tr>
        <w:trPr/>
        <w:tc>
          <w:tcPr>
            <w:tcW w:w="3995" w:type="dxa"/>
            <w:tcBorders/>
            <w:tcMar>
              <w:bottom w:w="0" w:type="dxa"/>
            </w:tcMar>
            <w:vAlign w:val="center"/>
          </w:tcPr>
          <w:p>
            <w:pPr>
              <w:pStyle w:val="TableContents"/>
              <w:bidi w:val="0"/>
              <w:spacing w:before="0" w:after="283"/>
              <w:jc w:val="both"/>
              <w:rPr/>
            </w:pPr>
            <w:r>
              <w:rPr/>
              <w:t> </w:t>
            </w:r>
          </w:p>
        </w:tc>
      </w:tr>
      <w:tr>
        <w:trPr/>
        <w:tc>
          <w:tcPr>
            <w:tcW w:w="3995" w:type="dxa"/>
            <w:tcBorders>
              <w:bottom w:val="single" w:sz="8" w:space="0" w:color="000000"/>
            </w:tcBorders>
            <w:vAlign w:val="center"/>
          </w:tcPr>
          <w:p>
            <w:pPr>
              <w:pStyle w:val="TableContents"/>
              <w:bidi w:val="0"/>
              <w:spacing w:before="0" w:after="283"/>
              <w:jc w:val="both"/>
              <w:rPr/>
            </w:pPr>
            <w:r>
              <w:rPr/>
              <w:t> </w:t>
            </w:r>
          </w:p>
        </w:tc>
      </w:tr>
      <w:tr>
        <w:trPr/>
        <w:tc>
          <w:tcPr>
            <w:tcW w:w="3995" w:type="dxa"/>
            <w:tcBorders/>
            <w:tcMar>
              <w:bottom w:w="0" w:type="dxa"/>
            </w:tcMar>
            <w:vAlign w:val="center"/>
          </w:tcPr>
          <w:p>
            <w:pPr>
              <w:pStyle w:val="TableContents"/>
              <w:bidi w:val="0"/>
              <w:spacing w:before="0" w:after="283"/>
              <w:jc w:val="both"/>
              <w:rPr/>
            </w:pPr>
            <w:r>
              <w:rPr/>
              <w:t> </w:t>
            </w:r>
          </w:p>
        </w:tc>
      </w:tr>
      <w:tr>
        <w:trPr/>
        <w:tc>
          <w:tcPr>
            <w:tcW w:w="3995"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___________________________________________________________________________to transfer this Note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 ___________________________________</w:t>
      </w:r>
    </w:p>
    <w:p>
      <w:pPr>
        <w:pStyle w:val="TextBody"/>
        <w:bidi w:val="0"/>
        <w:spacing w:before="0" w:after="0"/>
        <w:ind w:left="441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Company pursuant to Section 4.09 of the Indenture, check here: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Company pursuant to Section 4.09 of the Indenture, state the amount you elect to have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 ___________________________________</w:t>
      </w:r>
    </w:p>
    <w:p>
      <w:pPr>
        <w:pStyle w:val="TextBody"/>
        <w:bidi w:val="0"/>
        <w:spacing w:before="0" w:after="0"/>
        <w:ind w:left="43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 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Schedule of Exchanges of Interests in the Global Note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475"/>
        <w:gridCol w:w="1505"/>
        <w:gridCol w:w="1505"/>
        <w:gridCol w:w="1610"/>
        <w:gridCol w:w="1520"/>
      </w:tblGrid>
      <w:tr>
        <w:trPr/>
        <w:tc>
          <w:tcPr>
            <w:tcW w:w="147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Date of Exchange</w:t>
            </w:r>
          </w:p>
        </w:tc>
        <w:tc>
          <w:tcPr>
            <w:tcW w:w="15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Amount of </w:t>
              <w:br/>
              <w:t xml:space="preserve">decrease in </w:t>
              <w:br/>
              <w:t xml:space="preserve">Principal Amount </w:t>
              <w:br/>
              <w:t xml:space="preserve">of </w:t>
              <w:br/>
            </w:r>
            <w:r>
              <w:rPr>
                <w:rFonts w:ascii="Times New Roman;Times;Serif" w:hAnsi="Times New Roman;Times;Serif"/>
                <w:sz w:val="20"/>
                <w:u w:val="single"/>
              </w:rPr>
              <w:t>this Global Note</w:t>
            </w:r>
          </w:p>
        </w:tc>
        <w:tc>
          <w:tcPr>
            <w:tcW w:w="15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Amount of </w:t>
              <w:br/>
              <w:t xml:space="preserve">increase in </w:t>
              <w:br/>
              <w:t xml:space="preserve">Principal Amount </w:t>
              <w:br/>
              <w:t xml:space="preserve">of </w:t>
              <w:br/>
            </w:r>
            <w:r>
              <w:rPr>
                <w:rFonts w:ascii="Times New Roman;Times;Serif" w:hAnsi="Times New Roman;Times;Serif"/>
                <w:sz w:val="20"/>
                <w:u w:val="single"/>
              </w:rPr>
              <w:t>this Global Note</w:t>
            </w:r>
          </w:p>
        </w:tc>
        <w:tc>
          <w:tcPr>
            <w:tcW w:w="16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Principal Amount </w:t>
              <w:br/>
              <w:t xml:space="preserve">of this Global Note </w:t>
              <w:br/>
              <w:t xml:space="preserve">following such </w:t>
              <w:br/>
              <w:t xml:space="preserve">decrease </w:t>
              <w:br/>
            </w:r>
            <w:r>
              <w:rPr>
                <w:rFonts w:ascii="Times New Roman;Times;Serif" w:hAnsi="Times New Roman;Times;Serif"/>
                <w:sz w:val="20"/>
                <w:u w:val="single"/>
              </w:rPr>
              <w:t>(or increase)</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Signature of </w:t>
              <w:br/>
              <w:t xml:space="preserve">authorized officer </w:t>
              <w:br/>
              <w:t xml:space="preserve">of Trustee or </w:t>
              <w:br/>
            </w:r>
            <w:r>
              <w:rPr>
                <w:rFonts w:ascii="Times New Roman;Times;Serif" w:hAnsi="Times New Roman;Times;Serif"/>
                <w:sz w:val="20"/>
                <w:u w:val="single"/>
              </w:rPr>
              <w:t>Custodian</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both"/>
              <w:rPr/>
            </w:pPr>
            <w:r>
              <w:rPr/>
              <w:t> </w:t>
            </w:r>
          </w:p>
        </w:tc>
        <w:tc>
          <w:tcPr>
            <w:tcW w:w="1505" w:type="dxa"/>
            <w:tcBorders/>
            <w:vAlign w:val="center"/>
          </w:tcPr>
          <w:p>
            <w:pPr>
              <w:pStyle w:val="TableContents"/>
              <w:bidi w:val="0"/>
              <w:spacing w:before="0" w:after="283"/>
              <w:jc w:val="both"/>
              <w:rPr/>
            </w:pPr>
            <w:r>
              <w:rPr/>
              <w:t> </w:t>
            </w:r>
          </w:p>
        </w:tc>
        <w:tc>
          <w:tcPr>
            <w:tcW w:w="1610" w:type="dxa"/>
            <w:tcBorders/>
            <w:vAlign w:val="center"/>
          </w:tcPr>
          <w:p>
            <w:pPr>
              <w:pStyle w:val="TableContents"/>
              <w:bidi w:val="0"/>
              <w:spacing w:before="0" w:after="283"/>
              <w:jc w:val="both"/>
              <w:rPr/>
            </w:pPr>
            <w:r>
              <w:rPr/>
              <w:t> </w:t>
            </w:r>
          </w:p>
        </w:tc>
        <w:tc>
          <w:tcPr>
            <w:tcW w:w="152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99"/>
        <w:gridCol w:w="9952"/>
      </w:tblGrid>
      <w:tr>
        <w:trPr/>
        <w:tc>
          <w:tcPr>
            <w:tcW w:w="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both"/>
              <w:rPr/>
            </w:pPr>
            <w:r>
              <w:rPr>
                <w:i/>
              </w:rPr>
              <w:t>This schedule should be included only if the Note is issued in global form</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Operating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Clearway Energy, Inc.</w:t>
        <w:br/>
        <w:t>300 Carnegie Center, Suite 300</w:t>
        <w:br/>
        <w:t>Princeton, New Jersey 08540</w:t>
        <w:b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CSC Delaware Trust Company</w:t>
        <w:br/>
        <w:t>251 Little Falls Drive</w:t>
        <w:br/>
        <w:t>Wilmington, Delaware 19808</w:t>
        <w:br/>
        <w:t>Attention: Corporate Trust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5.750% Senior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January 13, 2026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among Clearway Energy Operating LLC, as issuer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the Guarantors party thereto and CSC Delaware Trust Company, as trustee. Capitalized terms used but not defined herein shall have the meanings given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 (the “</w:t>
      </w:r>
      <w:r>
        <w:rPr>
          <w:rFonts w:ascii="Times New Roman;Times;Serif" w:hAnsi="Times New Roman;Times;Serif"/>
          <w:b w:val="false"/>
          <w:i/>
          <w:caps w:val="false"/>
          <w:smallCaps w:val="false"/>
          <w:sz w:val="20"/>
        </w:rPr>
        <w:t>Transferor</w:t>
      </w:r>
      <w:r>
        <w:rPr>
          <w:rFonts w:ascii="Times New Roman;Times;Serif" w:hAnsi="Times New Roman;Times;Serif"/>
          <w:b w:val="false"/>
          <w:i w:val="false"/>
          <w:caps w:val="false"/>
          <w:smallCaps w:val="false"/>
          <w:sz w:val="20"/>
        </w:rPr>
        <w:t>”) owns and proposes to transfer the Note[s] or interest in such Note[s] specified in Annex A hereto, in the principal amount of $___________ in such Note[s] or interests (the “</w:t>
      </w:r>
      <w:r>
        <w:rPr>
          <w:rFonts w:ascii="Times New Roman;Times;Serif" w:hAnsi="Times New Roman;Times;Serif"/>
          <w:b w:val="false"/>
          <w:i/>
          <w:caps w:val="false"/>
          <w:smallCaps w:val="false"/>
          <w:sz w:val="20"/>
        </w:rPr>
        <w:t>Transfer</w:t>
      </w:r>
      <w:r>
        <w:rPr>
          <w:rFonts w:ascii="Times New Roman;Times;Serif" w:hAnsi="Times New Roman;Times;Serif"/>
          <w:b w:val="false"/>
          <w:i w:val="false"/>
          <w:caps w:val="false"/>
          <w:smallCaps w:val="false"/>
          <w:sz w:val="20"/>
        </w:rPr>
        <w:t>”), to ___________________________ (the “</w:t>
      </w:r>
      <w:r>
        <w:rPr>
          <w:rFonts w:ascii="Times New Roman;Times;Serif" w:hAnsi="Times New Roman;Times;Serif"/>
          <w:b w:val="false"/>
          <w:i/>
          <w:caps w:val="false"/>
          <w:smallCaps w:val="false"/>
          <w:sz w:val="20"/>
        </w:rPr>
        <w:t>Transferee</w:t>
      </w:r>
      <w:r>
        <w:rPr>
          <w:rFonts w:ascii="Times New Roman;Times;Serif" w:hAnsi="Times New Roman;Times;Serif"/>
          <w:b w:val="false"/>
          <w:i w:val="false"/>
          <w:caps w:val="false"/>
          <w:smallCaps w:val="false"/>
          <w:sz w:val="20"/>
        </w:rPr>
        <w:t>”), as further specified in Annex A hereto. In connection with the Transfer, the Transferor hereby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ALL THAT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   </w:t>
      </w:r>
      <w:r>
        <w:rPr>
          <w:rFonts w:ascii="Times New Roman;Times;Serif" w:hAnsi="Times New Roman;Times;Serif"/>
          <w:b/>
          <w:i w:val="false"/>
          <w:caps w:val="false"/>
          <w:smallCaps w:val="false"/>
          <w:sz w:val="20"/>
          <w:u w:val="single"/>
        </w:rPr>
        <w:t>Check if Transferee will take delivery of a beneficial interest in the 144A Global Note or a Restricted Definitive Note pursuant to Rule 144A</w:t>
      </w:r>
      <w:r>
        <w:rPr>
          <w:rFonts w:ascii="Times New Roman;Times;Serif" w:hAnsi="Times New Roman;Times;Serif"/>
          <w:b w:val="false"/>
          <w:i w:val="false"/>
          <w:caps w:val="false"/>
          <w:smallCaps w:val="false"/>
          <w:sz w:val="20"/>
        </w:rPr>
        <w:t>. The Transfer is being effected pursuant to and in accordance with Rule 144A under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   </w:t>
      </w:r>
      <w:r>
        <w:rPr>
          <w:rFonts w:ascii="Times New Roman;Times;Serif" w:hAnsi="Times New Roman;Times;Serif"/>
          <w:b/>
          <w:i w:val="false"/>
          <w:caps w:val="false"/>
          <w:smallCaps w:val="false"/>
          <w:sz w:val="20"/>
          <w:u w:val="single"/>
        </w:rPr>
        <w:t>Check if Transferee will take delivery of a beneficial interest in the Regulation S Global Note or a Restricted Definitive Note pursuant to Regulation S</w:t>
      </w:r>
      <w:r>
        <w:rPr>
          <w:rFonts w:ascii="Times New Roman;Times;Serif" w:hAnsi="Times New Roman;Times;Serif"/>
          <w:b w:val="false"/>
          <w:i w:val="false"/>
          <w:caps w:val="false"/>
          <w:smallCaps w:val="false"/>
          <w:sz w:val="20"/>
        </w:rPr>
        <w:t>.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w:t>
      </w:r>
      <w:r>
        <w:rPr>
          <w:rFonts w:ascii="Times New Roman;Times;Serif" w:hAnsi="Times New Roman;Times;Serif"/>
          <w:b/>
          <w:i w:val="false"/>
          <w:caps w:val="false"/>
          <w:smallCaps w:val="false"/>
          <w:sz w:val="20"/>
          <w:u w:val="single"/>
        </w:rPr>
        <w:t>Check and complete if Transferee will take delivery of a beneficial interest in the IAI Global Note or a Restricted Definitive Note pursuant to any provision of the Securities Act other than Rule 144A or Regulation S</w:t>
      </w:r>
      <w:r>
        <w:rPr>
          <w:rFonts w:ascii="Times New Roman;Times;Serif" w:hAnsi="Times New Roman;Times;Serif"/>
          <w:b w:val="false"/>
          <w:i w:val="false"/>
          <w:caps w:val="false"/>
          <w:smallCaps w:val="false"/>
          <w:sz w:val="20"/>
        </w:rPr>
        <w:t>.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such Transfer is being effected pursuant to and in accordance with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such Transfer is being effected to the Company or a subsidiary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such Transfer is being effected pursuant to an effective registration statement under the Securities Act and in compliance with the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   </w:t>
      </w:r>
      <w:r>
        <w:rPr>
          <w:rFonts w:ascii="Times New Roman;Times;Serif" w:hAnsi="Times New Roman;Times;Serif"/>
          <w:b/>
          <w:i w:val="false"/>
          <w:caps w:val="false"/>
          <w:smallCaps w:val="false"/>
          <w:sz w:val="20"/>
          <w:u w:val="single"/>
        </w:rPr>
        <w:t>Check if Transferee will take delivery of a beneficial interest in an Unrestricted Global Note or of an Unrestricted Definitive 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 </w:t>
      </w:r>
      <w:r>
        <w:rPr>
          <w:rFonts w:ascii="Times New Roman;Times;Serif" w:hAnsi="Times New Roman;Times;Serif"/>
          <w:b/>
          <w:i w:val="false"/>
          <w:caps w:val="false"/>
          <w:smallCaps w:val="false"/>
          <w:sz w:val="20"/>
        </w:rPr>
        <w:t>Check if Transfer is pursuant to Rule 144</w:t>
      </w:r>
      <w:r>
        <w:rPr>
          <w:rFonts w:ascii="Times New Roman;Times;Serif" w:hAnsi="Times New Roman;Times;Serif"/>
          <w:b w:val="false"/>
          <w:i w:val="false"/>
          <w:caps w:val="false"/>
          <w:smallCaps w:val="false"/>
          <w:sz w:val="20"/>
        </w:rPr>
        <w:t>.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 </w:t>
      </w:r>
      <w:r>
        <w:rPr>
          <w:rFonts w:ascii="Times New Roman;Times;Serif" w:hAnsi="Times New Roman;Times;Serif"/>
          <w:b/>
          <w:i w:val="false"/>
          <w:caps w:val="false"/>
          <w:smallCaps w:val="false"/>
          <w:sz w:val="20"/>
        </w:rPr>
        <w:t>Check if Transfer is Pursuant to Regulation S</w:t>
      </w:r>
      <w:r>
        <w:rPr>
          <w:rFonts w:ascii="Times New Roman;Times;Serif" w:hAnsi="Times New Roman;Times;Serif"/>
          <w:b w:val="false"/>
          <w:i w:val="false"/>
          <w:caps w:val="false"/>
          <w:smallCaps w:val="false"/>
          <w:sz w:val="20"/>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 </w:t>
      </w:r>
      <w:r>
        <w:rPr>
          <w:rFonts w:ascii="Times New Roman;Times;Serif" w:hAnsi="Times New Roman;Times;Serif"/>
          <w:b/>
          <w:i w:val="false"/>
          <w:caps w:val="false"/>
          <w:smallCaps w:val="false"/>
          <w:sz w:val="20"/>
        </w:rPr>
        <w:t>Check if Transfer is Pursuant to Other Exemption</w:t>
      </w:r>
      <w:r>
        <w:rPr>
          <w:rFonts w:ascii="Times New Roman;Times;Serif" w:hAnsi="Times New Roman;Times;Serif"/>
          <w:b w:val="false"/>
          <w:i w:val="false"/>
          <w:caps w:val="false"/>
          <w:smallCaps w:val="false"/>
          <w:sz w:val="20"/>
        </w:rPr>
        <w:t>.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statements contained herein are made for your benefit and the benefit of the Company.</w:t>
      </w:r>
    </w:p>
    <w:p>
      <w:pPr>
        <w:pStyle w:val="TextBody"/>
        <w:bidi w:val="0"/>
        <w:spacing w:before="0" w:after="0"/>
        <w:ind w:left="0" w:right="0" w:hanging="0"/>
        <w:jc w:val="left"/>
        <w:rPr>
          <w:caps w:val="false"/>
          <w:smallCaps w:val="false"/>
        </w:rPr>
      </w:pPr>
      <w:r>
        <w:rPr>
          <w:caps w:val="false"/>
          <w:smallCaps w:val="false"/>
        </w:rPr>
        <w:t> </w:t>
      </w:r>
    </w:p>
    <w:tbl>
      <w:tblPr>
        <w:tblW w:w="3339" w:type="dxa"/>
        <w:jc w:val="left"/>
        <w:tblInd w:w="0" w:type="dxa"/>
        <w:tblLayout w:type="fixed"/>
        <w:tblCellMar>
          <w:top w:w="0" w:type="dxa"/>
          <w:left w:w="0" w:type="dxa"/>
          <w:bottom w:w="0" w:type="dxa"/>
          <w:right w:w="0" w:type="dxa"/>
        </w:tblCellMar>
      </w:tblPr>
      <w:tblGrid>
        <w:gridCol w:w="575"/>
        <w:gridCol w:w="60"/>
        <w:gridCol w:w="60"/>
        <w:gridCol w:w="903"/>
        <w:gridCol w:w="1741"/>
      </w:tblGrid>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pPr>
            <w:r>
              <w:rPr/>
              <w:t>[Insert Name of Transferor]</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4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TO CERTIFICATE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Transferor owns and proposes to transfer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OF (a) OR (b)]</w:t>
      </w:r>
    </w:p>
    <w:p>
      <w:pPr>
        <w:pStyle w:val="TextBody"/>
        <w:bidi w:val="0"/>
        <w:spacing w:before="0" w:after="0"/>
        <w:ind w:left="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4925"/>
      </w:tblGrid>
      <w:tr>
        <w:trPr/>
        <w:tc>
          <w:tcPr>
            <w:tcW w:w="4925" w:type="dxa"/>
            <w:tcBorders/>
            <w:vAlign w:val="center"/>
          </w:tcPr>
          <w:p>
            <w:pPr>
              <w:pStyle w:val="TableContents"/>
              <w:bidi w:val="0"/>
              <w:spacing w:before="0" w:after="283"/>
              <w:jc w:val="left"/>
              <w:rPr>
                <w:sz w:val="20"/>
              </w:rPr>
            </w:pPr>
            <w:r>
              <w:rPr>
                <w:sz w:val="20"/>
              </w:rPr>
              <w:t>(a)    ☐ a beneficial interest in the:</w:t>
            </w:r>
          </w:p>
        </w:tc>
      </w:tr>
      <w:tr>
        <w:trPr/>
        <w:tc>
          <w:tcPr>
            <w:tcW w:w="4925" w:type="dxa"/>
            <w:tcBorders/>
            <w:vAlign w:val="center"/>
          </w:tcPr>
          <w:p>
            <w:pPr>
              <w:pStyle w:val="TableContents"/>
              <w:bidi w:val="0"/>
              <w:spacing w:before="0" w:after="283"/>
              <w:jc w:val="left"/>
              <w:rPr>
                <w:sz w:val="20"/>
              </w:rPr>
            </w:pPr>
            <w:r>
              <w:rPr>
                <w:sz w:val="20"/>
              </w:rPr>
              <w:t>(i)      ☐    144A Global Note (CUSIP _________), or</w:t>
            </w:r>
          </w:p>
        </w:tc>
      </w:tr>
      <w:tr>
        <w:trPr/>
        <w:tc>
          <w:tcPr>
            <w:tcW w:w="4925" w:type="dxa"/>
            <w:tcBorders/>
            <w:vAlign w:val="center"/>
          </w:tcPr>
          <w:p>
            <w:pPr>
              <w:pStyle w:val="TableContents"/>
              <w:bidi w:val="0"/>
              <w:spacing w:before="0" w:after="283"/>
              <w:jc w:val="left"/>
              <w:rPr>
                <w:sz w:val="20"/>
              </w:rPr>
            </w:pPr>
            <w:r>
              <w:rPr>
                <w:sz w:val="20"/>
              </w:rPr>
              <w:t>(ii)     ☐    Regulation S Global Note (CUSIP _________), or</w:t>
            </w:r>
          </w:p>
        </w:tc>
      </w:tr>
      <w:tr>
        <w:trPr/>
        <w:tc>
          <w:tcPr>
            <w:tcW w:w="4925" w:type="dxa"/>
            <w:tcBorders/>
            <w:vAlign w:val="center"/>
          </w:tcPr>
          <w:p>
            <w:pPr>
              <w:pStyle w:val="TableContents"/>
              <w:bidi w:val="0"/>
              <w:spacing w:before="0" w:after="283"/>
              <w:jc w:val="left"/>
              <w:rPr>
                <w:sz w:val="20"/>
              </w:rPr>
            </w:pPr>
            <w:r>
              <w:rPr>
                <w:sz w:val="20"/>
              </w:rPr>
              <w:t>(iii)    ☐    IAI Global Note (CUSIP _________); or</w:t>
            </w:r>
          </w:p>
        </w:tc>
      </w:tr>
      <w:tr>
        <w:trPr/>
        <w:tc>
          <w:tcPr>
            <w:tcW w:w="4925" w:type="dxa"/>
            <w:tcBorders/>
            <w:vAlign w:val="center"/>
          </w:tcPr>
          <w:p>
            <w:pPr>
              <w:pStyle w:val="TableContents"/>
              <w:bidi w:val="0"/>
              <w:spacing w:before="0" w:after="283"/>
              <w:jc w:val="left"/>
              <w:rPr>
                <w:sz w:val="20"/>
              </w:rPr>
            </w:pPr>
            <w:r>
              <w:rPr>
                <w:sz w:val="20"/>
              </w:rPr>
              <w:t>(b)    ☐ a Restricted Definitive Note.</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the Transfer the Transferee will hold:</w:t>
      </w:r>
    </w:p>
    <w:p>
      <w:pPr>
        <w:pStyle w:val="TextBody"/>
        <w:bidi w:val="0"/>
        <w:spacing w:before="0" w:after="283"/>
        <w:jc w:val="left"/>
        <w:rPr/>
      </w:pPr>
      <w:r>
        <w:rPr/>
        <w:t> </w:t>
      </w:r>
    </w:p>
    <w:tbl>
      <w:tblPr>
        <w:tblW w:w="4924" w:type="dxa"/>
        <w:jc w:val="left"/>
        <w:tblInd w:w="0" w:type="dxa"/>
        <w:tblLayout w:type="fixed"/>
        <w:tblCellMar>
          <w:top w:w="0" w:type="dxa"/>
          <w:left w:w="0" w:type="dxa"/>
          <w:bottom w:w="0" w:type="dxa"/>
          <w:right w:w="0" w:type="dxa"/>
        </w:tblCellMar>
      </w:tblPr>
      <w:tblGrid>
        <w:gridCol w:w="4648"/>
        <w:gridCol w:w="276"/>
      </w:tblGrid>
      <w:tr>
        <w:trPr/>
        <w:tc>
          <w:tcPr>
            <w:tcW w:w="4648" w:type="dxa"/>
            <w:tcBorders/>
            <w:vAlign w:val="center"/>
          </w:tcPr>
          <w:p>
            <w:pPr>
              <w:pStyle w:val="TableContents"/>
              <w:bidi w:val="0"/>
              <w:spacing w:before="0" w:after="283"/>
              <w:jc w:val="center"/>
              <w:rPr>
                <w:sz w:val="20"/>
              </w:rPr>
            </w:pPr>
            <w:r>
              <w:rPr>
                <w:sz w:val="20"/>
              </w:rPr>
              <w:t>[CHECK ONE]</w:t>
            </w:r>
          </w:p>
        </w:tc>
        <w:tc>
          <w:tcPr>
            <w:tcW w:w="276" w:type="dxa"/>
            <w:tcBorders/>
            <w:vAlign w:val="center"/>
          </w:tcPr>
          <w:p>
            <w:pPr>
              <w:pStyle w:val="TableContents"/>
              <w:bidi w:val="0"/>
              <w:spacing w:before="0" w:after="283"/>
              <w:jc w:val="center"/>
              <w:rPr/>
            </w:pPr>
            <w:r>
              <w:rPr/>
              <w:t> </w:t>
            </w:r>
          </w:p>
        </w:tc>
      </w:tr>
      <w:tr>
        <w:trPr/>
        <w:tc>
          <w:tcPr>
            <w:tcW w:w="4924" w:type="dxa"/>
            <w:gridSpan w:val="2"/>
            <w:tcBorders/>
            <w:vAlign w:val="center"/>
          </w:tcPr>
          <w:p>
            <w:pPr>
              <w:pStyle w:val="TableContents"/>
              <w:bidi w:val="0"/>
              <w:spacing w:before="0" w:after="283"/>
              <w:jc w:val="left"/>
              <w:rPr>
                <w:sz w:val="20"/>
              </w:rPr>
            </w:pPr>
            <w:r>
              <w:rPr>
                <w:sz w:val="20"/>
              </w:rPr>
              <w:t>(a)    ☐ a beneficial interest in the:</w:t>
            </w:r>
          </w:p>
        </w:tc>
      </w:tr>
      <w:tr>
        <w:trPr/>
        <w:tc>
          <w:tcPr>
            <w:tcW w:w="4924" w:type="dxa"/>
            <w:gridSpan w:val="2"/>
            <w:tcBorders/>
            <w:vAlign w:val="center"/>
          </w:tcPr>
          <w:p>
            <w:pPr>
              <w:pStyle w:val="TableContents"/>
              <w:bidi w:val="0"/>
              <w:spacing w:before="0" w:after="283"/>
              <w:jc w:val="left"/>
              <w:rPr>
                <w:sz w:val="20"/>
              </w:rPr>
            </w:pPr>
            <w:r>
              <w:rPr>
                <w:sz w:val="20"/>
              </w:rPr>
              <w:t>(i)      ☐    144A Global Note (CUSIP _________), or</w:t>
            </w:r>
          </w:p>
        </w:tc>
      </w:tr>
      <w:tr>
        <w:trPr/>
        <w:tc>
          <w:tcPr>
            <w:tcW w:w="4924" w:type="dxa"/>
            <w:gridSpan w:val="2"/>
            <w:tcBorders/>
            <w:vAlign w:val="center"/>
          </w:tcPr>
          <w:p>
            <w:pPr>
              <w:pStyle w:val="TableContents"/>
              <w:bidi w:val="0"/>
              <w:spacing w:before="0" w:after="283"/>
              <w:jc w:val="left"/>
              <w:rPr>
                <w:sz w:val="20"/>
              </w:rPr>
            </w:pPr>
            <w:r>
              <w:rPr>
                <w:sz w:val="20"/>
              </w:rPr>
              <w:t>(ii)     ☐    Regulation S Global Note (CUSIP _________), or</w:t>
            </w:r>
          </w:p>
        </w:tc>
      </w:tr>
      <w:tr>
        <w:trPr/>
        <w:tc>
          <w:tcPr>
            <w:tcW w:w="4924" w:type="dxa"/>
            <w:gridSpan w:val="2"/>
            <w:tcBorders/>
            <w:vAlign w:val="center"/>
          </w:tcPr>
          <w:p>
            <w:pPr>
              <w:pStyle w:val="TableContents"/>
              <w:bidi w:val="0"/>
              <w:spacing w:before="0" w:after="283"/>
              <w:jc w:val="left"/>
              <w:rPr>
                <w:sz w:val="20"/>
              </w:rPr>
            </w:pPr>
            <w:r>
              <w:rPr>
                <w:sz w:val="20"/>
              </w:rPr>
              <w:t>(iii)    ☐    IAI Global Note (CUSIP _________); or</w:t>
            </w:r>
          </w:p>
        </w:tc>
      </w:tr>
      <w:tr>
        <w:trPr/>
        <w:tc>
          <w:tcPr>
            <w:tcW w:w="4924" w:type="dxa"/>
            <w:gridSpan w:val="2"/>
            <w:tcBorders/>
            <w:vAlign w:val="center"/>
          </w:tcPr>
          <w:p>
            <w:pPr>
              <w:pStyle w:val="TableContents"/>
              <w:bidi w:val="0"/>
              <w:spacing w:before="0" w:after="283"/>
              <w:jc w:val="left"/>
              <w:rPr>
                <w:sz w:val="20"/>
              </w:rPr>
            </w:pPr>
            <w:r>
              <w:rPr>
                <w:sz w:val="20"/>
              </w:rPr>
              <w:t>(iv)    ☐    Unrestricted Global Note (CUSIP _________); or</w:t>
            </w:r>
          </w:p>
        </w:tc>
      </w:tr>
      <w:tr>
        <w:trPr/>
        <w:tc>
          <w:tcPr>
            <w:tcW w:w="4924" w:type="dxa"/>
            <w:gridSpan w:val="2"/>
            <w:tcBorders/>
            <w:vAlign w:val="center"/>
          </w:tcPr>
          <w:p>
            <w:pPr>
              <w:pStyle w:val="TableContents"/>
              <w:bidi w:val="0"/>
              <w:spacing w:before="0" w:after="283"/>
              <w:jc w:val="left"/>
              <w:rPr>
                <w:sz w:val="20"/>
              </w:rPr>
            </w:pPr>
            <w:r>
              <w:rPr>
                <w:sz w:val="20"/>
              </w:rPr>
              <w:t>(b)    ☐ a Restricted Definitive Note; or</w:t>
            </w:r>
          </w:p>
        </w:tc>
      </w:tr>
      <w:tr>
        <w:trPr/>
        <w:tc>
          <w:tcPr>
            <w:tcW w:w="4924" w:type="dxa"/>
            <w:gridSpan w:val="2"/>
            <w:tcBorders/>
            <w:vAlign w:val="center"/>
          </w:tcPr>
          <w:p>
            <w:pPr>
              <w:pStyle w:val="TableContents"/>
              <w:bidi w:val="0"/>
              <w:spacing w:before="0" w:after="283"/>
              <w:jc w:val="left"/>
              <w:rPr>
                <w:sz w:val="20"/>
              </w:rPr>
            </w:pPr>
            <w:r>
              <w:rPr>
                <w:sz w:val="20"/>
              </w:rPr>
              <w:t>(c)    ☐ an Unrestricted Definitive Note,</w:t>
            </w:r>
          </w:p>
        </w:tc>
      </w:tr>
      <w:tr>
        <w:trPr/>
        <w:tc>
          <w:tcPr>
            <w:tcW w:w="4924" w:type="dxa"/>
            <w:gridSpan w:val="2"/>
            <w:tcBorders/>
            <w:vAlign w:val="center"/>
          </w:tcPr>
          <w:p>
            <w:pPr>
              <w:pStyle w:val="TableContents"/>
              <w:bidi w:val="0"/>
              <w:spacing w:before="0" w:after="283"/>
              <w:jc w:val="left"/>
              <w:rPr>
                <w:sz w:val="20"/>
              </w:rPr>
            </w:pPr>
            <w:r>
              <w:rPr>
                <w:sz w:val="20"/>
              </w:rPr>
              <w:t>in accordance with the terms of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Operating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Clearway Energy, Inc.</w:t>
        <w:br/>
        <w:t>300 Carnegie Center, Suite 300</w:t>
        <w:br/>
        <w:t>Princeton, New Jersey 08540</w:t>
        <w:b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CSC Delaware Trust Company</w:t>
        <w:br/>
        <w:t>251 Little Falls Drive</w:t>
        <w:br/>
        <w:t>Wilmington, Delaware 19808</w:t>
        <w:br/>
        <w:t>Attention: Corporate Trust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5.750% Senior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January 13, 2026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among Clearway Energy Operating LLC, as issuer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the Guarantors party thereto and CSC Delaware Trust Company, as trustee. Capitalized terms used but not defined herein shall have the meanings given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 (the “</w:t>
      </w:r>
      <w:r>
        <w:rPr>
          <w:rFonts w:ascii="Times New Roman;Times;Serif" w:hAnsi="Times New Roman;Times;Serif"/>
          <w:b w:val="false"/>
          <w:i/>
          <w:caps w:val="false"/>
          <w:smallCaps w:val="false"/>
          <w:sz w:val="20"/>
        </w:rPr>
        <w:t>Owner</w:t>
      </w:r>
      <w:r>
        <w:rPr>
          <w:rFonts w:ascii="Times New Roman;Times;Serif" w:hAnsi="Times New Roman;Times;Serif"/>
          <w:b w:val="false"/>
          <w:i w:val="false"/>
          <w:caps w:val="false"/>
          <w:smallCaps w:val="false"/>
          <w:sz w:val="20"/>
        </w:rPr>
        <w:t>”) owns and proposes to exchange the Note[s] or interest in such Note[s] specified herein, in the principal amount of $____________ in such Note[s] or interests (the “</w:t>
      </w:r>
      <w:r>
        <w:rPr>
          <w:rFonts w:ascii="Times New Roman;Times;Serif" w:hAnsi="Times New Roman;Times;Serif"/>
          <w:b w:val="false"/>
          <w:i/>
          <w:caps w:val="false"/>
          <w:smallCaps w:val="false"/>
          <w:sz w:val="20"/>
        </w:rPr>
        <w:t>Exchange</w:t>
      </w:r>
      <w:r>
        <w:rPr>
          <w:rFonts w:ascii="Times New Roman;Times;Serif" w:hAnsi="Times New Roman;Times;Serif"/>
          <w:b w:val="false"/>
          <w:i w:val="false"/>
          <w:caps w:val="false"/>
          <w:smallCaps w:val="false"/>
          <w:sz w:val="20"/>
        </w:rPr>
        <w:t>”). In connection with the Exchange, the Owner hereby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u w:val="single"/>
        </w:rPr>
        <w:t>Exchange of Restricted Definitive Notes or Beneficial Interests in a Restricted Global Note for Unrestricted Definitive Notes or Beneficial Interests in an Unrestricted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 </w:t>
      </w:r>
      <w:r>
        <w:rPr>
          <w:rFonts w:ascii="Times New Roman;Times;Serif" w:hAnsi="Times New Roman;Times;Serif"/>
          <w:b/>
          <w:i w:val="false"/>
          <w:caps w:val="false"/>
          <w:smallCaps w:val="false"/>
          <w:sz w:val="20"/>
        </w:rPr>
        <w:t>Check if Exchange is from beneficial interest in a Restricted Global Note to beneficial interest in an Unrestricted Global Note</w:t>
      </w:r>
      <w:r>
        <w:rPr>
          <w:rFonts w:ascii="Times New Roman;Times;Serif" w:hAnsi="Times New Roman;Times;Serif"/>
          <w:b w:val="false"/>
          <w:i w:val="false"/>
          <w:caps w:val="false"/>
          <w:smallCaps w:val="false"/>
          <w:sz w:val="20"/>
        </w:rPr>
        <w:t>.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 </w:t>
      </w:r>
      <w:r>
        <w:rPr>
          <w:rFonts w:ascii="Times New Roman;Times;Serif" w:hAnsi="Times New Roman;Times;Serif"/>
          <w:b/>
          <w:i w:val="false"/>
          <w:caps w:val="false"/>
          <w:smallCaps w:val="false"/>
          <w:sz w:val="20"/>
        </w:rPr>
        <w:t>Check if Exchange is from beneficial interest in a Restricted Global Note to Unrestricted Definitive Note</w:t>
      </w:r>
      <w:r>
        <w:rPr>
          <w:rFonts w:ascii="Times New Roman;Times;Serif" w:hAnsi="Times New Roman;Times;Serif"/>
          <w:b w:val="false"/>
          <w:i w:val="false"/>
          <w:caps w:val="false"/>
          <w:smallCaps w:val="false"/>
          <w:sz w:val="20"/>
        </w:rPr>
        <w:t>.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 </w:t>
      </w:r>
      <w:r>
        <w:rPr>
          <w:rFonts w:ascii="Times New Roman;Times;Serif" w:hAnsi="Times New Roman;Times;Serif"/>
          <w:b/>
          <w:i w:val="false"/>
          <w:caps w:val="false"/>
          <w:smallCaps w:val="false"/>
          <w:sz w:val="20"/>
        </w:rPr>
        <w:t>Check if Exchange is from Restricted Definitive Note to beneficial interest in an Unrestricted Global Note</w:t>
      </w:r>
      <w:r>
        <w:rPr>
          <w:rFonts w:ascii="Times New Roman;Times;Serif" w:hAnsi="Times New Roman;Times;Serif"/>
          <w:b w:val="false"/>
          <w:i w:val="false"/>
          <w:caps w:val="false"/>
          <w:smallCaps w:val="false"/>
          <w:sz w:val="20"/>
        </w:rPr>
        <w:t>.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 </w:t>
      </w:r>
      <w:r>
        <w:rPr>
          <w:rFonts w:ascii="Times New Roman;Times;Serif" w:hAnsi="Times New Roman;Times;Serif"/>
          <w:b/>
          <w:i w:val="false"/>
          <w:caps w:val="false"/>
          <w:smallCaps w:val="false"/>
          <w:sz w:val="20"/>
        </w:rPr>
        <w:t>Check if Exchange is from Restricted Definitive Note to Unrestricted Definitive Note</w:t>
      </w:r>
      <w:r>
        <w:rPr>
          <w:rFonts w:ascii="Times New Roman;Times;Serif" w:hAnsi="Times New Roman;Times;Serif"/>
          <w:b w:val="false"/>
          <w:i w:val="false"/>
          <w:caps w:val="false"/>
          <w:smallCaps w:val="false"/>
          <w:sz w:val="20"/>
        </w:rPr>
        <w:t>.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u w:val="single"/>
        </w:rPr>
        <w:t>Exchange of Restricted Definitive Notes or Beneficial Interests in Restricted Global Notes for Restricted Definitive Notes or Beneficial Interests in Restricted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 </w:t>
      </w:r>
      <w:r>
        <w:rPr>
          <w:rFonts w:ascii="Times New Roman;Times;Serif" w:hAnsi="Times New Roman;Times;Serif"/>
          <w:b/>
          <w:i w:val="false"/>
          <w:caps w:val="false"/>
          <w:smallCaps w:val="false"/>
          <w:sz w:val="20"/>
        </w:rPr>
        <w:t>Check if Exchange is from beneficial interest in a Restricted Global Note to Restricted Definitive Note.</w:t>
      </w:r>
      <w:r>
        <w:rPr>
          <w:rFonts w:ascii="Times New Roman;Times;Serif" w:hAnsi="Times New Roman;Times;Serif"/>
          <w:b w:val="false"/>
          <w:i w:val="false"/>
          <w:caps w:val="false"/>
          <w:smallCaps w:val="false"/>
          <w:sz w:val="20"/>
        </w:rPr>
        <w:t xml:space="preserv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 </w:t>
      </w:r>
      <w:r>
        <w:rPr>
          <w:rFonts w:ascii="Times New Roman;Times;Serif" w:hAnsi="Times New Roman;Times;Serif"/>
          <w:b/>
          <w:i w:val="false"/>
          <w:caps w:val="false"/>
          <w:smallCaps w:val="false"/>
          <w:sz w:val="20"/>
        </w:rPr>
        <w:t>Check if Exchange is from Restricted Definitive Note to beneficial interest in a Restricted Global Note</w:t>
      </w:r>
      <w:r>
        <w:rPr>
          <w:rFonts w:ascii="Times New Roman;Times;Serif" w:hAnsi="Times New Roman;Times;Serif"/>
          <w:b w:val="false"/>
          <w:i w:val="false"/>
          <w:caps w:val="false"/>
          <w:smallCaps w:val="false"/>
          <w:sz w:val="20"/>
        </w:rPr>
        <w:t>. In connection with the Exchange of the Owner’s Restricted Definitive Note for a beneficial interest in the [CHECK ONE] ☐ 144A Global Note, ☐ Regulation S Global Note, ☐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statements contained herein are made for your benefit and the benefit of the Company.</w:t>
      </w:r>
    </w:p>
    <w:p>
      <w:pPr>
        <w:pStyle w:val="TextBody"/>
        <w:bidi w:val="0"/>
        <w:spacing w:before="0" w:after="0"/>
        <w:ind w:left="0" w:right="0" w:hanging="0"/>
        <w:jc w:val="left"/>
        <w:rPr/>
      </w:pPr>
      <w:r>
        <w:rPr>
          <w:caps w:val="false"/>
          <w:smallCaps w:val="false"/>
        </w:rPr>
        <w:t> </w:t>
      </w:r>
      <w:r>
        <w:rPr/>
        <w:t xml:space="preserve"> </w:t>
      </w:r>
    </w:p>
    <w:tbl>
      <w:tblPr>
        <w:tblW w:w="5124" w:type="dxa"/>
        <w:jc w:val="left"/>
        <w:tblInd w:w="0" w:type="dxa"/>
        <w:tblLayout w:type="fixed"/>
        <w:tblCellMar>
          <w:top w:w="0" w:type="dxa"/>
          <w:left w:w="0" w:type="dxa"/>
          <w:bottom w:w="0" w:type="dxa"/>
          <w:right w:w="0" w:type="dxa"/>
        </w:tblCellMar>
      </w:tblPr>
      <w:tblGrid>
        <w:gridCol w:w="2930"/>
        <w:gridCol w:w="798"/>
        <w:gridCol w:w="1396"/>
      </w:tblGrid>
      <w:tr>
        <w:trPr/>
        <w:tc>
          <w:tcPr>
            <w:tcW w:w="29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39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[Insert Name of Transferor]</w:t>
            </w:r>
          </w:p>
        </w:tc>
      </w:tr>
      <w:tr>
        <w:trPr/>
        <w:tc>
          <w:tcPr>
            <w:tcW w:w="2930"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9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sz w:val="20"/>
              </w:rPr>
            </w:pPr>
            <w:r>
              <w:rPr>
                <w:sz w:val="20"/>
              </w:rPr>
              <w:t>Name:</w:t>
            </w:r>
          </w:p>
        </w:tc>
      </w:tr>
      <w:tr>
        <w:trPr/>
        <w:tc>
          <w:tcPr>
            <w:tcW w:w="29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sz w:val="20"/>
              </w:rPr>
            </w:pPr>
            <w:r>
              <w:rPr>
                <w:sz w:val="20"/>
              </w:rPr>
              <w:t>Title:</w:t>
            </w:r>
          </w:p>
        </w:tc>
      </w:tr>
      <w:tr>
        <w:trPr/>
        <w:tc>
          <w:tcPr>
            <w:tcW w:w="29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______________________</w:t>
            </w:r>
          </w:p>
        </w:tc>
        <w:tc>
          <w:tcPr>
            <w:tcW w:w="2194"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w:t>
        <w:br/>
        <w:t>ACQUIRING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Operating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Clearway Energy, Inc.</w:t>
        <w:br/>
        <w:t>300 Carnegie Center, Suite 300</w:t>
        <w:br/>
        <w:t>Princeton, New Jersey 08540</w:t>
        <w:b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CSC Delaware Trust Company</w:t>
        <w:br/>
        <w:t>251 Little Falls Drive</w:t>
        <w:br/>
        <w:t>Wilmington, Delaware 19808</w:t>
        <w:br/>
        <w:t>Attention: Corporate Trust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5.750% Senior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January 13, 2026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among Clearway Energy Operating LLC, as issuer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the Guarantors party thereto and CSC Delaware Trust Company, as trustee. Capitalized terms used but not defined herein shall have the meanings given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proposed purchase of $____________ aggregate principal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 beneficial interest in a Global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a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confirm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We are acquiring the Notes or beneficial interest therein purchased by us for our own account or for one or more accounts (each of which is an institutional “accredited investor”) as to each of which we exercise sole investment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pStyle w:val="TextBody"/>
        <w:bidi w:val="0"/>
        <w:spacing w:before="0" w:after="0"/>
        <w:ind w:left="0" w:right="0" w:hanging="0"/>
        <w:jc w:val="left"/>
        <w:rPr>
          <w:caps w:val="false"/>
          <w:smallCaps w:val="false"/>
        </w:rPr>
      </w:pPr>
      <w:r>
        <w:rPr>
          <w:caps w:val="false"/>
          <w:smallCaps w:val="false"/>
        </w:rPr>
        <w:t> </w:t>
      </w:r>
    </w:p>
    <w:tbl>
      <w:tblPr>
        <w:tblW w:w="5889" w:type="dxa"/>
        <w:jc w:val="left"/>
        <w:tblInd w:w="0" w:type="dxa"/>
        <w:tblLayout w:type="fixed"/>
        <w:tblCellMar>
          <w:top w:w="0" w:type="dxa"/>
          <w:left w:w="0" w:type="dxa"/>
          <w:bottom w:w="0" w:type="dxa"/>
          <w:right w:w="0" w:type="dxa"/>
        </w:tblCellMar>
      </w:tblPr>
      <w:tblGrid>
        <w:gridCol w:w="2930"/>
        <w:gridCol w:w="1022"/>
        <w:gridCol w:w="1937"/>
      </w:tblGrid>
      <w:tr>
        <w:trPr/>
        <w:tc>
          <w:tcPr>
            <w:tcW w:w="2930" w:type="dxa"/>
            <w:tcBorders/>
            <w:vAlign w:val="center"/>
          </w:tcPr>
          <w:p>
            <w:pPr>
              <w:pStyle w:val="TableContents"/>
              <w:bidi w:val="0"/>
              <w:spacing w:before="0" w:after="283"/>
              <w:jc w:val="left"/>
              <w:rPr/>
            </w:pPr>
            <w:r>
              <w:rPr/>
              <w:t> </w:t>
            </w:r>
          </w:p>
        </w:tc>
        <w:tc>
          <w:tcPr>
            <w:tcW w:w="295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2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[Insert Name of Accredited Investor]</w:t>
            </w:r>
          </w:p>
        </w:tc>
      </w:tr>
      <w:tr>
        <w:trPr/>
        <w:tc>
          <w:tcPr>
            <w:tcW w:w="2930" w:type="dxa"/>
            <w:tcBorders/>
            <w:vAlign w:val="center"/>
          </w:tcPr>
          <w:p>
            <w:pPr>
              <w:pStyle w:val="TableContents"/>
              <w:bidi w:val="0"/>
              <w:spacing w:before="0" w:after="283"/>
              <w:jc w:val="left"/>
              <w:rPr/>
            </w:pPr>
            <w:r>
              <w:rPr/>
              <w:t> </w:t>
            </w:r>
          </w:p>
        </w:tc>
        <w:tc>
          <w:tcPr>
            <w:tcW w:w="2959" w:type="dxa"/>
            <w:gridSpan w:val="2"/>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3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1937" w:type="dxa"/>
            <w:tcBorders/>
            <w:vAlign w:val="center"/>
          </w:tcPr>
          <w:p>
            <w:pPr>
              <w:pStyle w:val="TableContents"/>
              <w:bidi w:val="0"/>
              <w:spacing w:before="0" w:after="283"/>
              <w:jc w:val="left"/>
              <w:rPr>
                <w:sz w:val="20"/>
              </w:rPr>
            </w:pPr>
            <w:r>
              <w:rPr>
                <w:sz w:val="20"/>
              </w:rPr>
              <w:t>Name:</w:t>
            </w:r>
          </w:p>
        </w:tc>
      </w:tr>
      <w:tr>
        <w:trPr/>
        <w:tc>
          <w:tcPr>
            <w:tcW w:w="293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1937" w:type="dxa"/>
            <w:tcBorders/>
            <w:vAlign w:val="center"/>
          </w:tcPr>
          <w:p>
            <w:pPr>
              <w:pStyle w:val="TableContents"/>
              <w:bidi w:val="0"/>
              <w:spacing w:before="0" w:after="283"/>
              <w:jc w:val="left"/>
              <w:rPr>
                <w:sz w:val="20"/>
              </w:rPr>
            </w:pPr>
            <w:r>
              <w:rPr>
                <w:sz w:val="20"/>
              </w:rPr>
              <w:t>Title:</w:t>
            </w:r>
          </w:p>
        </w:tc>
      </w:tr>
      <w:tr>
        <w:trPr/>
        <w:tc>
          <w:tcPr>
            <w:tcW w:w="293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1937"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______________________</w:t>
            </w:r>
          </w:p>
        </w:tc>
        <w:tc>
          <w:tcPr>
            <w:tcW w:w="2959"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SUPPLEMENTAL INDENTURE</w:t>
        <w:br/>
        <w:t>TO BE DELIVERED BY SUBSEQUENT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Supplemental Indenture</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dated as of ________________, among __________________ (the “</w:t>
      </w:r>
      <w:r>
        <w:rPr>
          <w:rFonts w:ascii="Times New Roman;Times;Serif" w:hAnsi="Times New Roman;Times;Serif"/>
          <w:b w:val="false"/>
          <w:i/>
          <w:caps w:val="false"/>
          <w:smallCaps w:val="false"/>
          <w:sz w:val="20"/>
        </w:rPr>
        <w:t>Guaranteeing Subsidiary</w:t>
      </w:r>
      <w:r>
        <w:rPr>
          <w:rFonts w:ascii="Times New Roman;Times;Serif" w:hAnsi="Times New Roman;Times;Serif"/>
          <w:b w:val="false"/>
          <w:i w:val="false"/>
          <w:caps w:val="false"/>
          <w:smallCaps w:val="false"/>
          <w:sz w:val="20"/>
        </w:rPr>
        <w:t>”), a subsidiary of Clearway Energy Operating LLC (or its permitted successor), a Delaware limited liability company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the Company, the other Guarantors (as defined in the Indenture referred to herein) and CSC Delaware Trust Company, as trustee under the Indenture referred to below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heretofore executed and delivered to the Trustee an indenture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dated as of January 13, 2026 providing for the issuance of 5.750% Senior Notes due 2034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Times;Serif" w:hAnsi="Times New Roman;Times;Serif"/>
          <w:b w:val="false"/>
          <w:i/>
          <w:caps w:val="false"/>
          <w:smallCaps w:val="false"/>
          <w:sz w:val="20"/>
        </w:rPr>
        <w:t>Subsidiary Guarantee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Sections 4.10 and 9.01 of the Indenture, the Trustee, the Company and the other Guarantors are authorized to execute and deliver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smallCaps/>
          <w:sz w:val="20"/>
        </w:rPr>
        <w:t>Capitalized Terms</w:t>
      </w:r>
      <w:r>
        <w:rPr>
          <w:rFonts w:ascii="Times New Roman;Times;Serif" w:hAnsi="Times New Roman;Times;Serif"/>
          <w:b w:val="false"/>
          <w:i w:val="false"/>
          <w:caps w:val="false"/>
          <w:smallCaps w:val="false"/>
          <w:sz w:val="20"/>
        </w:rPr>
        <w:t>. Capitalized terms used herein without definition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smallCaps/>
          <w:sz w:val="20"/>
        </w:rPr>
        <w:t>Agreement to Guarantee</w:t>
      </w:r>
      <w:r>
        <w:rPr>
          <w:rFonts w:ascii="Times New Roman;Times;Serif" w:hAnsi="Times New Roman;Times;Serif"/>
          <w:b w:val="false"/>
          <w:i w:val="false"/>
          <w:caps w:val="false"/>
          <w:smallCaps w:val="false"/>
          <w:sz w:val="20"/>
        </w:rPr>
        <w:t>.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smallCaps/>
          <w:sz w:val="20"/>
        </w:rPr>
        <w:t>No Recourse Against Others</w:t>
      </w:r>
      <w:r>
        <w:rPr>
          <w:rFonts w:ascii="Times New Roman;Times;Serif" w:hAnsi="Times New Roman;Times;Serif"/>
          <w:b w:val="false"/>
          <w:i w:val="false"/>
          <w:caps w:val="false"/>
          <w:smallCaps w:val="false"/>
          <w:sz w:val="20"/>
        </w:rPr>
        <w:t>. No director, officer, employee, incorporator or stockholder of the Company or any Guarantor, as such, will have any liability for any obligations of the Company or the Guarantors under the Notes, the Indenture, the Guarantees of the Notes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E-1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smallCaps/>
          <w:sz w:val="20"/>
        </w:rPr>
        <w:t>Counterparts</w:t>
      </w:r>
      <w:r>
        <w:rPr>
          <w:rFonts w:ascii="Times New Roman;Times;Serif" w:hAnsi="Times New Roman;Times;Serif"/>
          <w:b w:val="false"/>
          <w:i w:val="false"/>
          <w:caps w:val="false"/>
          <w:smallCaps w:val="false"/>
          <w:sz w:val="20"/>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smallCaps/>
          <w:sz w:val="20"/>
        </w:rPr>
        <w:t>Effect of Headings</w:t>
      </w:r>
      <w:r>
        <w:rPr>
          <w:rFonts w:ascii="Times New Roman;Times;Serif" w:hAnsi="Times New Roman;Times;Serif"/>
          <w:b w:val="false"/>
          <w:i w:val="false"/>
          <w:caps w:val="false"/>
          <w:smallCaps w:val="false"/>
          <w:sz w:val="20"/>
        </w:rPr>
        <w:t>. The Section headings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smallCaps/>
          <w:sz w:val="20"/>
        </w:rPr>
        <w:t>The Trustee</w:t>
      </w:r>
      <w:r>
        <w:rPr>
          <w:rFonts w:ascii="Times New Roman;Times;Serif" w:hAnsi="Times New Roman;Times;Serif"/>
          <w:b w:val="false"/>
          <w:i w:val="false"/>
          <w:caps w:val="false"/>
          <w:smallCaps w:val="false"/>
          <w:sz w:val="20"/>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8.            RATIFICATION OF INDENTURE; SUPPLEMENTAL INDENTURE FOR ADDITIONAL GUARANTEES PART OF INDENTURE.</w:t>
      </w:r>
      <w:r>
        <w:rPr>
          <w:rFonts w:ascii="Times New Roman;Times;Serif" w:hAnsi="Times New Roman;Times;Serif"/>
          <w:b w:val="false"/>
          <w:i w:val="false"/>
          <w:caps w:val="false"/>
          <w:smallCaps w:val="false"/>
          <w:sz w:val="20"/>
        </w:rPr>
        <w:t xml:space="preserv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9.            Electronic Signatures. </w:t>
      </w:r>
      <w:r>
        <w:rPr>
          <w:rFonts w:ascii="Times New Roman;Times;Serif" w:hAnsi="Times New Roman;Times;Serif"/>
          <w:b w:val="false"/>
          <w:i w:val="false"/>
          <w:caps w:val="false"/>
          <w:smallCaps w:val="false"/>
          <w:sz w:val="20"/>
        </w:rPr>
        <w:t>Each of the parties agrees on behalf of itself, and any Person acting or claiming by, under or through such party, that any written instrument delivered in connection with this Supplemental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or any Guarantor to the Trustee shall be considered signed or executed by such person on behalf of the Company or such Guarantor, as applicable. Each of the Company and the Guarantors agrees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E-2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and attested, all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75"/>
        <w:gridCol w:w="467"/>
        <w:gridCol w:w="3032"/>
      </w:tblGrid>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pPr>
            <w:r>
              <w:rPr/>
              <w:t>[</w:t>
            </w:r>
            <w:r>
              <w:rPr>
                <w:rFonts w:ascii="Times New Roman;Times;Serif" w:hAnsi="Times New Roman;Times;Serif"/>
                <w:caps/>
                <w:sz w:val="20"/>
              </w:rPr>
              <w:t>Guaranteeing Subsidiary]</w:t>
            </w:r>
          </w:p>
        </w:tc>
      </w:tr>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CLEARWAY ENERGY Operating LLC</w:t>
            </w:r>
          </w:p>
        </w:tc>
      </w:tr>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[Existing Guarantors]</w:t>
            </w:r>
          </w:p>
        </w:tc>
      </w:tr>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[Trustee],</w:t>
            </w:r>
          </w:p>
        </w:tc>
      </w:tr>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w:t>
            </w:r>
          </w:p>
        </w:tc>
      </w:tr>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E-3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47581</Words>
  <Characters>245774</Characters>
  <CharactersWithSpaces>300375</CharactersWithSpaces>
  <Paragraphs>3391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